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sdt>
      <w:sdtPr>
        <w:rPr>
          <w:rFonts w:ascii="宋体" w:hAnsi="宋体" w:eastAsia="宋体" w:cs="Times New Roman"/>
          <w:b/>
          <w:bCs/>
          <w:color w:val="auto"/>
          <w:kern w:val="2"/>
          <w:sz w:val="32"/>
          <w:szCs w:val="32"/>
          <w:highlight w:val="none"/>
          <w:lang w:val="en-US" w:eastAsia="zh-CN" w:bidi="ar-SA"/>
        </w:rPr>
        <w:id w:val="147462536"/>
        <w15:color w:val="DBDBDB"/>
        <w:docPartObj>
          <w:docPartGallery w:val="Table of Contents"/>
          <w:docPartUnique/>
        </w:docPartObj>
      </w:sdtPr>
      <w:sdtEndPr>
        <w:rPr>
          <w:rFonts w:hint="eastAsia" w:ascii="Times New Roman" w:hAnsi="Times New Roman" w:eastAsia="宋体" w:cs="Times New Roman"/>
          <w:b/>
          <w:bCs/>
          <w:color w:val="auto"/>
          <w:kern w:val="2"/>
          <w:sz w:val="24"/>
          <w:szCs w:val="24"/>
          <w:highlight w:val="none"/>
          <w:lang w:val="en-US" w:eastAsia="zh-CN" w:bidi="ar-SA"/>
        </w:rPr>
      </w:sdtEndPr>
      <w:sdtContent>
        <w:p w14:paraId="567C5DF2">
          <w:pPr>
            <w:spacing w:before="0" w:beforeLines="0" w:after="0" w:afterLines="0" w:line="240" w:lineRule="auto"/>
            <w:ind w:left="0" w:leftChars="0" w:right="0" w:rightChars="0" w:firstLine="0" w:firstLineChars="0"/>
            <w:jc w:val="center"/>
            <w:rPr>
              <w:rFonts w:ascii="宋体" w:hAnsi="宋体" w:eastAsia="宋体" w:cs="Times New Roman"/>
              <w:b/>
              <w:bCs/>
              <w:color w:val="auto"/>
              <w:kern w:val="2"/>
              <w:sz w:val="32"/>
              <w:szCs w:val="32"/>
              <w:highlight w:val="none"/>
              <w:lang w:val="en-US" w:eastAsia="zh-CN" w:bidi="ar-SA"/>
            </w:rPr>
            <w:sectPr>
              <w:pgSz w:w="11906" w:h="16838"/>
              <w:pgMar w:top="720" w:right="720" w:bottom="720" w:left="720" w:header="851" w:footer="992" w:gutter="0"/>
              <w:pgBorders>
                <w:top w:val="none" w:sz="0" w:space="0"/>
                <w:left w:val="none" w:sz="0" w:space="0"/>
                <w:bottom w:val="none" w:sz="0" w:space="0"/>
                <w:right w:val="none" w:sz="0" w:space="0"/>
              </w:pgBorders>
              <w:cols w:space="425" w:num="1"/>
              <w:docGrid w:type="lines" w:linePitch="312" w:charSpace="0"/>
            </w:sectPr>
          </w:pPr>
          <w:r>
            <w:rPr>
              <w:rFonts w:ascii="宋体" w:hAnsi="宋体" w:eastAsia="宋体" w:cs="Times New Roman"/>
              <w:b/>
              <w:bCs/>
              <w:color w:val="auto"/>
              <w:kern w:val="2"/>
              <w:sz w:val="32"/>
              <w:szCs w:val="32"/>
              <w:highlight w:val="none"/>
              <w:lang w:val="en-US" w:eastAsia="zh-CN" w:bidi="ar-SA"/>
            </w:rPr>
            <w:drawing>
              <wp:inline distT="0" distB="0" distL="114300" distR="114300">
                <wp:extent cx="6638290" cy="9388475"/>
                <wp:effectExtent l="0" t="0" r="6350" b="14605"/>
                <wp:docPr id="18" name="图片 18" descr="南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南冲"/>
                        <pic:cNvPicPr>
                          <a:picLocks noChangeAspect="1"/>
                        </pic:cNvPicPr>
                      </pic:nvPicPr>
                      <pic:blipFill>
                        <a:blip r:embed="rId8"/>
                        <a:stretch>
                          <a:fillRect/>
                        </a:stretch>
                      </pic:blipFill>
                      <pic:spPr>
                        <a:xfrm>
                          <a:off x="0" y="0"/>
                          <a:ext cx="6638290" cy="9388475"/>
                        </a:xfrm>
                        <a:prstGeom prst="rect">
                          <a:avLst/>
                        </a:prstGeom>
                      </pic:spPr>
                    </pic:pic>
                  </a:graphicData>
                </a:graphic>
              </wp:inline>
            </w:drawing>
          </w:r>
        </w:p>
        <w:p w14:paraId="655BCD3A">
          <w:pPr>
            <w:rPr>
              <w:rFonts w:ascii="宋体" w:hAnsi="宋体" w:eastAsia="宋体" w:cs="Times New Roman"/>
              <w:b/>
              <w:bCs/>
              <w:color w:val="auto"/>
              <w:kern w:val="2"/>
              <w:sz w:val="32"/>
              <w:szCs w:val="32"/>
              <w:highlight w:val="none"/>
              <w:lang w:val="en-US" w:eastAsia="zh-CN" w:bidi="ar-SA"/>
            </w:rPr>
          </w:pPr>
        </w:p>
        <w:p w14:paraId="677E7975">
          <w:pPr>
            <w:spacing w:before="0" w:beforeLines="0" w:after="0" w:afterLines="0" w:line="240" w:lineRule="auto"/>
            <w:ind w:left="0" w:leftChars="0" w:right="0" w:rightChars="0" w:firstLine="0" w:firstLineChars="0"/>
            <w:jc w:val="center"/>
            <w:rPr>
              <w:b/>
              <w:bCs/>
              <w:color w:val="auto"/>
              <w:sz w:val="32"/>
              <w:szCs w:val="32"/>
              <w:highlight w:val="none"/>
            </w:rPr>
          </w:pPr>
          <w:r>
            <w:rPr>
              <w:rFonts w:ascii="宋体" w:hAnsi="宋体" w:eastAsia="宋体"/>
              <w:b/>
              <w:bCs/>
              <w:color w:val="auto"/>
              <w:sz w:val="32"/>
              <w:szCs w:val="32"/>
              <w:highlight w:val="none"/>
            </w:rPr>
            <w:t>目录</w:t>
          </w:r>
        </w:p>
        <w:p w14:paraId="25BBD9FE">
          <w:pPr>
            <w:pStyle w:val="14"/>
            <w:tabs>
              <w:tab w:val="right" w:leader="dot" w:pos="8306"/>
            </w:tabs>
          </w:pPr>
          <w:r>
            <w:rPr>
              <w:rFonts w:hint="eastAsia" w:eastAsia="宋体"/>
              <w:color w:val="auto"/>
              <w:highlight w:val="none"/>
              <w:lang w:eastAsia="zh-CN"/>
            </w:rPr>
            <w:fldChar w:fldCharType="begin"/>
          </w:r>
          <w:r>
            <w:rPr>
              <w:rFonts w:hint="eastAsia" w:eastAsia="宋体"/>
              <w:color w:val="auto"/>
              <w:highlight w:val="none"/>
              <w:lang w:eastAsia="zh-CN"/>
            </w:rPr>
            <w:instrText xml:space="preserve">TOC \o "1-2" \h \u </w:instrText>
          </w:r>
          <w:r>
            <w:rPr>
              <w:rFonts w:hint="eastAsia" w:eastAsia="宋体"/>
              <w:color w:val="auto"/>
              <w:highlight w:val="none"/>
              <w:lang w:eastAsia="zh-CN"/>
            </w:rPr>
            <w:fldChar w:fldCharType="separate"/>
          </w:r>
          <w:r>
            <w:rPr>
              <w:rFonts w:hint="eastAsia" w:eastAsia="宋体"/>
              <w:color w:val="auto"/>
              <w:highlight w:val="none"/>
              <w:lang w:eastAsia="zh-CN"/>
            </w:rPr>
            <w:fldChar w:fldCharType="begin"/>
          </w:r>
          <w:r>
            <w:rPr>
              <w:rFonts w:hint="eastAsia" w:eastAsia="宋体"/>
              <w:highlight w:val="none"/>
              <w:lang w:eastAsia="zh-CN"/>
            </w:rPr>
            <w:instrText xml:space="preserve"> HYPERLINK \l _Toc24368 </w:instrText>
          </w:r>
          <w:r>
            <w:rPr>
              <w:rFonts w:hint="eastAsia" w:eastAsia="宋体"/>
              <w:highlight w:val="none"/>
              <w:lang w:eastAsia="zh-CN"/>
            </w:rPr>
            <w:fldChar w:fldCharType="separate"/>
          </w:r>
          <w:r>
            <w:rPr>
              <w:rFonts w:hint="eastAsia" w:ascii="Times New Roman" w:hAnsi="Times New Roman" w:cs="Times New Roman"/>
            </w:rPr>
            <w:t xml:space="preserve">第一章 </w:t>
          </w:r>
          <w:r>
            <w:rPr>
              <w:rFonts w:hint="default" w:ascii="Times New Roman" w:hAnsi="Times New Roman" w:cs="Times New Roman"/>
              <w:highlight w:val="none"/>
            </w:rPr>
            <w:t>概述</w:t>
          </w:r>
          <w:r>
            <w:tab/>
          </w:r>
          <w:r>
            <w:fldChar w:fldCharType="begin"/>
          </w:r>
          <w:r>
            <w:instrText xml:space="preserve"> PAGEREF _Toc24368 \h </w:instrText>
          </w:r>
          <w:r>
            <w:fldChar w:fldCharType="separate"/>
          </w:r>
          <w:r>
            <w:t>1</w:t>
          </w:r>
          <w:r>
            <w:fldChar w:fldCharType="end"/>
          </w:r>
          <w:r>
            <w:rPr>
              <w:rFonts w:hint="eastAsia" w:eastAsia="宋体"/>
              <w:color w:val="auto"/>
              <w:highlight w:val="none"/>
              <w:lang w:eastAsia="zh-CN"/>
            </w:rPr>
            <w:fldChar w:fldCharType="end"/>
          </w:r>
        </w:p>
        <w:p w14:paraId="2FC2970F">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_Toc3455 </w:instrText>
          </w:r>
          <w:r>
            <w:rPr>
              <w:rFonts w:hint="eastAsia" w:eastAsia="宋体"/>
              <w:highlight w:val="none"/>
              <w:lang w:eastAsia="zh-CN"/>
            </w:rPr>
            <w:fldChar w:fldCharType="separate"/>
          </w:r>
          <w:r>
            <w:rPr>
              <w:rFonts w:hint="eastAsia" w:ascii="Times New Roman" w:hAnsi="Times New Roman" w:cs="Times New Roman"/>
            </w:rPr>
            <w:t xml:space="preserve">1.1. </w:t>
          </w:r>
          <w:r>
            <w:rPr>
              <w:rFonts w:hint="default" w:ascii="Times New Roman" w:hAnsi="Times New Roman" w:cs="Times New Roman"/>
              <w:highlight w:val="none"/>
            </w:rPr>
            <w:t>项目由来</w:t>
          </w:r>
          <w:r>
            <w:tab/>
          </w:r>
          <w:r>
            <w:fldChar w:fldCharType="begin"/>
          </w:r>
          <w:r>
            <w:instrText xml:space="preserve"> PAGEREF _Toc3455 \h </w:instrText>
          </w:r>
          <w:r>
            <w:fldChar w:fldCharType="separate"/>
          </w:r>
          <w:r>
            <w:t>1</w:t>
          </w:r>
          <w:r>
            <w:fldChar w:fldCharType="end"/>
          </w:r>
          <w:r>
            <w:rPr>
              <w:rFonts w:hint="eastAsia" w:eastAsia="宋体"/>
              <w:color w:val="auto"/>
              <w:highlight w:val="none"/>
              <w:lang w:eastAsia="zh-CN"/>
            </w:rPr>
            <w:fldChar w:fldCharType="end"/>
          </w:r>
        </w:p>
        <w:p w14:paraId="51B53860">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_Toc8862 </w:instrText>
          </w:r>
          <w:r>
            <w:rPr>
              <w:rFonts w:hint="eastAsia" w:eastAsia="宋体"/>
              <w:highlight w:val="none"/>
              <w:lang w:eastAsia="zh-CN"/>
            </w:rPr>
            <w:fldChar w:fldCharType="separate"/>
          </w:r>
          <w:r>
            <w:rPr>
              <w:rFonts w:hint="eastAsia" w:ascii="Times New Roman" w:hAnsi="Times New Roman" w:cs="Times New Roman"/>
            </w:rPr>
            <w:t xml:space="preserve">1.2. </w:t>
          </w:r>
          <w:r>
            <w:rPr>
              <w:rFonts w:hint="default" w:ascii="Times New Roman" w:hAnsi="Times New Roman" w:cs="Times New Roman"/>
              <w:highlight w:val="none"/>
            </w:rPr>
            <w:t>评价工作过程</w:t>
          </w:r>
          <w:r>
            <w:tab/>
          </w:r>
          <w:r>
            <w:fldChar w:fldCharType="begin"/>
          </w:r>
          <w:r>
            <w:instrText xml:space="preserve"> PAGEREF _Toc8862 \h </w:instrText>
          </w:r>
          <w:r>
            <w:fldChar w:fldCharType="separate"/>
          </w:r>
          <w:r>
            <w:t>2</w:t>
          </w:r>
          <w:r>
            <w:fldChar w:fldCharType="end"/>
          </w:r>
          <w:r>
            <w:rPr>
              <w:rFonts w:hint="eastAsia" w:eastAsia="宋体"/>
              <w:color w:val="auto"/>
              <w:highlight w:val="none"/>
              <w:lang w:eastAsia="zh-CN"/>
            </w:rPr>
            <w:fldChar w:fldCharType="end"/>
          </w:r>
        </w:p>
        <w:p w14:paraId="362B1613">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_Toc14412 </w:instrText>
          </w:r>
          <w:r>
            <w:rPr>
              <w:rFonts w:hint="eastAsia" w:eastAsia="宋体"/>
              <w:highlight w:val="none"/>
              <w:lang w:eastAsia="zh-CN"/>
            </w:rPr>
            <w:fldChar w:fldCharType="separate"/>
          </w:r>
          <w:r>
            <w:rPr>
              <w:rFonts w:hint="eastAsia" w:ascii="Times New Roman" w:hAnsi="Times New Roman" w:cs="Times New Roman"/>
            </w:rPr>
            <w:t xml:space="preserve">1.3. </w:t>
          </w:r>
          <w:r>
            <w:rPr>
              <w:rFonts w:hint="eastAsia" w:cs="Times New Roman"/>
              <w:highlight w:val="none"/>
              <w:lang w:eastAsia="zh-CN"/>
            </w:rPr>
            <w:t>分析判定相关情况</w:t>
          </w:r>
          <w:r>
            <w:tab/>
          </w:r>
          <w:r>
            <w:fldChar w:fldCharType="begin"/>
          </w:r>
          <w:r>
            <w:instrText xml:space="preserve"> PAGEREF _Toc14412 \h </w:instrText>
          </w:r>
          <w:r>
            <w:fldChar w:fldCharType="separate"/>
          </w:r>
          <w:r>
            <w:t>3</w:t>
          </w:r>
          <w:r>
            <w:fldChar w:fldCharType="end"/>
          </w:r>
          <w:r>
            <w:rPr>
              <w:rFonts w:hint="eastAsia" w:eastAsia="宋体"/>
              <w:color w:val="auto"/>
              <w:highlight w:val="none"/>
              <w:lang w:eastAsia="zh-CN"/>
            </w:rPr>
            <w:fldChar w:fldCharType="end"/>
          </w:r>
        </w:p>
        <w:p w14:paraId="1A2CC3B8">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_Toc6282 </w:instrText>
          </w:r>
          <w:r>
            <w:rPr>
              <w:rFonts w:hint="eastAsia" w:eastAsia="宋体"/>
              <w:highlight w:val="none"/>
              <w:lang w:eastAsia="zh-CN"/>
            </w:rPr>
            <w:fldChar w:fldCharType="separate"/>
          </w:r>
          <w:r>
            <w:rPr>
              <w:rFonts w:hint="eastAsia" w:ascii="Times New Roman" w:hAnsi="Times New Roman" w:cs="Times New Roman"/>
            </w:rPr>
            <w:t xml:space="preserve">1.4. </w:t>
          </w:r>
          <w:r>
            <w:rPr>
              <w:rFonts w:hint="default" w:ascii="Times New Roman" w:hAnsi="Times New Roman" w:cs="Times New Roman"/>
              <w:highlight w:val="none"/>
            </w:rPr>
            <w:t>关注的主要环境问题</w:t>
          </w:r>
          <w:r>
            <w:tab/>
          </w:r>
          <w:r>
            <w:fldChar w:fldCharType="begin"/>
          </w:r>
          <w:r>
            <w:instrText xml:space="preserve"> PAGEREF _Toc6282 \h </w:instrText>
          </w:r>
          <w:r>
            <w:fldChar w:fldCharType="separate"/>
          </w:r>
          <w:r>
            <w:t>18</w:t>
          </w:r>
          <w:r>
            <w:fldChar w:fldCharType="end"/>
          </w:r>
          <w:r>
            <w:rPr>
              <w:rFonts w:hint="eastAsia" w:eastAsia="宋体"/>
              <w:color w:val="auto"/>
              <w:highlight w:val="none"/>
              <w:lang w:eastAsia="zh-CN"/>
            </w:rPr>
            <w:fldChar w:fldCharType="end"/>
          </w:r>
        </w:p>
        <w:p w14:paraId="08029881">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_Toc29353 </w:instrText>
          </w:r>
          <w:r>
            <w:rPr>
              <w:rFonts w:hint="eastAsia" w:eastAsia="宋体"/>
              <w:highlight w:val="none"/>
              <w:lang w:eastAsia="zh-CN"/>
            </w:rPr>
            <w:fldChar w:fldCharType="separate"/>
          </w:r>
          <w:r>
            <w:rPr>
              <w:rFonts w:hint="eastAsia" w:ascii="Times New Roman" w:hAnsi="Times New Roman" w:cs="Times New Roman"/>
            </w:rPr>
            <w:t xml:space="preserve">1.5. </w:t>
          </w:r>
          <w:r>
            <w:rPr>
              <w:rFonts w:hint="default" w:ascii="Times New Roman" w:hAnsi="Times New Roman" w:cs="Times New Roman"/>
              <w:highlight w:val="none"/>
            </w:rPr>
            <w:t>环评报告书的主要结论</w:t>
          </w:r>
          <w:r>
            <w:tab/>
          </w:r>
          <w:r>
            <w:fldChar w:fldCharType="begin"/>
          </w:r>
          <w:r>
            <w:instrText xml:space="preserve"> PAGEREF _Toc29353 \h </w:instrText>
          </w:r>
          <w:r>
            <w:fldChar w:fldCharType="separate"/>
          </w:r>
          <w:r>
            <w:t>18</w:t>
          </w:r>
          <w:r>
            <w:fldChar w:fldCharType="end"/>
          </w:r>
          <w:r>
            <w:rPr>
              <w:rFonts w:hint="eastAsia" w:eastAsia="宋体"/>
              <w:color w:val="auto"/>
              <w:highlight w:val="none"/>
              <w:lang w:eastAsia="zh-CN"/>
            </w:rPr>
            <w:fldChar w:fldCharType="end"/>
          </w:r>
        </w:p>
        <w:p w14:paraId="4F0EB6B8">
          <w:pPr>
            <w:pStyle w:val="14"/>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_Toc6069 </w:instrText>
          </w:r>
          <w:r>
            <w:rPr>
              <w:rFonts w:hint="eastAsia" w:eastAsia="宋体"/>
              <w:highlight w:val="none"/>
              <w:lang w:eastAsia="zh-CN"/>
            </w:rPr>
            <w:fldChar w:fldCharType="separate"/>
          </w:r>
          <w:r>
            <w:rPr>
              <w:rFonts w:hint="eastAsia" w:ascii="Times New Roman" w:hAnsi="Times New Roman" w:cs="Times New Roman"/>
            </w:rPr>
            <w:t xml:space="preserve">第二章 </w:t>
          </w:r>
          <w:r>
            <w:rPr>
              <w:rFonts w:hint="default" w:ascii="Times New Roman" w:hAnsi="Times New Roman" w:cs="Times New Roman"/>
              <w:highlight w:val="none"/>
            </w:rPr>
            <w:t>总</w:t>
          </w:r>
          <w:r>
            <w:rPr>
              <w:rFonts w:hint="default" w:ascii="Times New Roman" w:hAnsi="Times New Roman" w:cs="Times New Roman"/>
              <w:highlight w:val="none"/>
              <w:lang w:val="en-US" w:eastAsia="zh-CN"/>
            </w:rPr>
            <w:t>论</w:t>
          </w:r>
          <w:r>
            <w:tab/>
          </w:r>
          <w:r>
            <w:fldChar w:fldCharType="begin"/>
          </w:r>
          <w:r>
            <w:instrText xml:space="preserve"> PAGEREF _Toc6069 \h </w:instrText>
          </w:r>
          <w:r>
            <w:fldChar w:fldCharType="separate"/>
          </w:r>
          <w:r>
            <w:t>19</w:t>
          </w:r>
          <w:r>
            <w:fldChar w:fldCharType="end"/>
          </w:r>
          <w:r>
            <w:rPr>
              <w:rFonts w:hint="eastAsia" w:eastAsia="宋体"/>
              <w:color w:val="auto"/>
              <w:highlight w:val="none"/>
              <w:lang w:eastAsia="zh-CN"/>
            </w:rPr>
            <w:fldChar w:fldCharType="end"/>
          </w:r>
        </w:p>
        <w:p w14:paraId="40A03B52">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_Toc25226 </w:instrText>
          </w:r>
          <w:r>
            <w:rPr>
              <w:rFonts w:hint="eastAsia" w:eastAsia="宋体"/>
              <w:highlight w:val="none"/>
              <w:lang w:eastAsia="zh-CN"/>
            </w:rPr>
            <w:fldChar w:fldCharType="separate"/>
          </w:r>
          <w:r>
            <w:rPr>
              <w:rFonts w:hint="eastAsia" w:ascii="Times New Roman" w:hAnsi="Times New Roman" w:cs="Times New Roman"/>
            </w:rPr>
            <w:t xml:space="preserve">2.1. </w:t>
          </w:r>
          <w:r>
            <w:rPr>
              <w:rFonts w:hint="default" w:ascii="Times New Roman" w:hAnsi="Times New Roman" w:cs="Times New Roman"/>
              <w:highlight w:val="none"/>
            </w:rPr>
            <w:t>编制依据</w:t>
          </w:r>
          <w:r>
            <w:tab/>
          </w:r>
          <w:r>
            <w:fldChar w:fldCharType="begin"/>
          </w:r>
          <w:r>
            <w:instrText xml:space="preserve"> PAGEREF _Toc25226 \h </w:instrText>
          </w:r>
          <w:r>
            <w:fldChar w:fldCharType="separate"/>
          </w:r>
          <w:r>
            <w:t>19</w:t>
          </w:r>
          <w:r>
            <w:fldChar w:fldCharType="end"/>
          </w:r>
          <w:r>
            <w:rPr>
              <w:rFonts w:hint="eastAsia" w:eastAsia="宋体"/>
              <w:color w:val="auto"/>
              <w:highlight w:val="none"/>
              <w:lang w:eastAsia="zh-CN"/>
            </w:rPr>
            <w:fldChar w:fldCharType="end"/>
          </w:r>
        </w:p>
        <w:p w14:paraId="067D5329">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_Toc6030 </w:instrText>
          </w:r>
          <w:r>
            <w:rPr>
              <w:rFonts w:hint="eastAsia" w:eastAsia="宋体"/>
              <w:highlight w:val="none"/>
              <w:lang w:eastAsia="zh-CN"/>
            </w:rPr>
            <w:fldChar w:fldCharType="separate"/>
          </w:r>
          <w:r>
            <w:rPr>
              <w:rFonts w:hint="eastAsia" w:ascii="Times New Roman" w:hAnsi="Times New Roman" w:cs="Times New Roman"/>
            </w:rPr>
            <w:t xml:space="preserve">2.2. </w:t>
          </w:r>
          <w:r>
            <w:rPr>
              <w:rFonts w:hint="default" w:ascii="Times New Roman" w:hAnsi="Times New Roman" w:cs="Times New Roman"/>
              <w:highlight w:val="none"/>
              <w:lang w:val="en-US" w:eastAsia="zh-CN"/>
            </w:rPr>
            <w:t>评价因子、评价工作等级和评价范围</w:t>
          </w:r>
          <w:r>
            <w:tab/>
          </w:r>
          <w:r>
            <w:fldChar w:fldCharType="begin"/>
          </w:r>
          <w:r>
            <w:instrText xml:space="preserve"> PAGEREF _Toc6030 \h </w:instrText>
          </w:r>
          <w:r>
            <w:fldChar w:fldCharType="separate"/>
          </w:r>
          <w:r>
            <w:t>22</w:t>
          </w:r>
          <w:r>
            <w:fldChar w:fldCharType="end"/>
          </w:r>
          <w:r>
            <w:rPr>
              <w:rFonts w:hint="eastAsia" w:eastAsia="宋体"/>
              <w:color w:val="auto"/>
              <w:highlight w:val="none"/>
              <w:lang w:eastAsia="zh-CN"/>
            </w:rPr>
            <w:fldChar w:fldCharType="end"/>
          </w:r>
        </w:p>
        <w:p w14:paraId="659A1F66">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_Toc11691 </w:instrText>
          </w:r>
          <w:r>
            <w:rPr>
              <w:rFonts w:hint="eastAsia" w:eastAsia="宋体"/>
              <w:highlight w:val="none"/>
              <w:lang w:eastAsia="zh-CN"/>
            </w:rPr>
            <w:fldChar w:fldCharType="separate"/>
          </w:r>
          <w:r>
            <w:rPr>
              <w:rFonts w:hint="eastAsia" w:ascii="Times New Roman" w:hAnsi="Times New Roman" w:cs="Times New Roman"/>
            </w:rPr>
            <w:t xml:space="preserve">2.3. </w:t>
          </w:r>
          <w:r>
            <w:rPr>
              <w:rFonts w:hint="eastAsia" w:cs="Times New Roman"/>
              <w:highlight w:val="none"/>
              <w:lang w:eastAsia="zh-CN"/>
            </w:rPr>
            <w:t>环境功能区划及环境保护目标</w:t>
          </w:r>
          <w:r>
            <w:tab/>
          </w:r>
          <w:r>
            <w:fldChar w:fldCharType="begin"/>
          </w:r>
          <w:r>
            <w:instrText xml:space="preserve"> PAGEREF _Toc11691 \h </w:instrText>
          </w:r>
          <w:r>
            <w:fldChar w:fldCharType="separate"/>
          </w:r>
          <w:r>
            <w:t>30</w:t>
          </w:r>
          <w:r>
            <w:fldChar w:fldCharType="end"/>
          </w:r>
          <w:r>
            <w:rPr>
              <w:rFonts w:hint="eastAsia" w:eastAsia="宋体"/>
              <w:color w:val="auto"/>
              <w:highlight w:val="none"/>
              <w:lang w:eastAsia="zh-CN"/>
            </w:rPr>
            <w:fldChar w:fldCharType="end"/>
          </w:r>
        </w:p>
        <w:p w14:paraId="0D2D43B6">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_Toc10949 </w:instrText>
          </w:r>
          <w:r>
            <w:rPr>
              <w:rFonts w:hint="eastAsia" w:eastAsia="宋体"/>
              <w:highlight w:val="none"/>
              <w:lang w:eastAsia="zh-CN"/>
            </w:rPr>
            <w:fldChar w:fldCharType="separate"/>
          </w:r>
          <w:r>
            <w:rPr>
              <w:rFonts w:hint="eastAsia" w:ascii="Times New Roman" w:hAnsi="Times New Roman" w:cs="Times New Roman"/>
            </w:rPr>
            <w:t xml:space="preserve">2.4. </w:t>
          </w:r>
          <w:r>
            <w:rPr>
              <w:rFonts w:hint="default" w:ascii="Times New Roman" w:hAnsi="Times New Roman" w:cs="Times New Roman"/>
              <w:highlight w:val="none"/>
            </w:rPr>
            <w:t>评价</w:t>
          </w:r>
          <w:r>
            <w:rPr>
              <w:rFonts w:hint="eastAsia" w:ascii="Times New Roman" w:hAnsi="Times New Roman" w:cs="Times New Roman"/>
              <w:highlight w:val="none"/>
              <w:lang w:eastAsia="zh-CN"/>
            </w:rPr>
            <w:t>执行</w:t>
          </w:r>
          <w:r>
            <w:rPr>
              <w:rFonts w:hint="default" w:ascii="Times New Roman" w:hAnsi="Times New Roman" w:cs="Times New Roman"/>
              <w:highlight w:val="none"/>
            </w:rPr>
            <w:t>标准</w:t>
          </w:r>
          <w:r>
            <w:tab/>
          </w:r>
          <w:r>
            <w:fldChar w:fldCharType="begin"/>
          </w:r>
          <w:r>
            <w:instrText xml:space="preserve"> PAGEREF _Toc10949 \h </w:instrText>
          </w:r>
          <w:r>
            <w:fldChar w:fldCharType="separate"/>
          </w:r>
          <w:r>
            <w:t>36</w:t>
          </w:r>
          <w:r>
            <w:fldChar w:fldCharType="end"/>
          </w:r>
          <w:r>
            <w:rPr>
              <w:rFonts w:hint="eastAsia" w:eastAsia="宋体"/>
              <w:color w:val="auto"/>
              <w:highlight w:val="none"/>
              <w:lang w:eastAsia="zh-CN"/>
            </w:rPr>
            <w:fldChar w:fldCharType="end"/>
          </w:r>
        </w:p>
        <w:p w14:paraId="60D9D057">
          <w:pPr>
            <w:pStyle w:val="14"/>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_Toc6232 </w:instrText>
          </w:r>
          <w:r>
            <w:rPr>
              <w:rFonts w:hint="eastAsia" w:eastAsia="宋体"/>
              <w:highlight w:val="none"/>
              <w:lang w:eastAsia="zh-CN"/>
            </w:rPr>
            <w:fldChar w:fldCharType="separate"/>
          </w:r>
          <w:r>
            <w:rPr>
              <w:rFonts w:hint="eastAsia" w:ascii="Times New Roman" w:hAnsi="Times New Roman" w:cs="Times New Roman"/>
            </w:rPr>
            <w:t xml:space="preserve">第三章 </w:t>
          </w:r>
          <w:r>
            <w:rPr>
              <w:rFonts w:hint="eastAsia" w:ascii="Times New Roman" w:hAnsi="Times New Roman" w:cs="Times New Roman"/>
              <w:highlight w:val="none"/>
              <w:lang w:eastAsia="zh-CN"/>
            </w:rPr>
            <w:t>现有工程概况</w:t>
          </w:r>
          <w:r>
            <w:tab/>
          </w:r>
          <w:r>
            <w:fldChar w:fldCharType="begin"/>
          </w:r>
          <w:r>
            <w:instrText xml:space="preserve"> PAGEREF _Toc6232 \h </w:instrText>
          </w:r>
          <w:r>
            <w:fldChar w:fldCharType="separate"/>
          </w:r>
          <w:r>
            <w:t>40</w:t>
          </w:r>
          <w:r>
            <w:fldChar w:fldCharType="end"/>
          </w:r>
          <w:r>
            <w:rPr>
              <w:rFonts w:hint="eastAsia" w:eastAsia="宋体"/>
              <w:color w:val="auto"/>
              <w:highlight w:val="none"/>
              <w:lang w:eastAsia="zh-CN"/>
            </w:rPr>
            <w:fldChar w:fldCharType="end"/>
          </w:r>
        </w:p>
        <w:p w14:paraId="264A891D">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_Toc30568 </w:instrText>
          </w:r>
          <w:r>
            <w:rPr>
              <w:rFonts w:hint="eastAsia" w:eastAsia="宋体"/>
              <w:highlight w:val="none"/>
              <w:lang w:eastAsia="zh-CN"/>
            </w:rPr>
            <w:fldChar w:fldCharType="separate"/>
          </w:r>
          <w:r>
            <w:rPr>
              <w:rFonts w:hint="eastAsia" w:ascii="Times New Roman" w:hAnsi="Times New Roman" w:cs="Times New Roman"/>
            </w:rPr>
            <w:t xml:space="preserve">3.1. </w:t>
          </w:r>
          <w:r>
            <w:rPr>
              <w:rFonts w:hint="eastAsia" w:ascii="Times New Roman" w:hAnsi="Times New Roman" w:cs="Times New Roman"/>
              <w:highlight w:val="none"/>
              <w:lang w:eastAsia="zh-CN"/>
            </w:rPr>
            <w:t>现有工程基本情况</w:t>
          </w:r>
          <w:r>
            <w:tab/>
          </w:r>
          <w:r>
            <w:fldChar w:fldCharType="begin"/>
          </w:r>
          <w:r>
            <w:instrText xml:space="preserve"> PAGEREF _Toc30568 \h </w:instrText>
          </w:r>
          <w:r>
            <w:fldChar w:fldCharType="separate"/>
          </w:r>
          <w:r>
            <w:t>40</w:t>
          </w:r>
          <w:r>
            <w:fldChar w:fldCharType="end"/>
          </w:r>
          <w:r>
            <w:rPr>
              <w:rFonts w:hint="eastAsia" w:eastAsia="宋体"/>
              <w:color w:val="auto"/>
              <w:highlight w:val="none"/>
              <w:lang w:eastAsia="zh-CN"/>
            </w:rPr>
            <w:fldChar w:fldCharType="end"/>
          </w:r>
        </w:p>
        <w:p w14:paraId="0A6E85CE">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_Toc8082 </w:instrText>
          </w:r>
          <w:r>
            <w:rPr>
              <w:rFonts w:hint="eastAsia" w:eastAsia="宋体"/>
              <w:highlight w:val="none"/>
              <w:lang w:eastAsia="zh-CN"/>
            </w:rPr>
            <w:fldChar w:fldCharType="separate"/>
          </w:r>
          <w:r>
            <w:rPr>
              <w:rFonts w:hint="eastAsia" w:ascii="Times New Roman" w:hAnsi="Times New Roman" w:eastAsia="宋体" w:cs="Times New Roman"/>
              <w:lang w:eastAsia="zh-CN"/>
            </w:rPr>
            <w:t xml:space="preserve">3.2. </w:t>
          </w:r>
          <w:r>
            <w:rPr>
              <w:rFonts w:hint="eastAsia" w:ascii="Times New Roman" w:hAnsi="Times New Roman" w:eastAsia="宋体" w:cs="Times New Roman"/>
              <w:highlight w:val="none"/>
              <w:lang w:eastAsia="zh-CN"/>
            </w:rPr>
            <w:t>现有工程</w:t>
          </w:r>
          <w:r>
            <w:rPr>
              <w:rFonts w:hint="eastAsia" w:ascii="Times New Roman" w:hAnsi="Times New Roman" w:eastAsia="宋体" w:cs="Times New Roman"/>
              <w:highlight w:val="none"/>
              <w:lang w:val="en-US" w:eastAsia="zh-CN"/>
            </w:rPr>
            <w:t>环保手续办理情况</w:t>
          </w:r>
          <w:r>
            <w:tab/>
          </w:r>
          <w:r>
            <w:fldChar w:fldCharType="begin"/>
          </w:r>
          <w:r>
            <w:instrText xml:space="preserve"> PAGEREF _Toc8082 \h </w:instrText>
          </w:r>
          <w:r>
            <w:fldChar w:fldCharType="separate"/>
          </w:r>
          <w:r>
            <w:t>40</w:t>
          </w:r>
          <w:r>
            <w:fldChar w:fldCharType="end"/>
          </w:r>
          <w:r>
            <w:rPr>
              <w:rFonts w:hint="eastAsia" w:eastAsia="宋体"/>
              <w:color w:val="auto"/>
              <w:highlight w:val="none"/>
              <w:lang w:eastAsia="zh-CN"/>
            </w:rPr>
            <w:fldChar w:fldCharType="end"/>
          </w:r>
        </w:p>
        <w:p w14:paraId="046BD3D0">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_Toc24821 </w:instrText>
          </w:r>
          <w:r>
            <w:rPr>
              <w:rFonts w:hint="eastAsia" w:eastAsia="宋体"/>
              <w:highlight w:val="none"/>
              <w:lang w:eastAsia="zh-CN"/>
            </w:rPr>
            <w:fldChar w:fldCharType="separate"/>
          </w:r>
          <w:r>
            <w:rPr>
              <w:rFonts w:hint="eastAsia"/>
            </w:rPr>
            <w:t xml:space="preserve">3.3. </w:t>
          </w:r>
          <w:r>
            <w:rPr>
              <w:rFonts w:hint="eastAsia"/>
              <w:highlight w:val="none"/>
              <w:lang w:eastAsia="zh-CN"/>
            </w:rPr>
            <w:t>现有工程主要建设内容</w:t>
          </w:r>
          <w:r>
            <w:tab/>
          </w:r>
          <w:r>
            <w:fldChar w:fldCharType="begin"/>
          </w:r>
          <w:r>
            <w:instrText xml:space="preserve"> PAGEREF _Toc24821 \h </w:instrText>
          </w:r>
          <w:r>
            <w:fldChar w:fldCharType="separate"/>
          </w:r>
          <w:r>
            <w:t>40</w:t>
          </w:r>
          <w:r>
            <w:fldChar w:fldCharType="end"/>
          </w:r>
          <w:r>
            <w:rPr>
              <w:rFonts w:hint="eastAsia" w:eastAsia="宋体"/>
              <w:color w:val="auto"/>
              <w:highlight w:val="none"/>
              <w:lang w:eastAsia="zh-CN"/>
            </w:rPr>
            <w:fldChar w:fldCharType="end"/>
          </w:r>
        </w:p>
        <w:p w14:paraId="4C0B75DC">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_Toc4436 </w:instrText>
          </w:r>
          <w:r>
            <w:rPr>
              <w:rFonts w:hint="eastAsia" w:eastAsia="宋体"/>
              <w:highlight w:val="none"/>
              <w:lang w:eastAsia="zh-CN"/>
            </w:rPr>
            <w:fldChar w:fldCharType="separate"/>
          </w:r>
          <w:r>
            <w:rPr>
              <w:rFonts w:hint="eastAsia"/>
            </w:rPr>
            <w:t xml:space="preserve">3.4. </w:t>
          </w:r>
          <w:r>
            <w:rPr>
              <w:rFonts w:hint="default"/>
              <w:highlight w:val="none"/>
            </w:rPr>
            <w:t>现有工程存在的主要环境问题</w:t>
          </w:r>
          <w:r>
            <w:rPr>
              <w:rFonts w:hint="eastAsia"/>
              <w:highlight w:val="none"/>
              <w:lang w:eastAsia="zh-CN"/>
            </w:rPr>
            <w:t>及整改情况</w:t>
          </w:r>
          <w:r>
            <w:tab/>
          </w:r>
          <w:r>
            <w:fldChar w:fldCharType="begin"/>
          </w:r>
          <w:r>
            <w:instrText xml:space="preserve"> PAGEREF _Toc4436 \h </w:instrText>
          </w:r>
          <w:r>
            <w:fldChar w:fldCharType="separate"/>
          </w:r>
          <w:r>
            <w:t>41</w:t>
          </w:r>
          <w:r>
            <w:fldChar w:fldCharType="end"/>
          </w:r>
          <w:r>
            <w:rPr>
              <w:rFonts w:hint="eastAsia" w:eastAsia="宋体"/>
              <w:color w:val="auto"/>
              <w:highlight w:val="none"/>
              <w:lang w:eastAsia="zh-CN"/>
            </w:rPr>
            <w:fldChar w:fldCharType="end"/>
          </w:r>
        </w:p>
        <w:p w14:paraId="1E6BBB4C">
          <w:pPr>
            <w:pStyle w:val="14"/>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_Toc31760 </w:instrText>
          </w:r>
          <w:r>
            <w:rPr>
              <w:rFonts w:hint="eastAsia" w:eastAsia="宋体"/>
              <w:highlight w:val="none"/>
              <w:lang w:eastAsia="zh-CN"/>
            </w:rPr>
            <w:fldChar w:fldCharType="separate"/>
          </w:r>
          <w:r>
            <w:rPr>
              <w:rFonts w:hint="eastAsia" w:ascii="Times New Roman" w:hAnsi="Times New Roman" w:cs="Times New Roman"/>
            </w:rPr>
            <w:t xml:space="preserve">第四章 </w:t>
          </w:r>
          <w:r>
            <w:rPr>
              <w:rFonts w:hint="eastAsia" w:ascii="Times New Roman" w:hAnsi="Times New Roman" w:cs="Times New Roman"/>
              <w:highlight w:val="none"/>
              <w:lang w:eastAsia="zh-CN"/>
            </w:rPr>
            <w:t>拟建工程概况及工程环境影响分析</w:t>
          </w:r>
          <w:r>
            <w:tab/>
          </w:r>
          <w:r>
            <w:fldChar w:fldCharType="begin"/>
          </w:r>
          <w:r>
            <w:instrText xml:space="preserve"> PAGEREF _Toc31760 \h </w:instrText>
          </w:r>
          <w:r>
            <w:fldChar w:fldCharType="separate"/>
          </w:r>
          <w:r>
            <w:t>43</w:t>
          </w:r>
          <w:r>
            <w:fldChar w:fldCharType="end"/>
          </w:r>
          <w:r>
            <w:rPr>
              <w:rFonts w:hint="eastAsia" w:eastAsia="宋体"/>
              <w:color w:val="auto"/>
              <w:highlight w:val="none"/>
              <w:lang w:eastAsia="zh-CN"/>
            </w:rPr>
            <w:fldChar w:fldCharType="end"/>
          </w:r>
        </w:p>
        <w:p w14:paraId="16C10232">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_Toc31744 </w:instrText>
          </w:r>
          <w:r>
            <w:rPr>
              <w:rFonts w:hint="eastAsia" w:eastAsia="宋体"/>
              <w:highlight w:val="none"/>
              <w:lang w:eastAsia="zh-CN"/>
            </w:rPr>
            <w:fldChar w:fldCharType="separate"/>
          </w:r>
          <w:r>
            <w:rPr>
              <w:rFonts w:hint="eastAsia" w:ascii="Times New Roman" w:hAnsi="Times New Roman" w:cs="Times New Roman"/>
            </w:rPr>
            <w:t xml:space="preserve">4.1. </w:t>
          </w:r>
          <w:r>
            <w:rPr>
              <w:rFonts w:hint="eastAsia" w:ascii="Times New Roman" w:hAnsi="Times New Roman" w:cs="Times New Roman"/>
              <w:highlight w:val="none"/>
              <w:lang w:eastAsia="zh-CN"/>
            </w:rPr>
            <w:t>项目地理位置</w:t>
          </w:r>
          <w:r>
            <w:tab/>
          </w:r>
          <w:r>
            <w:fldChar w:fldCharType="begin"/>
          </w:r>
          <w:r>
            <w:instrText xml:space="preserve"> PAGEREF _Toc31744 \h </w:instrText>
          </w:r>
          <w:r>
            <w:fldChar w:fldCharType="separate"/>
          </w:r>
          <w:r>
            <w:t>43</w:t>
          </w:r>
          <w:r>
            <w:fldChar w:fldCharType="end"/>
          </w:r>
          <w:r>
            <w:rPr>
              <w:rFonts w:hint="eastAsia" w:eastAsia="宋体"/>
              <w:color w:val="auto"/>
              <w:highlight w:val="none"/>
              <w:lang w:eastAsia="zh-CN"/>
            </w:rPr>
            <w:fldChar w:fldCharType="end"/>
          </w:r>
        </w:p>
        <w:p w14:paraId="79490A5D">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_Toc24756 </w:instrText>
          </w:r>
          <w:r>
            <w:rPr>
              <w:rFonts w:hint="eastAsia" w:eastAsia="宋体"/>
              <w:highlight w:val="none"/>
              <w:lang w:eastAsia="zh-CN"/>
            </w:rPr>
            <w:fldChar w:fldCharType="separate"/>
          </w:r>
          <w:r>
            <w:rPr>
              <w:rFonts w:hint="eastAsia" w:ascii="Times New Roman" w:hAnsi="Times New Roman" w:cs="Times New Roman"/>
            </w:rPr>
            <w:t xml:space="preserve">4.2. </w:t>
          </w:r>
          <w:r>
            <w:rPr>
              <w:rFonts w:hint="eastAsia" w:cs="Times New Roman"/>
              <w:highlight w:val="none"/>
              <w:lang w:eastAsia="zh-CN"/>
            </w:rPr>
            <w:t>项目所在区域风电开发状况</w:t>
          </w:r>
          <w:r>
            <w:tab/>
          </w:r>
          <w:r>
            <w:fldChar w:fldCharType="begin"/>
          </w:r>
          <w:r>
            <w:instrText xml:space="preserve"> PAGEREF _Toc24756 \h </w:instrText>
          </w:r>
          <w:r>
            <w:fldChar w:fldCharType="separate"/>
          </w:r>
          <w:r>
            <w:t>45</w:t>
          </w:r>
          <w:r>
            <w:fldChar w:fldCharType="end"/>
          </w:r>
          <w:r>
            <w:rPr>
              <w:rFonts w:hint="eastAsia" w:eastAsia="宋体"/>
              <w:color w:val="auto"/>
              <w:highlight w:val="none"/>
              <w:lang w:eastAsia="zh-CN"/>
            </w:rPr>
            <w:fldChar w:fldCharType="end"/>
          </w:r>
        </w:p>
        <w:p w14:paraId="5864B469">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_Toc22079 </w:instrText>
          </w:r>
          <w:r>
            <w:rPr>
              <w:rFonts w:hint="eastAsia" w:eastAsia="宋体"/>
              <w:highlight w:val="none"/>
              <w:lang w:eastAsia="zh-CN"/>
            </w:rPr>
            <w:fldChar w:fldCharType="separate"/>
          </w:r>
          <w:r>
            <w:rPr>
              <w:rFonts w:hint="eastAsia" w:ascii="Times New Roman" w:hAnsi="Times New Roman" w:cs="Times New Roman"/>
            </w:rPr>
            <w:t xml:space="preserve">4.3. </w:t>
          </w:r>
          <w:r>
            <w:rPr>
              <w:rFonts w:hint="eastAsia" w:ascii="Times New Roman" w:hAnsi="Times New Roman" w:cs="Times New Roman"/>
              <w:highlight w:val="none"/>
              <w:lang w:val="en-US" w:eastAsia="zh-CN"/>
            </w:rPr>
            <w:t>项目基本情况介绍</w:t>
          </w:r>
          <w:r>
            <w:tab/>
          </w:r>
          <w:r>
            <w:fldChar w:fldCharType="begin"/>
          </w:r>
          <w:r>
            <w:instrText xml:space="preserve"> PAGEREF _Toc22079 \h </w:instrText>
          </w:r>
          <w:r>
            <w:fldChar w:fldCharType="separate"/>
          </w:r>
          <w:r>
            <w:t>45</w:t>
          </w:r>
          <w:r>
            <w:fldChar w:fldCharType="end"/>
          </w:r>
          <w:r>
            <w:rPr>
              <w:rFonts w:hint="eastAsia" w:eastAsia="宋体"/>
              <w:color w:val="auto"/>
              <w:highlight w:val="none"/>
              <w:lang w:eastAsia="zh-CN"/>
            </w:rPr>
            <w:fldChar w:fldCharType="end"/>
          </w:r>
        </w:p>
        <w:p w14:paraId="0F3FA0B6">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_Toc22295 </w:instrText>
          </w:r>
          <w:r>
            <w:rPr>
              <w:rFonts w:hint="eastAsia" w:eastAsia="宋体"/>
              <w:highlight w:val="none"/>
              <w:lang w:eastAsia="zh-CN"/>
            </w:rPr>
            <w:fldChar w:fldCharType="separate"/>
          </w:r>
          <w:r>
            <w:rPr>
              <w:rFonts w:hint="eastAsia" w:ascii="Times New Roman" w:hAnsi="Times New Roman" w:cs="Times New Roman"/>
            </w:rPr>
            <w:t xml:space="preserve">4.4. </w:t>
          </w:r>
          <w:r>
            <w:rPr>
              <w:rFonts w:hint="eastAsia" w:ascii="Times New Roman" w:hAnsi="Times New Roman" w:cs="Times New Roman"/>
              <w:highlight w:val="none"/>
              <w:lang w:val="en-US" w:eastAsia="zh-CN"/>
            </w:rPr>
            <w:t>项目建设规模及主要技术指标</w:t>
          </w:r>
          <w:r>
            <w:tab/>
          </w:r>
          <w:r>
            <w:fldChar w:fldCharType="begin"/>
          </w:r>
          <w:r>
            <w:instrText xml:space="preserve"> PAGEREF _Toc22295 \h </w:instrText>
          </w:r>
          <w:r>
            <w:fldChar w:fldCharType="separate"/>
          </w:r>
          <w:r>
            <w:t>48</w:t>
          </w:r>
          <w:r>
            <w:fldChar w:fldCharType="end"/>
          </w:r>
          <w:r>
            <w:rPr>
              <w:rFonts w:hint="eastAsia" w:eastAsia="宋体"/>
              <w:color w:val="auto"/>
              <w:highlight w:val="none"/>
              <w:lang w:eastAsia="zh-CN"/>
            </w:rPr>
            <w:fldChar w:fldCharType="end"/>
          </w:r>
        </w:p>
        <w:p w14:paraId="321C5BB6">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_Toc2777 </w:instrText>
          </w:r>
          <w:r>
            <w:rPr>
              <w:rFonts w:hint="eastAsia" w:eastAsia="宋体"/>
              <w:highlight w:val="none"/>
              <w:lang w:eastAsia="zh-CN"/>
            </w:rPr>
            <w:fldChar w:fldCharType="separate"/>
          </w:r>
          <w:r>
            <w:rPr>
              <w:rFonts w:hint="eastAsia" w:ascii="Times New Roman" w:hAnsi="Times New Roman" w:cs="Times New Roman"/>
            </w:rPr>
            <w:t xml:space="preserve">4.5. </w:t>
          </w:r>
          <w:r>
            <w:rPr>
              <w:rFonts w:hint="eastAsia" w:ascii="Times New Roman" w:hAnsi="Times New Roman" w:cs="Times New Roman"/>
              <w:highlight w:val="none"/>
              <w:lang w:val="en-US" w:eastAsia="zh-CN"/>
            </w:rPr>
            <w:t>工程环境影响</w:t>
          </w:r>
          <w:r>
            <w:rPr>
              <w:rFonts w:hint="eastAsia" w:cs="Times New Roman"/>
              <w:highlight w:val="none"/>
              <w:lang w:val="en-US" w:eastAsia="zh-CN"/>
            </w:rPr>
            <w:t>及污染源强</w:t>
          </w:r>
          <w:r>
            <w:rPr>
              <w:rFonts w:hint="eastAsia" w:ascii="Times New Roman" w:hAnsi="Times New Roman" w:cs="Times New Roman"/>
              <w:highlight w:val="none"/>
              <w:lang w:val="en-US" w:eastAsia="zh-CN"/>
            </w:rPr>
            <w:t>分析</w:t>
          </w:r>
          <w:r>
            <w:tab/>
          </w:r>
          <w:r>
            <w:fldChar w:fldCharType="begin"/>
          </w:r>
          <w:r>
            <w:instrText xml:space="preserve"> PAGEREF _Toc2777 \h </w:instrText>
          </w:r>
          <w:r>
            <w:fldChar w:fldCharType="separate"/>
          </w:r>
          <w:r>
            <w:t>66</w:t>
          </w:r>
          <w:r>
            <w:fldChar w:fldCharType="end"/>
          </w:r>
          <w:r>
            <w:rPr>
              <w:rFonts w:hint="eastAsia" w:eastAsia="宋体"/>
              <w:color w:val="auto"/>
              <w:highlight w:val="none"/>
              <w:lang w:eastAsia="zh-CN"/>
            </w:rPr>
            <w:fldChar w:fldCharType="end"/>
          </w:r>
        </w:p>
        <w:p w14:paraId="351157E7">
          <w:pPr>
            <w:pStyle w:val="14"/>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_Toc31904 </w:instrText>
          </w:r>
          <w:r>
            <w:rPr>
              <w:rFonts w:hint="eastAsia" w:eastAsia="宋体"/>
              <w:highlight w:val="none"/>
              <w:lang w:eastAsia="zh-CN"/>
            </w:rPr>
            <w:fldChar w:fldCharType="separate"/>
          </w:r>
          <w:r>
            <w:rPr>
              <w:rFonts w:hint="eastAsia" w:ascii="Times New Roman" w:hAnsi="Times New Roman" w:cs="Times New Roman"/>
            </w:rPr>
            <w:t xml:space="preserve">第五章 </w:t>
          </w:r>
          <w:r>
            <w:rPr>
              <w:rFonts w:hint="eastAsia" w:ascii="Times New Roman" w:hAnsi="Times New Roman" w:cs="Times New Roman"/>
              <w:highlight w:val="none"/>
              <w:lang w:eastAsia="zh-CN"/>
            </w:rPr>
            <w:t>环境现状调查与评价</w:t>
          </w:r>
          <w:r>
            <w:tab/>
          </w:r>
          <w:r>
            <w:fldChar w:fldCharType="begin"/>
          </w:r>
          <w:r>
            <w:instrText xml:space="preserve"> PAGEREF _Toc31904 \h </w:instrText>
          </w:r>
          <w:r>
            <w:fldChar w:fldCharType="separate"/>
          </w:r>
          <w:r>
            <w:t>73</w:t>
          </w:r>
          <w:r>
            <w:fldChar w:fldCharType="end"/>
          </w:r>
          <w:r>
            <w:rPr>
              <w:rFonts w:hint="eastAsia" w:eastAsia="宋体"/>
              <w:color w:val="auto"/>
              <w:highlight w:val="none"/>
              <w:lang w:eastAsia="zh-CN"/>
            </w:rPr>
            <w:fldChar w:fldCharType="end"/>
          </w:r>
        </w:p>
        <w:p w14:paraId="5D8FF5AA">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_Toc12369 </w:instrText>
          </w:r>
          <w:r>
            <w:rPr>
              <w:rFonts w:hint="eastAsia" w:eastAsia="宋体"/>
              <w:highlight w:val="none"/>
              <w:lang w:eastAsia="zh-CN"/>
            </w:rPr>
            <w:fldChar w:fldCharType="separate"/>
          </w:r>
          <w:r>
            <w:rPr>
              <w:rFonts w:hint="eastAsia" w:ascii="Times New Roman" w:hAnsi="Times New Roman" w:cs="Times New Roman"/>
            </w:rPr>
            <w:t xml:space="preserve">5.1. </w:t>
          </w:r>
          <w:r>
            <w:rPr>
              <w:rFonts w:hint="eastAsia" w:ascii="Times New Roman" w:hAnsi="Times New Roman" w:cs="Times New Roman"/>
              <w:highlight w:val="none"/>
              <w:lang w:val="en-US" w:eastAsia="zh-CN"/>
            </w:rPr>
            <w:t>地理位置</w:t>
          </w:r>
          <w:r>
            <w:tab/>
          </w:r>
          <w:r>
            <w:fldChar w:fldCharType="begin"/>
          </w:r>
          <w:r>
            <w:instrText xml:space="preserve"> PAGEREF _Toc12369 \h </w:instrText>
          </w:r>
          <w:r>
            <w:fldChar w:fldCharType="separate"/>
          </w:r>
          <w:r>
            <w:t>73</w:t>
          </w:r>
          <w:r>
            <w:fldChar w:fldCharType="end"/>
          </w:r>
          <w:r>
            <w:rPr>
              <w:rFonts w:hint="eastAsia" w:eastAsia="宋体"/>
              <w:color w:val="auto"/>
              <w:highlight w:val="none"/>
              <w:lang w:eastAsia="zh-CN"/>
            </w:rPr>
            <w:fldChar w:fldCharType="end"/>
          </w:r>
        </w:p>
        <w:p w14:paraId="0D811A20">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_Toc10656 </w:instrText>
          </w:r>
          <w:r>
            <w:rPr>
              <w:rFonts w:hint="eastAsia" w:eastAsia="宋体"/>
              <w:highlight w:val="none"/>
              <w:lang w:eastAsia="zh-CN"/>
            </w:rPr>
            <w:fldChar w:fldCharType="separate"/>
          </w:r>
          <w:r>
            <w:rPr>
              <w:rFonts w:hint="eastAsia" w:ascii="Times New Roman" w:hAnsi="Times New Roman" w:cs="Times New Roman"/>
            </w:rPr>
            <w:t xml:space="preserve">5.2. </w:t>
          </w:r>
          <w:r>
            <w:rPr>
              <w:rFonts w:hint="eastAsia" w:ascii="Times New Roman" w:hAnsi="Times New Roman" w:cs="Times New Roman"/>
              <w:highlight w:val="none"/>
              <w:lang w:eastAsia="zh-CN"/>
            </w:rPr>
            <w:t>自然环境概况</w:t>
          </w:r>
          <w:r>
            <w:tab/>
          </w:r>
          <w:r>
            <w:fldChar w:fldCharType="begin"/>
          </w:r>
          <w:r>
            <w:instrText xml:space="preserve"> PAGEREF _Toc10656 \h </w:instrText>
          </w:r>
          <w:r>
            <w:fldChar w:fldCharType="separate"/>
          </w:r>
          <w:r>
            <w:t>73</w:t>
          </w:r>
          <w:r>
            <w:fldChar w:fldCharType="end"/>
          </w:r>
          <w:r>
            <w:rPr>
              <w:rFonts w:hint="eastAsia" w:eastAsia="宋体"/>
              <w:color w:val="auto"/>
              <w:highlight w:val="none"/>
              <w:lang w:eastAsia="zh-CN"/>
            </w:rPr>
            <w:fldChar w:fldCharType="end"/>
          </w:r>
        </w:p>
        <w:p w14:paraId="3BA9E255">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_Toc12864 </w:instrText>
          </w:r>
          <w:r>
            <w:rPr>
              <w:rFonts w:hint="eastAsia" w:eastAsia="宋体"/>
              <w:highlight w:val="none"/>
              <w:lang w:eastAsia="zh-CN"/>
            </w:rPr>
            <w:fldChar w:fldCharType="separate"/>
          </w:r>
          <w:r>
            <w:rPr>
              <w:rFonts w:hint="eastAsia" w:ascii="Times New Roman" w:hAnsi="Times New Roman" w:cs="Times New Roman"/>
            </w:rPr>
            <w:t xml:space="preserve">5.3. </w:t>
          </w:r>
          <w:r>
            <w:rPr>
              <w:rFonts w:hint="eastAsia" w:ascii="Times New Roman" w:hAnsi="Times New Roman" w:cs="Times New Roman"/>
              <w:highlight w:val="none"/>
              <w:lang w:val="en-US" w:eastAsia="zh-CN"/>
            </w:rPr>
            <w:t>生态环境现状调查与评价</w:t>
          </w:r>
          <w:r>
            <w:tab/>
          </w:r>
          <w:r>
            <w:fldChar w:fldCharType="begin"/>
          </w:r>
          <w:r>
            <w:instrText xml:space="preserve"> PAGEREF _Toc12864 \h </w:instrText>
          </w:r>
          <w:r>
            <w:fldChar w:fldCharType="separate"/>
          </w:r>
          <w:r>
            <w:t>76</w:t>
          </w:r>
          <w:r>
            <w:fldChar w:fldCharType="end"/>
          </w:r>
          <w:r>
            <w:rPr>
              <w:rFonts w:hint="eastAsia" w:eastAsia="宋体"/>
              <w:color w:val="auto"/>
              <w:highlight w:val="none"/>
              <w:lang w:eastAsia="zh-CN"/>
            </w:rPr>
            <w:fldChar w:fldCharType="end"/>
          </w:r>
        </w:p>
        <w:p w14:paraId="04C05351">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_Toc26023 </w:instrText>
          </w:r>
          <w:r>
            <w:rPr>
              <w:rFonts w:hint="eastAsia" w:eastAsia="宋体"/>
              <w:highlight w:val="none"/>
              <w:lang w:eastAsia="zh-CN"/>
            </w:rPr>
            <w:fldChar w:fldCharType="separate"/>
          </w:r>
          <w:r>
            <w:rPr>
              <w:rFonts w:hint="eastAsia" w:ascii="Times New Roman" w:hAnsi="Times New Roman" w:cs="Times New Roman"/>
            </w:rPr>
            <w:t xml:space="preserve">5.4. </w:t>
          </w:r>
          <w:r>
            <w:rPr>
              <w:rFonts w:hint="eastAsia" w:cs="Times New Roman"/>
              <w:highlight w:val="none"/>
              <w:lang w:val="en-US" w:eastAsia="zh-CN"/>
            </w:rPr>
            <w:t>地表水</w:t>
          </w:r>
          <w:r>
            <w:rPr>
              <w:rFonts w:hint="eastAsia" w:ascii="Times New Roman" w:hAnsi="Times New Roman" w:cs="Times New Roman"/>
              <w:highlight w:val="none"/>
              <w:lang w:val="en-US" w:eastAsia="zh-CN"/>
            </w:rPr>
            <w:t>环境现状调查与评价</w:t>
          </w:r>
          <w:r>
            <w:tab/>
          </w:r>
          <w:r>
            <w:fldChar w:fldCharType="begin"/>
          </w:r>
          <w:r>
            <w:instrText xml:space="preserve"> PAGEREF _Toc26023 \h </w:instrText>
          </w:r>
          <w:r>
            <w:fldChar w:fldCharType="separate"/>
          </w:r>
          <w:r>
            <w:t>116</w:t>
          </w:r>
          <w:r>
            <w:fldChar w:fldCharType="end"/>
          </w:r>
          <w:r>
            <w:rPr>
              <w:rFonts w:hint="eastAsia" w:eastAsia="宋体"/>
              <w:color w:val="auto"/>
              <w:highlight w:val="none"/>
              <w:lang w:eastAsia="zh-CN"/>
            </w:rPr>
            <w:fldChar w:fldCharType="end"/>
          </w:r>
        </w:p>
        <w:p w14:paraId="0F0C3995">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_Toc8911 </w:instrText>
          </w:r>
          <w:r>
            <w:rPr>
              <w:rFonts w:hint="eastAsia" w:eastAsia="宋体"/>
              <w:highlight w:val="none"/>
              <w:lang w:eastAsia="zh-CN"/>
            </w:rPr>
            <w:fldChar w:fldCharType="separate"/>
          </w:r>
          <w:r>
            <w:rPr>
              <w:rFonts w:hint="eastAsia" w:ascii="Times New Roman" w:hAnsi="Times New Roman" w:cs="Times New Roman"/>
            </w:rPr>
            <w:t xml:space="preserve">5.5. </w:t>
          </w:r>
          <w:r>
            <w:rPr>
              <w:rFonts w:hint="eastAsia" w:cs="Times New Roman"/>
              <w:highlight w:val="none"/>
              <w:lang w:val="en-US" w:eastAsia="zh-CN"/>
            </w:rPr>
            <w:t>声</w:t>
          </w:r>
          <w:r>
            <w:rPr>
              <w:rFonts w:hint="eastAsia" w:ascii="Times New Roman" w:hAnsi="Times New Roman" w:cs="Times New Roman"/>
              <w:highlight w:val="none"/>
              <w:lang w:val="en-US" w:eastAsia="zh-CN"/>
            </w:rPr>
            <w:t>环境现状调查与评价</w:t>
          </w:r>
          <w:r>
            <w:tab/>
          </w:r>
          <w:r>
            <w:fldChar w:fldCharType="begin"/>
          </w:r>
          <w:r>
            <w:instrText xml:space="preserve"> PAGEREF _Toc8911 \h </w:instrText>
          </w:r>
          <w:r>
            <w:fldChar w:fldCharType="separate"/>
          </w:r>
          <w:r>
            <w:t>119</w:t>
          </w:r>
          <w:r>
            <w:fldChar w:fldCharType="end"/>
          </w:r>
          <w:r>
            <w:rPr>
              <w:rFonts w:hint="eastAsia" w:eastAsia="宋体"/>
              <w:color w:val="auto"/>
              <w:highlight w:val="none"/>
              <w:lang w:eastAsia="zh-CN"/>
            </w:rPr>
            <w:fldChar w:fldCharType="end"/>
          </w:r>
        </w:p>
        <w:p w14:paraId="23A647A4">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_Toc26541 </w:instrText>
          </w:r>
          <w:r>
            <w:rPr>
              <w:rFonts w:hint="eastAsia" w:eastAsia="宋体"/>
              <w:highlight w:val="none"/>
              <w:lang w:eastAsia="zh-CN"/>
            </w:rPr>
            <w:fldChar w:fldCharType="separate"/>
          </w:r>
          <w:r>
            <w:rPr>
              <w:rFonts w:hint="eastAsia" w:ascii="Times New Roman" w:hAnsi="Times New Roman" w:cs="Times New Roman"/>
            </w:rPr>
            <w:t xml:space="preserve">5.6. </w:t>
          </w:r>
          <w:r>
            <w:rPr>
              <w:rFonts w:hint="eastAsia" w:cs="Times New Roman"/>
              <w:highlight w:val="none"/>
              <w:lang w:val="en-US" w:eastAsia="zh-CN"/>
            </w:rPr>
            <w:t>大气环境</w:t>
          </w:r>
          <w:r>
            <w:rPr>
              <w:rFonts w:hint="eastAsia" w:ascii="Times New Roman" w:hAnsi="Times New Roman" w:cs="Times New Roman"/>
              <w:highlight w:val="none"/>
              <w:lang w:val="en-US" w:eastAsia="zh-CN"/>
            </w:rPr>
            <w:t>现状调查与评价</w:t>
          </w:r>
          <w:r>
            <w:tab/>
          </w:r>
          <w:r>
            <w:fldChar w:fldCharType="begin"/>
          </w:r>
          <w:r>
            <w:instrText xml:space="preserve"> PAGEREF _Toc26541 \h </w:instrText>
          </w:r>
          <w:r>
            <w:fldChar w:fldCharType="separate"/>
          </w:r>
          <w:r>
            <w:t>120</w:t>
          </w:r>
          <w:r>
            <w:fldChar w:fldCharType="end"/>
          </w:r>
          <w:r>
            <w:rPr>
              <w:rFonts w:hint="eastAsia" w:eastAsia="宋体"/>
              <w:color w:val="auto"/>
              <w:highlight w:val="none"/>
              <w:lang w:eastAsia="zh-CN"/>
            </w:rPr>
            <w:fldChar w:fldCharType="end"/>
          </w:r>
        </w:p>
        <w:p w14:paraId="6F04A5A9">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_Toc23746 </w:instrText>
          </w:r>
          <w:r>
            <w:rPr>
              <w:rFonts w:hint="eastAsia" w:eastAsia="宋体"/>
              <w:highlight w:val="none"/>
              <w:lang w:eastAsia="zh-CN"/>
            </w:rPr>
            <w:fldChar w:fldCharType="separate"/>
          </w:r>
          <w:r>
            <w:rPr>
              <w:rFonts w:hint="eastAsia" w:ascii="Times New Roman" w:hAnsi="Times New Roman" w:cs="Times New Roman"/>
            </w:rPr>
            <w:t xml:space="preserve">5.7. </w:t>
          </w:r>
          <w:r>
            <w:rPr>
              <w:rFonts w:hint="eastAsia" w:cs="Times New Roman"/>
              <w:highlight w:val="none"/>
              <w:lang w:val="en-US" w:eastAsia="zh-CN"/>
            </w:rPr>
            <w:t>电磁环境</w:t>
          </w:r>
          <w:r>
            <w:rPr>
              <w:rFonts w:hint="eastAsia" w:ascii="Times New Roman" w:hAnsi="Times New Roman" w:cs="Times New Roman"/>
              <w:highlight w:val="none"/>
              <w:lang w:val="en-US" w:eastAsia="zh-CN"/>
            </w:rPr>
            <w:t>现状调查与评价</w:t>
          </w:r>
          <w:r>
            <w:tab/>
          </w:r>
          <w:r>
            <w:fldChar w:fldCharType="begin"/>
          </w:r>
          <w:r>
            <w:instrText xml:space="preserve"> PAGEREF _Toc23746 \h </w:instrText>
          </w:r>
          <w:r>
            <w:fldChar w:fldCharType="separate"/>
          </w:r>
          <w:r>
            <w:t>121</w:t>
          </w:r>
          <w:r>
            <w:fldChar w:fldCharType="end"/>
          </w:r>
          <w:r>
            <w:rPr>
              <w:rFonts w:hint="eastAsia" w:eastAsia="宋体"/>
              <w:color w:val="auto"/>
              <w:highlight w:val="none"/>
              <w:lang w:eastAsia="zh-CN"/>
            </w:rPr>
            <w:fldChar w:fldCharType="end"/>
          </w:r>
        </w:p>
        <w:p w14:paraId="6909888D">
          <w:pPr>
            <w:pStyle w:val="14"/>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_Toc18540 </w:instrText>
          </w:r>
          <w:r>
            <w:rPr>
              <w:rFonts w:hint="eastAsia" w:eastAsia="宋体"/>
              <w:highlight w:val="none"/>
              <w:lang w:eastAsia="zh-CN"/>
            </w:rPr>
            <w:fldChar w:fldCharType="separate"/>
          </w:r>
          <w:r>
            <w:rPr>
              <w:rFonts w:hint="eastAsia" w:ascii="Times New Roman" w:hAnsi="Times New Roman" w:cs="Times New Roman"/>
            </w:rPr>
            <w:t xml:space="preserve">第六章 </w:t>
          </w:r>
          <w:r>
            <w:rPr>
              <w:rFonts w:hint="eastAsia" w:ascii="Times New Roman" w:hAnsi="Times New Roman" w:cs="Times New Roman"/>
              <w:highlight w:val="none"/>
              <w:lang w:eastAsia="zh-CN"/>
            </w:rPr>
            <w:t>环境影响预测与评价</w:t>
          </w:r>
          <w:r>
            <w:tab/>
          </w:r>
          <w:r>
            <w:fldChar w:fldCharType="begin"/>
          </w:r>
          <w:r>
            <w:instrText xml:space="preserve"> PAGEREF _Toc18540 \h </w:instrText>
          </w:r>
          <w:r>
            <w:fldChar w:fldCharType="separate"/>
          </w:r>
          <w:r>
            <w:t>123</w:t>
          </w:r>
          <w:r>
            <w:fldChar w:fldCharType="end"/>
          </w:r>
          <w:r>
            <w:rPr>
              <w:rFonts w:hint="eastAsia" w:eastAsia="宋体"/>
              <w:color w:val="auto"/>
              <w:highlight w:val="none"/>
              <w:lang w:eastAsia="zh-CN"/>
            </w:rPr>
            <w:fldChar w:fldCharType="end"/>
          </w:r>
        </w:p>
        <w:p w14:paraId="1C3EBF1E">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_Toc8928 </w:instrText>
          </w:r>
          <w:r>
            <w:rPr>
              <w:rFonts w:hint="eastAsia" w:eastAsia="宋体"/>
              <w:highlight w:val="none"/>
              <w:lang w:eastAsia="zh-CN"/>
            </w:rPr>
            <w:fldChar w:fldCharType="separate"/>
          </w:r>
          <w:r>
            <w:rPr>
              <w:rFonts w:hint="eastAsia" w:ascii="Times New Roman" w:hAnsi="Times New Roman" w:cs="Times New Roman"/>
            </w:rPr>
            <w:t xml:space="preserve">6.1. </w:t>
          </w:r>
          <w:r>
            <w:rPr>
              <w:rFonts w:hint="eastAsia" w:cs="Times New Roman"/>
              <w:highlight w:val="none"/>
              <w:lang w:eastAsia="zh-CN"/>
            </w:rPr>
            <w:t>施工期环境影响预测与评价</w:t>
          </w:r>
          <w:r>
            <w:tab/>
          </w:r>
          <w:r>
            <w:fldChar w:fldCharType="begin"/>
          </w:r>
          <w:r>
            <w:instrText xml:space="preserve"> PAGEREF _Toc8928 \h </w:instrText>
          </w:r>
          <w:r>
            <w:fldChar w:fldCharType="separate"/>
          </w:r>
          <w:r>
            <w:t>123</w:t>
          </w:r>
          <w:r>
            <w:fldChar w:fldCharType="end"/>
          </w:r>
          <w:r>
            <w:rPr>
              <w:rFonts w:hint="eastAsia" w:eastAsia="宋体"/>
              <w:color w:val="auto"/>
              <w:highlight w:val="none"/>
              <w:lang w:eastAsia="zh-CN"/>
            </w:rPr>
            <w:fldChar w:fldCharType="end"/>
          </w:r>
        </w:p>
        <w:p w14:paraId="73DFC5DD">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_Toc156 </w:instrText>
          </w:r>
          <w:r>
            <w:rPr>
              <w:rFonts w:hint="eastAsia" w:eastAsia="宋体"/>
              <w:highlight w:val="none"/>
              <w:lang w:eastAsia="zh-CN"/>
            </w:rPr>
            <w:fldChar w:fldCharType="separate"/>
          </w:r>
          <w:r>
            <w:rPr>
              <w:rFonts w:hint="eastAsia" w:ascii="Times New Roman" w:hAnsi="Times New Roman" w:cs="Times New Roman"/>
            </w:rPr>
            <w:t xml:space="preserve">6.2. </w:t>
          </w:r>
          <w:r>
            <w:rPr>
              <w:rFonts w:hint="eastAsia" w:cs="Times New Roman"/>
              <w:highlight w:val="none"/>
              <w:lang w:eastAsia="zh-CN"/>
            </w:rPr>
            <w:t>营运期环境影响预测与评价</w:t>
          </w:r>
          <w:r>
            <w:tab/>
          </w:r>
          <w:r>
            <w:fldChar w:fldCharType="begin"/>
          </w:r>
          <w:r>
            <w:instrText xml:space="preserve"> PAGEREF _Toc156 \h </w:instrText>
          </w:r>
          <w:r>
            <w:fldChar w:fldCharType="separate"/>
          </w:r>
          <w:r>
            <w:t>141</w:t>
          </w:r>
          <w:r>
            <w:fldChar w:fldCharType="end"/>
          </w:r>
          <w:r>
            <w:rPr>
              <w:rFonts w:hint="eastAsia" w:eastAsia="宋体"/>
              <w:color w:val="auto"/>
              <w:highlight w:val="none"/>
              <w:lang w:eastAsia="zh-CN"/>
            </w:rPr>
            <w:fldChar w:fldCharType="end"/>
          </w:r>
        </w:p>
        <w:p w14:paraId="41589F7A">
          <w:pPr>
            <w:pStyle w:val="14"/>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_Toc4048 </w:instrText>
          </w:r>
          <w:r>
            <w:rPr>
              <w:rFonts w:hint="eastAsia" w:eastAsia="宋体"/>
              <w:highlight w:val="none"/>
              <w:lang w:eastAsia="zh-CN"/>
            </w:rPr>
            <w:fldChar w:fldCharType="separate"/>
          </w:r>
          <w:r>
            <w:rPr>
              <w:rFonts w:hint="eastAsia" w:ascii="Times New Roman" w:hAnsi="Times New Roman" w:cs="Times New Roman"/>
            </w:rPr>
            <w:t xml:space="preserve">第七章 </w:t>
          </w:r>
          <w:r>
            <w:rPr>
              <w:rFonts w:hint="eastAsia" w:ascii="Times New Roman" w:hAnsi="Times New Roman" w:cs="Times New Roman"/>
              <w:highlight w:val="none"/>
              <w:lang w:eastAsia="zh-CN"/>
            </w:rPr>
            <w:t>生态敏感区环境影响评价</w:t>
          </w:r>
          <w:r>
            <w:tab/>
          </w:r>
          <w:r>
            <w:fldChar w:fldCharType="begin"/>
          </w:r>
          <w:r>
            <w:instrText xml:space="preserve"> PAGEREF _Toc4048 \h </w:instrText>
          </w:r>
          <w:r>
            <w:fldChar w:fldCharType="separate"/>
          </w:r>
          <w:r>
            <w:t>160</w:t>
          </w:r>
          <w:r>
            <w:fldChar w:fldCharType="end"/>
          </w:r>
          <w:r>
            <w:rPr>
              <w:rFonts w:hint="eastAsia" w:eastAsia="宋体"/>
              <w:color w:val="auto"/>
              <w:highlight w:val="none"/>
              <w:lang w:eastAsia="zh-CN"/>
            </w:rPr>
            <w:fldChar w:fldCharType="end"/>
          </w:r>
        </w:p>
        <w:p w14:paraId="4E527247">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_Toc23020 </w:instrText>
          </w:r>
          <w:r>
            <w:rPr>
              <w:rFonts w:hint="eastAsia" w:eastAsia="宋体"/>
              <w:highlight w:val="none"/>
              <w:lang w:eastAsia="zh-CN"/>
            </w:rPr>
            <w:fldChar w:fldCharType="separate"/>
          </w:r>
          <w:r>
            <w:rPr>
              <w:rFonts w:hint="eastAsia" w:ascii="Times New Roman" w:hAnsi="Times New Roman" w:cs="Times New Roman"/>
            </w:rPr>
            <w:t xml:space="preserve">7.1. </w:t>
          </w:r>
          <w:r>
            <w:rPr>
              <w:rFonts w:hint="eastAsia" w:cs="Times New Roman"/>
              <w:highlight w:val="none"/>
              <w:lang w:eastAsia="zh-CN"/>
            </w:rPr>
            <w:t>衡阳三阳自然保护区基本情况</w:t>
          </w:r>
          <w:r>
            <w:tab/>
          </w:r>
          <w:r>
            <w:fldChar w:fldCharType="begin"/>
          </w:r>
          <w:r>
            <w:instrText xml:space="preserve"> PAGEREF _Toc23020 \h </w:instrText>
          </w:r>
          <w:r>
            <w:fldChar w:fldCharType="separate"/>
          </w:r>
          <w:r>
            <w:t>160</w:t>
          </w:r>
          <w:r>
            <w:fldChar w:fldCharType="end"/>
          </w:r>
          <w:r>
            <w:rPr>
              <w:rFonts w:hint="eastAsia" w:eastAsia="宋体"/>
              <w:color w:val="auto"/>
              <w:highlight w:val="none"/>
              <w:lang w:eastAsia="zh-CN"/>
            </w:rPr>
            <w:fldChar w:fldCharType="end"/>
          </w:r>
        </w:p>
        <w:p w14:paraId="3EB25202">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_Toc413 </w:instrText>
          </w:r>
          <w:r>
            <w:rPr>
              <w:rFonts w:hint="eastAsia" w:eastAsia="宋体"/>
              <w:highlight w:val="none"/>
              <w:lang w:eastAsia="zh-CN"/>
            </w:rPr>
            <w:fldChar w:fldCharType="separate"/>
          </w:r>
          <w:r>
            <w:rPr>
              <w:rFonts w:hint="eastAsia" w:ascii="Times New Roman" w:hAnsi="Times New Roman" w:cs="Times New Roman"/>
            </w:rPr>
            <w:t xml:space="preserve">7.2. </w:t>
          </w:r>
          <w:r>
            <w:rPr>
              <w:rFonts w:hint="eastAsia" w:cs="Times New Roman"/>
              <w:highlight w:val="none"/>
              <w:lang w:eastAsia="zh-CN"/>
            </w:rPr>
            <w:t>本项目与衡阳三阳自然保护区的位置关系</w:t>
          </w:r>
          <w:r>
            <w:tab/>
          </w:r>
          <w:r>
            <w:fldChar w:fldCharType="begin"/>
          </w:r>
          <w:r>
            <w:instrText xml:space="preserve"> PAGEREF _Toc413 \h </w:instrText>
          </w:r>
          <w:r>
            <w:fldChar w:fldCharType="separate"/>
          </w:r>
          <w:r>
            <w:t>162</w:t>
          </w:r>
          <w:r>
            <w:fldChar w:fldCharType="end"/>
          </w:r>
          <w:r>
            <w:rPr>
              <w:rFonts w:hint="eastAsia" w:eastAsia="宋体"/>
              <w:color w:val="auto"/>
              <w:highlight w:val="none"/>
              <w:lang w:eastAsia="zh-CN"/>
            </w:rPr>
            <w:fldChar w:fldCharType="end"/>
          </w:r>
        </w:p>
        <w:p w14:paraId="1D95157E">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_Toc28913 </w:instrText>
          </w:r>
          <w:r>
            <w:rPr>
              <w:rFonts w:hint="eastAsia" w:eastAsia="宋体"/>
              <w:highlight w:val="none"/>
              <w:lang w:eastAsia="zh-CN"/>
            </w:rPr>
            <w:fldChar w:fldCharType="separate"/>
          </w:r>
          <w:r>
            <w:rPr>
              <w:rFonts w:hint="eastAsia" w:ascii="Times New Roman" w:hAnsi="Times New Roman" w:cs="Times New Roman"/>
            </w:rPr>
            <w:t xml:space="preserve">7.3. </w:t>
          </w:r>
          <w:r>
            <w:rPr>
              <w:rFonts w:hint="eastAsia" w:cs="Times New Roman"/>
              <w:highlight w:val="none"/>
              <w:lang w:eastAsia="zh-CN"/>
            </w:rPr>
            <w:t>衡阳三阳自然保护区生态环境现状调查</w:t>
          </w:r>
          <w:r>
            <w:tab/>
          </w:r>
          <w:r>
            <w:fldChar w:fldCharType="begin"/>
          </w:r>
          <w:r>
            <w:instrText xml:space="preserve"> PAGEREF _Toc28913 \h </w:instrText>
          </w:r>
          <w:r>
            <w:fldChar w:fldCharType="separate"/>
          </w:r>
          <w:r>
            <w:t>164</w:t>
          </w:r>
          <w:r>
            <w:fldChar w:fldCharType="end"/>
          </w:r>
          <w:r>
            <w:rPr>
              <w:rFonts w:hint="eastAsia" w:eastAsia="宋体"/>
              <w:color w:val="auto"/>
              <w:highlight w:val="none"/>
              <w:lang w:eastAsia="zh-CN"/>
            </w:rPr>
            <w:fldChar w:fldCharType="end"/>
          </w:r>
        </w:p>
        <w:p w14:paraId="03B89BC5">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_Toc18035 </w:instrText>
          </w:r>
          <w:r>
            <w:rPr>
              <w:rFonts w:hint="eastAsia" w:eastAsia="宋体"/>
              <w:highlight w:val="none"/>
              <w:lang w:eastAsia="zh-CN"/>
            </w:rPr>
            <w:fldChar w:fldCharType="separate"/>
          </w:r>
          <w:r>
            <w:rPr>
              <w:rFonts w:hint="eastAsia" w:ascii="Times New Roman" w:hAnsi="Times New Roman" w:cs="Times New Roman"/>
            </w:rPr>
            <w:t xml:space="preserve">7.4. </w:t>
          </w:r>
          <w:r>
            <w:rPr>
              <w:rFonts w:hint="eastAsia" w:cs="Times New Roman"/>
              <w:highlight w:val="none"/>
              <w:lang w:eastAsia="zh-CN"/>
            </w:rPr>
            <w:t>对衡阳三阳自然保护区的影响预测和分析</w:t>
          </w:r>
          <w:r>
            <w:tab/>
          </w:r>
          <w:r>
            <w:fldChar w:fldCharType="begin"/>
          </w:r>
          <w:r>
            <w:instrText xml:space="preserve"> PAGEREF _Toc18035 \h </w:instrText>
          </w:r>
          <w:r>
            <w:fldChar w:fldCharType="separate"/>
          </w:r>
          <w:r>
            <w:t>165</w:t>
          </w:r>
          <w:r>
            <w:fldChar w:fldCharType="end"/>
          </w:r>
          <w:r>
            <w:rPr>
              <w:rFonts w:hint="eastAsia" w:eastAsia="宋体"/>
              <w:color w:val="auto"/>
              <w:highlight w:val="none"/>
              <w:lang w:eastAsia="zh-CN"/>
            </w:rPr>
            <w:fldChar w:fldCharType="end"/>
          </w:r>
        </w:p>
        <w:p w14:paraId="4A81A166">
          <w:pPr>
            <w:pStyle w:val="14"/>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_Toc5985 </w:instrText>
          </w:r>
          <w:r>
            <w:rPr>
              <w:rFonts w:hint="eastAsia" w:eastAsia="宋体"/>
              <w:highlight w:val="none"/>
              <w:lang w:eastAsia="zh-CN"/>
            </w:rPr>
            <w:fldChar w:fldCharType="separate"/>
          </w:r>
          <w:r>
            <w:rPr>
              <w:rFonts w:hint="eastAsia" w:ascii="Times New Roman" w:hAnsi="Times New Roman" w:cs="Times New Roman"/>
            </w:rPr>
            <w:t xml:space="preserve">第八章 </w:t>
          </w:r>
          <w:r>
            <w:rPr>
              <w:rFonts w:hint="eastAsia" w:ascii="Times New Roman" w:hAnsi="Times New Roman" w:cs="Times New Roman"/>
              <w:highlight w:val="none"/>
              <w:lang w:eastAsia="zh-CN"/>
            </w:rPr>
            <w:t>环境风险分析</w:t>
          </w:r>
          <w:r>
            <w:tab/>
          </w:r>
          <w:r>
            <w:fldChar w:fldCharType="begin"/>
          </w:r>
          <w:r>
            <w:instrText xml:space="preserve"> PAGEREF _Toc5985 \h </w:instrText>
          </w:r>
          <w:r>
            <w:fldChar w:fldCharType="separate"/>
          </w:r>
          <w:r>
            <w:t>168</w:t>
          </w:r>
          <w:r>
            <w:fldChar w:fldCharType="end"/>
          </w:r>
          <w:r>
            <w:rPr>
              <w:rFonts w:hint="eastAsia" w:eastAsia="宋体"/>
              <w:color w:val="auto"/>
              <w:highlight w:val="none"/>
              <w:lang w:eastAsia="zh-CN"/>
            </w:rPr>
            <w:fldChar w:fldCharType="end"/>
          </w:r>
        </w:p>
        <w:p w14:paraId="47467B22">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_Toc15463 </w:instrText>
          </w:r>
          <w:r>
            <w:rPr>
              <w:rFonts w:hint="eastAsia" w:eastAsia="宋体"/>
              <w:highlight w:val="none"/>
              <w:lang w:eastAsia="zh-CN"/>
            </w:rPr>
            <w:fldChar w:fldCharType="separate"/>
          </w:r>
          <w:r>
            <w:rPr>
              <w:rFonts w:hint="eastAsia" w:ascii="Times New Roman" w:hAnsi="Times New Roman" w:eastAsia="宋体" w:cs="Times New Roman"/>
              <w:lang w:eastAsia="zh-CN"/>
            </w:rPr>
            <w:t xml:space="preserve">8.1. </w:t>
          </w:r>
          <w:r>
            <w:rPr>
              <w:rFonts w:hint="eastAsia" w:ascii="Times New Roman" w:hAnsi="Times New Roman" w:eastAsia="宋体" w:cs="Times New Roman"/>
              <w:highlight w:val="none"/>
              <w:lang w:eastAsia="zh-CN"/>
            </w:rPr>
            <w:t>评价等级判定</w:t>
          </w:r>
          <w:r>
            <w:tab/>
          </w:r>
          <w:r>
            <w:fldChar w:fldCharType="begin"/>
          </w:r>
          <w:r>
            <w:instrText xml:space="preserve"> PAGEREF _Toc15463 \h </w:instrText>
          </w:r>
          <w:r>
            <w:fldChar w:fldCharType="separate"/>
          </w:r>
          <w:r>
            <w:t>168</w:t>
          </w:r>
          <w:r>
            <w:fldChar w:fldCharType="end"/>
          </w:r>
          <w:r>
            <w:rPr>
              <w:rFonts w:hint="eastAsia" w:eastAsia="宋体"/>
              <w:color w:val="auto"/>
              <w:highlight w:val="none"/>
              <w:lang w:eastAsia="zh-CN"/>
            </w:rPr>
            <w:fldChar w:fldCharType="end"/>
          </w:r>
        </w:p>
        <w:p w14:paraId="663C4348">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_Toc8533 </w:instrText>
          </w:r>
          <w:r>
            <w:rPr>
              <w:rFonts w:hint="eastAsia" w:eastAsia="宋体"/>
              <w:highlight w:val="none"/>
              <w:lang w:eastAsia="zh-CN"/>
            </w:rPr>
            <w:fldChar w:fldCharType="separate"/>
          </w:r>
          <w:r>
            <w:rPr>
              <w:rFonts w:hint="eastAsia" w:ascii="Times New Roman" w:hAnsi="Times New Roman" w:eastAsia="宋体" w:cs="Times New Roman"/>
              <w:lang w:eastAsia="zh-CN"/>
            </w:rPr>
            <w:t xml:space="preserve">8.2. </w:t>
          </w:r>
          <w:r>
            <w:rPr>
              <w:rFonts w:hint="eastAsia" w:ascii="Times New Roman" w:hAnsi="Times New Roman" w:eastAsia="宋体" w:cs="Times New Roman"/>
              <w:highlight w:val="none"/>
              <w:lang w:eastAsia="zh-CN"/>
            </w:rPr>
            <w:t>环境风险识别</w:t>
          </w:r>
          <w:r>
            <w:tab/>
          </w:r>
          <w:r>
            <w:fldChar w:fldCharType="begin"/>
          </w:r>
          <w:r>
            <w:instrText xml:space="preserve"> PAGEREF _Toc8533 \h </w:instrText>
          </w:r>
          <w:r>
            <w:fldChar w:fldCharType="separate"/>
          </w:r>
          <w:r>
            <w:t>168</w:t>
          </w:r>
          <w:r>
            <w:fldChar w:fldCharType="end"/>
          </w:r>
          <w:r>
            <w:rPr>
              <w:rFonts w:hint="eastAsia" w:eastAsia="宋体"/>
              <w:color w:val="auto"/>
              <w:highlight w:val="none"/>
              <w:lang w:eastAsia="zh-CN"/>
            </w:rPr>
            <w:fldChar w:fldCharType="end"/>
          </w:r>
        </w:p>
        <w:p w14:paraId="0DF6FC1C">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_Toc25659 </w:instrText>
          </w:r>
          <w:r>
            <w:rPr>
              <w:rFonts w:hint="eastAsia" w:eastAsia="宋体"/>
              <w:highlight w:val="none"/>
              <w:lang w:eastAsia="zh-CN"/>
            </w:rPr>
            <w:fldChar w:fldCharType="separate"/>
          </w:r>
          <w:r>
            <w:rPr>
              <w:rFonts w:hint="eastAsia" w:ascii="Times New Roman" w:hAnsi="Times New Roman" w:eastAsia="宋体" w:cs="Times New Roman"/>
              <w:lang w:eastAsia="zh-CN"/>
            </w:rPr>
            <w:t xml:space="preserve">8.3. </w:t>
          </w:r>
          <w:r>
            <w:rPr>
              <w:rFonts w:hint="eastAsia" w:ascii="Times New Roman" w:hAnsi="Times New Roman" w:eastAsia="宋体" w:cs="Times New Roman"/>
              <w:highlight w:val="none"/>
              <w:lang w:eastAsia="zh-CN"/>
            </w:rPr>
            <w:t>环境风险分析</w:t>
          </w:r>
          <w:r>
            <w:tab/>
          </w:r>
          <w:r>
            <w:fldChar w:fldCharType="begin"/>
          </w:r>
          <w:r>
            <w:instrText xml:space="preserve"> PAGEREF _Toc25659 \h </w:instrText>
          </w:r>
          <w:r>
            <w:fldChar w:fldCharType="separate"/>
          </w:r>
          <w:r>
            <w:t>168</w:t>
          </w:r>
          <w:r>
            <w:fldChar w:fldCharType="end"/>
          </w:r>
          <w:r>
            <w:rPr>
              <w:rFonts w:hint="eastAsia" w:eastAsia="宋体"/>
              <w:color w:val="auto"/>
              <w:highlight w:val="none"/>
              <w:lang w:eastAsia="zh-CN"/>
            </w:rPr>
            <w:fldChar w:fldCharType="end"/>
          </w:r>
        </w:p>
        <w:p w14:paraId="516F4C07">
          <w:pPr>
            <w:pStyle w:val="14"/>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_Toc15719 </w:instrText>
          </w:r>
          <w:r>
            <w:rPr>
              <w:rFonts w:hint="eastAsia" w:eastAsia="宋体"/>
              <w:highlight w:val="none"/>
              <w:lang w:eastAsia="zh-CN"/>
            </w:rPr>
            <w:fldChar w:fldCharType="separate"/>
          </w:r>
          <w:r>
            <w:rPr>
              <w:rFonts w:hint="eastAsia" w:ascii="Times New Roman" w:hAnsi="Times New Roman" w:cs="Times New Roman"/>
            </w:rPr>
            <w:t xml:space="preserve">第九章 </w:t>
          </w:r>
          <w:r>
            <w:rPr>
              <w:rFonts w:hint="default" w:ascii="Times New Roman" w:hAnsi="Times New Roman" w:cs="Times New Roman"/>
              <w:highlight w:val="none"/>
              <w:lang w:val="en-US" w:eastAsia="zh-CN"/>
            </w:rPr>
            <w:t>污染防治措施可行性分析</w:t>
          </w:r>
          <w:r>
            <w:tab/>
          </w:r>
          <w:r>
            <w:fldChar w:fldCharType="begin"/>
          </w:r>
          <w:r>
            <w:instrText xml:space="preserve"> PAGEREF _Toc15719 \h </w:instrText>
          </w:r>
          <w:r>
            <w:fldChar w:fldCharType="separate"/>
          </w:r>
          <w:r>
            <w:t>170</w:t>
          </w:r>
          <w:r>
            <w:fldChar w:fldCharType="end"/>
          </w:r>
          <w:r>
            <w:rPr>
              <w:rFonts w:hint="eastAsia" w:eastAsia="宋体"/>
              <w:color w:val="auto"/>
              <w:highlight w:val="none"/>
              <w:lang w:eastAsia="zh-CN"/>
            </w:rPr>
            <w:fldChar w:fldCharType="end"/>
          </w:r>
        </w:p>
        <w:p w14:paraId="2FD4A1AA">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_Toc10109 </w:instrText>
          </w:r>
          <w:r>
            <w:rPr>
              <w:rFonts w:hint="eastAsia" w:eastAsia="宋体"/>
              <w:highlight w:val="none"/>
              <w:lang w:eastAsia="zh-CN"/>
            </w:rPr>
            <w:fldChar w:fldCharType="separate"/>
          </w:r>
          <w:r>
            <w:rPr>
              <w:rFonts w:hint="eastAsia" w:ascii="Times New Roman" w:hAnsi="Times New Roman" w:cs="Times New Roman"/>
            </w:rPr>
            <w:t xml:space="preserve">9.1. </w:t>
          </w:r>
          <w:r>
            <w:rPr>
              <w:rFonts w:hint="eastAsia" w:cs="Times New Roman"/>
              <w:highlight w:val="none"/>
              <w:lang w:eastAsia="zh-CN"/>
            </w:rPr>
            <w:t>设计阶段环境保护措施</w:t>
          </w:r>
          <w:r>
            <w:tab/>
          </w:r>
          <w:r>
            <w:fldChar w:fldCharType="begin"/>
          </w:r>
          <w:r>
            <w:instrText xml:space="preserve"> PAGEREF _Toc10109 \h </w:instrText>
          </w:r>
          <w:r>
            <w:fldChar w:fldCharType="separate"/>
          </w:r>
          <w:r>
            <w:t>170</w:t>
          </w:r>
          <w:r>
            <w:fldChar w:fldCharType="end"/>
          </w:r>
          <w:r>
            <w:rPr>
              <w:rFonts w:hint="eastAsia" w:eastAsia="宋体"/>
              <w:color w:val="auto"/>
              <w:highlight w:val="none"/>
              <w:lang w:eastAsia="zh-CN"/>
            </w:rPr>
            <w:fldChar w:fldCharType="end"/>
          </w:r>
        </w:p>
        <w:p w14:paraId="27C25B3A">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_Toc14047 </w:instrText>
          </w:r>
          <w:r>
            <w:rPr>
              <w:rFonts w:hint="eastAsia" w:eastAsia="宋体"/>
              <w:highlight w:val="none"/>
              <w:lang w:eastAsia="zh-CN"/>
            </w:rPr>
            <w:fldChar w:fldCharType="separate"/>
          </w:r>
          <w:r>
            <w:rPr>
              <w:rFonts w:hint="eastAsia" w:ascii="Times New Roman" w:hAnsi="Times New Roman" w:cs="Times New Roman"/>
            </w:rPr>
            <w:t xml:space="preserve">9.2. </w:t>
          </w:r>
          <w:r>
            <w:rPr>
              <w:rFonts w:hint="eastAsia" w:cs="Times New Roman"/>
              <w:highlight w:val="none"/>
              <w:lang w:eastAsia="zh-CN"/>
            </w:rPr>
            <w:t>施工期环境保护措施及建议</w:t>
          </w:r>
          <w:r>
            <w:tab/>
          </w:r>
          <w:r>
            <w:fldChar w:fldCharType="begin"/>
          </w:r>
          <w:r>
            <w:instrText xml:space="preserve"> PAGEREF _Toc14047 \h </w:instrText>
          </w:r>
          <w:r>
            <w:fldChar w:fldCharType="separate"/>
          </w:r>
          <w:r>
            <w:t>170</w:t>
          </w:r>
          <w:r>
            <w:fldChar w:fldCharType="end"/>
          </w:r>
          <w:r>
            <w:rPr>
              <w:rFonts w:hint="eastAsia" w:eastAsia="宋体"/>
              <w:color w:val="auto"/>
              <w:highlight w:val="none"/>
              <w:lang w:eastAsia="zh-CN"/>
            </w:rPr>
            <w:fldChar w:fldCharType="end"/>
          </w:r>
        </w:p>
        <w:p w14:paraId="5A93390B">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_Toc21625 </w:instrText>
          </w:r>
          <w:r>
            <w:rPr>
              <w:rFonts w:hint="eastAsia" w:eastAsia="宋体"/>
              <w:highlight w:val="none"/>
              <w:lang w:eastAsia="zh-CN"/>
            </w:rPr>
            <w:fldChar w:fldCharType="separate"/>
          </w:r>
          <w:r>
            <w:rPr>
              <w:rFonts w:hint="eastAsia" w:ascii="Times New Roman" w:hAnsi="Times New Roman" w:cs="Times New Roman"/>
            </w:rPr>
            <w:t xml:space="preserve">9.3. </w:t>
          </w:r>
          <w:r>
            <w:rPr>
              <w:rFonts w:hint="eastAsia" w:cs="Times New Roman"/>
              <w:highlight w:val="none"/>
              <w:lang w:eastAsia="zh-CN"/>
            </w:rPr>
            <w:t>运营期环境保护措施及建议</w:t>
          </w:r>
          <w:r>
            <w:tab/>
          </w:r>
          <w:r>
            <w:fldChar w:fldCharType="begin"/>
          </w:r>
          <w:r>
            <w:instrText xml:space="preserve"> PAGEREF _Toc21625 \h </w:instrText>
          </w:r>
          <w:r>
            <w:fldChar w:fldCharType="separate"/>
          </w:r>
          <w:r>
            <w:t>182</w:t>
          </w:r>
          <w:r>
            <w:fldChar w:fldCharType="end"/>
          </w:r>
          <w:r>
            <w:rPr>
              <w:rFonts w:hint="eastAsia" w:eastAsia="宋体"/>
              <w:color w:val="auto"/>
              <w:highlight w:val="none"/>
              <w:lang w:eastAsia="zh-CN"/>
            </w:rPr>
            <w:fldChar w:fldCharType="end"/>
          </w:r>
        </w:p>
        <w:p w14:paraId="18F50758">
          <w:pPr>
            <w:pStyle w:val="14"/>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_Toc14941 </w:instrText>
          </w:r>
          <w:r>
            <w:rPr>
              <w:rFonts w:hint="eastAsia" w:eastAsia="宋体"/>
              <w:highlight w:val="none"/>
              <w:lang w:eastAsia="zh-CN"/>
            </w:rPr>
            <w:fldChar w:fldCharType="separate"/>
          </w:r>
          <w:r>
            <w:rPr>
              <w:rFonts w:hint="eastAsia" w:ascii="Times New Roman" w:hAnsi="Times New Roman" w:cs="Times New Roman"/>
            </w:rPr>
            <w:t xml:space="preserve">第十章 </w:t>
          </w:r>
          <w:r>
            <w:rPr>
              <w:rFonts w:hint="eastAsia" w:ascii="Times New Roman" w:hAnsi="Times New Roman" w:cs="Times New Roman"/>
              <w:highlight w:val="none"/>
              <w:lang w:eastAsia="zh-CN"/>
            </w:rPr>
            <w:t>环境保护管理及监测计划</w:t>
          </w:r>
          <w:r>
            <w:tab/>
          </w:r>
          <w:r>
            <w:fldChar w:fldCharType="begin"/>
          </w:r>
          <w:r>
            <w:instrText xml:space="preserve"> PAGEREF _Toc14941 \h </w:instrText>
          </w:r>
          <w:r>
            <w:fldChar w:fldCharType="separate"/>
          </w:r>
          <w:r>
            <w:t>188</w:t>
          </w:r>
          <w:r>
            <w:fldChar w:fldCharType="end"/>
          </w:r>
          <w:r>
            <w:rPr>
              <w:rFonts w:hint="eastAsia" w:eastAsia="宋体"/>
              <w:color w:val="auto"/>
              <w:highlight w:val="none"/>
              <w:lang w:eastAsia="zh-CN"/>
            </w:rPr>
            <w:fldChar w:fldCharType="end"/>
          </w:r>
        </w:p>
        <w:p w14:paraId="3E0B4B73">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_Toc9933 </w:instrText>
          </w:r>
          <w:r>
            <w:rPr>
              <w:rFonts w:hint="eastAsia" w:eastAsia="宋体"/>
              <w:highlight w:val="none"/>
              <w:lang w:eastAsia="zh-CN"/>
            </w:rPr>
            <w:fldChar w:fldCharType="separate"/>
          </w:r>
          <w:r>
            <w:rPr>
              <w:rFonts w:hint="eastAsia" w:ascii="Times New Roman" w:hAnsi="Times New Roman" w:cs="Times New Roman"/>
            </w:rPr>
            <w:t xml:space="preserve">10.1. </w:t>
          </w:r>
          <w:r>
            <w:rPr>
              <w:rFonts w:hint="eastAsia" w:cs="Times New Roman"/>
              <w:highlight w:val="none"/>
              <w:lang w:eastAsia="zh-CN"/>
            </w:rPr>
            <w:t>环境保护管理计划</w:t>
          </w:r>
          <w:r>
            <w:tab/>
          </w:r>
          <w:r>
            <w:fldChar w:fldCharType="begin"/>
          </w:r>
          <w:r>
            <w:instrText xml:space="preserve"> PAGEREF _Toc9933 \h </w:instrText>
          </w:r>
          <w:r>
            <w:fldChar w:fldCharType="separate"/>
          </w:r>
          <w:r>
            <w:t>188</w:t>
          </w:r>
          <w:r>
            <w:fldChar w:fldCharType="end"/>
          </w:r>
          <w:r>
            <w:rPr>
              <w:rFonts w:hint="eastAsia" w:eastAsia="宋体"/>
              <w:color w:val="auto"/>
              <w:highlight w:val="none"/>
              <w:lang w:eastAsia="zh-CN"/>
            </w:rPr>
            <w:fldChar w:fldCharType="end"/>
          </w:r>
        </w:p>
        <w:p w14:paraId="6075F0AA">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_Toc14483 </w:instrText>
          </w:r>
          <w:r>
            <w:rPr>
              <w:rFonts w:hint="eastAsia" w:eastAsia="宋体"/>
              <w:highlight w:val="none"/>
              <w:lang w:eastAsia="zh-CN"/>
            </w:rPr>
            <w:fldChar w:fldCharType="separate"/>
          </w:r>
          <w:r>
            <w:rPr>
              <w:rFonts w:hint="eastAsia" w:ascii="Times New Roman" w:hAnsi="Times New Roman" w:cs="Times New Roman"/>
            </w:rPr>
            <w:t xml:space="preserve">10.2. </w:t>
          </w:r>
          <w:r>
            <w:rPr>
              <w:rFonts w:hint="eastAsia" w:cs="Times New Roman"/>
              <w:highlight w:val="none"/>
              <w:lang w:eastAsia="zh-CN"/>
            </w:rPr>
            <w:t>环境监测计划</w:t>
          </w:r>
          <w:r>
            <w:tab/>
          </w:r>
          <w:r>
            <w:fldChar w:fldCharType="begin"/>
          </w:r>
          <w:r>
            <w:instrText xml:space="preserve"> PAGEREF _Toc14483 \h </w:instrText>
          </w:r>
          <w:r>
            <w:fldChar w:fldCharType="separate"/>
          </w:r>
          <w:r>
            <w:t>189</w:t>
          </w:r>
          <w:r>
            <w:fldChar w:fldCharType="end"/>
          </w:r>
          <w:r>
            <w:rPr>
              <w:rFonts w:hint="eastAsia" w:eastAsia="宋体"/>
              <w:color w:val="auto"/>
              <w:highlight w:val="none"/>
              <w:lang w:eastAsia="zh-CN"/>
            </w:rPr>
            <w:fldChar w:fldCharType="end"/>
          </w:r>
        </w:p>
        <w:p w14:paraId="1D50DF13">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_Toc10669 </w:instrText>
          </w:r>
          <w:r>
            <w:rPr>
              <w:rFonts w:hint="eastAsia" w:eastAsia="宋体"/>
              <w:highlight w:val="none"/>
              <w:lang w:eastAsia="zh-CN"/>
            </w:rPr>
            <w:fldChar w:fldCharType="separate"/>
          </w:r>
          <w:r>
            <w:rPr>
              <w:rFonts w:hint="eastAsia" w:ascii="Times New Roman" w:hAnsi="Times New Roman" w:cs="Times New Roman"/>
            </w:rPr>
            <w:t xml:space="preserve">10.3. </w:t>
          </w:r>
          <w:r>
            <w:rPr>
              <w:rFonts w:hint="eastAsia" w:cs="Times New Roman"/>
              <w:highlight w:val="none"/>
              <w:lang w:eastAsia="zh-CN"/>
            </w:rPr>
            <w:t>工程环境监理计划</w:t>
          </w:r>
          <w:r>
            <w:tab/>
          </w:r>
          <w:r>
            <w:fldChar w:fldCharType="begin"/>
          </w:r>
          <w:r>
            <w:instrText xml:space="preserve"> PAGEREF _Toc10669 \h </w:instrText>
          </w:r>
          <w:r>
            <w:fldChar w:fldCharType="separate"/>
          </w:r>
          <w:r>
            <w:t>191</w:t>
          </w:r>
          <w:r>
            <w:fldChar w:fldCharType="end"/>
          </w:r>
          <w:r>
            <w:rPr>
              <w:rFonts w:hint="eastAsia" w:eastAsia="宋体"/>
              <w:color w:val="auto"/>
              <w:highlight w:val="none"/>
              <w:lang w:eastAsia="zh-CN"/>
            </w:rPr>
            <w:fldChar w:fldCharType="end"/>
          </w:r>
        </w:p>
        <w:p w14:paraId="7FCA372D">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_Toc8206 </w:instrText>
          </w:r>
          <w:r>
            <w:rPr>
              <w:rFonts w:hint="eastAsia" w:eastAsia="宋体"/>
              <w:highlight w:val="none"/>
              <w:lang w:eastAsia="zh-CN"/>
            </w:rPr>
            <w:fldChar w:fldCharType="separate"/>
          </w:r>
          <w:r>
            <w:rPr>
              <w:rFonts w:hint="eastAsia" w:ascii="Times New Roman" w:hAnsi="Times New Roman" w:cs="Times New Roman"/>
            </w:rPr>
            <w:t xml:space="preserve">10.4. </w:t>
          </w:r>
          <w:r>
            <w:rPr>
              <w:rFonts w:hint="eastAsia" w:cs="Times New Roman"/>
              <w:highlight w:val="none"/>
              <w:lang w:eastAsia="zh-CN"/>
            </w:rPr>
            <w:t>人员培训计划</w:t>
          </w:r>
          <w:r>
            <w:tab/>
          </w:r>
          <w:r>
            <w:fldChar w:fldCharType="begin"/>
          </w:r>
          <w:r>
            <w:instrText xml:space="preserve"> PAGEREF _Toc8206 \h </w:instrText>
          </w:r>
          <w:r>
            <w:fldChar w:fldCharType="separate"/>
          </w:r>
          <w:r>
            <w:t>193</w:t>
          </w:r>
          <w:r>
            <w:fldChar w:fldCharType="end"/>
          </w:r>
          <w:r>
            <w:rPr>
              <w:rFonts w:hint="eastAsia" w:eastAsia="宋体"/>
              <w:color w:val="auto"/>
              <w:highlight w:val="none"/>
              <w:lang w:eastAsia="zh-CN"/>
            </w:rPr>
            <w:fldChar w:fldCharType="end"/>
          </w:r>
        </w:p>
        <w:p w14:paraId="27FB4EC9">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_Toc26891 </w:instrText>
          </w:r>
          <w:r>
            <w:rPr>
              <w:rFonts w:hint="eastAsia" w:eastAsia="宋体"/>
              <w:highlight w:val="none"/>
              <w:lang w:eastAsia="zh-CN"/>
            </w:rPr>
            <w:fldChar w:fldCharType="separate"/>
          </w:r>
          <w:r>
            <w:rPr>
              <w:rFonts w:hint="eastAsia" w:ascii="Times New Roman" w:hAnsi="Times New Roman" w:cs="Times New Roman"/>
            </w:rPr>
            <w:t xml:space="preserve">10.5. </w:t>
          </w:r>
          <w:r>
            <w:rPr>
              <w:rFonts w:hint="eastAsia" w:cs="Times New Roman"/>
              <w:highlight w:val="none"/>
              <w:lang w:eastAsia="zh-CN"/>
            </w:rPr>
            <w:t>竣工环境保护验收</w:t>
          </w:r>
          <w:r>
            <w:tab/>
          </w:r>
          <w:r>
            <w:fldChar w:fldCharType="begin"/>
          </w:r>
          <w:r>
            <w:instrText xml:space="preserve"> PAGEREF _Toc26891 \h </w:instrText>
          </w:r>
          <w:r>
            <w:fldChar w:fldCharType="separate"/>
          </w:r>
          <w:r>
            <w:t>193</w:t>
          </w:r>
          <w:r>
            <w:fldChar w:fldCharType="end"/>
          </w:r>
          <w:r>
            <w:rPr>
              <w:rFonts w:hint="eastAsia" w:eastAsia="宋体"/>
              <w:color w:val="auto"/>
              <w:highlight w:val="none"/>
              <w:lang w:eastAsia="zh-CN"/>
            </w:rPr>
            <w:fldChar w:fldCharType="end"/>
          </w:r>
        </w:p>
        <w:p w14:paraId="1D282CE9">
          <w:pPr>
            <w:pStyle w:val="14"/>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_Toc11816 </w:instrText>
          </w:r>
          <w:r>
            <w:rPr>
              <w:rFonts w:hint="eastAsia" w:eastAsia="宋体"/>
              <w:highlight w:val="none"/>
              <w:lang w:eastAsia="zh-CN"/>
            </w:rPr>
            <w:fldChar w:fldCharType="separate"/>
          </w:r>
          <w:r>
            <w:rPr>
              <w:rFonts w:hint="eastAsia" w:ascii="Times New Roman" w:hAnsi="Times New Roman" w:cs="Times New Roman"/>
            </w:rPr>
            <w:t xml:space="preserve">第十一章 </w:t>
          </w:r>
          <w:r>
            <w:rPr>
              <w:rFonts w:hint="eastAsia" w:ascii="Times New Roman" w:hAnsi="Times New Roman" w:cs="Times New Roman"/>
              <w:highlight w:val="none"/>
              <w:lang w:eastAsia="zh-CN"/>
            </w:rPr>
            <w:t>环境经济损益分析</w:t>
          </w:r>
          <w:r>
            <w:tab/>
          </w:r>
          <w:r>
            <w:fldChar w:fldCharType="begin"/>
          </w:r>
          <w:r>
            <w:instrText xml:space="preserve"> PAGEREF _Toc11816 \h </w:instrText>
          </w:r>
          <w:r>
            <w:fldChar w:fldCharType="separate"/>
          </w:r>
          <w:r>
            <w:t>197</w:t>
          </w:r>
          <w:r>
            <w:fldChar w:fldCharType="end"/>
          </w:r>
          <w:r>
            <w:rPr>
              <w:rFonts w:hint="eastAsia" w:eastAsia="宋体"/>
              <w:color w:val="auto"/>
              <w:highlight w:val="none"/>
              <w:lang w:eastAsia="zh-CN"/>
            </w:rPr>
            <w:fldChar w:fldCharType="end"/>
          </w:r>
        </w:p>
        <w:p w14:paraId="2C66D56C">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_Toc20802 </w:instrText>
          </w:r>
          <w:r>
            <w:rPr>
              <w:rFonts w:hint="eastAsia" w:eastAsia="宋体"/>
              <w:highlight w:val="none"/>
              <w:lang w:eastAsia="zh-CN"/>
            </w:rPr>
            <w:fldChar w:fldCharType="separate"/>
          </w:r>
          <w:r>
            <w:rPr>
              <w:rFonts w:hint="eastAsia" w:ascii="Times New Roman" w:hAnsi="Times New Roman" w:cs="Times New Roman"/>
            </w:rPr>
            <w:t xml:space="preserve">11.1. </w:t>
          </w:r>
          <w:r>
            <w:rPr>
              <w:rFonts w:hint="eastAsia" w:cs="Times New Roman"/>
              <w:highlight w:val="none"/>
              <w:lang w:eastAsia="zh-CN"/>
            </w:rPr>
            <w:t>国民经济效益分析</w:t>
          </w:r>
          <w:r>
            <w:tab/>
          </w:r>
          <w:r>
            <w:fldChar w:fldCharType="begin"/>
          </w:r>
          <w:r>
            <w:instrText xml:space="preserve"> PAGEREF _Toc20802 \h </w:instrText>
          </w:r>
          <w:r>
            <w:fldChar w:fldCharType="separate"/>
          </w:r>
          <w:r>
            <w:t>197</w:t>
          </w:r>
          <w:r>
            <w:fldChar w:fldCharType="end"/>
          </w:r>
          <w:r>
            <w:rPr>
              <w:rFonts w:hint="eastAsia" w:eastAsia="宋体"/>
              <w:color w:val="auto"/>
              <w:highlight w:val="none"/>
              <w:lang w:eastAsia="zh-CN"/>
            </w:rPr>
            <w:fldChar w:fldCharType="end"/>
          </w:r>
        </w:p>
        <w:p w14:paraId="5944E9DC">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_Toc22672 </w:instrText>
          </w:r>
          <w:r>
            <w:rPr>
              <w:rFonts w:hint="eastAsia" w:eastAsia="宋体"/>
              <w:highlight w:val="none"/>
              <w:lang w:eastAsia="zh-CN"/>
            </w:rPr>
            <w:fldChar w:fldCharType="separate"/>
          </w:r>
          <w:r>
            <w:rPr>
              <w:rFonts w:hint="eastAsia" w:ascii="Times New Roman" w:hAnsi="Times New Roman" w:cs="Times New Roman"/>
            </w:rPr>
            <w:t xml:space="preserve">11.2. </w:t>
          </w:r>
          <w:r>
            <w:rPr>
              <w:rFonts w:hint="eastAsia" w:cs="Times New Roman"/>
              <w:highlight w:val="none"/>
              <w:lang w:eastAsia="zh-CN"/>
            </w:rPr>
            <w:t>环境经济损益分析</w:t>
          </w:r>
          <w:r>
            <w:tab/>
          </w:r>
          <w:r>
            <w:fldChar w:fldCharType="begin"/>
          </w:r>
          <w:r>
            <w:instrText xml:space="preserve"> PAGEREF _Toc22672 \h </w:instrText>
          </w:r>
          <w:r>
            <w:fldChar w:fldCharType="separate"/>
          </w:r>
          <w:r>
            <w:t>197</w:t>
          </w:r>
          <w:r>
            <w:fldChar w:fldCharType="end"/>
          </w:r>
          <w:r>
            <w:rPr>
              <w:rFonts w:hint="eastAsia" w:eastAsia="宋体"/>
              <w:color w:val="auto"/>
              <w:highlight w:val="none"/>
              <w:lang w:eastAsia="zh-CN"/>
            </w:rPr>
            <w:fldChar w:fldCharType="end"/>
          </w:r>
        </w:p>
        <w:p w14:paraId="1913516F">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_Toc22785 </w:instrText>
          </w:r>
          <w:r>
            <w:rPr>
              <w:rFonts w:hint="eastAsia" w:eastAsia="宋体"/>
              <w:highlight w:val="none"/>
              <w:lang w:eastAsia="zh-CN"/>
            </w:rPr>
            <w:fldChar w:fldCharType="separate"/>
          </w:r>
          <w:r>
            <w:rPr>
              <w:rFonts w:hint="eastAsia" w:ascii="Times New Roman" w:hAnsi="Times New Roman" w:cs="Times New Roman"/>
            </w:rPr>
            <w:t xml:space="preserve">11.3. </w:t>
          </w:r>
          <w:r>
            <w:rPr>
              <w:rFonts w:hint="eastAsia" w:cs="Times New Roman"/>
              <w:highlight w:val="none"/>
              <w:lang w:eastAsia="zh-CN"/>
            </w:rPr>
            <w:t>环保投资估算及其效益分析</w:t>
          </w:r>
          <w:r>
            <w:tab/>
          </w:r>
          <w:r>
            <w:fldChar w:fldCharType="begin"/>
          </w:r>
          <w:r>
            <w:instrText xml:space="preserve"> PAGEREF _Toc22785 \h </w:instrText>
          </w:r>
          <w:r>
            <w:fldChar w:fldCharType="separate"/>
          </w:r>
          <w:r>
            <w:t>197</w:t>
          </w:r>
          <w:r>
            <w:fldChar w:fldCharType="end"/>
          </w:r>
          <w:r>
            <w:rPr>
              <w:rFonts w:hint="eastAsia" w:eastAsia="宋体"/>
              <w:color w:val="auto"/>
              <w:highlight w:val="none"/>
              <w:lang w:eastAsia="zh-CN"/>
            </w:rPr>
            <w:fldChar w:fldCharType="end"/>
          </w:r>
        </w:p>
        <w:p w14:paraId="1BBDD623">
          <w:pPr>
            <w:pStyle w:val="14"/>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_Toc7183 </w:instrText>
          </w:r>
          <w:r>
            <w:rPr>
              <w:rFonts w:hint="eastAsia" w:eastAsia="宋体"/>
              <w:highlight w:val="none"/>
              <w:lang w:eastAsia="zh-CN"/>
            </w:rPr>
            <w:fldChar w:fldCharType="separate"/>
          </w:r>
          <w:r>
            <w:rPr>
              <w:rFonts w:hint="eastAsia" w:ascii="Times New Roman" w:hAnsi="Times New Roman" w:cs="Times New Roman"/>
            </w:rPr>
            <w:t xml:space="preserve">第十二章 </w:t>
          </w:r>
          <w:r>
            <w:rPr>
              <w:rFonts w:hint="eastAsia" w:ascii="Times New Roman" w:hAnsi="Times New Roman" w:cs="Times New Roman"/>
              <w:highlight w:val="none"/>
              <w:lang w:eastAsia="zh-CN"/>
            </w:rPr>
            <w:t>评价结论与建议</w:t>
          </w:r>
          <w:r>
            <w:tab/>
          </w:r>
          <w:r>
            <w:fldChar w:fldCharType="begin"/>
          </w:r>
          <w:r>
            <w:instrText xml:space="preserve"> PAGEREF _Toc7183 \h </w:instrText>
          </w:r>
          <w:r>
            <w:fldChar w:fldCharType="separate"/>
          </w:r>
          <w:r>
            <w:t>199</w:t>
          </w:r>
          <w:r>
            <w:fldChar w:fldCharType="end"/>
          </w:r>
          <w:r>
            <w:rPr>
              <w:rFonts w:hint="eastAsia" w:eastAsia="宋体"/>
              <w:color w:val="auto"/>
              <w:highlight w:val="none"/>
              <w:lang w:eastAsia="zh-CN"/>
            </w:rPr>
            <w:fldChar w:fldCharType="end"/>
          </w:r>
        </w:p>
        <w:p w14:paraId="42150DF6">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_Toc12153 </w:instrText>
          </w:r>
          <w:r>
            <w:rPr>
              <w:rFonts w:hint="eastAsia" w:eastAsia="宋体"/>
              <w:highlight w:val="none"/>
              <w:lang w:eastAsia="zh-CN"/>
            </w:rPr>
            <w:fldChar w:fldCharType="separate"/>
          </w:r>
          <w:r>
            <w:rPr>
              <w:rFonts w:hint="eastAsia" w:ascii="Times New Roman" w:hAnsi="Times New Roman" w:cs="Times New Roman"/>
            </w:rPr>
            <w:t xml:space="preserve">12.1. </w:t>
          </w:r>
          <w:r>
            <w:rPr>
              <w:rFonts w:hint="eastAsia" w:cs="Times New Roman"/>
              <w:highlight w:val="none"/>
              <w:lang w:eastAsia="zh-CN"/>
            </w:rPr>
            <w:t>项目概况</w:t>
          </w:r>
          <w:r>
            <w:tab/>
          </w:r>
          <w:r>
            <w:fldChar w:fldCharType="begin"/>
          </w:r>
          <w:r>
            <w:instrText xml:space="preserve"> PAGEREF _Toc12153 \h </w:instrText>
          </w:r>
          <w:r>
            <w:fldChar w:fldCharType="separate"/>
          </w:r>
          <w:r>
            <w:t>199</w:t>
          </w:r>
          <w:r>
            <w:fldChar w:fldCharType="end"/>
          </w:r>
          <w:r>
            <w:rPr>
              <w:rFonts w:hint="eastAsia" w:eastAsia="宋体"/>
              <w:color w:val="auto"/>
              <w:highlight w:val="none"/>
              <w:lang w:eastAsia="zh-CN"/>
            </w:rPr>
            <w:fldChar w:fldCharType="end"/>
          </w:r>
        </w:p>
        <w:p w14:paraId="44ECB3B5">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_Toc8813 </w:instrText>
          </w:r>
          <w:r>
            <w:rPr>
              <w:rFonts w:hint="eastAsia" w:eastAsia="宋体"/>
              <w:highlight w:val="none"/>
              <w:lang w:eastAsia="zh-CN"/>
            </w:rPr>
            <w:fldChar w:fldCharType="separate"/>
          </w:r>
          <w:r>
            <w:rPr>
              <w:rFonts w:hint="eastAsia" w:ascii="Times New Roman" w:hAnsi="Times New Roman" w:cs="Times New Roman"/>
            </w:rPr>
            <w:t xml:space="preserve">12.2. </w:t>
          </w:r>
          <w:r>
            <w:rPr>
              <w:rFonts w:hint="eastAsia" w:cs="Times New Roman"/>
              <w:highlight w:val="none"/>
              <w:lang w:eastAsia="zh-CN"/>
            </w:rPr>
            <w:t>环境现状评价结论</w:t>
          </w:r>
          <w:r>
            <w:tab/>
          </w:r>
          <w:r>
            <w:fldChar w:fldCharType="begin"/>
          </w:r>
          <w:r>
            <w:instrText xml:space="preserve"> PAGEREF _Toc8813 \h </w:instrText>
          </w:r>
          <w:r>
            <w:fldChar w:fldCharType="separate"/>
          </w:r>
          <w:r>
            <w:t>200</w:t>
          </w:r>
          <w:r>
            <w:fldChar w:fldCharType="end"/>
          </w:r>
          <w:r>
            <w:rPr>
              <w:rFonts w:hint="eastAsia" w:eastAsia="宋体"/>
              <w:color w:val="auto"/>
              <w:highlight w:val="none"/>
              <w:lang w:eastAsia="zh-CN"/>
            </w:rPr>
            <w:fldChar w:fldCharType="end"/>
          </w:r>
        </w:p>
        <w:p w14:paraId="2D99D323">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_Toc14630 </w:instrText>
          </w:r>
          <w:r>
            <w:rPr>
              <w:rFonts w:hint="eastAsia" w:eastAsia="宋体"/>
              <w:highlight w:val="none"/>
              <w:lang w:eastAsia="zh-CN"/>
            </w:rPr>
            <w:fldChar w:fldCharType="separate"/>
          </w:r>
          <w:r>
            <w:rPr>
              <w:rFonts w:hint="eastAsia" w:ascii="Times New Roman" w:hAnsi="Times New Roman" w:cs="Times New Roman"/>
            </w:rPr>
            <w:t xml:space="preserve">12.3. </w:t>
          </w:r>
          <w:r>
            <w:rPr>
              <w:rFonts w:hint="eastAsia" w:cs="Times New Roman"/>
              <w:highlight w:val="none"/>
              <w:lang w:eastAsia="zh-CN"/>
            </w:rPr>
            <w:t>环境可行性分析结论</w:t>
          </w:r>
          <w:r>
            <w:tab/>
          </w:r>
          <w:r>
            <w:fldChar w:fldCharType="begin"/>
          </w:r>
          <w:r>
            <w:instrText xml:space="preserve"> PAGEREF _Toc14630 \h </w:instrText>
          </w:r>
          <w:r>
            <w:fldChar w:fldCharType="separate"/>
          </w:r>
          <w:r>
            <w:t>201</w:t>
          </w:r>
          <w:r>
            <w:fldChar w:fldCharType="end"/>
          </w:r>
          <w:r>
            <w:rPr>
              <w:rFonts w:hint="eastAsia" w:eastAsia="宋体"/>
              <w:color w:val="auto"/>
              <w:highlight w:val="none"/>
              <w:lang w:eastAsia="zh-CN"/>
            </w:rPr>
            <w:fldChar w:fldCharType="end"/>
          </w:r>
        </w:p>
        <w:p w14:paraId="07597430">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_Toc176 </w:instrText>
          </w:r>
          <w:r>
            <w:rPr>
              <w:rFonts w:hint="eastAsia" w:eastAsia="宋体"/>
              <w:highlight w:val="none"/>
              <w:lang w:eastAsia="zh-CN"/>
            </w:rPr>
            <w:fldChar w:fldCharType="separate"/>
          </w:r>
          <w:r>
            <w:rPr>
              <w:rFonts w:hint="eastAsia" w:ascii="Times New Roman" w:hAnsi="Times New Roman" w:cs="Times New Roman"/>
            </w:rPr>
            <w:t xml:space="preserve">12.4. </w:t>
          </w:r>
          <w:r>
            <w:rPr>
              <w:rFonts w:hint="eastAsia" w:cs="Times New Roman"/>
              <w:highlight w:val="none"/>
              <w:lang w:eastAsia="zh-CN"/>
            </w:rPr>
            <w:t>环保投资</w:t>
          </w:r>
          <w:r>
            <w:tab/>
          </w:r>
          <w:r>
            <w:fldChar w:fldCharType="begin"/>
          </w:r>
          <w:r>
            <w:instrText xml:space="preserve"> PAGEREF _Toc176 \h </w:instrText>
          </w:r>
          <w:r>
            <w:fldChar w:fldCharType="separate"/>
          </w:r>
          <w:r>
            <w:t>201</w:t>
          </w:r>
          <w:r>
            <w:fldChar w:fldCharType="end"/>
          </w:r>
          <w:r>
            <w:rPr>
              <w:rFonts w:hint="eastAsia" w:eastAsia="宋体"/>
              <w:color w:val="auto"/>
              <w:highlight w:val="none"/>
              <w:lang w:eastAsia="zh-CN"/>
            </w:rPr>
            <w:fldChar w:fldCharType="end"/>
          </w:r>
        </w:p>
        <w:p w14:paraId="29D7FBB6">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_Toc14244 </w:instrText>
          </w:r>
          <w:r>
            <w:rPr>
              <w:rFonts w:hint="eastAsia" w:eastAsia="宋体"/>
              <w:highlight w:val="none"/>
              <w:lang w:eastAsia="zh-CN"/>
            </w:rPr>
            <w:fldChar w:fldCharType="separate"/>
          </w:r>
          <w:r>
            <w:rPr>
              <w:rFonts w:hint="eastAsia" w:ascii="Times New Roman" w:hAnsi="Times New Roman" w:cs="Times New Roman"/>
            </w:rPr>
            <w:t xml:space="preserve">12.5. </w:t>
          </w:r>
          <w:r>
            <w:rPr>
              <w:rFonts w:hint="eastAsia" w:cs="Times New Roman"/>
              <w:highlight w:val="none"/>
              <w:lang w:eastAsia="zh-CN"/>
            </w:rPr>
            <w:t>公众参与结论</w:t>
          </w:r>
          <w:r>
            <w:tab/>
          </w:r>
          <w:r>
            <w:fldChar w:fldCharType="begin"/>
          </w:r>
          <w:r>
            <w:instrText xml:space="preserve"> PAGEREF _Toc14244 \h </w:instrText>
          </w:r>
          <w:r>
            <w:fldChar w:fldCharType="separate"/>
          </w:r>
          <w:r>
            <w:t>201</w:t>
          </w:r>
          <w:r>
            <w:fldChar w:fldCharType="end"/>
          </w:r>
          <w:r>
            <w:rPr>
              <w:rFonts w:hint="eastAsia" w:eastAsia="宋体"/>
              <w:color w:val="auto"/>
              <w:highlight w:val="none"/>
              <w:lang w:eastAsia="zh-CN"/>
            </w:rPr>
            <w:fldChar w:fldCharType="end"/>
          </w:r>
        </w:p>
        <w:p w14:paraId="1B0E97D3">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_Toc6145 </w:instrText>
          </w:r>
          <w:r>
            <w:rPr>
              <w:rFonts w:hint="eastAsia" w:eastAsia="宋体"/>
              <w:highlight w:val="none"/>
              <w:lang w:eastAsia="zh-CN"/>
            </w:rPr>
            <w:fldChar w:fldCharType="separate"/>
          </w:r>
          <w:r>
            <w:rPr>
              <w:rFonts w:hint="eastAsia" w:ascii="Times New Roman" w:hAnsi="Times New Roman" w:cs="Times New Roman"/>
            </w:rPr>
            <w:t xml:space="preserve">12.6. </w:t>
          </w:r>
          <w:r>
            <w:rPr>
              <w:rFonts w:hint="eastAsia" w:cs="Times New Roman"/>
              <w:highlight w:val="none"/>
              <w:lang w:eastAsia="zh-CN"/>
            </w:rPr>
            <w:t>综合结论</w:t>
          </w:r>
          <w:r>
            <w:tab/>
          </w:r>
          <w:r>
            <w:fldChar w:fldCharType="begin"/>
          </w:r>
          <w:r>
            <w:instrText xml:space="preserve"> PAGEREF _Toc6145 \h </w:instrText>
          </w:r>
          <w:r>
            <w:fldChar w:fldCharType="separate"/>
          </w:r>
          <w:r>
            <w:t>201</w:t>
          </w:r>
          <w:r>
            <w:fldChar w:fldCharType="end"/>
          </w:r>
          <w:r>
            <w:rPr>
              <w:rFonts w:hint="eastAsia" w:eastAsia="宋体"/>
              <w:color w:val="auto"/>
              <w:highlight w:val="none"/>
              <w:lang w:eastAsia="zh-CN"/>
            </w:rPr>
            <w:fldChar w:fldCharType="end"/>
          </w:r>
        </w:p>
        <w:p w14:paraId="51BA5EED">
          <w:pPr>
            <w:pStyle w:val="16"/>
            <w:tabs>
              <w:tab w:val="right" w:leader="dot" w:pos="8306"/>
            </w:tabs>
          </w:pPr>
          <w:r>
            <w:rPr>
              <w:rFonts w:hint="eastAsia" w:eastAsia="宋体"/>
              <w:color w:val="auto"/>
              <w:highlight w:val="none"/>
              <w:lang w:eastAsia="zh-CN"/>
            </w:rPr>
            <w:fldChar w:fldCharType="begin"/>
          </w:r>
          <w:r>
            <w:rPr>
              <w:rFonts w:hint="eastAsia" w:eastAsia="宋体"/>
              <w:highlight w:val="none"/>
              <w:lang w:eastAsia="zh-CN"/>
            </w:rPr>
            <w:instrText xml:space="preserve"> HYPERLINK \l _Toc7537 </w:instrText>
          </w:r>
          <w:r>
            <w:rPr>
              <w:rFonts w:hint="eastAsia" w:eastAsia="宋体"/>
              <w:highlight w:val="none"/>
              <w:lang w:eastAsia="zh-CN"/>
            </w:rPr>
            <w:fldChar w:fldCharType="separate"/>
          </w:r>
          <w:r>
            <w:rPr>
              <w:rFonts w:hint="eastAsia" w:ascii="Times New Roman" w:hAnsi="Times New Roman" w:cs="Times New Roman"/>
            </w:rPr>
            <w:t xml:space="preserve">12.7. </w:t>
          </w:r>
          <w:r>
            <w:rPr>
              <w:rFonts w:hint="eastAsia" w:cs="Times New Roman"/>
              <w:highlight w:val="none"/>
              <w:lang w:eastAsia="zh-CN"/>
            </w:rPr>
            <w:t>评价建议</w:t>
          </w:r>
          <w:r>
            <w:tab/>
          </w:r>
          <w:r>
            <w:fldChar w:fldCharType="begin"/>
          </w:r>
          <w:r>
            <w:instrText xml:space="preserve"> PAGEREF _Toc7537 \h </w:instrText>
          </w:r>
          <w:r>
            <w:fldChar w:fldCharType="separate"/>
          </w:r>
          <w:r>
            <w:t>202</w:t>
          </w:r>
          <w:r>
            <w:fldChar w:fldCharType="end"/>
          </w:r>
          <w:r>
            <w:rPr>
              <w:rFonts w:hint="eastAsia" w:eastAsia="宋体"/>
              <w:color w:val="auto"/>
              <w:highlight w:val="none"/>
              <w:lang w:eastAsia="zh-CN"/>
            </w:rPr>
            <w:fldChar w:fldCharType="end"/>
          </w:r>
        </w:p>
        <w:p w14:paraId="3DC8A764">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eastAsia="宋体"/>
              <w:color w:val="auto"/>
              <w:highlight w:val="none"/>
              <w:lang w:eastAsia="zh-CN"/>
            </w:rPr>
          </w:pPr>
          <w:r>
            <w:rPr>
              <w:rFonts w:hint="eastAsia" w:eastAsia="宋体"/>
              <w:color w:val="auto"/>
              <w:highlight w:val="none"/>
              <w:lang w:eastAsia="zh-CN"/>
            </w:rPr>
            <w:fldChar w:fldCharType="end"/>
          </w:r>
        </w:p>
      </w:sdtContent>
    </w:sdt>
    <w:p w14:paraId="5A792A9D">
      <w:pPr>
        <w:bidi w:val="0"/>
        <w:rPr>
          <w:rFonts w:hint="default"/>
          <w:b/>
          <w:bCs/>
          <w:color w:val="auto"/>
          <w:highlight w:val="none"/>
        </w:rPr>
      </w:pPr>
      <w:bookmarkStart w:id="0" w:name="_Toc9033"/>
      <w:r>
        <w:rPr>
          <w:rFonts w:hint="default"/>
          <w:b/>
          <w:bCs/>
          <w:color w:val="auto"/>
          <w:highlight w:val="none"/>
        </w:rPr>
        <w:t>附件：</w:t>
      </w:r>
      <w:bookmarkEnd w:id="0"/>
    </w:p>
    <w:p w14:paraId="7D069717">
      <w:pPr>
        <w:bidi w:val="0"/>
        <w:rPr>
          <w:rFonts w:hint="default"/>
          <w:color w:val="auto"/>
          <w:highlight w:val="none"/>
          <w:lang w:val="en-US" w:eastAsia="zh-CN"/>
        </w:rPr>
      </w:pPr>
      <w:bookmarkStart w:id="1" w:name="_Toc25284"/>
      <w:r>
        <w:rPr>
          <w:rFonts w:hint="default"/>
          <w:color w:val="auto"/>
          <w:highlight w:val="none"/>
          <w:lang w:val="en-US" w:eastAsia="zh-CN"/>
        </w:rPr>
        <w:t>附件1</w:t>
      </w:r>
      <w:bookmarkEnd w:id="1"/>
      <w:r>
        <w:rPr>
          <w:rFonts w:hint="eastAsia"/>
          <w:color w:val="auto"/>
          <w:highlight w:val="none"/>
          <w:lang w:val="en-US" w:eastAsia="zh-CN"/>
        </w:rPr>
        <w:t xml:space="preserve">  环评委托书</w:t>
      </w:r>
    </w:p>
    <w:p w14:paraId="1811118A">
      <w:pPr>
        <w:bidi w:val="0"/>
        <w:rPr>
          <w:rFonts w:hint="default"/>
          <w:color w:val="auto"/>
          <w:highlight w:val="none"/>
          <w:lang w:val="en-US" w:eastAsia="zh-CN"/>
        </w:rPr>
      </w:pPr>
      <w:r>
        <w:rPr>
          <w:rFonts w:hint="default"/>
          <w:color w:val="auto"/>
          <w:highlight w:val="none"/>
          <w:lang w:val="en-US" w:eastAsia="zh-CN"/>
        </w:rPr>
        <w:t>附件2  湖南省发展和改革委员会《关于同意全省“十四五”第一批风电、集中式光伏发电项目开发建设的复函》（湘发改函[2022]52号）</w:t>
      </w:r>
    </w:p>
    <w:p w14:paraId="4F6D1207">
      <w:pPr>
        <w:bidi w:val="0"/>
        <w:rPr>
          <w:rFonts w:hint="default"/>
          <w:color w:val="auto"/>
          <w:highlight w:val="none"/>
          <w:lang w:val="en-US" w:eastAsia="zh-CN"/>
        </w:rPr>
      </w:pPr>
      <w:bookmarkStart w:id="2" w:name="_Toc8239"/>
      <w:r>
        <w:rPr>
          <w:rFonts w:hint="default"/>
          <w:color w:val="auto"/>
          <w:highlight w:val="none"/>
          <w:lang w:val="en-US" w:eastAsia="zh-CN"/>
        </w:rPr>
        <w:t>附件3</w:t>
      </w:r>
      <w:bookmarkEnd w:id="2"/>
      <w:r>
        <w:rPr>
          <w:rFonts w:hint="eastAsia"/>
          <w:color w:val="auto"/>
          <w:highlight w:val="none"/>
          <w:lang w:val="en-US" w:eastAsia="zh-CN"/>
        </w:rPr>
        <w:t xml:space="preserve">  项目用地预审与选址意见</w:t>
      </w:r>
    </w:p>
    <w:p w14:paraId="415ED71E">
      <w:pPr>
        <w:bidi w:val="0"/>
        <w:rPr>
          <w:rFonts w:hint="default"/>
          <w:color w:val="auto"/>
          <w:highlight w:val="none"/>
          <w:lang w:val="en-US" w:eastAsia="zh-CN"/>
        </w:rPr>
      </w:pPr>
      <w:bookmarkStart w:id="3" w:name="_Toc12713"/>
      <w:r>
        <w:rPr>
          <w:rFonts w:hint="default"/>
          <w:color w:val="auto"/>
          <w:highlight w:val="none"/>
          <w:lang w:val="en-US" w:eastAsia="zh-CN"/>
        </w:rPr>
        <w:t>附件4</w:t>
      </w:r>
      <w:bookmarkEnd w:id="3"/>
      <w:r>
        <w:rPr>
          <w:rFonts w:hint="eastAsia"/>
          <w:color w:val="auto"/>
          <w:highlight w:val="none"/>
          <w:lang w:val="en-US" w:eastAsia="zh-CN"/>
        </w:rPr>
        <w:t xml:space="preserve">  《湖南省祁东县南冲（大马二期）风电场可行性研究报告》评审意见</w:t>
      </w:r>
    </w:p>
    <w:p w14:paraId="107C9C40">
      <w:pPr>
        <w:bidi w:val="0"/>
        <w:rPr>
          <w:rFonts w:hint="eastAsia"/>
          <w:color w:val="auto"/>
          <w:highlight w:val="none"/>
          <w:lang w:val="en-US" w:eastAsia="zh-CN"/>
        </w:rPr>
      </w:pPr>
      <w:bookmarkStart w:id="4" w:name="_Toc23064"/>
      <w:r>
        <w:rPr>
          <w:rFonts w:hint="default"/>
          <w:color w:val="auto"/>
          <w:highlight w:val="none"/>
          <w:lang w:val="en-US" w:eastAsia="zh-CN"/>
        </w:rPr>
        <w:t>附件5</w:t>
      </w:r>
      <w:r>
        <w:rPr>
          <w:rFonts w:hint="eastAsia"/>
          <w:color w:val="auto"/>
          <w:highlight w:val="none"/>
          <w:lang w:val="en-US" w:eastAsia="zh-CN"/>
        </w:rPr>
        <w:t xml:space="preserve">  </w:t>
      </w:r>
      <w:bookmarkEnd w:id="4"/>
      <w:r>
        <w:rPr>
          <w:rFonts w:hint="eastAsia"/>
          <w:color w:val="auto"/>
          <w:highlight w:val="none"/>
          <w:lang w:val="en-US" w:eastAsia="zh-CN"/>
        </w:rPr>
        <w:t>祁东县南冲风电场（大马二期）工程已纳入祁东县国土空间总体规划的证明</w:t>
      </w:r>
    </w:p>
    <w:p w14:paraId="0BB6380C">
      <w:pPr>
        <w:bidi w:val="0"/>
        <w:rPr>
          <w:rFonts w:hint="default"/>
          <w:color w:val="auto"/>
          <w:highlight w:val="none"/>
          <w:lang w:val="en-US" w:eastAsia="zh-CN"/>
        </w:rPr>
      </w:pPr>
      <w:bookmarkStart w:id="5" w:name="_Toc22947"/>
      <w:r>
        <w:rPr>
          <w:rFonts w:hint="default"/>
          <w:color w:val="auto"/>
          <w:highlight w:val="none"/>
          <w:lang w:val="en-US" w:eastAsia="zh-CN"/>
        </w:rPr>
        <w:t>附件6</w:t>
      </w:r>
      <w:r>
        <w:rPr>
          <w:rFonts w:hint="eastAsia"/>
          <w:color w:val="auto"/>
          <w:highlight w:val="none"/>
          <w:lang w:val="en-US" w:eastAsia="zh-CN"/>
        </w:rPr>
        <w:t xml:space="preserve">  </w:t>
      </w:r>
      <w:bookmarkEnd w:id="5"/>
      <w:r>
        <w:rPr>
          <w:rFonts w:hint="eastAsia"/>
          <w:color w:val="auto"/>
          <w:highlight w:val="none"/>
          <w:lang w:val="en-US" w:eastAsia="zh-CN"/>
        </w:rPr>
        <w:t>衡阳市林业局、祁东县林业局《关于祁东县南冲风电场（大马二期）选址的审查意见》</w:t>
      </w:r>
    </w:p>
    <w:p w14:paraId="0F6FAFC2">
      <w:pPr>
        <w:bidi w:val="0"/>
        <w:rPr>
          <w:rFonts w:hint="default"/>
          <w:color w:val="auto"/>
          <w:highlight w:val="none"/>
          <w:lang w:val="en-US" w:eastAsia="zh-CN"/>
        </w:rPr>
      </w:pPr>
      <w:bookmarkStart w:id="6" w:name="_Toc552"/>
      <w:r>
        <w:rPr>
          <w:rFonts w:hint="default"/>
          <w:color w:val="auto"/>
          <w:highlight w:val="none"/>
          <w:lang w:val="en-US" w:eastAsia="zh-CN"/>
        </w:rPr>
        <w:t>附件7</w:t>
      </w:r>
      <w:r>
        <w:rPr>
          <w:rFonts w:hint="eastAsia"/>
          <w:color w:val="auto"/>
          <w:highlight w:val="none"/>
          <w:lang w:val="en-US" w:eastAsia="zh-CN"/>
        </w:rPr>
        <w:t xml:space="preserve">  </w:t>
      </w:r>
      <w:bookmarkEnd w:id="6"/>
      <w:r>
        <w:rPr>
          <w:rFonts w:hint="eastAsia"/>
          <w:color w:val="auto"/>
          <w:highlight w:val="none"/>
          <w:lang w:val="en-US" w:eastAsia="zh-CN"/>
        </w:rPr>
        <w:t>祁东县水利局《关于祁东县南冲风电场（大马二期）用地选址的审核意见》（祁水规函[2022]4号）</w:t>
      </w:r>
    </w:p>
    <w:p w14:paraId="520E86B1">
      <w:pPr>
        <w:bidi w:val="0"/>
        <w:rPr>
          <w:rFonts w:hint="default"/>
          <w:color w:val="auto"/>
          <w:highlight w:val="none"/>
          <w:lang w:val="en-US" w:eastAsia="zh-CN"/>
        </w:rPr>
      </w:pPr>
      <w:bookmarkStart w:id="7" w:name="_Toc7705"/>
      <w:r>
        <w:rPr>
          <w:rFonts w:hint="default"/>
          <w:color w:val="auto"/>
          <w:highlight w:val="none"/>
          <w:lang w:val="en-US" w:eastAsia="zh-CN"/>
        </w:rPr>
        <w:t>附件8</w:t>
      </w:r>
      <w:r>
        <w:rPr>
          <w:rFonts w:hint="eastAsia"/>
          <w:color w:val="auto"/>
          <w:highlight w:val="none"/>
          <w:lang w:val="en-US" w:eastAsia="zh-CN"/>
        </w:rPr>
        <w:t xml:space="preserve">  </w:t>
      </w:r>
      <w:bookmarkEnd w:id="7"/>
      <w:r>
        <w:rPr>
          <w:rFonts w:hint="eastAsia"/>
          <w:color w:val="auto"/>
          <w:highlight w:val="none"/>
          <w:lang w:val="en-US" w:eastAsia="zh-CN"/>
        </w:rPr>
        <w:t>衡阳市生态环境局祁东分局《关于祁东县南冲（大马二期）风电场工程环评预审意见》</w:t>
      </w:r>
    </w:p>
    <w:p w14:paraId="5AA0FAED">
      <w:pPr>
        <w:bidi w:val="0"/>
        <w:rPr>
          <w:rFonts w:hint="default"/>
          <w:color w:val="auto"/>
          <w:highlight w:val="none"/>
          <w:lang w:val="en-US" w:eastAsia="zh-CN"/>
        </w:rPr>
      </w:pPr>
      <w:bookmarkStart w:id="8" w:name="_Toc10491"/>
      <w:r>
        <w:rPr>
          <w:rFonts w:hint="default"/>
          <w:color w:val="auto"/>
          <w:highlight w:val="none"/>
          <w:lang w:val="en-US" w:eastAsia="zh-CN"/>
        </w:rPr>
        <w:t>附件9</w:t>
      </w:r>
      <w:r>
        <w:rPr>
          <w:rFonts w:hint="eastAsia"/>
          <w:color w:val="auto"/>
          <w:highlight w:val="none"/>
          <w:lang w:val="en-US" w:eastAsia="zh-CN"/>
        </w:rPr>
        <w:t xml:space="preserve">  </w:t>
      </w:r>
      <w:bookmarkEnd w:id="8"/>
      <w:r>
        <w:rPr>
          <w:rFonts w:hint="eastAsia"/>
          <w:color w:val="auto"/>
          <w:highlight w:val="none"/>
          <w:lang w:val="en-US" w:eastAsia="zh-CN"/>
        </w:rPr>
        <w:t>祁东县人民武装部《关于祁东县南冲（大马二期）风电场项目选址的意见》</w:t>
      </w:r>
    </w:p>
    <w:p w14:paraId="07F9B329">
      <w:pPr>
        <w:bidi w:val="0"/>
        <w:rPr>
          <w:rFonts w:hint="default"/>
          <w:color w:val="auto"/>
          <w:highlight w:val="none"/>
          <w:lang w:val="en-US" w:eastAsia="zh-CN"/>
        </w:rPr>
      </w:pPr>
      <w:bookmarkStart w:id="9" w:name="_Toc20130"/>
      <w:r>
        <w:rPr>
          <w:rFonts w:hint="default"/>
          <w:color w:val="auto"/>
          <w:highlight w:val="none"/>
          <w:lang w:val="en-US" w:eastAsia="zh-CN"/>
        </w:rPr>
        <w:t>附件10</w:t>
      </w:r>
      <w:r>
        <w:rPr>
          <w:rFonts w:hint="eastAsia"/>
          <w:color w:val="auto"/>
          <w:highlight w:val="none"/>
          <w:lang w:val="en-US" w:eastAsia="zh-CN"/>
        </w:rPr>
        <w:t xml:space="preserve">  </w:t>
      </w:r>
      <w:bookmarkEnd w:id="9"/>
      <w:r>
        <w:rPr>
          <w:rFonts w:hint="eastAsia"/>
          <w:color w:val="auto"/>
          <w:highlight w:val="none"/>
          <w:lang w:val="en-US" w:eastAsia="zh-CN"/>
        </w:rPr>
        <w:t>祁东县文化遗产事务中心《关于祁东县南冲（大马二期）风电场址范围内文物情况的证明》</w:t>
      </w:r>
    </w:p>
    <w:p w14:paraId="0C8B565B">
      <w:pPr>
        <w:bidi w:val="0"/>
        <w:rPr>
          <w:rFonts w:hint="eastAsia"/>
          <w:color w:val="auto"/>
          <w:highlight w:val="none"/>
          <w:lang w:val="en-US" w:eastAsia="zh-CN"/>
        </w:rPr>
      </w:pPr>
      <w:bookmarkStart w:id="10" w:name="_Toc9075"/>
      <w:r>
        <w:rPr>
          <w:rFonts w:hint="default"/>
          <w:color w:val="auto"/>
          <w:highlight w:val="none"/>
          <w:lang w:val="en-US" w:eastAsia="zh-CN"/>
        </w:rPr>
        <w:t>附件11</w:t>
      </w:r>
      <w:r>
        <w:rPr>
          <w:rFonts w:hint="eastAsia"/>
          <w:color w:val="auto"/>
          <w:highlight w:val="none"/>
          <w:lang w:val="en-US" w:eastAsia="zh-CN"/>
        </w:rPr>
        <w:t xml:space="preserve">  </w:t>
      </w:r>
      <w:bookmarkEnd w:id="10"/>
      <w:r>
        <w:rPr>
          <w:rFonts w:hint="eastAsia"/>
          <w:color w:val="auto"/>
          <w:highlight w:val="none"/>
          <w:lang w:val="en-US" w:eastAsia="zh-CN"/>
        </w:rPr>
        <w:t>湖南省自然资源厅关于《祁东县南冲风电场（大马二期）》建设项目压覆重要矿产资源查询情况的说明</w:t>
      </w:r>
    </w:p>
    <w:p w14:paraId="687DD0B7">
      <w:pPr>
        <w:bidi w:val="0"/>
        <w:rPr>
          <w:rFonts w:hint="default"/>
          <w:color w:val="auto"/>
          <w:highlight w:val="none"/>
          <w:lang w:val="en-US" w:eastAsia="zh-CN"/>
        </w:rPr>
      </w:pPr>
      <w:bookmarkStart w:id="11" w:name="_Toc18852"/>
      <w:r>
        <w:rPr>
          <w:rFonts w:hint="default"/>
          <w:color w:val="auto"/>
          <w:highlight w:val="none"/>
          <w:lang w:val="en-US" w:eastAsia="zh-CN"/>
        </w:rPr>
        <w:t>附件12</w:t>
      </w:r>
      <w:bookmarkEnd w:id="11"/>
      <w:r>
        <w:rPr>
          <w:rFonts w:hint="eastAsia"/>
          <w:color w:val="auto"/>
          <w:highlight w:val="none"/>
          <w:lang w:val="en-US" w:eastAsia="zh-CN"/>
        </w:rPr>
        <w:t xml:space="preserve">  企业营业执照和法人身份证</w:t>
      </w:r>
    </w:p>
    <w:p w14:paraId="3E198E3F">
      <w:pPr>
        <w:bidi w:val="0"/>
        <w:rPr>
          <w:rFonts w:hint="default"/>
          <w:color w:val="auto"/>
          <w:highlight w:val="none"/>
          <w:lang w:val="en-US" w:eastAsia="zh-CN"/>
        </w:rPr>
      </w:pPr>
      <w:r>
        <w:rPr>
          <w:rFonts w:hint="default"/>
          <w:color w:val="auto"/>
          <w:highlight w:val="none"/>
          <w:lang w:val="en-US" w:eastAsia="zh-CN"/>
        </w:rPr>
        <w:t>附件13</w:t>
      </w:r>
      <w:r>
        <w:rPr>
          <w:rFonts w:hint="eastAsia"/>
          <w:color w:val="auto"/>
          <w:highlight w:val="none"/>
          <w:lang w:val="en-US" w:eastAsia="zh-CN"/>
        </w:rPr>
        <w:t xml:space="preserve">  湖南省生态环境厅关于《湖南省祁东县大马风电场工程环境影响报告表》的批复</w:t>
      </w:r>
    </w:p>
    <w:p w14:paraId="51538B80">
      <w:pPr>
        <w:bidi w:val="0"/>
        <w:rPr>
          <w:rFonts w:hint="eastAsia"/>
          <w:color w:val="auto"/>
          <w:highlight w:val="none"/>
          <w:lang w:val="en-US" w:eastAsia="zh-CN"/>
        </w:rPr>
      </w:pPr>
      <w:r>
        <w:rPr>
          <w:rFonts w:hint="eastAsia"/>
          <w:color w:val="auto"/>
          <w:highlight w:val="none"/>
          <w:lang w:val="en-US" w:eastAsia="zh-CN"/>
        </w:rPr>
        <w:t>附件14  《湖南省祁东县大马风电场工程竣工环境保护验收意见》</w:t>
      </w:r>
    </w:p>
    <w:p w14:paraId="588AC38C">
      <w:pPr>
        <w:bidi w:val="0"/>
        <w:rPr>
          <w:rFonts w:hint="eastAsia"/>
          <w:color w:val="auto"/>
          <w:highlight w:val="none"/>
          <w:lang w:val="en-US" w:eastAsia="zh-CN"/>
        </w:rPr>
      </w:pPr>
      <w:r>
        <w:rPr>
          <w:rFonts w:hint="eastAsia"/>
          <w:color w:val="auto"/>
          <w:highlight w:val="none"/>
          <w:lang w:val="en-US" w:eastAsia="zh-CN"/>
        </w:rPr>
        <w:t>附件15  《湖南省祁东县大马风电场工程竣工环境保护验收监测报告》</w:t>
      </w:r>
    </w:p>
    <w:p w14:paraId="2808A182">
      <w:pPr>
        <w:bidi w:val="0"/>
        <w:rPr>
          <w:rFonts w:hint="eastAsia"/>
          <w:color w:val="auto"/>
          <w:highlight w:val="none"/>
          <w:lang w:val="en-US" w:eastAsia="zh-CN"/>
        </w:rPr>
      </w:pPr>
      <w:r>
        <w:rPr>
          <w:rFonts w:hint="eastAsia"/>
          <w:color w:val="auto"/>
          <w:highlight w:val="none"/>
          <w:lang w:val="en-US" w:eastAsia="zh-CN"/>
        </w:rPr>
        <w:t>附件16  危险废物处置协议</w:t>
      </w:r>
    </w:p>
    <w:p w14:paraId="761C5AE5">
      <w:pPr>
        <w:bidi w:val="0"/>
        <w:rPr>
          <w:rFonts w:hint="eastAsia"/>
          <w:color w:val="auto"/>
          <w:highlight w:val="none"/>
          <w:lang w:val="en-US" w:eastAsia="zh-CN"/>
        </w:rPr>
      </w:pPr>
      <w:r>
        <w:rPr>
          <w:rFonts w:hint="eastAsia"/>
          <w:color w:val="auto"/>
          <w:highlight w:val="none"/>
          <w:lang w:val="en-US" w:eastAsia="zh-CN"/>
        </w:rPr>
        <w:t>附件17  监测报告</w:t>
      </w:r>
    </w:p>
    <w:p w14:paraId="1E3AE51E">
      <w:pPr>
        <w:bidi w:val="0"/>
        <w:rPr>
          <w:rFonts w:hint="eastAsia"/>
          <w:color w:val="auto"/>
          <w:highlight w:val="none"/>
          <w:lang w:val="en-US" w:eastAsia="zh-CN"/>
        </w:rPr>
      </w:pPr>
      <w:r>
        <w:rPr>
          <w:rFonts w:hint="eastAsia"/>
          <w:color w:val="auto"/>
          <w:highlight w:val="none"/>
          <w:lang w:val="en-US" w:eastAsia="zh-CN"/>
        </w:rPr>
        <w:t>附件18  三区三线查询结果</w:t>
      </w:r>
    </w:p>
    <w:p w14:paraId="0299B0A1">
      <w:pPr>
        <w:bidi w:val="0"/>
        <w:rPr>
          <w:rFonts w:hint="eastAsia"/>
          <w:color w:val="auto"/>
          <w:highlight w:val="none"/>
          <w:lang w:val="en-US" w:eastAsia="zh-CN"/>
        </w:rPr>
      </w:pPr>
      <w:r>
        <w:rPr>
          <w:rFonts w:hint="eastAsia"/>
          <w:color w:val="auto"/>
          <w:highlight w:val="none"/>
          <w:lang w:val="en-US" w:eastAsia="zh-CN"/>
        </w:rPr>
        <w:t>附件19  各村委会选址意见</w:t>
      </w:r>
    </w:p>
    <w:p w14:paraId="776EA25E">
      <w:pPr>
        <w:bidi w:val="0"/>
        <w:rPr>
          <w:rFonts w:hint="eastAsia"/>
          <w:color w:val="auto"/>
          <w:highlight w:val="none"/>
          <w:lang w:val="en-US" w:eastAsia="zh-CN"/>
        </w:rPr>
      </w:pPr>
      <w:r>
        <w:rPr>
          <w:rFonts w:hint="eastAsia"/>
          <w:color w:val="auto"/>
          <w:highlight w:val="none"/>
          <w:lang w:val="en-US" w:eastAsia="zh-CN"/>
        </w:rPr>
        <w:t>附件20  电磁环境影响评价类比监测报告</w:t>
      </w:r>
    </w:p>
    <w:p w14:paraId="201E626E">
      <w:pPr>
        <w:bidi w:val="0"/>
        <w:rPr>
          <w:rFonts w:hint="default"/>
          <w:color w:val="auto"/>
          <w:highlight w:val="none"/>
          <w:lang w:val="en-US" w:eastAsia="zh-CN"/>
        </w:rPr>
      </w:pPr>
      <w:r>
        <w:rPr>
          <w:rFonts w:hint="eastAsia"/>
          <w:color w:val="auto"/>
          <w:highlight w:val="none"/>
          <w:lang w:val="en-US" w:eastAsia="zh-CN"/>
        </w:rPr>
        <w:t xml:space="preserve">附件21  </w:t>
      </w:r>
      <w:r>
        <w:rPr>
          <w:rFonts w:hint="eastAsia" w:ascii="Times New Roman" w:hAnsi="Times New Roman" w:cs="Times New Roman"/>
          <w:sz w:val="24"/>
          <w:szCs w:val="24"/>
          <w:lang w:val="en-US" w:eastAsia="zh-CN"/>
        </w:rPr>
        <w:t>衡阳县人民政府关于同意建立衡阳县三阳自然保护区的批复（蒸政函[2012]4号）</w:t>
      </w:r>
    </w:p>
    <w:p w14:paraId="5704680F">
      <w:pPr>
        <w:bidi w:val="0"/>
        <w:rPr>
          <w:rFonts w:hint="default"/>
          <w:b/>
          <w:bCs/>
          <w:color w:val="auto"/>
          <w:highlight w:val="none"/>
        </w:rPr>
      </w:pPr>
      <w:bookmarkStart w:id="12" w:name="_Toc18267"/>
      <w:r>
        <w:rPr>
          <w:rFonts w:hint="default"/>
          <w:b/>
          <w:bCs/>
          <w:color w:val="auto"/>
          <w:highlight w:val="none"/>
        </w:rPr>
        <w:t>附图：</w:t>
      </w:r>
      <w:bookmarkEnd w:id="12"/>
    </w:p>
    <w:p w14:paraId="684C8299">
      <w:pPr>
        <w:bidi w:val="0"/>
        <w:rPr>
          <w:rFonts w:hint="default"/>
          <w:color w:val="auto"/>
          <w:highlight w:val="none"/>
          <w:lang w:val="en-US" w:eastAsia="zh-CN"/>
        </w:rPr>
      </w:pPr>
      <w:bookmarkStart w:id="13" w:name="_Toc8900"/>
      <w:r>
        <w:rPr>
          <w:rFonts w:hint="default"/>
          <w:color w:val="auto"/>
          <w:highlight w:val="none"/>
          <w:lang w:val="en-US" w:eastAsia="zh-CN"/>
        </w:rPr>
        <w:t>附图1</w:t>
      </w:r>
      <w:r>
        <w:rPr>
          <w:rFonts w:hint="eastAsia"/>
          <w:color w:val="auto"/>
          <w:highlight w:val="none"/>
          <w:lang w:val="en-US" w:eastAsia="zh-CN"/>
        </w:rPr>
        <w:t xml:space="preserve">  </w:t>
      </w:r>
      <w:r>
        <w:rPr>
          <w:rFonts w:hint="default"/>
          <w:color w:val="auto"/>
          <w:highlight w:val="none"/>
          <w:lang w:val="en-US" w:eastAsia="zh-CN"/>
        </w:rPr>
        <w:t>项目地理位置图</w:t>
      </w:r>
      <w:bookmarkEnd w:id="13"/>
    </w:p>
    <w:p w14:paraId="611BE5EE">
      <w:pPr>
        <w:bidi w:val="0"/>
        <w:rPr>
          <w:rFonts w:hint="default"/>
          <w:color w:val="auto"/>
          <w:highlight w:val="none"/>
          <w:lang w:val="en-US" w:eastAsia="zh-CN"/>
        </w:rPr>
      </w:pPr>
      <w:bookmarkStart w:id="14" w:name="_Toc25224"/>
      <w:r>
        <w:rPr>
          <w:rFonts w:hint="default"/>
          <w:color w:val="auto"/>
          <w:highlight w:val="none"/>
          <w:lang w:val="en-US" w:eastAsia="zh-CN"/>
        </w:rPr>
        <w:t>附图2</w:t>
      </w:r>
      <w:r>
        <w:rPr>
          <w:rFonts w:hint="eastAsia"/>
          <w:color w:val="auto"/>
          <w:highlight w:val="none"/>
          <w:lang w:val="en-US" w:eastAsia="zh-CN"/>
        </w:rPr>
        <w:t xml:space="preserve">  </w:t>
      </w:r>
      <w:bookmarkEnd w:id="14"/>
      <w:r>
        <w:rPr>
          <w:rFonts w:hint="eastAsia"/>
          <w:color w:val="auto"/>
          <w:highlight w:val="none"/>
          <w:lang w:val="en-US" w:eastAsia="zh-CN"/>
        </w:rPr>
        <w:t>本项目与大马风电场相对位置关系图</w:t>
      </w:r>
    </w:p>
    <w:p w14:paraId="03A38CA4">
      <w:pPr>
        <w:bidi w:val="0"/>
        <w:rPr>
          <w:rFonts w:hint="default"/>
          <w:color w:val="auto"/>
          <w:highlight w:val="none"/>
          <w:lang w:val="en-US" w:eastAsia="zh-CN"/>
        </w:rPr>
      </w:pPr>
      <w:bookmarkStart w:id="15" w:name="_Toc32302"/>
      <w:r>
        <w:rPr>
          <w:rFonts w:hint="default"/>
          <w:color w:val="auto"/>
          <w:highlight w:val="none"/>
          <w:lang w:val="en-US" w:eastAsia="zh-CN"/>
        </w:rPr>
        <w:t>附图3</w:t>
      </w:r>
      <w:r>
        <w:rPr>
          <w:rFonts w:hint="eastAsia"/>
          <w:color w:val="auto"/>
          <w:highlight w:val="none"/>
          <w:lang w:val="en-US" w:eastAsia="zh-CN"/>
        </w:rPr>
        <w:t xml:space="preserve">  </w:t>
      </w:r>
      <w:bookmarkEnd w:id="15"/>
      <w:r>
        <w:rPr>
          <w:rFonts w:hint="eastAsia" w:ascii="Times New Roman" w:hAnsi="Times New Roman" w:cs="Times New Roman"/>
          <w:sz w:val="24"/>
          <w:szCs w:val="24"/>
          <w:lang w:val="en-US" w:eastAsia="zh-CN"/>
        </w:rPr>
        <w:t>祁东县境内已建、拟建风电场与本项目位置关系</w:t>
      </w:r>
      <w:r>
        <w:rPr>
          <w:rFonts w:hint="default" w:ascii="Times New Roman" w:hAnsi="Times New Roman" w:cs="Times New Roman"/>
          <w:sz w:val="24"/>
          <w:szCs w:val="24"/>
          <w:lang w:val="en-US" w:eastAsia="zh-CN"/>
        </w:rPr>
        <w:t>图</w:t>
      </w:r>
    </w:p>
    <w:p w14:paraId="6EB66199">
      <w:pPr>
        <w:bidi w:val="0"/>
        <w:rPr>
          <w:rFonts w:hint="default"/>
          <w:color w:val="auto"/>
          <w:highlight w:val="none"/>
          <w:lang w:val="en-US" w:eastAsia="zh-CN"/>
        </w:rPr>
      </w:pPr>
      <w:bookmarkStart w:id="16" w:name="_Toc26521"/>
      <w:r>
        <w:rPr>
          <w:rFonts w:hint="default"/>
          <w:color w:val="auto"/>
          <w:highlight w:val="none"/>
          <w:lang w:val="en-US" w:eastAsia="zh-CN"/>
        </w:rPr>
        <w:t>附图4</w:t>
      </w:r>
      <w:r>
        <w:rPr>
          <w:rFonts w:hint="eastAsia"/>
          <w:color w:val="auto"/>
          <w:highlight w:val="none"/>
          <w:lang w:val="en-US" w:eastAsia="zh-CN"/>
        </w:rPr>
        <w:t xml:space="preserve">  </w:t>
      </w:r>
      <w:bookmarkEnd w:id="16"/>
      <w:r>
        <w:rPr>
          <w:rFonts w:hint="eastAsia" w:ascii="Times New Roman" w:hAnsi="Times New Roman" w:cs="Times New Roman"/>
          <w:sz w:val="24"/>
          <w:szCs w:val="24"/>
          <w:lang w:val="en-US" w:eastAsia="zh-CN"/>
        </w:rPr>
        <w:t>总平面布置</w:t>
      </w:r>
      <w:r>
        <w:rPr>
          <w:rFonts w:hint="default" w:ascii="Times New Roman" w:hAnsi="Times New Roman" w:cs="Times New Roman"/>
          <w:sz w:val="24"/>
          <w:szCs w:val="24"/>
          <w:lang w:val="en-US" w:eastAsia="zh-CN"/>
        </w:rPr>
        <w:t>图</w:t>
      </w:r>
      <w:r>
        <w:rPr>
          <w:rFonts w:hint="eastAsia" w:ascii="Times New Roman" w:hAnsi="Times New Roman" w:cs="Times New Roman"/>
          <w:sz w:val="24"/>
          <w:szCs w:val="24"/>
          <w:lang w:val="en-US" w:eastAsia="zh-CN"/>
        </w:rPr>
        <w:t>（分3幅）</w:t>
      </w:r>
    </w:p>
    <w:p w14:paraId="2A6C4F04">
      <w:pPr>
        <w:bidi w:val="0"/>
        <w:rPr>
          <w:rFonts w:hint="default"/>
          <w:color w:val="auto"/>
          <w:highlight w:val="none"/>
          <w:lang w:val="en-US" w:eastAsia="zh-CN"/>
        </w:rPr>
      </w:pPr>
      <w:bookmarkStart w:id="17" w:name="_Toc20149"/>
      <w:r>
        <w:rPr>
          <w:rFonts w:hint="default"/>
          <w:color w:val="auto"/>
          <w:highlight w:val="none"/>
          <w:lang w:val="en-US" w:eastAsia="zh-CN"/>
        </w:rPr>
        <w:t>附图</w:t>
      </w:r>
      <w:r>
        <w:rPr>
          <w:rFonts w:hint="eastAsia"/>
          <w:color w:val="auto"/>
          <w:highlight w:val="none"/>
          <w:lang w:val="en-US" w:eastAsia="zh-CN"/>
        </w:rPr>
        <w:t xml:space="preserve">4-1  </w:t>
      </w:r>
      <w:bookmarkEnd w:id="17"/>
      <w:r>
        <w:rPr>
          <w:rFonts w:hint="eastAsia" w:ascii="Times New Roman" w:hAnsi="Times New Roman" w:cs="Times New Roman"/>
          <w:sz w:val="24"/>
          <w:szCs w:val="24"/>
          <w:lang w:val="en-US" w:eastAsia="zh-CN"/>
        </w:rPr>
        <w:t>总平面布置图图幅1</w:t>
      </w:r>
    </w:p>
    <w:p w14:paraId="0561B6D7">
      <w:pPr>
        <w:bidi w:val="0"/>
        <w:rPr>
          <w:rFonts w:hint="default"/>
          <w:color w:val="auto"/>
          <w:highlight w:val="none"/>
          <w:lang w:val="en-US" w:eastAsia="zh-CN"/>
        </w:rPr>
      </w:pPr>
      <w:bookmarkStart w:id="18" w:name="_Toc26105"/>
      <w:r>
        <w:rPr>
          <w:rFonts w:hint="default"/>
          <w:color w:val="auto"/>
          <w:highlight w:val="none"/>
          <w:lang w:val="en-US" w:eastAsia="zh-CN"/>
        </w:rPr>
        <w:t>附图</w:t>
      </w:r>
      <w:r>
        <w:rPr>
          <w:rFonts w:hint="eastAsia"/>
          <w:color w:val="auto"/>
          <w:highlight w:val="none"/>
          <w:lang w:val="en-US" w:eastAsia="zh-CN"/>
        </w:rPr>
        <w:t xml:space="preserve">4-2  </w:t>
      </w:r>
      <w:bookmarkEnd w:id="18"/>
      <w:r>
        <w:rPr>
          <w:rFonts w:hint="eastAsia" w:ascii="Times New Roman" w:hAnsi="Times New Roman" w:cs="Times New Roman"/>
          <w:sz w:val="24"/>
          <w:szCs w:val="24"/>
          <w:lang w:val="en-US" w:eastAsia="zh-CN"/>
        </w:rPr>
        <w:t>总平面布置</w:t>
      </w:r>
      <w:r>
        <w:rPr>
          <w:rFonts w:hint="default" w:ascii="Times New Roman" w:hAnsi="Times New Roman" w:cs="Times New Roman"/>
          <w:sz w:val="24"/>
          <w:szCs w:val="24"/>
          <w:lang w:val="en-US" w:eastAsia="zh-CN"/>
        </w:rPr>
        <w:t>图</w:t>
      </w:r>
      <w:r>
        <w:rPr>
          <w:rFonts w:hint="eastAsia" w:ascii="Times New Roman" w:hAnsi="Times New Roman" w:cs="Times New Roman"/>
          <w:sz w:val="24"/>
          <w:szCs w:val="24"/>
          <w:lang w:val="en-US" w:eastAsia="zh-CN"/>
        </w:rPr>
        <w:t>图幅2</w:t>
      </w:r>
    </w:p>
    <w:p w14:paraId="644C13AB">
      <w:pPr>
        <w:bidi w:val="0"/>
        <w:rPr>
          <w:rFonts w:hint="default"/>
          <w:color w:val="auto"/>
          <w:highlight w:val="none"/>
          <w:lang w:val="en-US" w:eastAsia="zh-CN"/>
        </w:rPr>
      </w:pPr>
      <w:bookmarkStart w:id="19" w:name="_Toc22105"/>
      <w:r>
        <w:rPr>
          <w:rFonts w:hint="default"/>
          <w:color w:val="auto"/>
          <w:highlight w:val="none"/>
          <w:lang w:val="en-US" w:eastAsia="zh-CN"/>
        </w:rPr>
        <w:t>附图</w:t>
      </w:r>
      <w:r>
        <w:rPr>
          <w:rFonts w:hint="eastAsia"/>
          <w:color w:val="auto"/>
          <w:highlight w:val="none"/>
          <w:lang w:val="en-US" w:eastAsia="zh-CN"/>
        </w:rPr>
        <w:t xml:space="preserve">4-3  </w:t>
      </w:r>
      <w:bookmarkEnd w:id="19"/>
      <w:r>
        <w:rPr>
          <w:rFonts w:hint="eastAsia" w:ascii="Times New Roman" w:hAnsi="Times New Roman" w:cs="Times New Roman"/>
          <w:sz w:val="24"/>
          <w:szCs w:val="24"/>
          <w:lang w:val="en-US" w:eastAsia="zh-CN"/>
        </w:rPr>
        <w:t>总平面布置图图幅3</w:t>
      </w:r>
    </w:p>
    <w:p w14:paraId="365E892D">
      <w:pPr>
        <w:bidi w:val="0"/>
        <w:rPr>
          <w:rFonts w:hint="eastAsia"/>
          <w:color w:val="auto"/>
          <w:highlight w:val="none"/>
          <w:lang w:val="en-US" w:eastAsia="zh-CN"/>
        </w:rPr>
      </w:pPr>
      <w:r>
        <w:rPr>
          <w:rFonts w:hint="eastAsia"/>
          <w:color w:val="auto"/>
          <w:highlight w:val="none"/>
          <w:lang w:val="en-US" w:eastAsia="zh-CN"/>
        </w:rPr>
        <w:t xml:space="preserve">附图4-4  </w:t>
      </w:r>
      <w:r>
        <w:rPr>
          <w:rFonts w:hint="eastAsia" w:ascii="Times New Roman" w:hAnsi="Times New Roman" w:cs="Times New Roman"/>
          <w:sz w:val="24"/>
          <w:szCs w:val="24"/>
          <w:lang w:val="en-US" w:eastAsia="zh-CN"/>
        </w:rPr>
        <w:t>工程集电线路分布示意</w:t>
      </w:r>
      <w:r>
        <w:rPr>
          <w:rFonts w:hint="default" w:ascii="Times New Roman" w:hAnsi="Times New Roman" w:cs="Times New Roman"/>
          <w:sz w:val="24"/>
          <w:szCs w:val="24"/>
          <w:lang w:val="en-US" w:eastAsia="zh-CN"/>
        </w:rPr>
        <w:t>图</w:t>
      </w:r>
    </w:p>
    <w:p w14:paraId="0A789250">
      <w:pPr>
        <w:bidi w:val="0"/>
        <w:rPr>
          <w:rFonts w:hint="default"/>
          <w:color w:val="auto"/>
          <w:highlight w:val="none"/>
          <w:lang w:val="en-US" w:eastAsia="zh-CN"/>
        </w:rPr>
      </w:pPr>
      <w:r>
        <w:rPr>
          <w:rFonts w:hint="eastAsia"/>
          <w:color w:val="auto"/>
          <w:highlight w:val="none"/>
          <w:lang w:val="en-US" w:eastAsia="zh-CN"/>
        </w:rPr>
        <w:t xml:space="preserve">附图4-5  </w:t>
      </w:r>
      <w:r>
        <w:rPr>
          <w:rFonts w:hint="eastAsia" w:ascii="Times New Roman" w:hAnsi="Times New Roman" w:cs="Times New Roman"/>
          <w:sz w:val="24"/>
          <w:szCs w:val="24"/>
          <w:lang w:val="en-US" w:eastAsia="zh-CN"/>
        </w:rPr>
        <w:t>110kV升压站总平面布置图</w:t>
      </w:r>
    </w:p>
    <w:p w14:paraId="44F1E9FC">
      <w:pPr>
        <w:bidi w:val="0"/>
        <w:rPr>
          <w:rFonts w:hint="eastAsia"/>
          <w:color w:val="auto"/>
          <w:highlight w:val="none"/>
          <w:lang w:val="en-US" w:eastAsia="zh-CN"/>
        </w:rPr>
      </w:pPr>
      <w:r>
        <w:rPr>
          <w:rFonts w:hint="eastAsia"/>
          <w:color w:val="auto"/>
          <w:highlight w:val="none"/>
          <w:lang w:val="en-US" w:eastAsia="zh-CN"/>
        </w:rPr>
        <w:t xml:space="preserve">附图5  </w:t>
      </w:r>
      <w:r>
        <w:rPr>
          <w:rFonts w:hint="eastAsia" w:ascii="Times New Roman" w:hAnsi="Times New Roman" w:cs="Times New Roman"/>
          <w:sz w:val="24"/>
          <w:szCs w:val="24"/>
          <w:lang w:val="en-US" w:eastAsia="zh-CN"/>
        </w:rPr>
        <w:t>风机及升压站包络范围及环保目标分布图</w:t>
      </w:r>
    </w:p>
    <w:p w14:paraId="43AA70C7">
      <w:pPr>
        <w:bidi w:val="0"/>
        <w:rPr>
          <w:rFonts w:hint="eastAsia"/>
          <w:color w:val="auto"/>
          <w:highlight w:val="none"/>
          <w:lang w:val="en-US" w:eastAsia="zh-CN"/>
        </w:rPr>
      </w:pPr>
      <w:r>
        <w:rPr>
          <w:rFonts w:hint="eastAsia"/>
          <w:color w:val="auto"/>
          <w:highlight w:val="none"/>
          <w:lang w:val="en-US" w:eastAsia="zh-CN"/>
        </w:rPr>
        <w:t xml:space="preserve">附图6  </w:t>
      </w:r>
      <w:r>
        <w:rPr>
          <w:rFonts w:hint="eastAsia" w:ascii="Times New Roman" w:hAnsi="Times New Roman" w:cs="Times New Roman"/>
          <w:sz w:val="24"/>
          <w:szCs w:val="24"/>
          <w:lang w:val="en-US" w:eastAsia="zh-CN"/>
        </w:rPr>
        <w:t>进场道路大气和声环境保护目标图</w:t>
      </w:r>
    </w:p>
    <w:p w14:paraId="1F53AC7A">
      <w:pPr>
        <w:bidi w:val="0"/>
        <w:rPr>
          <w:rFonts w:hint="eastAsia"/>
          <w:color w:val="auto"/>
          <w:highlight w:val="none"/>
          <w:lang w:val="en-US" w:eastAsia="zh-CN"/>
        </w:rPr>
      </w:pPr>
      <w:r>
        <w:rPr>
          <w:rFonts w:hint="eastAsia"/>
          <w:color w:val="auto"/>
          <w:highlight w:val="none"/>
          <w:lang w:val="en-US" w:eastAsia="zh-CN"/>
        </w:rPr>
        <w:t xml:space="preserve">附图7  </w:t>
      </w:r>
      <w:r>
        <w:rPr>
          <w:rFonts w:hint="eastAsia" w:ascii="Times New Roman" w:hAnsi="Times New Roman" w:cs="Times New Roman"/>
          <w:sz w:val="24"/>
          <w:szCs w:val="24"/>
          <w:lang w:val="en-US" w:eastAsia="zh-CN"/>
        </w:rPr>
        <w:t>区域水系及地表水环境保护目标图</w:t>
      </w:r>
    </w:p>
    <w:p w14:paraId="64856C70">
      <w:pPr>
        <w:bidi w:val="0"/>
        <w:rPr>
          <w:rFonts w:hint="eastAsia"/>
          <w:color w:val="auto"/>
          <w:highlight w:val="none"/>
          <w:lang w:val="en-US" w:eastAsia="zh-CN"/>
        </w:rPr>
      </w:pPr>
      <w:r>
        <w:rPr>
          <w:rFonts w:hint="eastAsia"/>
          <w:color w:val="auto"/>
          <w:highlight w:val="none"/>
          <w:lang w:val="en-US" w:eastAsia="zh-CN"/>
        </w:rPr>
        <w:t xml:space="preserve">附图8  </w:t>
      </w:r>
      <w:r>
        <w:rPr>
          <w:rFonts w:hint="eastAsia" w:ascii="Times New Roman" w:hAnsi="Times New Roman" w:cs="Times New Roman"/>
          <w:sz w:val="24"/>
          <w:szCs w:val="24"/>
          <w:lang w:val="en-US" w:eastAsia="zh-CN"/>
        </w:rPr>
        <w:t>现状监测布点图</w:t>
      </w:r>
    </w:p>
    <w:p w14:paraId="1A4B706D">
      <w:pPr>
        <w:bidi w:val="0"/>
        <w:rPr>
          <w:rFonts w:hint="eastAsia"/>
          <w:color w:val="auto"/>
          <w:highlight w:val="none"/>
          <w:lang w:val="en-US" w:eastAsia="zh-CN"/>
        </w:rPr>
      </w:pPr>
      <w:r>
        <w:rPr>
          <w:rFonts w:hint="eastAsia"/>
          <w:color w:val="auto"/>
          <w:highlight w:val="none"/>
          <w:lang w:val="en-US" w:eastAsia="zh-CN"/>
        </w:rPr>
        <w:t xml:space="preserve">附图9  </w:t>
      </w:r>
      <w:r>
        <w:rPr>
          <w:rFonts w:hint="eastAsia" w:ascii="Times New Roman" w:hAnsi="Times New Roman" w:cs="Times New Roman"/>
          <w:sz w:val="24"/>
          <w:szCs w:val="24"/>
          <w:lang w:val="en-US" w:eastAsia="zh-CN"/>
        </w:rPr>
        <w:t>本项目1#机位及进场道路与炳溪冲水库饮用水源保护区位置关系图（三维影像）</w:t>
      </w:r>
    </w:p>
    <w:p w14:paraId="48B4713A">
      <w:pPr>
        <w:bidi w:val="0"/>
        <w:rPr>
          <w:rFonts w:hint="eastAsia"/>
          <w:color w:val="auto"/>
          <w:highlight w:val="none"/>
          <w:lang w:val="en-US" w:eastAsia="zh-CN"/>
        </w:rPr>
      </w:pPr>
      <w:r>
        <w:rPr>
          <w:rFonts w:hint="eastAsia"/>
          <w:color w:val="auto"/>
          <w:highlight w:val="none"/>
          <w:lang w:val="en-US" w:eastAsia="zh-CN"/>
        </w:rPr>
        <w:t xml:space="preserve">附图10  </w:t>
      </w:r>
      <w:r>
        <w:rPr>
          <w:rFonts w:hint="eastAsia" w:ascii="Times New Roman" w:hAnsi="Times New Roman" w:cs="Times New Roman"/>
          <w:sz w:val="24"/>
          <w:szCs w:val="24"/>
          <w:lang w:val="en-US" w:eastAsia="zh-CN"/>
        </w:rPr>
        <w:t>本项目5#机位及进场道路与刘家冲水库饮用水源保护区位置关系图（二维影像）</w:t>
      </w:r>
    </w:p>
    <w:p w14:paraId="1AC72D1E">
      <w:pPr>
        <w:bidi w:val="0"/>
        <w:rPr>
          <w:rFonts w:hint="eastAsia"/>
          <w:color w:val="auto"/>
          <w:highlight w:val="none"/>
          <w:lang w:val="en-US" w:eastAsia="zh-CN"/>
        </w:rPr>
      </w:pPr>
      <w:r>
        <w:rPr>
          <w:rFonts w:hint="eastAsia"/>
          <w:color w:val="auto"/>
          <w:highlight w:val="none"/>
          <w:lang w:val="en-US" w:eastAsia="zh-CN"/>
        </w:rPr>
        <w:t xml:space="preserve">附图11  </w:t>
      </w:r>
      <w:r>
        <w:rPr>
          <w:rFonts w:hint="eastAsia" w:ascii="Times New Roman" w:hAnsi="Times New Roman" w:cs="Times New Roman"/>
          <w:sz w:val="24"/>
          <w:szCs w:val="24"/>
          <w:lang w:val="en-US" w:eastAsia="zh-CN"/>
        </w:rPr>
        <w:t>本项目13#、14#、15#风机及进场道路与3处山溪饮用水水源保护区位置关系图（二维影像）</w:t>
      </w:r>
    </w:p>
    <w:p w14:paraId="525D634F">
      <w:pPr>
        <w:bidi w:val="0"/>
        <w:rPr>
          <w:rFonts w:hint="eastAsia"/>
          <w:color w:val="auto"/>
          <w:highlight w:val="none"/>
          <w:lang w:val="en-US" w:eastAsia="zh-CN"/>
        </w:rPr>
      </w:pPr>
      <w:r>
        <w:rPr>
          <w:rFonts w:hint="eastAsia"/>
          <w:color w:val="auto"/>
          <w:highlight w:val="none"/>
          <w:lang w:val="en-US" w:eastAsia="zh-CN"/>
        </w:rPr>
        <w:t xml:space="preserve">附图11-1  </w:t>
      </w:r>
      <w:r>
        <w:rPr>
          <w:rFonts w:hint="eastAsia" w:ascii="Times New Roman" w:hAnsi="Times New Roman" w:cs="Times New Roman"/>
          <w:sz w:val="24"/>
          <w:szCs w:val="24"/>
          <w:lang w:val="en-US" w:eastAsia="zh-CN"/>
        </w:rPr>
        <w:t>13#机位及进场道路与马杜桥乡延塘村山溪饮用水水源保护区位置关系图（三维影像）</w:t>
      </w:r>
    </w:p>
    <w:p w14:paraId="485EEBE3">
      <w:pPr>
        <w:bidi w:val="0"/>
        <w:rPr>
          <w:rFonts w:hint="eastAsia"/>
          <w:color w:val="auto"/>
          <w:highlight w:val="none"/>
          <w:lang w:val="en-US" w:eastAsia="zh-CN"/>
        </w:rPr>
      </w:pPr>
      <w:r>
        <w:rPr>
          <w:rFonts w:hint="eastAsia"/>
          <w:color w:val="auto"/>
          <w:highlight w:val="none"/>
          <w:lang w:val="en-US" w:eastAsia="zh-CN"/>
        </w:rPr>
        <w:t xml:space="preserve">附图11-2  </w:t>
      </w:r>
      <w:r>
        <w:rPr>
          <w:rFonts w:hint="eastAsia" w:ascii="Times New Roman" w:hAnsi="Times New Roman" w:cs="Times New Roman"/>
          <w:sz w:val="24"/>
          <w:szCs w:val="24"/>
          <w:lang w:val="en-US" w:eastAsia="zh-CN"/>
        </w:rPr>
        <w:t>14#机位及进场道路与马杜桥乡马杜桥村（罗江桥）山溪饮用水水源保护区位置关系图（三维影像）</w:t>
      </w:r>
    </w:p>
    <w:p w14:paraId="62D91EB8">
      <w:pPr>
        <w:bidi w:val="0"/>
        <w:rPr>
          <w:rFonts w:hint="eastAsia"/>
          <w:color w:val="auto"/>
          <w:highlight w:val="none"/>
          <w:lang w:val="en-US" w:eastAsia="zh-CN"/>
        </w:rPr>
      </w:pPr>
      <w:r>
        <w:rPr>
          <w:rFonts w:hint="eastAsia"/>
          <w:color w:val="auto"/>
          <w:highlight w:val="none"/>
          <w:lang w:val="en-US" w:eastAsia="zh-CN"/>
        </w:rPr>
        <w:t xml:space="preserve">附图11-3  </w:t>
      </w:r>
      <w:r>
        <w:rPr>
          <w:rFonts w:hint="eastAsia" w:ascii="Times New Roman" w:hAnsi="Times New Roman" w:cs="Times New Roman"/>
          <w:sz w:val="24"/>
          <w:szCs w:val="24"/>
          <w:lang w:val="en-US" w:eastAsia="zh-CN"/>
        </w:rPr>
        <w:t>15#机位及进场道路与马杜桥乡山溪饮用水水源保护区位置关系图（三维影像）</w:t>
      </w:r>
    </w:p>
    <w:p w14:paraId="65269177">
      <w:pPr>
        <w:bidi w:val="0"/>
        <w:rPr>
          <w:rFonts w:hint="eastAsia"/>
          <w:color w:val="auto"/>
          <w:highlight w:val="none"/>
          <w:lang w:val="en-US" w:eastAsia="zh-CN"/>
        </w:rPr>
      </w:pPr>
      <w:r>
        <w:rPr>
          <w:rFonts w:hint="eastAsia"/>
          <w:color w:val="auto"/>
          <w:highlight w:val="none"/>
          <w:lang w:val="en-US" w:eastAsia="zh-CN"/>
        </w:rPr>
        <w:t xml:space="preserve">附图12  </w:t>
      </w:r>
      <w:r>
        <w:rPr>
          <w:rFonts w:hint="eastAsia" w:ascii="Times New Roman" w:hAnsi="Times New Roman" w:cs="Times New Roman"/>
          <w:sz w:val="24"/>
          <w:szCs w:val="24"/>
          <w:lang w:val="en-US" w:eastAsia="zh-CN"/>
        </w:rPr>
        <w:t>衡阳县三阳自然保护区功能分区及与本项目位置关系图</w:t>
      </w:r>
    </w:p>
    <w:p w14:paraId="6EFDA8FF">
      <w:pPr>
        <w:bidi w:val="0"/>
        <w:rPr>
          <w:rFonts w:hint="eastAsia"/>
          <w:color w:val="auto"/>
          <w:highlight w:val="none"/>
          <w:lang w:val="en-US" w:eastAsia="zh-CN"/>
        </w:rPr>
      </w:pPr>
      <w:r>
        <w:rPr>
          <w:rFonts w:hint="eastAsia"/>
          <w:color w:val="auto"/>
          <w:highlight w:val="none"/>
          <w:lang w:val="en-US" w:eastAsia="zh-CN"/>
        </w:rPr>
        <w:t xml:space="preserve">附图13  </w:t>
      </w:r>
      <w:r>
        <w:rPr>
          <w:rFonts w:hint="eastAsia" w:ascii="Times New Roman" w:hAnsi="Times New Roman" w:cs="Times New Roman"/>
          <w:sz w:val="24"/>
          <w:szCs w:val="24"/>
          <w:lang w:val="en-US" w:eastAsia="zh-CN"/>
        </w:rPr>
        <w:t>本项目与衡阳县三阳自然保护区三维位置关系图</w:t>
      </w:r>
    </w:p>
    <w:p w14:paraId="4B6C9576">
      <w:pPr>
        <w:bidi w:val="0"/>
        <w:rPr>
          <w:rFonts w:hint="eastAsia" w:ascii="Times New Roman" w:hAnsi="Times New Roman" w:cs="Times New Roman"/>
          <w:sz w:val="24"/>
          <w:szCs w:val="24"/>
          <w:lang w:val="en-US" w:eastAsia="zh-CN"/>
        </w:rPr>
      </w:pPr>
      <w:r>
        <w:rPr>
          <w:rFonts w:hint="eastAsia"/>
          <w:color w:val="auto"/>
          <w:highlight w:val="none"/>
          <w:lang w:val="en-US" w:eastAsia="zh-CN"/>
        </w:rPr>
        <w:t xml:space="preserve">附图14  </w:t>
      </w:r>
      <w:r>
        <w:rPr>
          <w:rFonts w:hint="eastAsia" w:ascii="Times New Roman" w:hAnsi="Times New Roman" w:cs="Times New Roman"/>
          <w:sz w:val="24"/>
          <w:szCs w:val="24"/>
          <w:lang w:val="en-US" w:eastAsia="zh-CN"/>
        </w:rPr>
        <w:t>本项目与鸟类迁徙通道位置关系图</w:t>
      </w:r>
    </w:p>
    <w:p w14:paraId="343EE827">
      <w:pPr>
        <w:bidi w:val="0"/>
        <w:rPr>
          <w:rFonts w:hint="eastAsia" w:ascii="Times New Roman" w:hAnsi="Times New Roman" w:cs="Times New Roman"/>
          <w:sz w:val="24"/>
          <w:szCs w:val="24"/>
          <w:lang w:val="en-US" w:eastAsia="zh-CN"/>
        </w:rPr>
      </w:pPr>
      <w:r>
        <w:rPr>
          <w:rFonts w:hint="eastAsia"/>
          <w:color w:val="auto"/>
          <w:highlight w:val="none"/>
          <w:lang w:val="en-US" w:eastAsia="zh-CN"/>
        </w:rPr>
        <w:t xml:space="preserve">附图15  </w:t>
      </w:r>
      <w:r>
        <w:rPr>
          <w:rFonts w:hint="eastAsia" w:ascii="Times New Roman" w:hAnsi="Times New Roman" w:cs="Times New Roman"/>
          <w:sz w:val="24"/>
          <w:szCs w:val="24"/>
          <w:lang w:val="en-US" w:eastAsia="zh-CN"/>
        </w:rPr>
        <w:t>植被类型图</w:t>
      </w:r>
    </w:p>
    <w:p w14:paraId="4E117873">
      <w:pPr>
        <w:bidi w:val="0"/>
        <w:rPr>
          <w:rFonts w:hint="default" w:cs="Times New Roman"/>
          <w:sz w:val="24"/>
          <w:szCs w:val="24"/>
          <w:lang w:val="en-US" w:eastAsia="zh-CN"/>
        </w:rPr>
      </w:pPr>
      <w:r>
        <w:rPr>
          <w:rFonts w:hint="eastAsia" w:cs="Times New Roman"/>
          <w:sz w:val="24"/>
          <w:szCs w:val="24"/>
          <w:lang w:val="en-US" w:eastAsia="zh-CN"/>
        </w:rPr>
        <w:t xml:space="preserve">附图16  </w:t>
      </w:r>
      <w:r>
        <w:rPr>
          <w:rFonts w:hint="eastAsia" w:ascii="Times New Roman" w:hAnsi="Times New Roman" w:cs="Times New Roman"/>
          <w:sz w:val="24"/>
          <w:szCs w:val="24"/>
          <w:lang w:val="en-US" w:eastAsia="zh-CN"/>
        </w:rPr>
        <w:t>土地利用图</w:t>
      </w:r>
    </w:p>
    <w:p w14:paraId="789EDCA0">
      <w:pPr>
        <w:bidi w:val="0"/>
        <w:rPr>
          <w:rFonts w:hint="default" w:cs="Times New Roman"/>
          <w:sz w:val="24"/>
          <w:szCs w:val="24"/>
          <w:lang w:val="en-US" w:eastAsia="zh-CN"/>
        </w:rPr>
      </w:pPr>
      <w:r>
        <w:rPr>
          <w:rFonts w:hint="eastAsia" w:cs="Times New Roman"/>
          <w:sz w:val="24"/>
          <w:szCs w:val="24"/>
          <w:lang w:val="en-US" w:eastAsia="zh-CN"/>
        </w:rPr>
        <w:t xml:space="preserve">附图17  </w:t>
      </w:r>
      <w:r>
        <w:rPr>
          <w:rFonts w:hint="eastAsia" w:ascii="Times New Roman" w:hAnsi="Times New Roman" w:cs="Times New Roman"/>
          <w:sz w:val="24"/>
          <w:szCs w:val="24"/>
          <w:lang w:val="en-US" w:eastAsia="zh-CN"/>
        </w:rPr>
        <w:t>生态保护措施示意图</w:t>
      </w:r>
    </w:p>
    <w:p w14:paraId="75EEEEFB">
      <w:pPr>
        <w:bidi w:val="0"/>
        <w:rPr>
          <w:rFonts w:hint="default" w:cs="Times New Roman"/>
          <w:sz w:val="24"/>
          <w:szCs w:val="24"/>
          <w:lang w:val="en-US" w:eastAsia="zh-CN"/>
        </w:rPr>
      </w:pPr>
      <w:r>
        <w:rPr>
          <w:rFonts w:hint="eastAsia" w:cs="Times New Roman"/>
          <w:sz w:val="24"/>
          <w:szCs w:val="24"/>
          <w:lang w:val="en-US" w:eastAsia="zh-CN"/>
        </w:rPr>
        <w:t xml:space="preserve">附图18  </w:t>
      </w:r>
      <w:r>
        <w:rPr>
          <w:rFonts w:hint="eastAsia" w:ascii="Times New Roman" w:hAnsi="Times New Roman" w:cs="Times New Roman"/>
          <w:sz w:val="24"/>
          <w:szCs w:val="24"/>
          <w:lang w:val="en-US" w:eastAsia="zh-CN"/>
        </w:rPr>
        <w:t>风机机位掠影及现场照片图</w:t>
      </w:r>
    </w:p>
    <w:p w14:paraId="2FE04932">
      <w:pPr>
        <w:rPr>
          <w:rFonts w:hint="default"/>
          <w:color w:val="auto"/>
          <w:highlight w:val="none"/>
        </w:rPr>
        <w:sectPr>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docGrid w:type="lines" w:linePitch="312" w:charSpace="0"/>
        </w:sectPr>
      </w:pPr>
    </w:p>
    <w:p w14:paraId="5083D712">
      <w:pPr>
        <w:pStyle w:val="3"/>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 xml:space="preserve"> </w:t>
      </w:r>
      <w:bookmarkStart w:id="20" w:name="_Toc24368"/>
      <w:bookmarkStart w:id="21" w:name="_Toc16669"/>
      <w:r>
        <w:rPr>
          <w:rFonts w:hint="default" w:ascii="Times New Roman" w:hAnsi="Times New Roman" w:cs="Times New Roman"/>
          <w:color w:val="auto"/>
          <w:highlight w:val="none"/>
        </w:rPr>
        <w:t>概述</w:t>
      </w:r>
      <w:bookmarkEnd w:id="20"/>
      <w:bookmarkEnd w:id="21"/>
    </w:p>
    <w:p w14:paraId="004AF3D7">
      <w:pPr>
        <w:pStyle w:val="4"/>
        <w:rPr>
          <w:rFonts w:hint="default" w:ascii="Times New Roman" w:hAnsi="Times New Roman" w:cs="Times New Roman"/>
          <w:color w:val="auto"/>
          <w:highlight w:val="none"/>
        </w:rPr>
      </w:pPr>
      <w:bookmarkStart w:id="22" w:name="_Toc23213"/>
      <w:bookmarkStart w:id="23" w:name="_Toc6673"/>
      <w:bookmarkStart w:id="24" w:name="_Toc27164"/>
      <w:bookmarkStart w:id="25" w:name="_Toc3455"/>
      <w:bookmarkStart w:id="26" w:name="_Toc366221301"/>
      <w:r>
        <w:rPr>
          <w:rFonts w:hint="default" w:ascii="Times New Roman" w:hAnsi="Times New Roman" w:cs="Times New Roman"/>
          <w:color w:val="auto"/>
          <w:highlight w:val="none"/>
        </w:rPr>
        <w:t>项目由来</w:t>
      </w:r>
      <w:bookmarkEnd w:id="22"/>
      <w:bookmarkEnd w:id="23"/>
      <w:bookmarkEnd w:id="24"/>
      <w:bookmarkEnd w:id="25"/>
      <w:bookmarkEnd w:id="26"/>
    </w:p>
    <w:p w14:paraId="773B3A51">
      <w:pPr>
        <w:rPr>
          <w:rFonts w:hint="eastAsia"/>
          <w:color w:val="auto"/>
          <w:highlight w:val="none"/>
        </w:rPr>
      </w:pPr>
      <w:r>
        <w:rPr>
          <w:rFonts w:hint="eastAsia"/>
          <w:color w:val="auto"/>
          <w:highlight w:val="none"/>
        </w:rPr>
        <w:t>祁东县南冲风电场（大马二期）工程位于衡阳市祁东县</w:t>
      </w:r>
      <w:r>
        <w:rPr>
          <w:rFonts w:hint="eastAsia"/>
          <w:color w:val="auto"/>
          <w:highlight w:val="none"/>
          <w:lang w:eastAsia="zh-CN"/>
        </w:rPr>
        <w:t>官家嘴镇、</w:t>
      </w:r>
      <w:r>
        <w:rPr>
          <w:rFonts w:hint="eastAsia"/>
          <w:color w:val="auto"/>
          <w:highlight w:val="none"/>
        </w:rPr>
        <w:t>黄土铺镇</w:t>
      </w:r>
      <w:r>
        <w:rPr>
          <w:rFonts w:hint="eastAsia"/>
          <w:color w:val="auto"/>
          <w:highlight w:val="none"/>
          <w:lang w:eastAsia="zh-CN"/>
        </w:rPr>
        <w:t>及</w:t>
      </w:r>
      <w:r>
        <w:rPr>
          <w:rFonts w:hint="eastAsia"/>
          <w:color w:val="auto"/>
          <w:highlight w:val="none"/>
        </w:rPr>
        <w:t>马杜桥乡境内，场址中部12#机位坐标为：N26°55′01″；E111°57′24″。风电场距祁东县距离约20km，距离衡阳市约60km。风电场场区南侧有国道G322和省道S317经过，中部有省道S226经过，对外交通较为便利。</w:t>
      </w:r>
    </w:p>
    <w:p w14:paraId="43011B34">
      <w:pPr>
        <w:rPr>
          <w:rFonts w:hint="eastAsia"/>
          <w:color w:val="auto"/>
          <w:highlight w:val="none"/>
        </w:rPr>
      </w:pPr>
      <w:r>
        <w:rPr>
          <w:rFonts w:hint="eastAsia"/>
          <w:color w:val="auto"/>
          <w:highlight w:val="none"/>
        </w:rPr>
        <w:t>南冲风电场工程等级为Ⅱ级，工程规模为中型。安装20台单机容量5.0MW风力发电机组，总装机容量为100MW，预计项目年上网发电量为20803万kW·h，年等效满负荷小时数为2080h，容量系数为0.237。南冲风电场属于大马二期工程，大马风电场于2019年6月获得湖南省生态环境厅批复（湘环评表〔2019〕5号），2019年9月开始施工，2020年11月带电投入试运行，2021年4月通过竣工环保验收。本工程营运期</w:t>
      </w:r>
      <w:r>
        <w:rPr>
          <w:rFonts w:hint="eastAsia"/>
          <w:color w:val="auto"/>
          <w:highlight w:val="none"/>
          <w:lang w:eastAsia="zh-CN"/>
        </w:rPr>
        <w:t>依托大马风电场已建升压站及其环保设施，并在升压站内预留空地上新增</w:t>
      </w:r>
      <w:r>
        <w:rPr>
          <w:rFonts w:hint="eastAsia"/>
          <w:color w:val="auto"/>
          <w:highlight w:val="none"/>
          <w:lang w:val="en-US" w:eastAsia="zh-CN"/>
        </w:rPr>
        <w:t>1台主变；同时依托大马风电场部分已建检修道路</w:t>
      </w:r>
      <w:r>
        <w:rPr>
          <w:rFonts w:hint="eastAsia"/>
          <w:color w:val="auto"/>
          <w:highlight w:val="none"/>
        </w:rPr>
        <w:t>。</w:t>
      </w:r>
    </w:p>
    <w:p w14:paraId="525F0F39">
      <w:pPr>
        <w:rPr>
          <w:rFonts w:hint="eastAsia"/>
          <w:color w:val="auto"/>
          <w:highlight w:val="none"/>
        </w:rPr>
      </w:pPr>
      <w:r>
        <w:rPr>
          <w:rFonts w:hint="eastAsia"/>
          <w:color w:val="auto"/>
          <w:highlight w:val="none"/>
        </w:rPr>
        <w:t>项目以风力发电为主，区域风能资源具有一定的开发潜力，对外交通、施工安装条件、工程地质等均较好，是建设风电场的理想场址；开发该工程符合可持续发展的原则和国家能源发展政策方针，可减少化石资源的消耗，减少因燃煤等排放有害气体对环境的污染，对于促进地区旅游业，带动地方经济快速发展将起到积极作用，该工程于202</w:t>
      </w:r>
      <w:r>
        <w:rPr>
          <w:color w:val="auto"/>
          <w:highlight w:val="none"/>
        </w:rPr>
        <w:t>2</w:t>
      </w:r>
      <w:r>
        <w:rPr>
          <w:rFonts w:hint="eastAsia"/>
          <w:color w:val="auto"/>
          <w:highlight w:val="none"/>
        </w:rPr>
        <w:t>年</w:t>
      </w:r>
      <w:r>
        <w:rPr>
          <w:color w:val="auto"/>
          <w:highlight w:val="none"/>
        </w:rPr>
        <w:t>6</w:t>
      </w:r>
      <w:r>
        <w:rPr>
          <w:rFonts w:hint="eastAsia"/>
          <w:color w:val="auto"/>
          <w:highlight w:val="none"/>
        </w:rPr>
        <w:t>月2</w:t>
      </w:r>
      <w:r>
        <w:rPr>
          <w:color w:val="auto"/>
          <w:highlight w:val="none"/>
        </w:rPr>
        <w:t>1</w:t>
      </w:r>
      <w:r>
        <w:rPr>
          <w:rFonts w:hint="eastAsia"/>
          <w:color w:val="auto"/>
          <w:highlight w:val="none"/>
        </w:rPr>
        <w:t>日，列入湖南省发展和改革委员会《关于同意全省“十四五”第一批风电、集中式光伏发电项目开发建设的复函[湘发改函（2022）52号]》规划开工项目</w:t>
      </w:r>
      <w:r>
        <w:rPr>
          <w:rFonts w:hint="eastAsia"/>
          <w:color w:val="auto"/>
          <w:highlight w:val="none"/>
          <w:lang w:eastAsia="zh-CN"/>
        </w:rPr>
        <w:t>。</w:t>
      </w:r>
      <w:r>
        <w:rPr>
          <w:rFonts w:hint="eastAsia"/>
          <w:color w:val="auto"/>
          <w:highlight w:val="none"/>
        </w:rPr>
        <w:t>本项目建设投产后，可以满足祁东电网日益增长的电力需要，可有效地利用当地丰富的风能资源，可节省常规能源、保护环境，同时对祁东电网起到电源补充、改善能源结构的积极作用，并可改善当地经济结构、加快经济发展。</w:t>
      </w:r>
    </w:p>
    <w:p w14:paraId="697C6BF5">
      <w:pPr>
        <w:rPr>
          <w:rFonts w:hint="eastAsia"/>
          <w:color w:val="auto"/>
          <w:highlight w:val="none"/>
        </w:rPr>
      </w:pPr>
      <w:r>
        <w:rPr>
          <w:rFonts w:hint="eastAsia"/>
          <w:color w:val="auto"/>
          <w:highlight w:val="none"/>
        </w:rPr>
        <w:t>根据《中华人民共和国环境影响评价法》和《建设项目环境保护管理条例》的规定，</w:t>
      </w:r>
      <w:r>
        <w:rPr>
          <w:rFonts w:hint="eastAsia"/>
          <w:color w:val="auto"/>
          <w:highlight w:val="none"/>
          <w:lang w:val="en-US" w:eastAsia="zh-CN"/>
        </w:rPr>
        <w:t>中国水电顾问集团祁东能源开发有限公司</w:t>
      </w:r>
      <w:r>
        <w:rPr>
          <w:rFonts w:hint="eastAsia"/>
          <w:color w:val="auto"/>
          <w:highlight w:val="none"/>
        </w:rPr>
        <w:t>委托中皓生态环境有限公司承担该项目的环境影响评价工作。</w:t>
      </w:r>
    </w:p>
    <w:p w14:paraId="1D9F3C83">
      <w:pPr>
        <w:rPr>
          <w:rFonts w:hint="eastAsia"/>
          <w:color w:val="auto"/>
          <w:highlight w:val="none"/>
          <w:lang w:val="en-US" w:eastAsia="zh-CN"/>
        </w:rPr>
      </w:pPr>
      <w:r>
        <w:rPr>
          <w:rFonts w:hint="eastAsia"/>
          <w:color w:val="auto"/>
          <w:highlight w:val="none"/>
          <w:lang w:val="en-US" w:eastAsia="zh-CN"/>
        </w:rPr>
        <w:t>通过叠图分析，工程与衡阳县三阳自然保护区（同时被划为生态保护红线）范围邻近，但地形关系上不在保护区的上游区域。工程17#风机附近的场内道路临近自然保护区胡井实验区，最近距离52m；Z12渣场距离胡井实验区边界413m；此外水平距离较近的风机位为17#风机（125m）、18#风机（455m）、19#风机（142m），其他风机距离均在500m以上。本工程呈非典型线性分布，根据《环境影响评价技术导则 生态环境》（HJ19—2022），线性工程穿越非生态敏感区时，以线路中心线向两侧外延300m为参考评价范围。</w:t>
      </w:r>
    </w:p>
    <w:p w14:paraId="78E99A4B">
      <w:pPr>
        <w:rPr>
          <w:rFonts w:hint="eastAsia"/>
          <w:color w:val="auto"/>
          <w:highlight w:val="none"/>
        </w:rPr>
      </w:pPr>
      <w:r>
        <w:rPr>
          <w:rFonts w:hint="eastAsia"/>
          <w:color w:val="auto"/>
          <w:highlight w:val="none"/>
          <w:lang w:val="en-US" w:eastAsia="zh-CN"/>
        </w:rPr>
        <w:t>根据《建设项目环境影响评价分类管理名录（2021年版）》（生态环境部令第16号），“涉及环境敏感区”是指建设项目位于、穿越、跨越环境敏感区，或环境影响范围涵盖环境敏感区，根据以上分析，本工程不位于、穿越、跨越环境敏感区——衡阳县三阳自然保护区（生态保护红线），但生态评价范围涵盖衡阳县三阳自然保护区（生态保护红线）胡井实验区，因此，该项目属于“四十一、电力、热力生产和供应业90陆上风力发电4415中‘涉及环境敏感区的总装机容量5万千瓦及以上的陆上风力发电</w:t>
      </w:r>
      <w:r>
        <w:rPr>
          <w:rFonts w:hint="default"/>
          <w:color w:val="auto"/>
          <w:highlight w:val="none"/>
          <w:lang w:val="en-US" w:eastAsia="zh-CN"/>
        </w:rPr>
        <w:t>’</w:t>
      </w:r>
      <w:r>
        <w:rPr>
          <w:rFonts w:hint="eastAsia"/>
          <w:color w:val="auto"/>
          <w:highlight w:val="none"/>
          <w:lang w:val="en-US" w:eastAsia="zh-CN"/>
        </w:rPr>
        <w:t>”，应编制环境影响报告书。</w:t>
      </w:r>
      <w:r>
        <w:rPr>
          <w:rFonts w:hint="eastAsia"/>
          <w:color w:val="auto"/>
          <w:highlight w:val="none"/>
        </w:rPr>
        <w:t>我单位接受委托后，组织有关技术人员到项目所在地进行了现场踏勘和资料收集，并结合本项目环境特点和工程特征，依据《环境影响评价技术导则》等有关规范、标准要求，编制完成了《</w:t>
      </w:r>
      <w:r>
        <w:rPr>
          <w:rFonts w:hint="eastAsia"/>
          <w:color w:val="auto"/>
          <w:highlight w:val="none"/>
          <w:lang w:val="en-US" w:eastAsia="zh-CN"/>
        </w:rPr>
        <w:t>祁东县南冲风电场（大马二期）工程</w:t>
      </w:r>
      <w:r>
        <w:rPr>
          <w:rFonts w:hint="eastAsia"/>
          <w:color w:val="auto"/>
          <w:highlight w:val="none"/>
        </w:rPr>
        <w:t>环境影响报告</w:t>
      </w:r>
      <w:r>
        <w:rPr>
          <w:rFonts w:hint="eastAsia"/>
          <w:color w:val="auto"/>
          <w:highlight w:val="none"/>
          <w:lang w:eastAsia="zh-CN"/>
        </w:rPr>
        <w:t>书</w:t>
      </w:r>
      <w:r>
        <w:rPr>
          <w:rFonts w:hint="eastAsia"/>
          <w:color w:val="auto"/>
          <w:highlight w:val="none"/>
        </w:rPr>
        <w:t>》</w:t>
      </w:r>
      <w:r>
        <w:rPr>
          <w:rFonts w:hint="eastAsia"/>
          <w:color w:val="auto"/>
          <w:highlight w:val="none"/>
          <w:lang w:eastAsia="zh-CN"/>
        </w:rPr>
        <w:t>。</w:t>
      </w:r>
    </w:p>
    <w:p w14:paraId="5E876413">
      <w:pPr>
        <w:pStyle w:val="4"/>
        <w:rPr>
          <w:rFonts w:hint="default" w:ascii="Times New Roman" w:hAnsi="Times New Roman" w:cs="Times New Roman"/>
          <w:color w:val="auto"/>
          <w:highlight w:val="none"/>
        </w:rPr>
      </w:pPr>
      <w:bookmarkStart w:id="27" w:name="_Toc366221302"/>
      <w:bookmarkStart w:id="28" w:name="_Toc16556"/>
      <w:bookmarkStart w:id="29" w:name="_Toc6785"/>
      <w:bookmarkStart w:id="30" w:name="_Toc3854"/>
      <w:bookmarkStart w:id="31" w:name="_Toc8862"/>
      <w:r>
        <w:rPr>
          <w:rFonts w:hint="default" w:ascii="Times New Roman" w:hAnsi="Times New Roman" w:cs="Times New Roman"/>
          <w:color w:val="auto"/>
          <w:highlight w:val="none"/>
        </w:rPr>
        <w:t>评价工作</w:t>
      </w:r>
      <w:bookmarkEnd w:id="27"/>
      <w:bookmarkEnd w:id="28"/>
      <w:bookmarkEnd w:id="29"/>
      <w:r>
        <w:rPr>
          <w:rFonts w:hint="default" w:ascii="Times New Roman" w:hAnsi="Times New Roman" w:cs="Times New Roman"/>
          <w:color w:val="auto"/>
          <w:highlight w:val="none"/>
        </w:rPr>
        <w:t>过程</w:t>
      </w:r>
      <w:bookmarkEnd w:id="30"/>
      <w:bookmarkEnd w:id="31"/>
    </w:p>
    <w:p w14:paraId="21B87A77">
      <w:pPr>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本公司接受项目委托后，成立了项目组，对项目所在区域及其周围环境进行了详细的调查及现场踏勘。</w:t>
      </w:r>
    </w:p>
    <w:p w14:paraId="0E72FF85">
      <w:pPr>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建设单位于</w:t>
      </w:r>
      <w:r>
        <w:rPr>
          <w:rFonts w:hint="default" w:ascii="Times New Roman" w:hAnsi="Times New Roman" w:cs="Times New Roman"/>
          <w:color w:val="auto"/>
          <w:highlight w:val="none"/>
          <w:lang w:val="en-US" w:eastAsia="zh-CN"/>
        </w:rPr>
        <w:t>202</w:t>
      </w:r>
      <w:r>
        <w:rPr>
          <w:rFonts w:hint="eastAsia" w:ascii="Times New Roman" w:hAnsi="Times New Roman" w:cs="Times New Roman"/>
          <w:color w:val="auto"/>
          <w:highlight w:val="none"/>
          <w:lang w:val="en-US" w:eastAsia="zh-CN"/>
        </w:rPr>
        <w:t>3</w:t>
      </w:r>
      <w:r>
        <w:rPr>
          <w:rFonts w:hint="default" w:ascii="Times New Roman" w:hAnsi="Times New Roman" w:cs="Times New Roman"/>
          <w:color w:val="auto"/>
          <w:highlight w:val="none"/>
        </w:rPr>
        <w:t>年</w:t>
      </w:r>
      <w:r>
        <w:rPr>
          <w:rFonts w:hint="eastAsia" w:ascii="Times New Roman" w:hAnsi="Times New Roman" w:cs="Times New Roman"/>
          <w:color w:val="auto"/>
          <w:highlight w:val="none"/>
          <w:lang w:val="en-US" w:eastAsia="zh-CN"/>
        </w:rPr>
        <w:t>8</w:t>
      </w:r>
      <w:r>
        <w:rPr>
          <w:rFonts w:hint="default" w:ascii="Times New Roman" w:hAnsi="Times New Roman" w:cs="Times New Roman"/>
          <w:color w:val="auto"/>
          <w:highlight w:val="none"/>
        </w:rPr>
        <w:t>月</w:t>
      </w:r>
      <w:r>
        <w:rPr>
          <w:rFonts w:hint="eastAsia" w:cs="Times New Roman"/>
          <w:color w:val="auto"/>
          <w:highlight w:val="none"/>
          <w:lang w:val="en-US" w:eastAsia="zh-CN"/>
        </w:rPr>
        <w:t>28</w:t>
      </w:r>
      <w:r>
        <w:rPr>
          <w:rFonts w:hint="default" w:ascii="Times New Roman" w:hAnsi="Times New Roman" w:cs="Times New Roman"/>
          <w:color w:val="auto"/>
          <w:highlight w:val="none"/>
        </w:rPr>
        <w:t>日</w:t>
      </w:r>
      <w:r>
        <w:rPr>
          <w:rFonts w:hint="default" w:ascii="Times New Roman" w:hAnsi="Times New Roman" w:cs="Times New Roman"/>
          <w:color w:val="auto"/>
          <w:highlight w:val="none"/>
          <w:lang w:eastAsia="zh-CN"/>
        </w:rPr>
        <w:t>在环境影响评价信息公示平台上</w:t>
      </w:r>
      <w:r>
        <w:rPr>
          <w:rFonts w:hint="default" w:ascii="Times New Roman" w:hAnsi="Times New Roman" w:cs="Times New Roman"/>
          <w:color w:val="auto"/>
          <w:highlight w:val="none"/>
        </w:rPr>
        <w:t>进行</w:t>
      </w:r>
      <w:r>
        <w:rPr>
          <w:rFonts w:hint="default" w:ascii="Times New Roman" w:hAnsi="Times New Roman" w:cs="Times New Roman"/>
          <w:color w:val="auto"/>
          <w:highlight w:val="none"/>
          <w:lang w:eastAsia="zh-CN"/>
        </w:rPr>
        <w:t>了</w:t>
      </w:r>
      <w:r>
        <w:rPr>
          <w:rFonts w:hint="default" w:ascii="Times New Roman" w:hAnsi="Times New Roman" w:cs="Times New Roman"/>
          <w:color w:val="auto"/>
          <w:highlight w:val="none"/>
        </w:rPr>
        <w:t>项目环评第一次网上公示，公示时间为</w:t>
      </w:r>
      <w:r>
        <w:rPr>
          <w:rFonts w:hint="default" w:ascii="Times New Roman" w:hAnsi="Times New Roman" w:cs="Times New Roman"/>
          <w:color w:val="auto"/>
          <w:highlight w:val="none"/>
          <w:lang w:val="en-US" w:eastAsia="zh-CN"/>
        </w:rPr>
        <w:t>202</w:t>
      </w:r>
      <w:r>
        <w:rPr>
          <w:rFonts w:hint="eastAsia" w:ascii="Times New Roman" w:hAnsi="Times New Roman" w:cs="Times New Roman"/>
          <w:color w:val="auto"/>
          <w:highlight w:val="none"/>
          <w:lang w:val="en-US" w:eastAsia="zh-CN"/>
        </w:rPr>
        <w:t>3</w:t>
      </w:r>
      <w:r>
        <w:rPr>
          <w:rFonts w:hint="default" w:ascii="Times New Roman" w:hAnsi="Times New Roman" w:cs="Times New Roman"/>
          <w:color w:val="auto"/>
          <w:highlight w:val="none"/>
        </w:rPr>
        <w:t>年</w:t>
      </w:r>
      <w:r>
        <w:rPr>
          <w:rFonts w:hint="eastAsia" w:cs="Times New Roman"/>
          <w:color w:val="auto"/>
          <w:highlight w:val="none"/>
          <w:lang w:val="en-US" w:eastAsia="zh-CN"/>
        </w:rPr>
        <w:t>8</w:t>
      </w:r>
      <w:r>
        <w:rPr>
          <w:rFonts w:hint="default" w:ascii="Times New Roman" w:hAnsi="Times New Roman" w:cs="Times New Roman"/>
          <w:color w:val="auto"/>
          <w:highlight w:val="none"/>
        </w:rPr>
        <w:t>月</w:t>
      </w:r>
      <w:r>
        <w:rPr>
          <w:rFonts w:hint="eastAsia" w:cs="Times New Roman"/>
          <w:color w:val="auto"/>
          <w:highlight w:val="none"/>
          <w:lang w:val="en-US" w:eastAsia="zh-CN"/>
        </w:rPr>
        <w:t>28</w:t>
      </w:r>
      <w:r>
        <w:rPr>
          <w:rFonts w:hint="default" w:ascii="Times New Roman" w:hAnsi="Times New Roman" w:cs="Times New Roman"/>
          <w:color w:val="auto"/>
          <w:highlight w:val="none"/>
          <w:lang w:val="en-US" w:eastAsia="zh-CN"/>
        </w:rPr>
        <w:t>日</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val="en-US" w:eastAsia="zh-CN"/>
        </w:rPr>
        <w:t>202</w:t>
      </w:r>
      <w:r>
        <w:rPr>
          <w:rFonts w:hint="eastAsia" w:ascii="Times New Roman" w:hAnsi="Times New Roman" w:cs="Times New Roman"/>
          <w:color w:val="auto"/>
          <w:highlight w:val="none"/>
          <w:lang w:val="en-US" w:eastAsia="zh-CN"/>
        </w:rPr>
        <w:t>3</w:t>
      </w:r>
      <w:r>
        <w:rPr>
          <w:rFonts w:hint="default" w:ascii="Times New Roman" w:hAnsi="Times New Roman" w:cs="Times New Roman"/>
          <w:color w:val="auto"/>
          <w:highlight w:val="none"/>
        </w:rPr>
        <w:t>年</w:t>
      </w:r>
      <w:r>
        <w:rPr>
          <w:rFonts w:hint="eastAsia" w:cs="Times New Roman"/>
          <w:color w:val="auto"/>
          <w:highlight w:val="none"/>
          <w:lang w:val="en-US" w:eastAsia="zh-CN"/>
        </w:rPr>
        <w:t>9</w:t>
      </w:r>
      <w:r>
        <w:rPr>
          <w:rFonts w:hint="default" w:ascii="Times New Roman" w:hAnsi="Times New Roman" w:cs="Times New Roman"/>
          <w:color w:val="auto"/>
          <w:highlight w:val="none"/>
        </w:rPr>
        <w:t>月</w:t>
      </w:r>
      <w:r>
        <w:rPr>
          <w:rFonts w:hint="eastAsia" w:cs="Times New Roman"/>
          <w:color w:val="auto"/>
          <w:highlight w:val="none"/>
          <w:lang w:val="en-US" w:eastAsia="zh-CN"/>
        </w:rPr>
        <w:t>8</w:t>
      </w:r>
      <w:r>
        <w:rPr>
          <w:rFonts w:hint="default" w:ascii="Times New Roman" w:hAnsi="Times New Roman" w:cs="Times New Roman"/>
          <w:color w:val="auto"/>
          <w:highlight w:val="none"/>
        </w:rPr>
        <w:t>日；</w:t>
      </w:r>
    </w:p>
    <w:p w14:paraId="366198F9">
      <w:pPr>
        <w:bidi w:val="0"/>
        <w:rPr>
          <w:rFonts w:hint="eastAsia" w:cs="Times New Roman"/>
          <w:color w:val="auto"/>
          <w:highlight w:val="none"/>
          <w:lang w:eastAsia="zh-CN"/>
        </w:rPr>
      </w:pPr>
      <w:r>
        <w:rPr>
          <w:rFonts w:hint="eastAsia" w:cs="Times New Roman"/>
          <w:color w:val="auto"/>
          <w:highlight w:val="none"/>
          <w:lang w:eastAsia="zh-CN"/>
        </w:rPr>
        <w:t>建设单位</w:t>
      </w:r>
      <w:r>
        <w:rPr>
          <w:rFonts w:hint="default" w:ascii="Times New Roman" w:hAnsi="Times New Roman" w:cs="Times New Roman"/>
          <w:color w:val="auto"/>
          <w:highlight w:val="none"/>
        </w:rPr>
        <w:t>于</w:t>
      </w:r>
      <w:r>
        <w:rPr>
          <w:rFonts w:hint="eastAsia" w:ascii="Times New Roman" w:hAnsi="Times New Roman" w:eastAsia="宋体" w:cs="Times New Roman"/>
          <w:color w:val="auto"/>
          <w:highlight w:val="none"/>
          <w:lang w:val="en-US" w:eastAsia="zh-CN"/>
        </w:rPr>
        <w:t>2023</w:t>
      </w:r>
      <w:r>
        <w:rPr>
          <w:rFonts w:hint="default" w:ascii="Times New Roman" w:hAnsi="Times New Roman" w:eastAsia="宋体" w:cs="Times New Roman"/>
          <w:color w:val="auto"/>
          <w:highlight w:val="none"/>
        </w:rPr>
        <w:t>年</w:t>
      </w:r>
      <w:r>
        <w:rPr>
          <w:rFonts w:hint="eastAsia" w:ascii="Times New Roman" w:hAnsi="Times New Roman" w:eastAsia="宋体" w:cs="Times New Roman"/>
          <w:color w:val="auto"/>
          <w:highlight w:val="none"/>
          <w:lang w:val="en-US" w:eastAsia="zh-CN"/>
        </w:rPr>
        <w:t>9</w:t>
      </w:r>
      <w:r>
        <w:rPr>
          <w:rFonts w:hint="default" w:ascii="Times New Roman" w:hAnsi="Times New Roman" w:eastAsia="宋体" w:cs="Times New Roman"/>
          <w:color w:val="auto"/>
          <w:highlight w:val="none"/>
        </w:rPr>
        <w:t>月</w:t>
      </w:r>
      <w:r>
        <w:rPr>
          <w:rFonts w:hint="eastAsia" w:ascii="Times New Roman" w:hAnsi="Times New Roman" w:eastAsia="宋体" w:cs="Times New Roman"/>
          <w:color w:val="auto"/>
          <w:highlight w:val="none"/>
          <w:lang w:val="en-US" w:eastAsia="zh-CN"/>
        </w:rPr>
        <w:t>11</w:t>
      </w:r>
      <w:r>
        <w:rPr>
          <w:rFonts w:hint="default" w:ascii="Times New Roman" w:hAnsi="Times New Roman" w:eastAsia="宋体" w:cs="Times New Roman"/>
          <w:color w:val="auto"/>
          <w:highlight w:val="none"/>
        </w:rPr>
        <w:t>日</w:t>
      </w:r>
      <w:r>
        <w:rPr>
          <w:rFonts w:hint="default" w:ascii="Times New Roman" w:hAnsi="Times New Roman" w:cs="Times New Roman"/>
          <w:color w:val="auto"/>
          <w:highlight w:val="none"/>
          <w:lang w:eastAsia="zh-CN"/>
        </w:rPr>
        <w:t>在环境影响评价信息公示平台</w:t>
      </w:r>
      <w:r>
        <w:rPr>
          <w:rFonts w:hint="eastAsia" w:ascii="Times New Roman" w:hAnsi="Times New Roman" w:cs="Times New Roman"/>
          <w:color w:val="auto"/>
          <w:highlight w:val="none"/>
          <w:lang w:eastAsia="zh-CN"/>
        </w:rPr>
        <w:t>上</w:t>
      </w:r>
      <w:r>
        <w:rPr>
          <w:rFonts w:hint="default" w:ascii="Times New Roman" w:hAnsi="Times New Roman" w:eastAsia="宋体" w:cs="Times New Roman"/>
          <w:color w:val="auto"/>
          <w:highlight w:val="none"/>
        </w:rPr>
        <w:t>进行了征求意见稿网上公示，公示时间为20</w:t>
      </w:r>
      <w:r>
        <w:rPr>
          <w:rFonts w:hint="default" w:ascii="Times New Roman" w:hAnsi="Times New Roman" w:eastAsia="宋体" w:cs="Times New Roman"/>
          <w:color w:val="auto"/>
          <w:highlight w:val="none"/>
          <w:lang w:val="en-US" w:eastAsia="zh-CN"/>
        </w:rPr>
        <w:t>2</w:t>
      </w:r>
      <w:r>
        <w:rPr>
          <w:rFonts w:hint="eastAsia" w:cs="Times New Roman"/>
          <w:color w:val="auto"/>
          <w:highlight w:val="none"/>
          <w:lang w:val="en-US" w:eastAsia="zh-CN"/>
        </w:rPr>
        <w:t>3</w:t>
      </w:r>
      <w:r>
        <w:rPr>
          <w:rFonts w:hint="default" w:ascii="Times New Roman" w:hAnsi="Times New Roman" w:eastAsia="宋体" w:cs="Times New Roman"/>
          <w:color w:val="auto"/>
          <w:highlight w:val="none"/>
        </w:rPr>
        <w:t>年</w:t>
      </w:r>
      <w:r>
        <w:rPr>
          <w:rFonts w:hint="eastAsia" w:cs="Times New Roman"/>
          <w:color w:val="auto"/>
          <w:highlight w:val="none"/>
          <w:lang w:val="en-US" w:eastAsia="zh-CN"/>
        </w:rPr>
        <w:t>9</w:t>
      </w:r>
      <w:r>
        <w:rPr>
          <w:rFonts w:hint="default" w:ascii="Times New Roman" w:hAnsi="Times New Roman" w:eastAsia="宋体" w:cs="Times New Roman"/>
          <w:color w:val="auto"/>
          <w:highlight w:val="none"/>
        </w:rPr>
        <w:t>月</w:t>
      </w:r>
      <w:r>
        <w:rPr>
          <w:rFonts w:hint="eastAsia" w:cs="Times New Roman"/>
          <w:color w:val="auto"/>
          <w:highlight w:val="none"/>
          <w:lang w:val="en-US" w:eastAsia="zh-CN"/>
        </w:rPr>
        <w:t>11</w:t>
      </w:r>
      <w:r>
        <w:rPr>
          <w:rFonts w:hint="default" w:ascii="Times New Roman" w:hAnsi="Times New Roman" w:eastAsia="宋体" w:cs="Times New Roman"/>
          <w:color w:val="auto"/>
          <w:highlight w:val="none"/>
          <w:lang w:val="en-US" w:eastAsia="zh-CN"/>
        </w:rPr>
        <w:t>日</w:t>
      </w:r>
      <w:r>
        <w:rPr>
          <w:rFonts w:hint="default" w:ascii="Times New Roman" w:hAnsi="Times New Roman" w:eastAsia="宋体" w:cs="Times New Roman"/>
          <w:color w:val="auto"/>
          <w:highlight w:val="none"/>
        </w:rPr>
        <w:t>-202</w:t>
      </w:r>
      <w:r>
        <w:rPr>
          <w:rFonts w:hint="eastAsia" w:cs="Times New Roman"/>
          <w:color w:val="auto"/>
          <w:highlight w:val="none"/>
          <w:lang w:val="en-US" w:eastAsia="zh-CN"/>
        </w:rPr>
        <w:t>3</w:t>
      </w:r>
      <w:r>
        <w:rPr>
          <w:rFonts w:hint="default" w:ascii="Times New Roman" w:hAnsi="Times New Roman" w:eastAsia="宋体" w:cs="Times New Roman"/>
          <w:color w:val="auto"/>
          <w:highlight w:val="none"/>
        </w:rPr>
        <w:t>年</w:t>
      </w:r>
      <w:r>
        <w:rPr>
          <w:rFonts w:hint="eastAsia" w:cs="Times New Roman"/>
          <w:color w:val="auto"/>
          <w:highlight w:val="none"/>
          <w:lang w:val="en-US" w:eastAsia="zh-CN"/>
        </w:rPr>
        <w:t>9</w:t>
      </w:r>
      <w:r>
        <w:rPr>
          <w:rFonts w:hint="default" w:ascii="Times New Roman" w:hAnsi="Times New Roman" w:eastAsia="宋体" w:cs="Times New Roman"/>
          <w:color w:val="auto"/>
          <w:highlight w:val="none"/>
        </w:rPr>
        <w:t>月</w:t>
      </w:r>
      <w:r>
        <w:rPr>
          <w:rFonts w:hint="eastAsia" w:ascii="Times New Roman" w:hAnsi="Times New Roman" w:eastAsia="宋体" w:cs="Times New Roman"/>
          <w:color w:val="auto"/>
          <w:highlight w:val="none"/>
          <w:lang w:val="en-US" w:eastAsia="zh-CN"/>
        </w:rPr>
        <w:t>22</w:t>
      </w:r>
      <w:r>
        <w:rPr>
          <w:rFonts w:hint="default" w:ascii="Times New Roman" w:hAnsi="Times New Roman" w:eastAsia="宋体" w:cs="Times New Roman"/>
          <w:color w:val="auto"/>
          <w:highlight w:val="none"/>
        </w:rPr>
        <w:t>日</w:t>
      </w:r>
      <w:r>
        <w:rPr>
          <w:rFonts w:hint="eastAsia" w:cs="Times New Roman"/>
          <w:color w:val="auto"/>
          <w:highlight w:val="none"/>
          <w:lang w:eastAsia="zh-CN"/>
        </w:rPr>
        <w:t>；</w:t>
      </w:r>
    </w:p>
    <w:p w14:paraId="7AC3AAC7">
      <w:pPr>
        <w:bidi w:val="0"/>
        <w:rPr>
          <w:rFonts w:hint="eastAsia" w:ascii="Times New Roman" w:hAnsi="Times New Roman" w:eastAsia="宋体" w:cs="Times New Roman"/>
          <w:color w:val="auto"/>
          <w:highlight w:val="none"/>
          <w:lang w:eastAsia="zh-CN"/>
        </w:rPr>
      </w:pPr>
      <w:r>
        <w:rPr>
          <w:rFonts w:hint="default" w:ascii="Times New Roman" w:hAnsi="Times New Roman" w:eastAsia="宋体" w:cs="Times New Roman"/>
          <w:color w:val="auto"/>
          <w:highlight w:val="none"/>
        </w:rPr>
        <w:t>在征求意见稿公示期间</w:t>
      </w:r>
      <w:r>
        <w:rPr>
          <w:rFonts w:hint="eastAsia" w:ascii="Times New Roman" w:hAnsi="Times New Roman" w:eastAsia="宋体" w:cs="Times New Roman"/>
          <w:color w:val="auto"/>
          <w:highlight w:val="none"/>
          <w:lang w:val="en-US" w:eastAsia="zh-CN"/>
        </w:rPr>
        <w:t>同步</w:t>
      </w:r>
      <w:r>
        <w:rPr>
          <w:rFonts w:hint="default" w:ascii="Times New Roman" w:hAnsi="Times New Roman" w:eastAsia="宋体" w:cs="Times New Roman"/>
          <w:color w:val="auto"/>
          <w:highlight w:val="none"/>
        </w:rPr>
        <w:t>进行了</w:t>
      </w:r>
      <w:r>
        <w:rPr>
          <w:rFonts w:hint="default" w:ascii="Times New Roman" w:hAnsi="Times New Roman" w:eastAsia="宋体" w:cs="Times New Roman"/>
          <w:color w:val="auto"/>
          <w:highlight w:val="none"/>
          <w:lang w:eastAsia="zh-CN"/>
        </w:rPr>
        <w:t>现场公示</w:t>
      </w:r>
      <w:r>
        <w:rPr>
          <w:rFonts w:hint="eastAsia" w:cs="Times New Roman"/>
          <w:color w:val="auto"/>
          <w:highlight w:val="none"/>
          <w:lang w:eastAsia="zh-CN"/>
        </w:rPr>
        <w:t>、发放调查表</w:t>
      </w: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并于2023年9月13日、2023年9月1</w:t>
      </w:r>
      <w:r>
        <w:rPr>
          <w:rFonts w:hint="eastAsia" w:cs="Times New Roman"/>
          <w:color w:val="auto"/>
          <w:highlight w:val="none"/>
          <w:lang w:val="en-US" w:eastAsia="zh-CN"/>
        </w:rPr>
        <w:t>4</w:t>
      </w:r>
      <w:r>
        <w:rPr>
          <w:rFonts w:hint="eastAsia" w:ascii="Times New Roman" w:hAnsi="Times New Roman" w:eastAsia="宋体" w:cs="Times New Roman"/>
          <w:color w:val="auto"/>
          <w:highlight w:val="none"/>
          <w:lang w:val="en-US" w:eastAsia="zh-CN"/>
        </w:rPr>
        <w:t>日分别在</w:t>
      </w:r>
      <w:r>
        <w:rPr>
          <w:rFonts w:hint="eastAsia" w:cs="Times New Roman"/>
          <w:color w:val="auto"/>
          <w:highlight w:val="none"/>
          <w:lang w:val="en-US" w:eastAsia="zh-CN"/>
        </w:rPr>
        <w:t>环球时报</w:t>
      </w:r>
      <w:r>
        <w:rPr>
          <w:rFonts w:hint="eastAsia" w:ascii="Times New Roman" w:hAnsi="Times New Roman" w:eastAsia="宋体" w:cs="Times New Roman"/>
          <w:color w:val="auto"/>
          <w:highlight w:val="none"/>
          <w:lang w:val="en-US" w:eastAsia="zh-CN"/>
        </w:rPr>
        <w:t>上进行了</w:t>
      </w:r>
      <w:r>
        <w:rPr>
          <w:rFonts w:hint="default" w:ascii="Times New Roman" w:hAnsi="Times New Roman" w:eastAsia="宋体" w:cs="Times New Roman"/>
          <w:color w:val="auto"/>
          <w:highlight w:val="none"/>
        </w:rPr>
        <w:t>两次报纸公示</w:t>
      </w:r>
      <w:r>
        <w:rPr>
          <w:rFonts w:hint="eastAsia" w:ascii="Times New Roman" w:hAnsi="Times New Roman" w:eastAsia="宋体" w:cs="Times New Roman"/>
          <w:color w:val="auto"/>
          <w:highlight w:val="none"/>
          <w:lang w:eastAsia="zh-CN"/>
        </w:rPr>
        <w:t>；</w:t>
      </w:r>
    </w:p>
    <w:p w14:paraId="4126BEEE">
      <w:pPr>
        <w:bidi w:val="0"/>
        <w:rPr>
          <w:rFonts w:hint="default"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于2023年  月  日在环境影响评价信息公示平台进行了报批前网上公示</w:t>
      </w:r>
      <w:r>
        <w:rPr>
          <w:rFonts w:hint="default" w:ascii="Times New Roman" w:hAnsi="Times New Roman" w:eastAsia="宋体" w:cs="Times New Roman"/>
          <w:color w:val="auto"/>
          <w:highlight w:val="none"/>
        </w:rPr>
        <w:t>。</w:t>
      </w:r>
    </w:p>
    <w:p w14:paraId="22777191">
      <w:pPr>
        <w:bidi w:val="0"/>
        <w:rPr>
          <w:color w:val="auto"/>
          <w:highlight w:val="none"/>
        </w:rPr>
      </w:pPr>
      <w:r>
        <w:rPr>
          <w:rFonts w:hint="default" w:ascii="Times New Roman" w:hAnsi="Times New Roman" w:eastAsia="宋体" w:cs="Times New Roman"/>
          <w:color w:val="auto"/>
          <w:highlight w:val="none"/>
        </w:rPr>
        <w:t>在编制过程中委托</w:t>
      </w:r>
      <w:r>
        <w:rPr>
          <w:rFonts w:hint="eastAsia" w:ascii="Times New Roman" w:hAnsi="Times New Roman" w:eastAsia="宋体" w:cs="Times New Roman"/>
          <w:color w:val="auto"/>
          <w:highlight w:val="none"/>
          <w:lang w:eastAsia="zh-CN"/>
        </w:rPr>
        <w:t>长沙瑾瑶环保科技有限公司</w:t>
      </w:r>
      <w:r>
        <w:rPr>
          <w:rFonts w:hint="default" w:ascii="Times New Roman" w:hAnsi="Times New Roman" w:eastAsia="宋体" w:cs="Times New Roman"/>
          <w:color w:val="auto"/>
          <w:highlight w:val="none"/>
        </w:rPr>
        <w:t>开展了环境质量现状监测。根据相关的法律、法规和评价技术导则的要求和建设单位提供的资料，结合本项目的特点，编制了《</w:t>
      </w:r>
      <w:r>
        <w:rPr>
          <w:rFonts w:hint="eastAsia" w:ascii="Times New Roman" w:hAnsi="Times New Roman" w:cs="Times New Roman"/>
          <w:b w:val="0"/>
          <w:bCs w:val="0"/>
          <w:color w:val="auto"/>
          <w:szCs w:val="24"/>
          <w:highlight w:val="none"/>
          <w:u w:val="none"/>
          <w:lang w:val="en-US" w:eastAsia="zh-CN"/>
        </w:rPr>
        <w:t>祁东县南冲风电场（大马二期）工程</w:t>
      </w:r>
      <w:r>
        <w:rPr>
          <w:rFonts w:hint="default" w:ascii="Times New Roman" w:hAnsi="Times New Roman" w:eastAsia="宋体" w:cs="Times New Roman"/>
          <w:color w:val="auto"/>
          <w:highlight w:val="none"/>
        </w:rPr>
        <w:t>环境影响报告书》，本次环境影响评价过程详见图1.2-1。</w:t>
      </w:r>
    </w:p>
    <w:p w14:paraId="0A42B806">
      <w:pPr>
        <w:bidi w:val="0"/>
        <w:jc w:val="center"/>
        <w:rPr>
          <w:rFonts w:hint="default" w:ascii="Times New Roman" w:hAnsi="Times New Roman" w:eastAsia="宋体" w:cs="Times New Roman"/>
          <w:b/>
          <w:color w:val="auto"/>
          <w:sz w:val="21"/>
          <w:szCs w:val="21"/>
          <w:highlight w:val="none"/>
        </w:rPr>
      </w:pPr>
      <w:r>
        <w:rPr>
          <w:rFonts w:hint="default" w:ascii="Times New Roman" w:hAnsi="Times New Roman" w:eastAsia="宋体" w:cs="Times New Roman"/>
          <w:b/>
          <w:color w:val="auto"/>
          <w:sz w:val="21"/>
          <w:szCs w:val="21"/>
          <w:highlight w:val="none"/>
        </w:rPr>
        <w:object>
          <v:shape id="_x0000_i1025" o:spt="75" type="#_x0000_t75" style="height:366.15pt;width:332.45pt;" o:ole="t" filled="f" o:preferrelative="t" stroked="t" coordsize="21600,21600">
            <v:path/>
            <v:fill on="f" focussize="0,0"/>
            <v:stroke weight="1.5pt" color="#000000" joinstyle="miter"/>
            <v:imagedata r:id="rId10" o:title=""/>
            <o:lock v:ext="edit" aspectratio="t"/>
            <w10:wrap type="none"/>
            <w10:anchorlock/>
          </v:shape>
          <o:OLEObject Type="Embed" ProgID="Visio.Drawing.11" ShapeID="_x0000_i1025" DrawAspect="Content" ObjectID="_1468075725" r:id="rId9">
            <o:LockedField>false</o:LockedField>
          </o:OLEObject>
        </w:object>
      </w:r>
    </w:p>
    <w:p w14:paraId="0E282E54">
      <w:pPr>
        <w:pStyle w:val="46"/>
        <w:bidi w:val="0"/>
      </w:pPr>
      <w:r>
        <w:rPr>
          <w:rFonts w:hint="default"/>
        </w:rPr>
        <w:t>图</w:t>
      </w:r>
      <w:r>
        <w:rPr>
          <w:rFonts w:hint="default"/>
        </w:rPr>
        <w:fldChar w:fldCharType="begin"/>
      </w:r>
      <w:r>
        <w:rPr>
          <w:rFonts w:hint="default"/>
        </w:rPr>
        <w:instrText xml:space="preserve"> STYLEREF 2 \s </w:instrText>
      </w:r>
      <w:r>
        <w:rPr>
          <w:rFonts w:hint="default"/>
        </w:rPr>
        <w:fldChar w:fldCharType="separate"/>
      </w:r>
      <w:r>
        <w:rPr>
          <w:rFonts w:hint="default"/>
        </w:rPr>
        <w:t>1.2</w:t>
      </w:r>
      <w:r>
        <w:rPr>
          <w:rFonts w:hint="default"/>
        </w:rPr>
        <w:fldChar w:fldCharType="end"/>
      </w:r>
      <w:r>
        <w:rPr>
          <w:rFonts w:hint="default"/>
        </w:rPr>
        <w:noBreakHyphen/>
      </w:r>
      <w:r>
        <w:rPr>
          <w:rFonts w:hint="default"/>
        </w:rPr>
        <w:fldChar w:fldCharType="begin"/>
      </w:r>
      <w:r>
        <w:rPr>
          <w:rFonts w:hint="default"/>
        </w:rPr>
        <w:instrText xml:space="preserve"> SEQ 图 \* ARABIC \s 2 </w:instrText>
      </w:r>
      <w:r>
        <w:rPr>
          <w:rFonts w:hint="default"/>
        </w:rPr>
        <w:fldChar w:fldCharType="separate"/>
      </w:r>
      <w:r>
        <w:rPr>
          <w:rFonts w:hint="default"/>
        </w:rPr>
        <w:t>1</w:t>
      </w:r>
      <w:r>
        <w:rPr>
          <w:rFonts w:hint="default"/>
        </w:rPr>
        <w:fldChar w:fldCharType="end"/>
      </w:r>
      <w:r>
        <w:rPr>
          <w:rFonts w:hint="default"/>
        </w:rPr>
        <w:t xml:space="preserve">  评价工作程序</w:t>
      </w:r>
    </w:p>
    <w:p w14:paraId="2D2D9F96">
      <w:pPr>
        <w:pStyle w:val="4"/>
        <w:rPr>
          <w:rFonts w:hint="default" w:ascii="Times New Roman" w:hAnsi="Times New Roman" w:cs="Times New Roman"/>
          <w:color w:val="auto"/>
          <w:highlight w:val="none"/>
        </w:rPr>
      </w:pPr>
      <w:bookmarkStart w:id="32" w:name="_Toc250"/>
      <w:bookmarkStart w:id="33" w:name="_Toc14412"/>
      <w:r>
        <w:rPr>
          <w:rFonts w:hint="eastAsia" w:cs="Times New Roman"/>
          <w:color w:val="auto"/>
          <w:highlight w:val="none"/>
          <w:lang w:eastAsia="zh-CN"/>
        </w:rPr>
        <w:t>分析判定相关情况</w:t>
      </w:r>
      <w:bookmarkEnd w:id="32"/>
      <w:bookmarkEnd w:id="33"/>
    </w:p>
    <w:p w14:paraId="3BD7C45A">
      <w:pPr>
        <w:pStyle w:val="5"/>
        <w:bidi w:val="0"/>
        <w:rPr>
          <w:rFonts w:hint="default"/>
          <w:color w:val="auto"/>
          <w:highlight w:val="none"/>
        </w:rPr>
      </w:pPr>
      <w:r>
        <w:rPr>
          <w:rFonts w:hint="default"/>
          <w:color w:val="auto"/>
          <w:highlight w:val="none"/>
        </w:rPr>
        <w:t>与</w:t>
      </w:r>
      <w:r>
        <w:rPr>
          <w:rFonts w:hint="default"/>
          <w:color w:val="auto"/>
          <w:highlight w:val="none"/>
          <w:lang w:val="en-US" w:eastAsia="zh-CN"/>
        </w:rPr>
        <w:t>产业政策的</w:t>
      </w:r>
      <w:r>
        <w:rPr>
          <w:rFonts w:hint="default"/>
          <w:color w:val="auto"/>
          <w:highlight w:val="none"/>
        </w:rPr>
        <w:t>符合性分析</w:t>
      </w:r>
    </w:p>
    <w:p w14:paraId="00B950A2">
      <w:pPr>
        <w:bidi w:val="0"/>
        <w:rPr>
          <w:color w:val="auto"/>
          <w:highlight w:val="none"/>
        </w:rPr>
      </w:pPr>
      <w:r>
        <w:rPr>
          <w:rFonts w:hint="eastAsia" w:cs="Times New Roman"/>
          <w:color w:val="auto"/>
          <w:kern w:val="0"/>
          <w:sz w:val="24"/>
          <w:szCs w:val="24"/>
          <w:highlight w:val="none"/>
          <w:lang w:val="en-US" w:eastAsia="zh-CN"/>
        </w:rPr>
        <w:t>本项目属于陆上风力发电，风力发电是地区性分布式能源系统的重要组成之一。</w:t>
      </w:r>
      <w:r>
        <w:rPr>
          <w:rFonts w:hint="default" w:ascii="Times New Roman" w:hAnsi="Times New Roman" w:eastAsia="宋体" w:cs="Times New Roman"/>
          <w:color w:val="auto"/>
          <w:kern w:val="0"/>
          <w:sz w:val="24"/>
          <w:szCs w:val="24"/>
          <w:highlight w:val="none"/>
          <w:lang w:val="en-US" w:eastAsia="zh-CN"/>
        </w:rPr>
        <w:t>根据《产业结构调整指导目录（2019年本）》，</w:t>
      </w:r>
      <w:r>
        <w:rPr>
          <w:rFonts w:hint="eastAsia" w:cs="Times New Roman"/>
          <w:color w:val="auto"/>
          <w:kern w:val="0"/>
          <w:sz w:val="24"/>
          <w:szCs w:val="24"/>
          <w:highlight w:val="none"/>
          <w:lang w:val="en-US" w:eastAsia="zh-CN"/>
        </w:rPr>
        <w:t>本项目属于“鼓励类”中“四、电力，24、分布式能源”</w:t>
      </w:r>
      <w:r>
        <w:rPr>
          <w:rFonts w:hint="default" w:ascii="Times New Roman" w:hAnsi="Times New Roman" w:eastAsia="宋体" w:cs="Times New Roman"/>
          <w:color w:val="auto"/>
          <w:kern w:val="0"/>
          <w:sz w:val="24"/>
          <w:szCs w:val="24"/>
          <w:highlight w:val="none"/>
          <w:lang w:val="en-US" w:eastAsia="zh-CN"/>
        </w:rPr>
        <w:t>。对照《限制用地项目目录（2012年本）》和《禁止用地项目目录（2012年本）》，本项目不属于限制及禁止类用地项目。因此</w:t>
      </w:r>
      <w:r>
        <w:rPr>
          <w:rFonts w:hint="eastAsia" w:ascii="Times New Roman" w:hAnsi="Times New Roman" w:eastAsia="宋体" w:cs="Times New Roman"/>
          <w:color w:val="auto"/>
          <w:kern w:val="0"/>
          <w:sz w:val="24"/>
          <w:szCs w:val="24"/>
          <w:highlight w:val="none"/>
          <w:lang w:val="en-US" w:eastAsia="zh-CN"/>
        </w:rPr>
        <w:t>，</w:t>
      </w:r>
      <w:r>
        <w:rPr>
          <w:rFonts w:hint="default" w:ascii="Times New Roman" w:hAnsi="Times New Roman" w:eastAsia="宋体" w:cs="Times New Roman"/>
          <w:color w:val="auto"/>
          <w:kern w:val="0"/>
          <w:sz w:val="24"/>
          <w:szCs w:val="24"/>
          <w:highlight w:val="none"/>
          <w:lang w:val="en-US" w:eastAsia="zh-CN"/>
        </w:rPr>
        <w:t>本项目符合国家产业政策。</w:t>
      </w:r>
    </w:p>
    <w:p w14:paraId="54B58A0F">
      <w:pPr>
        <w:pStyle w:val="5"/>
        <w:bidi w:val="0"/>
        <w:rPr>
          <w:rFonts w:hint="default"/>
          <w:color w:val="auto"/>
          <w:highlight w:val="none"/>
        </w:rPr>
      </w:pPr>
      <w:r>
        <w:rPr>
          <w:rFonts w:hint="eastAsia"/>
          <w:color w:val="auto"/>
          <w:highlight w:val="none"/>
          <w:u w:val="none"/>
          <w:lang w:val="en-US" w:eastAsia="zh-CN"/>
        </w:rPr>
        <w:t>与相关法律、法规、技术规范的符合性分析</w:t>
      </w:r>
    </w:p>
    <w:p w14:paraId="6206A891">
      <w:pPr>
        <w:pStyle w:val="6"/>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eastAsia="zh-CN"/>
        </w:rPr>
        <w:t>与</w:t>
      </w:r>
      <w:r>
        <w:rPr>
          <w:rFonts w:hint="eastAsia" w:ascii="Times New Roman" w:hAnsi="Times New Roman" w:eastAsia="宋体" w:cs="Times New Roman"/>
          <w:b/>
          <w:bCs/>
          <w:color w:val="auto"/>
          <w:kern w:val="0"/>
          <w:sz w:val="24"/>
          <w:szCs w:val="24"/>
          <w:highlight w:val="none"/>
          <w:lang w:val="en-US" w:eastAsia="zh-CN"/>
        </w:rPr>
        <w:t>《湖南省碳达峰实施方案》（湘政发〔2022〕19号）的相符性分析</w:t>
      </w:r>
    </w:p>
    <w:p w14:paraId="0D0860D1">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eastAsia" w:ascii="Times New Roman" w:hAnsi="Times New Roman" w:eastAsia="宋体" w:cs="Times New Roman"/>
          <w:color w:val="auto"/>
          <w:kern w:val="0"/>
          <w:sz w:val="24"/>
          <w:szCs w:val="24"/>
          <w:highlight w:val="none"/>
          <w:lang w:val="en-US" w:eastAsia="zh-CN"/>
        </w:rPr>
        <w:t>《湖南省碳达峰实施方案》中提出：大力发展可再生能源。加快提升省内可再生能源利用比例。</w:t>
      </w:r>
      <w:r>
        <w:rPr>
          <w:rFonts w:hint="eastAsia" w:ascii="Times New Roman" w:hAnsi="Times New Roman" w:eastAsia="宋体" w:cs="Times New Roman"/>
          <w:b/>
          <w:bCs/>
          <w:color w:val="auto"/>
          <w:kern w:val="0"/>
          <w:sz w:val="24"/>
          <w:szCs w:val="24"/>
          <w:highlight w:val="none"/>
          <w:lang w:val="en-US" w:eastAsia="zh-CN"/>
        </w:rPr>
        <w:t>大力促进具备条件的风电和光伏发电快速规模化发展，</w:t>
      </w:r>
      <w:r>
        <w:rPr>
          <w:rFonts w:hint="eastAsia" w:ascii="Times New Roman" w:hAnsi="Times New Roman" w:eastAsia="宋体" w:cs="Times New Roman"/>
          <w:color w:val="auto"/>
          <w:kern w:val="0"/>
          <w:sz w:val="24"/>
          <w:szCs w:val="24"/>
          <w:highlight w:val="none"/>
          <w:lang w:val="en-US" w:eastAsia="zh-CN"/>
        </w:rPr>
        <w:t>加大具有资源优势的地热能开发利用力度。</w:t>
      </w:r>
      <w:r>
        <w:rPr>
          <w:rFonts w:hint="eastAsia" w:ascii="Times New Roman" w:hAnsi="Times New Roman" w:eastAsia="宋体" w:cs="Times New Roman"/>
          <w:b/>
          <w:bCs/>
          <w:color w:val="auto"/>
          <w:kern w:val="0"/>
          <w:sz w:val="24"/>
          <w:szCs w:val="24"/>
          <w:highlight w:val="none"/>
          <w:lang w:val="en-US" w:eastAsia="zh-CN"/>
        </w:rPr>
        <w:t>到2030年，新能源发电总装机容量达到4000万千瓦以上。</w:t>
      </w:r>
    </w:p>
    <w:p w14:paraId="03FDB574">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eastAsia" w:cs="Times New Roman"/>
          <w:color w:val="auto"/>
          <w:kern w:val="0"/>
          <w:sz w:val="24"/>
          <w:szCs w:val="24"/>
          <w:highlight w:val="none"/>
          <w:lang w:val="en-US" w:eastAsia="zh-CN"/>
        </w:rPr>
        <w:t>本项目属于风力发电项目，项目的</w:t>
      </w:r>
      <w:r>
        <w:rPr>
          <w:rFonts w:hint="default" w:ascii="Times New Roman" w:hAnsi="Times New Roman" w:eastAsia="宋体" w:cs="Times New Roman"/>
          <w:color w:val="auto"/>
          <w:kern w:val="0"/>
          <w:sz w:val="24"/>
          <w:szCs w:val="24"/>
          <w:highlight w:val="none"/>
          <w:lang w:val="en-US" w:eastAsia="zh-CN"/>
        </w:rPr>
        <w:t>建设</w:t>
      </w:r>
      <w:r>
        <w:rPr>
          <w:rFonts w:hint="eastAsia" w:ascii="Times New Roman" w:hAnsi="Times New Roman" w:eastAsia="宋体" w:cs="Times New Roman"/>
          <w:color w:val="auto"/>
          <w:kern w:val="0"/>
          <w:sz w:val="24"/>
          <w:szCs w:val="24"/>
          <w:highlight w:val="none"/>
          <w:lang w:val="en-US" w:eastAsia="zh-CN"/>
        </w:rPr>
        <w:t>有利于</w:t>
      </w:r>
      <w:r>
        <w:rPr>
          <w:rFonts w:hint="default" w:ascii="Times New Roman" w:hAnsi="Times New Roman" w:eastAsia="宋体" w:cs="Times New Roman"/>
          <w:color w:val="auto"/>
          <w:kern w:val="0"/>
          <w:sz w:val="24"/>
          <w:szCs w:val="24"/>
          <w:highlight w:val="none"/>
          <w:lang w:val="en-US" w:eastAsia="zh-CN"/>
        </w:rPr>
        <w:t>《</w:t>
      </w:r>
      <w:r>
        <w:rPr>
          <w:rFonts w:hint="eastAsia" w:ascii="Times New Roman" w:hAnsi="Times New Roman" w:eastAsia="宋体" w:cs="Times New Roman"/>
          <w:color w:val="auto"/>
          <w:kern w:val="0"/>
          <w:sz w:val="24"/>
          <w:szCs w:val="24"/>
          <w:highlight w:val="none"/>
          <w:lang w:val="en-US" w:eastAsia="zh-CN"/>
        </w:rPr>
        <w:t>湖南省碳达峰实施方案</w:t>
      </w:r>
      <w:r>
        <w:rPr>
          <w:rFonts w:hint="default" w:ascii="Times New Roman" w:hAnsi="Times New Roman" w:eastAsia="宋体" w:cs="Times New Roman"/>
          <w:color w:val="auto"/>
          <w:kern w:val="0"/>
          <w:sz w:val="24"/>
          <w:szCs w:val="24"/>
          <w:highlight w:val="none"/>
          <w:lang w:val="en-US" w:eastAsia="zh-CN"/>
        </w:rPr>
        <w:t>》</w:t>
      </w:r>
      <w:r>
        <w:rPr>
          <w:rFonts w:hint="eastAsia" w:ascii="Times New Roman" w:hAnsi="Times New Roman" w:eastAsia="宋体" w:cs="Times New Roman"/>
          <w:color w:val="auto"/>
          <w:kern w:val="0"/>
          <w:sz w:val="24"/>
          <w:szCs w:val="24"/>
          <w:highlight w:val="none"/>
          <w:lang w:val="en-US" w:eastAsia="zh-CN"/>
        </w:rPr>
        <w:t>的落实</w:t>
      </w:r>
      <w:r>
        <w:rPr>
          <w:rFonts w:hint="default" w:ascii="Times New Roman" w:hAnsi="Times New Roman" w:eastAsia="宋体" w:cs="Times New Roman"/>
          <w:color w:val="auto"/>
          <w:kern w:val="0"/>
          <w:sz w:val="24"/>
          <w:szCs w:val="24"/>
          <w:highlight w:val="none"/>
          <w:lang w:val="en-US" w:eastAsia="zh-CN"/>
        </w:rPr>
        <w:t>。</w:t>
      </w:r>
    </w:p>
    <w:p w14:paraId="29481F26">
      <w:pPr>
        <w:pStyle w:val="6"/>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eastAsia="zh-CN"/>
        </w:rPr>
        <w:t>与</w:t>
      </w:r>
      <w:r>
        <w:rPr>
          <w:rFonts w:hint="eastAsia" w:ascii="Times New Roman" w:hAnsi="Times New Roman" w:eastAsia="宋体" w:cs="Times New Roman"/>
          <w:b/>
          <w:bCs/>
          <w:color w:val="auto"/>
          <w:kern w:val="0"/>
          <w:sz w:val="24"/>
          <w:szCs w:val="24"/>
          <w:highlight w:val="none"/>
          <w:lang w:val="en-US" w:eastAsia="zh-CN"/>
        </w:rPr>
        <w:t>《中华人民共和国自然保护区条例》（2017年修订）的相符性分析</w:t>
      </w:r>
    </w:p>
    <w:p w14:paraId="7FB69254">
      <w:pPr>
        <w:pStyle w:val="2"/>
        <w:spacing w:before="0" w:after="0" w:line="360" w:lineRule="auto"/>
        <w:ind w:right="0"/>
        <w:rPr>
          <w:rFonts w:hint="eastAsia"/>
          <w:sz w:val="24"/>
          <w:szCs w:val="24"/>
          <w:lang w:val="en-US" w:eastAsia="zh-CN"/>
        </w:rPr>
      </w:pPr>
      <w:r>
        <w:rPr>
          <w:rFonts w:hint="eastAsia"/>
          <w:sz w:val="24"/>
          <w:szCs w:val="24"/>
          <w:lang w:val="en-US" w:eastAsia="zh-CN"/>
        </w:rPr>
        <w:t>本项目与自然保护区条例的符合性分析详见下表。</w:t>
      </w:r>
    </w:p>
    <w:p w14:paraId="23A47C9F">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b/>
          <w:bCs/>
          <w:color w:val="auto"/>
          <w:sz w:val="24"/>
          <w:szCs w:val="24"/>
          <w:highlight w:val="none"/>
        </w:rPr>
      </w:pPr>
      <w:r>
        <w:rPr>
          <w:rFonts w:hint="default" w:ascii="Times New Roman" w:hAnsi="Times New Roman" w:cs="Times New Roman"/>
          <w:b/>
          <w:bCs/>
          <w:color w:val="auto"/>
          <w:sz w:val="24"/>
          <w:szCs w:val="24"/>
          <w:highlight w:val="none"/>
        </w:rPr>
        <w:t>表</w:t>
      </w:r>
      <w:r>
        <w:rPr>
          <w:rFonts w:hint="eastAsia" w:ascii="Times New Roman" w:hAnsi="Times New Roman" w:cs="Times New Roman"/>
          <w:b/>
          <w:bCs/>
          <w:color w:val="auto"/>
          <w:sz w:val="24"/>
          <w:szCs w:val="24"/>
          <w:highlight w:val="none"/>
          <w:lang w:val="en-US" w:eastAsia="zh-CN"/>
        </w:rPr>
        <w:t>1.3-</w:t>
      </w:r>
      <w:r>
        <w:rPr>
          <w:rFonts w:hint="eastAsia" w:cs="Times New Roman"/>
          <w:b/>
          <w:bCs/>
          <w:color w:val="auto"/>
          <w:sz w:val="24"/>
          <w:szCs w:val="24"/>
          <w:highlight w:val="none"/>
          <w:lang w:val="en-US" w:eastAsia="zh-CN"/>
        </w:rPr>
        <w:t>2</w:t>
      </w:r>
      <w:r>
        <w:rPr>
          <w:rFonts w:hint="eastAsia" w:ascii="Times New Roman" w:hAnsi="Times New Roman" w:cs="Times New Roman"/>
          <w:b/>
          <w:bCs/>
          <w:color w:val="auto"/>
          <w:sz w:val="24"/>
          <w:szCs w:val="24"/>
          <w:highlight w:val="none"/>
          <w:lang w:val="en-US" w:eastAsia="zh-CN"/>
        </w:rPr>
        <w:t xml:space="preserve">  </w:t>
      </w:r>
      <w:r>
        <w:rPr>
          <w:rFonts w:hint="default" w:ascii="Times New Roman" w:hAnsi="Times New Roman" w:cs="Times New Roman"/>
          <w:b/>
          <w:bCs/>
          <w:color w:val="auto"/>
          <w:sz w:val="24"/>
          <w:szCs w:val="24"/>
          <w:highlight w:val="none"/>
        </w:rPr>
        <w:t>本项目与《</w:t>
      </w:r>
      <w:r>
        <w:rPr>
          <w:rFonts w:hint="eastAsia" w:cs="Times New Roman"/>
          <w:b/>
          <w:bCs/>
          <w:color w:val="auto"/>
          <w:sz w:val="24"/>
          <w:szCs w:val="24"/>
          <w:highlight w:val="none"/>
          <w:lang w:eastAsia="zh-CN"/>
        </w:rPr>
        <w:t>中华人民共和国自然保护区条例</w:t>
      </w:r>
      <w:r>
        <w:rPr>
          <w:rFonts w:hint="default" w:ascii="Times New Roman" w:hAnsi="Times New Roman" w:cs="Times New Roman"/>
          <w:b/>
          <w:bCs/>
          <w:color w:val="auto"/>
          <w:sz w:val="24"/>
          <w:szCs w:val="24"/>
          <w:highlight w:val="none"/>
        </w:rPr>
        <w:t>》符合性分析</w:t>
      </w:r>
    </w:p>
    <w:tbl>
      <w:tblPr>
        <w:tblStyle w:val="19"/>
        <w:tblW w:w="5018"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3472"/>
        <w:gridCol w:w="3625"/>
        <w:gridCol w:w="1269"/>
      </w:tblGrid>
      <w:tr w14:paraId="0544B99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460" w:type="dxa"/>
            <w:tcBorders>
              <w:tl2br w:val="nil"/>
              <w:tr2bl w:val="nil"/>
            </w:tcBorders>
            <w:noWrap w:val="0"/>
            <w:vAlign w:val="center"/>
          </w:tcPr>
          <w:p w14:paraId="16FDA36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管理要求</w:t>
            </w:r>
          </w:p>
        </w:tc>
        <w:tc>
          <w:tcPr>
            <w:tcW w:w="3612" w:type="dxa"/>
            <w:tcBorders>
              <w:tl2br w:val="nil"/>
              <w:tr2bl w:val="nil"/>
            </w:tcBorders>
            <w:noWrap w:val="0"/>
            <w:vAlign w:val="center"/>
          </w:tcPr>
          <w:p w14:paraId="40DA7B25">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eastAsia="zh-CN"/>
              </w:rPr>
              <w:t>本项目情况</w:t>
            </w:r>
          </w:p>
        </w:tc>
        <w:tc>
          <w:tcPr>
            <w:tcW w:w="1265" w:type="dxa"/>
            <w:tcBorders>
              <w:tl2br w:val="nil"/>
              <w:tr2bl w:val="nil"/>
            </w:tcBorders>
            <w:noWrap w:val="0"/>
            <w:vAlign w:val="center"/>
          </w:tcPr>
          <w:p w14:paraId="279E6F1F">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eastAsia="zh-CN"/>
              </w:rPr>
              <w:t>是否相符</w:t>
            </w:r>
          </w:p>
        </w:tc>
      </w:tr>
      <w:tr w14:paraId="40D3647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460" w:type="dxa"/>
            <w:tcBorders>
              <w:tl2br w:val="nil"/>
              <w:tr2bl w:val="nil"/>
            </w:tcBorders>
            <w:noWrap w:val="0"/>
            <w:vAlign w:val="center"/>
          </w:tcPr>
          <w:p w14:paraId="1B2872F7">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第二十六条</w:t>
            </w:r>
            <w:r>
              <w:rPr>
                <w:rFonts w:hint="eastAsia" w:cs="Times New Roman"/>
                <w:color w:val="auto"/>
                <w:sz w:val="21"/>
                <w:szCs w:val="21"/>
                <w:highlight w:val="none"/>
                <w:lang w:val="en-US" w:eastAsia="zh-CN"/>
              </w:rPr>
              <w:t xml:space="preserve"> </w:t>
            </w:r>
            <w:r>
              <w:rPr>
                <w:rFonts w:hint="default" w:ascii="Times New Roman" w:hAnsi="Times New Roman" w:cs="Times New Roman"/>
                <w:color w:val="auto"/>
                <w:sz w:val="21"/>
                <w:szCs w:val="21"/>
                <w:highlight w:val="none"/>
              </w:rPr>
              <w:t>禁止在自然保护区内进行砍伐、放牧、狩猎、捕捞、采药、开垦、烧荒、开矿、采石、挖沙等活动</w:t>
            </w:r>
            <w:r>
              <w:rPr>
                <w:rFonts w:hint="eastAsia" w:cs="Times New Roman"/>
                <w:color w:val="auto"/>
                <w:sz w:val="21"/>
                <w:szCs w:val="21"/>
                <w:highlight w:val="none"/>
                <w:lang w:eastAsia="zh-CN"/>
              </w:rPr>
              <w:t>；</w:t>
            </w:r>
            <w:r>
              <w:rPr>
                <w:rFonts w:hint="default" w:ascii="Times New Roman" w:hAnsi="Times New Roman" w:cs="Times New Roman"/>
                <w:color w:val="auto"/>
                <w:sz w:val="21"/>
                <w:szCs w:val="21"/>
                <w:highlight w:val="none"/>
              </w:rPr>
              <w:t>但是，法律、行政法规另有规定的除外。</w:t>
            </w:r>
          </w:p>
        </w:tc>
        <w:tc>
          <w:tcPr>
            <w:tcW w:w="3612" w:type="dxa"/>
            <w:tcBorders>
              <w:tl2br w:val="nil"/>
              <w:tr2bl w:val="nil"/>
            </w:tcBorders>
            <w:noWrap w:val="0"/>
            <w:vAlign w:val="center"/>
          </w:tcPr>
          <w:p w14:paraId="169B23D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eastAsia="zh-CN"/>
              </w:rPr>
              <w:t>本项目施工期严格控制施工范围，加强施工人员管理，施工人员禁止进入自然保护区，禁止在自然保护区内进行砍伐、采药等法律禁止行为。</w:t>
            </w:r>
          </w:p>
        </w:tc>
        <w:tc>
          <w:tcPr>
            <w:tcW w:w="1265" w:type="dxa"/>
            <w:tcBorders>
              <w:tl2br w:val="nil"/>
              <w:tr2bl w:val="nil"/>
            </w:tcBorders>
            <w:noWrap w:val="0"/>
            <w:vAlign w:val="center"/>
          </w:tcPr>
          <w:p w14:paraId="6AC52B58">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eastAsia="zh-CN"/>
              </w:rPr>
              <w:t>相符</w:t>
            </w:r>
          </w:p>
        </w:tc>
      </w:tr>
      <w:tr w14:paraId="3C8A7ED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460" w:type="dxa"/>
            <w:tcBorders>
              <w:tl2br w:val="nil"/>
              <w:tr2bl w:val="nil"/>
            </w:tcBorders>
            <w:noWrap w:val="0"/>
            <w:vAlign w:val="center"/>
          </w:tcPr>
          <w:p w14:paraId="601F75E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第二十七条 禁止任何人进入自然保护区的核心区。因科学研究的需要，必须进入核心区从事科学研究观测、调查活动的，应当事先向自然保护区管理机构提交申请和活动计划，并经自然保护区管理机构批准</w:t>
            </w:r>
            <w:r>
              <w:rPr>
                <w:rFonts w:hint="eastAsia" w:cs="Times New Roman"/>
                <w:color w:val="auto"/>
                <w:sz w:val="21"/>
                <w:szCs w:val="21"/>
                <w:highlight w:val="none"/>
                <w:lang w:eastAsia="zh-CN"/>
              </w:rPr>
              <w:t>；</w:t>
            </w:r>
            <w:r>
              <w:rPr>
                <w:rFonts w:hint="default" w:ascii="Times New Roman" w:hAnsi="Times New Roman" w:cs="Times New Roman"/>
                <w:color w:val="auto"/>
                <w:sz w:val="21"/>
                <w:szCs w:val="21"/>
                <w:highlight w:val="none"/>
              </w:rPr>
              <w:t>其中，进入国家级自然保护区核心区的，应当经省、自治区、直辖市人民政府有关自然保护区行政主管部门批准。</w:t>
            </w:r>
          </w:p>
        </w:tc>
        <w:tc>
          <w:tcPr>
            <w:tcW w:w="3612" w:type="dxa"/>
            <w:tcBorders>
              <w:tl2br w:val="nil"/>
              <w:tr2bl w:val="nil"/>
            </w:tcBorders>
            <w:noWrap w:val="0"/>
            <w:vAlign w:val="center"/>
          </w:tcPr>
          <w:p w14:paraId="0AFD5D87">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eastAsia="zh-CN"/>
              </w:rPr>
              <w:t>本项目距离衡阳县三阳自然保护区核心区的最近距离为</w:t>
            </w:r>
            <w:r>
              <w:rPr>
                <w:rFonts w:hint="eastAsia" w:cs="Times New Roman"/>
                <w:color w:val="auto"/>
                <w:sz w:val="21"/>
                <w:szCs w:val="21"/>
                <w:highlight w:val="none"/>
                <w:lang w:val="en-US" w:eastAsia="zh-CN"/>
              </w:rPr>
              <w:t>3.8km，距离较远，施工期加强施工人员管理，禁止施工人员进入自然保护区核心区。</w:t>
            </w:r>
          </w:p>
        </w:tc>
        <w:tc>
          <w:tcPr>
            <w:tcW w:w="1265" w:type="dxa"/>
            <w:tcBorders>
              <w:tl2br w:val="nil"/>
              <w:tr2bl w:val="nil"/>
            </w:tcBorders>
            <w:noWrap w:val="0"/>
            <w:vAlign w:val="center"/>
          </w:tcPr>
          <w:p w14:paraId="5842C412">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eastAsia="zh-CN"/>
              </w:rPr>
              <w:t>相符</w:t>
            </w:r>
          </w:p>
        </w:tc>
      </w:tr>
      <w:tr w14:paraId="256F4AD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460" w:type="dxa"/>
            <w:tcBorders>
              <w:tl2br w:val="nil"/>
              <w:tr2bl w:val="nil"/>
            </w:tcBorders>
            <w:noWrap w:val="0"/>
            <w:vAlign w:val="center"/>
          </w:tcPr>
          <w:p w14:paraId="235ADD2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第二十八条 禁止在自然保护区的缓冲区开展旅游和生产经营活动。因教学科研的目的，需要进入自然保护区的缓冲区从事非破坏性的科学研究、教学实习和标本采集活动的，应当事先向自然保护区管理机构提交申请和活动计划，经自然保护区管理机构批准。</w:t>
            </w:r>
          </w:p>
        </w:tc>
        <w:tc>
          <w:tcPr>
            <w:tcW w:w="3612" w:type="dxa"/>
            <w:tcBorders>
              <w:tl2br w:val="nil"/>
              <w:tr2bl w:val="nil"/>
            </w:tcBorders>
            <w:noWrap w:val="0"/>
            <w:vAlign w:val="center"/>
          </w:tcPr>
          <w:p w14:paraId="0364F519">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eastAsia="zh-CN"/>
              </w:rPr>
              <w:t>本项目不位于衡阳县三阳自然保护区，距离衡阳县三阳自然保护区缓冲区的最近距离为</w:t>
            </w:r>
            <w:r>
              <w:rPr>
                <w:rFonts w:hint="eastAsia" w:cs="Times New Roman"/>
                <w:color w:val="auto"/>
                <w:sz w:val="21"/>
                <w:szCs w:val="21"/>
                <w:highlight w:val="none"/>
                <w:lang w:val="en-US" w:eastAsia="zh-CN"/>
              </w:rPr>
              <w:t>3.6km。</w:t>
            </w:r>
          </w:p>
        </w:tc>
        <w:tc>
          <w:tcPr>
            <w:tcW w:w="1265" w:type="dxa"/>
            <w:tcBorders>
              <w:tl2br w:val="nil"/>
              <w:tr2bl w:val="nil"/>
            </w:tcBorders>
            <w:noWrap w:val="0"/>
            <w:vAlign w:val="center"/>
          </w:tcPr>
          <w:p w14:paraId="0EB47A9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eastAsia="zh-CN"/>
              </w:rPr>
              <w:t>相符</w:t>
            </w:r>
          </w:p>
        </w:tc>
      </w:tr>
      <w:tr w14:paraId="4F180BA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008" w:hRule="atLeast"/>
          <w:jc w:val="center"/>
        </w:trPr>
        <w:tc>
          <w:tcPr>
            <w:tcW w:w="3460" w:type="dxa"/>
            <w:tcBorders>
              <w:tl2br w:val="nil"/>
              <w:tr2bl w:val="nil"/>
            </w:tcBorders>
            <w:noWrap w:val="0"/>
            <w:vAlign w:val="center"/>
          </w:tcPr>
          <w:p w14:paraId="423D0C75">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both"/>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第三十二条 在自然保护区的核心区和缓冲区内，不得建设任何生产设施在自然保护区的实验区内，不得建设污染环境、破坏资源或者景观的生产设施</w:t>
            </w:r>
            <w:r>
              <w:rPr>
                <w:rFonts w:hint="eastAsia" w:cs="Times New Roman"/>
                <w:color w:val="auto"/>
                <w:sz w:val="21"/>
                <w:szCs w:val="21"/>
                <w:highlight w:val="none"/>
                <w:lang w:eastAsia="zh-CN"/>
              </w:rPr>
              <w:t>；</w:t>
            </w:r>
            <w:r>
              <w:rPr>
                <w:rFonts w:hint="default" w:ascii="Times New Roman" w:hAnsi="Times New Roman" w:cs="Times New Roman"/>
                <w:color w:val="auto"/>
                <w:sz w:val="21"/>
                <w:szCs w:val="21"/>
                <w:highlight w:val="none"/>
              </w:rPr>
              <w:t>建设其他项目，其污染物排放不得超过国家和地方规定的污染物排放标准。在自然保护区的实验区内已经建成的设施，其污染物排放超过国家和地方规定的排放标准的，应当限期治理</w:t>
            </w:r>
            <w:r>
              <w:rPr>
                <w:rFonts w:hint="eastAsia" w:cs="Times New Roman"/>
                <w:color w:val="auto"/>
                <w:sz w:val="21"/>
                <w:szCs w:val="21"/>
                <w:highlight w:val="none"/>
                <w:lang w:eastAsia="zh-CN"/>
              </w:rPr>
              <w:t>；</w:t>
            </w:r>
            <w:r>
              <w:rPr>
                <w:rFonts w:hint="default" w:ascii="Times New Roman" w:hAnsi="Times New Roman" w:cs="Times New Roman"/>
                <w:color w:val="auto"/>
                <w:sz w:val="21"/>
                <w:szCs w:val="21"/>
                <w:highlight w:val="none"/>
              </w:rPr>
              <w:t>造成损害的，必须采取补救措施。</w:t>
            </w:r>
          </w:p>
          <w:p w14:paraId="213EB86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both"/>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在自然保护区的外围保护地带建设的项目，不得损害自然保护区内的环境质</w:t>
            </w:r>
            <w:r>
              <w:rPr>
                <w:rFonts w:hint="eastAsia" w:cs="Times New Roman"/>
                <w:color w:val="auto"/>
                <w:sz w:val="21"/>
                <w:szCs w:val="21"/>
                <w:highlight w:val="none"/>
                <w:lang w:eastAsia="zh-CN"/>
              </w:rPr>
              <w:t>量，</w:t>
            </w:r>
            <w:r>
              <w:rPr>
                <w:rFonts w:hint="default" w:ascii="Times New Roman" w:hAnsi="Times New Roman" w:cs="Times New Roman"/>
                <w:color w:val="auto"/>
                <w:sz w:val="21"/>
                <w:szCs w:val="21"/>
                <w:highlight w:val="none"/>
              </w:rPr>
              <w:t>已造成损害的，应当限期治理。</w:t>
            </w:r>
          </w:p>
        </w:tc>
        <w:tc>
          <w:tcPr>
            <w:tcW w:w="3612" w:type="dxa"/>
            <w:tcBorders>
              <w:tl2br w:val="nil"/>
              <w:tr2bl w:val="nil"/>
            </w:tcBorders>
            <w:noWrap w:val="0"/>
            <w:vAlign w:val="center"/>
          </w:tcPr>
          <w:p w14:paraId="4897472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both"/>
              <w:textAlignment w:val="auto"/>
              <w:rPr>
                <w:rFonts w:hint="eastAsia" w:cs="Times New Roman"/>
                <w:color w:val="auto"/>
                <w:sz w:val="21"/>
                <w:szCs w:val="21"/>
                <w:highlight w:val="none"/>
                <w:lang w:val="en-US" w:eastAsia="zh-CN"/>
              </w:rPr>
            </w:pPr>
            <w:r>
              <w:rPr>
                <w:rFonts w:hint="eastAsia" w:cs="Times New Roman"/>
                <w:color w:val="auto"/>
                <w:sz w:val="21"/>
                <w:szCs w:val="21"/>
                <w:highlight w:val="none"/>
                <w:lang w:eastAsia="zh-CN"/>
              </w:rPr>
              <w:t>本项目不位于衡阳县三阳自然保护区，距离衡阳县三阳自然保护区缓冲区的最近距离为</w:t>
            </w:r>
            <w:r>
              <w:rPr>
                <w:rFonts w:hint="eastAsia" w:cs="Times New Roman"/>
                <w:color w:val="auto"/>
                <w:sz w:val="21"/>
                <w:szCs w:val="21"/>
                <w:highlight w:val="none"/>
                <w:lang w:val="en-US" w:eastAsia="zh-CN"/>
              </w:rPr>
              <w:t>3.6km，与</w:t>
            </w:r>
            <w:r>
              <w:rPr>
                <w:rFonts w:hint="eastAsia" w:cs="Times New Roman"/>
                <w:color w:val="auto"/>
                <w:sz w:val="21"/>
                <w:szCs w:val="21"/>
                <w:highlight w:val="none"/>
                <w:lang w:eastAsia="zh-CN"/>
              </w:rPr>
              <w:t>核心区的最近距离为</w:t>
            </w:r>
            <w:r>
              <w:rPr>
                <w:rFonts w:hint="eastAsia" w:cs="Times New Roman"/>
                <w:color w:val="auto"/>
                <w:sz w:val="21"/>
                <w:szCs w:val="21"/>
                <w:highlight w:val="none"/>
                <w:lang w:val="en-US" w:eastAsia="zh-CN"/>
              </w:rPr>
              <w:t>3.8km。</w:t>
            </w:r>
          </w:p>
          <w:p w14:paraId="1A77E12B">
            <w:pPr>
              <w:pStyle w:val="2"/>
              <w:ind w:firstLine="0" w:firstLineChars="0"/>
              <w:jc w:val="both"/>
              <w:rPr>
                <w:rFonts w:hint="default"/>
              </w:rPr>
            </w:pPr>
            <w:r>
              <w:rPr>
                <w:rFonts w:hint="eastAsia" w:cs="Times New Roman"/>
                <w:color w:val="auto"/>
                <w:sz w:val="21"/>
                <w:szCs w:val="21"/>
                <w:highlight w:val="none"/>
                <w:lang w:val="en-US" w:eastAsia="zh-CN"/>
              </w:rPr>
              <w:t>本项目16#、17#、18#、19#机位与胡井实验区较近，最近直线距离分别为513m、125m、455m、142m，新建道路与胡井实验区最近距离为52m，12#渣场与胡井实验区最近距离为413m。本项目为风力发电项目，属于清洁能源，营运期无工艺废水、废气产生，固废得到妥善处置，噪声能做到达标排放，不会损害自然保护区内的环境质量。</w:t>
            </w:r>
          </w:p>
        </w:tc>
        <w:tc>
          <w:tcPr>
            <w:tcW w:w="1265" w:type="dxa"/>
            <w:tcBorders>
              <w:tl2br w:val="nil"/>
              <w:tr2bl w:val="nil"/>
            </w:tcBorders>
            <w:noWrap w:val="0"/>
            <w:vAlign w:val="center"/>
          </w:tcPr>
          <w:p w14:paraId="3B1261C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eastAsia="zh-CN"/>
              </w:rPr>
              <w:t>相符</w:t>
            </w:r>
          </w:p>
        </w:tc>
      </w:tr>
    </w:tbl>
    <w:p w14:paraId="0713D175">
      <w:pPr>
        <w:rPr>
          <w:rFonts w:hint="eastAsia"/>
          <w:lang w:val="en-US" w:eastAsia="zh-CN"/>
        </w:rPr>
      </w:pPr>
      <w:r>
        <w:rPr>
          <w:rFonts w:hint="eastAsia"/>
          <w:lang w:val="en-US" w:eastAsia="zh-CN"/>
        </w:rPr>
        <w:t>综上，本项目建设符合《中华人民共和国自然保护区条例》（2017年修订）中的相关规定。</w:t>
      </w:r>
    </w:p>
    <w:p w14:paraId="01461288">
      <w:pPr>
        <w:pStyle w:val="2"/>
        <w:rPr>
          <w:rFonts w:hint="eastAsia"/>
          <w:lang w:val="en-US" w:eastAsia="zh-CN"/>
        </w:rPr>
      </w:pPr>
    </w:p>
    <w:p w14:paraId="6D36CF3E">
      <w:pPr>
        <w:pStyle w:val="6"/>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eastAsia="zh-CN"/>
        </w:rPr>
        <w:t>与</w:t>
      </w:r>
      <w:r>
        <w:rPr>
          <w:rFonts w:hint="default" w:ascii="Times New Roman" w:hAnsi="Times New Roman" w:eastAsia="宋体" w:cs="Times New Roman"/>
          <w:b/>
          <w:bCs/>
          <w:color w:val="auto"/>
          <w:kern w:val="0"/>
          <w:sz w:val="24"/>
          <w:szCs w:val="24"/>
          <w:highlight w:val="none"/>
          <w:lang w:val="en-US" w:eastAsia="zh-CN"/>
        </w:rPr>
        <w:t>《关于进一步规范风电发展的通知》</w:t>
      </w:r>
      <w:r>
        <w:rPr>
          <w:rFonts w:hint="eastAsia" w:ascii="Times New Roman" w:hAnsi="Times New Roman" w:eastAsia="宋体" w:cs="Times New Roman"/>
          <w:b/>
          <w:bCs/>
          <w:color w:val="auto"/>
          <w:kern w:val="0"/>
          <w:sz w:val="24"/>
          <w:szCs w:val="24"/>
          <w:highlight w:val="none"/>
          <w:lang w:val="en-US" w:eastAsia="zh-CN"/>
        </w:rPr>
        <w:t>（</w:t>
      </w:r>
      <w:r>
        <w:rPr>
          <w:rFonts w:hint="default" w:ascii="Times New Roman" w:hAnsi="Times New Roman" w:eastAsia="宋体" w:cs="Times New Roman"/>
          <w:b/>
          <w:bCs/>
          <w:color w:val="auto"/>
          <w:kern w:val="0"/>
          <w:sz w:val="24"/>
          <w:szCs w:val="24"/>
          <w:highlight w:val="none"/>
          <w:lang w:val="en-US" w:eastAsia="zh-CN"/>
        </w:rPr>
        <w:t>湘发改能源【2016】822号</w:t>
      </w:r>
      <w:r>
        <w:rPr>
          <w:rFonts w:hint="eastAsia" w:ascii="Times New Roman" w:hAnsi="Times New Roman" w:eastAsia="宋体" w:cs="Times New Roman"/>
          <w:b/>
          <w:bCs/>
          <w:color w:val="auto"/>
          <w:kern w:val="0"/>
          <w:sz w:val="24"/>
          <w:szCs w:val="24"/>
          <w:highlight w:val="none"/>
          <w:lang w:val="en-US" w:eastAsia="zh-CN"/>
        </w:rPr>
        <w:t>）</w:t>
      </w:r>
      <w:r>
        <w:rPr>
          <w:rFonts w:hint="default" w:ascii="Times New Roman" w:hAnsi="Times New Roman" w:eastAsia="宋体" w:cs="Times New Roman"/>
          <w:b/>
          <w:bCs/>
          <w:color w:val="auto"/>
          <w:kern w:val="0"/>
          <w:sz w:val="24"/>
          <w:szCs w:val="24"/>
          <w:highlight w:val="none"/>
          <w:lang w:val="en-US" w:eastAsia="zh-CN"/>
        </w:rPr>
        <w:t>的协调性分析</w:t>
      </w:r>
    </w:p>
    <w:p w14:paraId="7B39F1D3">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根据湖南省发展和改革委员会、湖南省环境保护厅等部门《关于进一步规范风电发展的通知》（湘发改能源【2016】）822号）中相关内容，对风电项目建设提出环境保护要求相关，具体分析如下表。</w:t>
      </w:r>
    </w:p>
    <w:p w14:paraId="54B5728F">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1）“严格按照《中华人民共和国自然保护区条例》（国务院令第167号）、《风景名胜区条例》（国务院令第474号）、《建设项目使用林地审核审批管理办法》（国家林业局令第35号）等法律法规要求，结合我省地貌特征、人居环境等约束条件，禁止在世界文化与自然遗产地，省级以上（含省级）自然保护区、风景名胜区、森林公园，经省人民政府批准的生态保护红线一级管控区、Ⅰ级保护林地、一级国家公益林地规划建设新的风电项目。”</w:t>
      </w:r>
    </w:p>
    <w:p w14:paraId="48C1F19A">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2）“严格控制在湿地公园、地质公园、旅游景区、鸟类主要迁徙通道、天然林和单位面积蓄积量高的林地以及基岩风化严重或生态脆弱、毁损后难以恢复的区域建设风电项目。特殊情况下确需在上述区域规划建设的项目，应符合所在区域总体规划，并按规定取得相关行政主管部门的认可意见。涉及鸟类主要迁徙通道的风电项目，要通过严格的鸟类评估和论证。”</w:t>
      </w:r>
    </w:p>
    <w:p w14:paraId="236B0611">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本项目与该文件符合性分析见下表。</w:t>
      </w:r>
    </w:p>
    <w:p w14:paraId="2421D759">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b/>
          <w:bCs/>
          <w:color w:val="auto"/>
          <w:sz w:val="24"/>
          <w:szCs w:val="24"/>
          <w:highlight w:val="none"/>
        </w:rPr>
      </w:pPr>
      <w:r>
        <w:rPr>
          <w:rFonts w:hint="default" w:ascii="Times New Roman" w:hAnsi="Times New Roman" w:cs="Times New Roman"/>
          <w:b/>
          <w:bCs/>
          <w:color w:val="auto"/>
          <w:sz w:val="24"/>
          <w:szCs w:val="24"/>
          <w:highlight w:val="none"/>
        </w:rPr>
        <w:t>表</w:t>
      </w:r>
      <w:r>
        <w:rPr>
          <w:rFonts w:hint="eastAsia" w:ascii="Times New Roman" w:hAnsi="Times New Roman" w:cs="Times New Roman"/>
          <w:b/>
          <w:bCs/>
          <w:color w:val="auto"/>
          <w:sz w:val="24"/>
          <w:szCs w:val="24"/>
          <w:highlight w:val="none"/>
          <w:lang w:val="en-US" w:eastAsia="zh-CN"/>
        </w:rPr>
        <w:t>1.3-</w:t>
      </w:r>
      <w:r>
        <w:rPr>
          <w:rFonts w:hint="eastAsia" w:cs="Times New Roman"/>
          <w:b/>
          <w:bCs/>
          <w:color w:val="auto"/>
          <w:sz w:val="24"/>
          <w:szCs w:val="24"/>
          <w:highlight w:val="none"/>
          <w:lang w:val="en-US" w:eastAsia="zh-CN"/>
        </w:rPr>
        <w:t>2</w:t>
      </w:r>
      <w:r>
        <w:rPr>
          <w:rFonts w:hint="eastAsia" w:ascii="Times New Roman" w:hAnsi="Times New Roman" w:cs="Times New Roman"/>
          <w:b/>
          <w:bCs/>
          <w:color w:val="auto"/>
          <w:sz w:val="24"/>
          <w:szCs w:val="24"/>
          <w:highlight w:val="none"/>
          <w:lang w:val="en-US" w:eastAsia="zh-CN"/>
        </w:rPr>
        <w:t xml:space="preserve">  </w:t>
      </w:r>
      <w:r>
        <w:rPr>
          <w:rFonts w:hint="default" w:ascii="Times New Roman" w:hAnsi="Times New Roman" w:cs="Times New Roman"/>
          <w:b/>
          <w:bCs/>
          <w:color w:val="auto"/>
          <w:sz w:val="24"/>
          <w:szCs w:val="24"/>
          <w:highlight w:val="none"/>
        </w:rPr>
        <w:t>本项目与《关于进一步规范风电发展的通知》符合性分析</w:t>
      </w:r>
    </w:p>
    <w:tbl>
      <w:tblPr>
        <w:tblStyle w:val="19"/>
        <w:tblW w:w="4949"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798"/>
        <w:gridCol w:w="1780"/>
        <w:gridCol w:w="846"/>
        <w:gridCol w:w="3070"/>
        <w:gridCol w:w="1757"/>
      </w:tblGrid>
      <w:tr w14:paraId="57A040B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69" w:type="dxa"/>
            <w:tcBorders>
              <w:tl2br w:val="nil"/>
              <w:tr2bl w:val="nil"/>
            </w:tcBorders>
            <w:noWrap w:val="0"/>
            <w:vAlign w:val="center"/>
          </w:tcPr>
          <w:p w14:paraId="48213EF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管理</w:t>
            </w:r>
          </w:p>
          <w:p w14:paraId="5F2F9F6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要求</w:t>
            </w:r>
          </w:p>
        </w:tc>
        <w:tc>
          <w:tcPr>
            <w:tcW w:w="1491" w:type="dxa"/>
            <w:tcBorders>
              <w:tl2br w:val="nil"/>
              <w:tr2bl w:val="nil"/>
            </w:tcBorders>
            <w:noWrap w:val="0"/>
            <w:vAlign w:val="center"/>
          </w:tcPr>
          <w:p w14:paraId="2A2857B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类别</w:t>
            </w:r>
          </w:p>
        </w:tc>
        <w:tc>
          <w:tcPr>
            <w:tcW w:w="709" w:type="dxa"/>
            <w:tcBorders>
              <w:tl2br w:val="nil"/>
              <w:tr2bl w:val="nil"/>
            </w:tcBorders>
            <w:noWrap w:val="0"/>
            <w:vAlign w:val="center"/>
          </w:tcPr>
          <w:p w14:paraId="2046A56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名称</w:t>
            </w:r>
          </w:p>
        </w:tc>
        <w:tc>
          <w:tcPr>
            <w:tcW w:w="2572" w:type="dxa"/>
            <w:tcBorders>
              <w:tl2br w:val="nil"/>
              <w:tr2bl w:val="nil"/>
            </w:tcBorders>
            <w:noWrap w:val="0"/>
            <w:vAlign w:val="center"/>
          </w:tcPr>
          <w:p w14:paraId="7A538BB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相对位置关系及说明</w:t>
            </w:r>
          </w:p>
        </w:tc>
        <w:tc>
          <w:tcPr>
            <w:tcW w:w="1472" w:type="dxa"/>
            <w:tcBorders>
              <w:tl2br w:val="nil"/>
              <w:tr2bl w:val="nil"/>
            </w:tcBorders>
            <w:noWrap w:val="0"/>
            <w:vAlign w:val="center"/>
          </w:tcPr>
          <w:p w14:paraId="5C54BCE2">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确认依据</w:t>
            </w:r>
          </w:p>
        </w:tc>
      </w:tr>
      <w:tr w14:paraId="7E27305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69" w:type="dxa"/>
            <w:vMerge w:val="restart"/>
            <w:tcBorders>
              <w:tl2br w:val="nil"/>
              <w:tr2bl w:val="nil"/>
            </w:tcBorders>
            <w:noWrap w:val="0"/>
            <w:vAlign w:val="center"/>
          </w:tcPr>
          <w:p w14:paraId="50263888">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禁止建设区域</w:t>
            </w:r>
          </w:p>
        </w:tc>
        <w:tc>
          <w:tcPr>
            <w:tcW w:w="1491" w:type="dxa"/>
            <w:tcBorders>
              <w:tl2br w:val="nil"/>
              <w:tr2bl w:val="nil"/>
            </w:tcBorders>
            <w:noWrap w:val="0"/>
            <w:vAlign w:val="center"/>
          </w:tcPr>
          <w:p w14:paraId="3822BD32">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世界文化与自然</w:t>
            </w:r>
          </w:p>
          <w:p w14:paraId="7F10C61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遗产地</w:t>
            </w:r>
          </w:p>
        </w:tc>
        <w:tc>
          <w:tcPr>
            <w:tcW w:w="709" w:type="dxa"/>
            <w:tcBorders>
              <w:tl2br w:val="nil"/>
              <w:tr2bl w:val="nil"/>
            </w:tcBorders>
            <w:noWrap w:val="0"/>
            <w:vAlign w:val="center"/>
          </w:tcPr>
          <w:p w14:paraId="383BEC3F">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无</w:t>
            </w:r>
          </w:p>
        </w:tc>
        <w:tc>
          <w:tcPr>
            <w:tcW w:w="2572" w:type="dxa"/>
            <w:tcBorders>
              <w:tl2br w:val="nil"/>
              <w:tr2bl w:val="nil"/>
            </w:tcBorders>
            <w:noWrap w:val="0"/>
            <w:vAlign w:val="center"/>
          </w:tcPr>
          <w:p w14:paraId="4FC56B04">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不涉及</w:t>
            </w:r>
          </w:p>
        </w:tc>
        <w:tc>
          <w:tcPr>
            <w:tcW w:w="1472" w:type="dxa"/>
            <w:vMerge w:val="restart"/>
            <w:tcBorders>
              <w:tl2br w:val="nil"/>
              <w:tr2bl w:val="nil"/>
            </w:tcBorders>
            <w:noWrap w:val="0"/>
            <w:vAlign w:val="center"/>
          </w:tcPr>
          <w:p w14:paraId="3772B195">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default" w:ascii="Times New Roman" w:hAnsi="Times New Roman" w:cs="Times New Roman"/>
                <w:color w:val="auto"/>
                <w:sz w:val="21"/>
                <w:szCs w:val="21"/>
                <w:highlight w:val="none"/>
              </w:rPr>
              <w:t>《湖南省主体功能区规划》</w:t>
            </w:r>
            <w:r>
              <w:rPr>
                <w:rFonts w:hint="eastAsia" w:ascii="Times New Roman" w:hAnsi="Times New Roman" w:cs="Times New Roman"/>
                <w:color w:val="auto"/>
                <w:sz w:val="21"/>
                <w:szCs w:val="21"/>
                <w:highlight w:val="none"/>
                <w:lang w:eastAsia="zh-CN"/>
              </w:rPr>
              <w:t>、项目用地预审和选址意见（附件</w:t>
            </w:r>
            <w:r>
              <w:rPr>
                <w:rFonts w:hint="eastAsia" w:ascii="Times New Roman" w:hAnsi="Times New Roman" w:cs="Times New Roman"/>
                <w:color w:val="auto"/>
                <w:sz w:val="21"/>
                <w:szCs w:val="21"/>
                <w:highlight w:val="none"/>
                <w:lang w:val="en-US" w:eastAsia="zh-CN"/>
              </w:rPr>
              <w:t>3</w:t>
            </w:r>
            <w:r>
              <w:rPr>
                <w:rFonts w:hint="eastAsia" w:ascii="Times New Roman" w:hAnsi="Times New Roman" w:cs="Times New Roman"/>
                <w:color w:val="auto"/>
                <w:sz w:val="21"/>
                <w:szCs w:val="21"/>
                <w:highlight w:val="none"/>
                <w:lang w:eastAsia="zh-CN"/>
              </w:rPr>
              <w:t>）、祁东县林业局《关于祁东县南冲风电场（大马二期）的审核意见》（附件</w:t>
            </w:r>
            <w:r>
              <w:rPr>
                <w:rFonts w:hint="eastAsia" w:ascii="Times New Roman" w:hAnsi="Times New Roman" w:cs="Times New Roman"/>
                <w:color w:val="auto"/>
                <w:sz w:val="21"/>
                <w:szCs w:val="21"/>
                <w:highlight w:val="none"/>
                <w:lang w:val="en-US" w:eastAsia="zh-CN"/>
              </w:rPr>
              <w:t>6</w:t>
            </w:r>
            <w:r>
              <w:rPr>
                <w:rFonts w:hint="eastAsia" w:ascii="Times New Roman" w:hAnsi="Times New Roman" w:cs="Times New Roman"/>
                <w:color w:val="auto"/>
                <w:sz w:val="21"/>
                <w:szCs w:val="21"/>
                <w:highlight w:val="none"/>
                <w:lang w:eastAsia="zh-CN"/>
              </w:rPr>
              <w:t>）</w:t>
            </w:r>
          </w:p>
        </w:tc>
      </w:tr>
      <w:tr w14:paraId="66FB991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69" w:type="dxa"/>
            <w:vMerge w:val="continue"/>
            <w:tcBorders>
              <w:tl2br w:val="nil"/>
              <w:tr2bl w:val="nil"/>
            </w:tcBorders>
            <w:noWrap w:val="0"/>
            <w:vAlign w:val="center"/>
          </w:tcPr>
          <w:p w14:paraId="312DAF39">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p>
        </w:tc>
        <w:tc>
          <w:tcPr>
            <w:tcW w:w="1491" w:type="dxa"/>
            <w:tcBorders>
              <w:tl2br w:val="nil"/>
              <w:tr2bl w:val="nil"/>
            </w:tcBorders>
            <w:noWrap w:val="0"/>
            <w:vAlign w:val="center"/>
          </w:tcPr>
          <w:p w14:paraId="7B4682C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省级以上（含省</w:t>
            </w:r>
          </w:p>
          <w:p w14:paraId="351220F8">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lang w:val="zh-CN" w:eastAsia="zh-CN"/>
              </w:rPr>
            </w:pPr>
            <w:r>
              <w:rPr>
                <w:rFonts w:hint="default" w:ascii="Times New Roman" w:hAnsi="Times New Roman" w:cs="Times New Roman"/>
                <w:color w:val="auto"/>
                <w:sz w:val="21"/>
                <w:szCs w:val="21"/>
                <w:highlight w:val="none"/>
              </w:rPr>
              <w:t>级）自然保护区</w:t>
            </w:r>
          </w:p>
        </w:tc>
        <w:tc>
          <w:tcPr>
            <w:tcW w:w="709" w:type="dxa"/>
            <w:tcBorders>
              <w:tl2br w:val="nil"/>
              <w:tr2bl w:val="nil"/>
            </w:tcBorders>
            <w:noWrap w:val="0"/>
            <w:vAlign w:val="center"/>
          </w:tcPr>
          <w:p w14:paraId="08FF684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highlight w:val="none"/>
                <w:lang w:val="zh-CN" w:eastAsia="zh-CN"/>
              </w:rPr>
            </w:pPr>
            <w:r>
              <w:rPr>
                <w:rFonts w:hint="eastAsia" w:ascii="Times New Roman" w:hAnsi="Times New Roman" w:cs="Times New Roman"/>
                <w:color w:val="auto"/>
                <w:sz w:val="21"/>
                <w:szCs w:val="21"/>
                <w:highlight w:val="none"/>
                <w:lang w:eastAsia="zh-CN"/>
              </w:rPr>
              <w:t>无</w:t>
            </w:r>
          </w:p>
        </w:tc>
        <w:tc>
          <w:tcPr>
            <w:tcW w:w="2572" w:type="dxa"/>
            <w:tcBorders>
              <w:tl2br w:val="nil"/>
              <w:tr2bl w:val="nil"/>
            </w:tcBorders>
            <w:noWrap w:val="0"/>
            <w:vAlign w:val="center"/>
          </w:tcPr>
          <w:p w14:paraId="10B16B06">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highlight w:val="none"/>
                <w:lang w:val="zh-CN" w:eastAsia="zh-CN"/>
              </w:rPr>
            </w:pPr>
            <w:r>
              <w:rPr>
                <w:rFonts w:hint="default" w:ascii="Times New Roman" w:hAnsi="Times New Roman" w:cs="Times New Roman"/>
                <w:color w:val="auto"/>
                <w:sz w:val="21"/>
                <w:szCs w:val="21"/>
                <w:highlight w:val="none"/>
              </w:rPr>
              <w:t>不涉及</w:t>
            </w:r>
            <w:r>
              <w:rPr>
                <w:rFonts w:hint="eastAsia" w:ascii="Times New Roman" w:hAnsi="Times New Roman" w:cs="Times New Roman"/>
                <w:b/>
                <w:bCs/>
                <w:color w:val="auto"/>
                <w:sz w:val="21"/>
                <w:szCs w:val="21"/>
                <w:highlight w:val="none"/>
                <w:lang w:eastAsia="zh-CN"/>
              </w:rPr>
              <w:t>（与项目最近的衡阳三阳自然保护区属于县级自然保护区）</w:t>
            </w:r>
          </w:p>
        </w:tc>
        <w:tc>
          <w:tcPr>
            <w:tcW w:w="1472" w:type="dxa"/>
            <w:vMerge w:val="continue"/>
            <w:tcBorders>
              <w:tl2br w:val="nil"/>
              <w:tr2bl w:val="nil"/>
            </w:tcBorders>
            <w:noWrap w:val="0"/>
            <w:vAlign w:val="center"/>
          </w:tcPr>
          <w:p w14:paraId="7069779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p>
        </w:tc>
      </w:tr>
      <w:tr w14:paraId="3969BDC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69" w:type="dxa"/>
            <w:vMerge w:val="continue"/>
            <w:tcBorders>
              <w:tl2br w:val="nil"/>
              <w:tr2bl w:val="nil"/>
            </w:tcBorders>
            <w:noWrap w:val="0"/>
            <w:vAlign w:val="center"/>
          </w:tcPr>
          <w:p w14:paraId="17923CC2">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p>
        </w:tc>
        <w:tc>
          <w:tcPr>
            <w:tcW w:w="1491" w:type="dxa"/>
            <w:tcBorders>
              <w:tl2br w:val="nil"/>
              <w:tr2bl w:val="nil"/>
            </w:tcBorders>
            <w:noWrap w:val="0"/>
            <w:vAlign w:val="center"/>
          </w:tcPr>
          <w:p w14:paraId="07133299">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省级以上（含省</w:t>
            </w:r>
          </w:p>
          <w:p w14:paraId="2400203B">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lang w:val="zh-CN" w:eastAsia="zh-CN"/>
              </w:rPr>
            </w:pPr>
            <w:r>
              <w:rPr>
                <w:rFonts w:hint="default" w:ascii="Times New Roman" w:hAnsi="Times New Roman" w:cs="Times New Roman"/>
                <w:color w:val="auto"/>
                <w:sz w:val="21"/>
                <w:szCs w:val="21"/>
                <w:highlight w:val="none"/>
              </w:rPr>
              <w:t>级）风景名胜区</w:t>
            </w:r>
          </w:p>
        </w:tc>
        <w:tc>
          <w:tcPr>
            <w:tcW w:w="709" w:type="dxa"/>
            <w:tcBorders>
              <w:tl2br w:val="nil"/>
              <w:tr2bl w:val="nil"/>
            </w:tcBorders>
            <w:noWrap w:val="0"/>
            <w:vAlign w:val="center"/>
          </w:tcPr>
          <w:p w14:paraId="199B49F9">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lang w:val="zh-CN" w:eastAsia="zh-CN"/>
              </w:rPr>
            </w:pPr>
            <w:r>
              <w:rPr>
                <w:rFonts w:hint="default" w:ascii="Times New Roman" w:hAnsi="Times New Roman" w:cs="Times New Roman"/>
                <w:color w:val="auto"/>
                <w:sz w:val="21"/>
                <w:szCs w:val="21"/>
                <w:highlight w:val="none"/>
              </w:rPr>
              <w:t>无</w:t>
            </w:r>
          </w:p>
        </w:tc>
        <w:tc>
          <w:tcPr>
            <w:tcW w:w="2572" w:type="dxa"/>
            <w:tcBorders>
              <w:tl2br w:val="nil"/>
              <w:tr2bl w:val="nil"/>
            </w:tcBorders>
            <w:noWrap w:val="0"/>
            <w:vAlign w:val="center"/>
          </w:tcPr>
          <w:p w14:paraId="4465B65F">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lang w:val="zh-CN" w:eastAsia="zh-CN"/>
              </w:rPr>
            </w:pPr>
            <w:r>
              <w:rPr>
                <w:rFonts w:hint="default" w:ascii="Times New Roman" w:hAnsi="Times New Roman" w:cs="Times New Roman"/>
                <w:color w:val="auto"/>
                <w:sz w:val="21"/>
                <w:szCs w:val="21"/>
                <w:highlight w:val="none"/>
              </w:rPr>
              <w:t>不涉及</w:t>
            </w:r>
          </w:p>
        </w:tc>
        <w:tc>
          <w:tcPr>
            <w:tcW w:w="1472" w:type="dxa"/>
            <w:vMerge w:val="continue"/>
            <w:tcBorders>
              <w:tl2br w:val="nil"/>
              <w:tr2bl w:val="nil"/>
            </w:tcBorders>
            <w:noWrap w:val="0"/>
            <w:vAlign w:val="center"/>
          </w:tcPr>
          <w:p w14:paraId="5EC9710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p>
        </w:tc>
      </w:tr>
      <w:tr w14:paraId="2D56CAC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69" w:type="dxa"/>
            <w:vMerge w:val="continue"/>
            <w:tcBorders>
              <w:tl2br w:val="nil"/>
              <w:tr2bl w:val="nil"/>
            </w:tcBorders>
            <w:noWrap w:val="0"/>
            <w:vAlign w:val="center"/>
          </w:tcPr>
          <w:p w14:paraId="47AC1E61">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p>
        </w:tc>
        <w:tc>
          <w:tcPr>
            <w:tcW w:w="1491" w:type="dxa"/>
            <w:tcBorders>
              <w:tl2br w:val="nil"/>
              <w:tr2bl w:val="nil"/>
            </w:tcBorders>
            <w:noWrap w:val="0"/>
            <w:vAlign w:val="center"/>
          </w:tcPr>
          <w:p w14:paraId="498D6CE4">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省级以上（含省</w:t>
            </w:r>
          </w:p>
          <w:p w14:paraId="00ED79E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lang w:val="zh-CN" w:eastAsia="zh-CN"/>
              </w:rPr>
            </w:pPr>
            <w:r>
              <w:rPr>
                <w:rFonts w:hint="default" w:ascii="Times New Roman" w:hAnsi="Times New Roman" w:cs="Times New Roman"/>
                <w:color w:val="auto"/>
                <w:sz w:val="21"/>
                <w:szCs w:val="21"/>
                <w:highlight w:val="none"/>
              </w:rPr>
              <w:t>级）森林公园</w:t>
            </w:r>
          </w:p>
        </w:tc>
        <w:tc>
          <w:tcPr>
            <w:tcW w:w="709" w:type="dxa"/>
            <w:tcBorders>
              <w:tl2br w:val="nil"/>
              <w:tr2bl w:val="nil"/>
            </w:tcBorders>
            <w:noWrap w:val="0"/>
            <w:vAlign w:val="center"/>
          </w:tcPr>
          <w:p w14:paraId="17F69A1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lang w:val="zh-CN" w:eastAsia="zh-CN"/>
              </w:rPr>
            </w:pPr>
            <w:r>
              <w:rPr>
                <w:rFonts w:hint="default" w:ascii="Times New Roman" w:hAnsi="Times New Roman" w:cs="Times New Roman"/>
                <w:color w:val="auto"/>
                <w:sz w:val="21"/>
                <w:szCs w:val="21"/>
                <w:highlight w:val="none"/>
              </w:rPr>
              <w:t>无</w:t>
            </w:r>
          </w:p>
        </w:tc>
        <w:tc>
          <w:tcPr>
            <w:tcW w:w="2572" w:type="dxa"/>
            <w:tcBorders>
              <w:tl2br w:val="nil"/>
              <w:tr2bl w:val="nil"/>
            </w:tcBorders>
            <w:noWrap w:val="0"/>
            <w:vAlign w:val="center"/>
          </w:tcPr>
          <w:p w14:paraId="36D69D8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lang w:val="zh-CN" w:eastAsia="zh-CN"/>
              </w:rPr>
            </w:pPr>
            <w:r>
              <w:rPr>
                <w:rFonts w:hint="default" w:ascii="Times New Roman" w:hAnsi="Times New Roman" w:cs="Times New Roman"/>
                <w:color w:val="auto"/>
                <w:sz w:val="21"/>
                <w:szCs w:val="21"/>
                <w:highlight w:val="none"/>
              </w:rPr>
              <w:t>不涉及</w:t>
            </w:r>
          </w:p>
        </w:tc>
        <w:tc>
          <w:tcPr>
            <w:tcW w:w="1472" w:type="dxa"/>
            <w:vMerge w:val="continue"/>
            <w:tcBorders>
              <w:tl2br w:val="nil"/>
              <w:tr2bl w:val="nil"/>
            </w:tcBorders>
            <w:noWrap w:val="0"/>
            <w:vAlign w:val="center"/>
          </w:tcPr>
          <w:p w14:paraId="4773B85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p>
        </w:tc>
      </w:tr>
      <w:tr w14:paraId="644CE2B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69" w:type="dxa"/>
            <w:vMerge w:val="continue"/>
            <w:tcBorders>
              <w:tl2br w:val="nil"/>
              <w:tr2bl w:val="nil"/>
            </w:tcBorders>
            <w:noWrap w:val="0"/>
            <w:vAlign w:val="center"/>
          </w:tcPr>
          <w:p w14:paraId="0E392BB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p>
        </w:tc>
        <w:tc>
          <w:tcPr>
            <w:tcW w:w="1491" w:type="dxa"/>
            <w:tcBorders>
              <w:tl2br w:val="nil"/>
              <w:tr2bl w:val="nil"/>
            </w:tcBorders>
            <w:noWrap w:val="0"/>
            <w:vAlign w:val="center"/>
          </w:tcPr>
          <w:p w14:paraId="2F108EC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lang w:val="zh-CN" w:eastAsia="zh-CN"/>
              </w:rPr>
            </w:pPr>
            <w:r>
              <w:rPr>
                <w:rFonts w:hint="default" w:ascii="Times New Roman" w:hAnsi="Times New Roman" w:cs="Times New Roman"/>
                <w:color w:val="auto"/>
                <w:sz w:val="21"/>
                <w:szCs w:val="21"/>
                <w:highlight w:val="none"/>
              </w:rPr>
              <w:t>生态保护红线</w:t>
            </w:r>
          </w:p>
        </w:tc>
        <w:tc>
          <w:tcPr>
            <w:tcW w:w="709" w:type="dxa"/>
            <w:tcBorders>
              <w:tl2br w:val="nil"/>
              <w:tr2bl w:val="nil"/>
            </w:tcBorders>
            <w:noWrap w:val="0"/>
            <w:vAlign w:val="center"/>
          </w:tcPr>
          <w:p w14:paraId="0EFB1ACB">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lang w:val="zh-CN" w:eastAsia="zh-CN"/>
              </w:rPr>
            </w:pPr>
            <w:r>
              <w:rPr>
                <w:rFonts w:hint="default" w:ascii="Times New Roman" w:hAnsi="Times New Roman" w:cs="Times New Roman"/>
                <w:color w:val="auto"/>
                <w:sz w:val="21"/>
                <w:szCs w:val="21"/>
                <w:highlight w:val="none"/>
              </w:rPr>
              <w:t>/</w:t>
            </w:r>
          </w:p>
        </w:tc>
        <w:tc>
          <w:tcPr>
            <w:tcW w:w="2572" w:type="dxa"/>
            <w:tcBorders>
              <w:tl2br w:val="nil"/>
              <w:tr2bl w:val="nil"/>
            </w:tcBorders>
            <w:noWrap w:val="0"/>
            <w:vAlign w:val="center"/>
          </w:tcPr>
          <w:p w14:paraId="7C646E87">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不涉及</w:t>
            </w:r>
          </w:p>
        </w:tc>
        <w:tc>
          <w:tcPr>
            <w:tcW w:w="1472" w:type="dxa"/>
            <w:vMerge w:val="continue"/>
            <w:tcBorders>
              <w:tl2br w:val="nil"/>
              <w:tr2bl w:val="nil"/>
            </w:tcBorders>
            <w:noWrap w:val="0"/>
            <w:vAlign w:val="center"/>
          </w:tcPr>
          <w:p w14:paraId="67152D65">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p>
        </w:tc>
      </w:tr>
      <w:tr w14:paraId="1385992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69" w:type="dxa"/>
            <w:vMerge w:val="continue"/>
            <w:tcBorders>
              <w:tl2br w:val="nil"/>
              <w:tr2bl w:val="nil"/>
            </w:tcBorders>
            <w:noWrap w:val="0"/>
            <w:vAlign w:val="center"/>
          </w:tcPr>
          <w:p w14:paraId="7F50C30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p>
        </w:tc>
        <w:tc>
          <w:tcPr>
            <w:tcW w:w="1491" w:type="dxa"/>
            <w:tcBorders>
              <w:tl2br w:val="nil"/>
              <w:tr2bl w:val="nil"/>
            </w:tcBorders>
            <w:noWrap w:val="0"/>
            <w:vAlign w:val="center"/>
          </w:tcPr>
          <w:p w14:paraId="2BD78DA7">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Ⅰ级保护林</w:t>
            </w:r>
          </w:p>
        </w:tc>
        <w:tc>
          <w:tcPr>
            <w:tcW w:w="709" w:type="dxa"/>
            <w:tcBorders>
              <w:tl2br w:val="nil"/>
              <w:tr2bl w:val="nil"/>
            </w:tcBorders>
            <w:noWrap w:val="0"/>
            <w:vAlign w:val="center"/>
          </w:tcPr>
          <w:p w14:paraId="326E4955">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无</w:t>
            </w:r>
          </w:p>
        </w:tc>
        <w:tc>
          <w:tcPr>
            <w:tcW w:w="2572" w:type="dxa"/>
            <w:tcBorders>
              <w:tl2br w:val="nil"/>
              <w:tr2bl w:val="nil"/>
            </w:tcBorders>
            <w:noWrap w:val="0"/>
            <w:vAlign w:val="center"/>
          </w:tcPr>
          <w:p w14:paraId="0AECB7D8">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不涉及</w:t>
            </w:r>
          </w:p>
        </w:tc>
        <w:tc>
          <w:tcPr>
            <w:tcW w:w="1472" w:type="dxa"/>
            <w:vMerge w:val="continue"/>
            <w:tcBorders>
              <w:tl2br w:val="nil"/>
              <w:tr2bl w:val="nil"/>
            </w:tcBorders>
            <w:noWrap w:val="0"/>
            <w:vAlign w:val="center"/>
          </w:tcPr>
          <w:p w14:paraId="2CBD3E01">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p>
        </w:tc>
      </w:tr>
      <w:tr w14:paraId="4B9E483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69" w:type="dxa"/>
            <w:vMerge w:val="continue"/>
            <w:tcBorders>
              <w:tl2br w:val="nil"/>
              <w:tr2bl w:val="nil"/>
            </w:tcBorders>
            <w:noWrap w:val="0"/>
            <w:vAlign w:val="center"/>
          </w:tcPr>
          <w:p w14:paraId="0F74D4EF">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p>
        </w:tc>
        <w:tc>
          <w:tcPr>
            <w:tcW w:w="1491" w:type="dxa"/>
            <w:tcBorders>
              <w:tl2br w:val="nil"/>
              <w:tr2bl w:val="nil"/>
            </w:tcBorders>
            <w:noWrap w:val="0"/>
            <w:vAlign w:val="center"/>
          </w:tcPr>
          <w:p w14:paraId="5D1F0DBF">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一级国家公益林</w:t>
            </w:r>
          </w:p>
        </w:tc>
        <w:tc>
          <w:tcPr>
            <w:tcW w:w="709" w:type="dxa"/>
            <w:tcBorders>
              <w:tl2br w:val="nil"/>
              <w:tr2bl w:val="nil"/>
            </w:tcBorders>
            <w:noWrap w:val="0"/>
            <w:vAlign w:val="center"/>
          </w:tcPr>
          <w:p w14:paraId="071503E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无</w:t>
            </w:r>
          </w:p>
        </w:tc>
        <w:tc>
          <w:tcPr>
            <w:tcW w:w="2572" w:type="dxa"/>
            <w:tcBorders>
              <w:tl2br w:val="nil"/>
              <w:tr2bl w:val="nil"/>
            </w:tcBorders>
            <w:noWrap w:val="0"/>
            <w:vAlign w:val="center"/>
          </w:tcPr>
          <w:p w14:paraId="47DD5E65">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不涉及</w:t>
            </w:r>
          </w:p>
        </w:tc>
        <w:tc>
          <w:tcPr>
            <w:tcW w:w="1472" w:type="dxa"/>
            <w:vMerge w:val="continue"/>
            <w:tcBorders>
              <w:tl2br w:val="nil"/>
              <w:tr2bl w:val="nil"/>
            </w:tcBorders>
            <w:noWrap w:val="0"/>
            <w:vAlign w:val="center"/>
          </w:tcPr>
          <w:p w14:paraId="6BB8E73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p>
        </w:tc>
      </w:tr>
      <w:tr w14:paraId="78ADC93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69" w:type="dxa"/>
            <w:vMerge w:val="restart"/>
            <w:tcBorders>
              <w:tl2br w:val="nil"/>
              <w:tr2bl w:val="nil"/>
            </w:tcBorders>
            <w:noWrap w:val="0"/>
            <w:vAlign w:val="center"/>
          </w:tcPr>
          <w:p w14:paraId="5713E627">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严格控制区域</w:t>
            </w:r>
          </w:p>
        </w:tc>
        <w:tc>
          <w:tcPr>
            <w:tcW w:w="1491" w:type="dxa"/>
            <w:tcBorders>
              <w:tl2br w:val="nil"/>
              <w:tr2bl w:val="nil"/>
            </w:tcBorders>
            <w:noWrap w:val="0"/>
            <w:vAlign w:val="center"/>
          </w:tcPr>
          <w:p w14:paraId="03B5818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湿地公园</w:t>
            </w:r>
          </w:p>
        </w:tc>
        <w:tc>
          <w:tcPr>
            <w:tcW w:w="709" w:type="dxa"/>
            <w:tcBorders>
              <w:tl2br w:val="nil"/>
              <w:tr2bl w:val="nil"/>
            </w:tcBorders>
            <w:noWrap w:val="0"/>
            <w:vAlign w:val="center"/>
          </w:tcPr>
          <w:p w14:paraId="1F0CE31B">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无</w:t>
            </w:r>
          </w:p>
        </w:tc>
        <w:tc>
          <w:tcPr>
            <w:tcW w:w="2572" w:type="dxa"/>
            <w:tcBorders>
              <w:tl2br w:val="nil"/>
              <w:tr2bl w:val="nil"/>
            </w:tcBorders>
            <w:noWrap w:val="0"/>
            <w:vAlign w:val="center"/>
          </w:tcPr>
          <w:p w14:paraId="5B4D454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不涉及</w:t>
            </w:r>
          </w:p>
        </w:tc>
        <w:tc>
          <w:tcPr>
            <w:tcW w:w="1472" w:type="dxa"/>
            <w:vMerge w:val="restart"/>
            <w:tcBorders>
              <w:tl2br w:val="nil"/>
              <w:tr2bl w:val="nil"/>
            </w:tcBorders>
            <w:noWrap w:val="0"/>
            <w:vAlign w:val="center"/>
          </w:tcPr>
          <w:p w14:paraId="16EC0A5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default" w:ascii="Times New Roman" w:hAnsi="Times New Roman" w:cs="Times New Roman"/>
                <w:color w:val="auto"/>
                <w:sz w:val="21"/>
                <w:szCs w:val="21"/>
                <w:highlight w:val="none"/>
              </w:rPr>
              <w:t>《湖南省主体功能区规划》</w:t>
            </w:r>
            <w:r>
              <w:rPr>
                <w:rFonts w:hint="eastAsia" w:ascii="Times New Roman" w:hAnsi="Times New Roman" w:cs="Times New Roman"/>
                <w:color w:val="auto"/>
                <w:sz w:val="21"/>
                <w:szCs w:val="21"/>
                <w:highlight w:val="none"/>
                <w:lang w:eastAsia="zh-CN"/>
              </w:rPr>
              <w:t>、祁东县林业局《关于祁东县南冲风电场（大马二期）的审核意见》（附件</w:t>
            </w:r>
            <w:r>
              <w:rPr>
                <w:rFonts w:hint="eastAsia" w:ascii="Times New Roman" w:hAnsi="Times New Roman" w:cs="Times New Roman"/>
                <w:color w:val="auto"/>
                <w:sz w:val="21"/>
                <w:szCs w:val="21"/>
                <w:highlight w:val="none"/>
                <w:lang w:val="en-US" w:eastAsia="zh-CN"/>
              </w:rPr>
              <w:t>6</w:t>
            </w:r>
            <w:r>
              <w:rPr>
                <w:rFonts w:hint="eastAsia" w:ascii="Times New Roman" w:hAnsi="Times New Roman" w:cs="Times New Roman"/>
                <w:color w:val="auto"/>
                <w:sz w:val="21"/>
                <w:szCs w:val="21"/>
                <w:highlight w:val="none"/>
                <w:lang w:eastAsia="zh-CN"/>
              </w:rPr>
              <w:t>）</w:t>
            </w:r>
          </w:p>
        </w:tc>
      </w:tr>
      <w:tr w14:paraId="66F891C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69" w:type="dxa"/>
            <w:vMerge w:val="continue"/>
            <w:tcBorders>
              <w:tl2br w:val="nil"/>
              <w:tr2bl w:val="nil"/>
            </w:tcBorders>
            <w:noWrap w:val="0"/>
            <w:vAlign w:val="center"/>
          </w:tcPr>
          <w:p w14:paraId="6FCF5C27">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p>
        </w:tc>
        <w:tc>
          <w:tcPr>
            <w:tcW w:w="1491" w:type="dxa"/>
            <w:tcBorders>
              <w:tl2br w:val="nil"/>
              <w:tr2bl w:val="nil"/>
            </w:tcBorders>
            <w:noWrap w:val="0"/>
            <w:vAlign w:val="center"/>
          </w:tcPr>
          <w:p w14:paraId="056DEDA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地质公园</w:t>
            </w:r>
          </w:p>
        </w:tc>
        <w:tc>
          <w:tcPr>
            <w:tcW w:w="709" w:type="dxa"/>
            <w:tcBorders>
              <w:tl2br w:val="nil"/>
              <w:tr2bl w:val="nil"/>
            </w:tcBorders>
            <w:noWrap w:val="0"/>
            <w:vAlign w:val="center"/>
          </w:tcPr>
          <w:p w14:paraId="3C903E1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无</w:t>
            </w:r>
          </w:p>
        </w:tc>
        <w:tc>
          <w:tcPr>
            <w:tcW w:w="2572" w:type="dxa"/>
            <w:tcBorders>
              <w:tl2br w:val="nil"/>
              <w:tr2bl w:val="nil"/>
            </w:tcBorders>
            <w:noWrap w:val="0"/>
            <w:vAlign w:val="center"/>
          </w:tcPr>
          <w:p w14:paraId="3800D841">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不涉及</w:t>
            </w:r>
          </w:p>
        </w:tc>
        <w:tc>
          <w:tcPr>
            <w:tcW w:w="1472" w:type="dxa"/>
            <w:vMerge w:val="continue"/>
            <w:tcBorders>
              <w:tl2br w:val="nil"/>
              <w:tr2bl w:val="nil"/>
            </w:tcBorders>
            <w:noWrap w:val="0"/>
            <w:vAlign w:val="center"/>
          </w:tcPr>
          <w:p w14:paraId="7B709B8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p>
        </w:tc>
      </w:tr>
      <w:tr w14:paraId="1BD914D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69" w:type="dxa"/>
            <w:vMerge w:val="continue"/>
            <w:tcBorders>
              <w:tl2br w:val="nil"/>
              <w:tr2bl w:val="nil"/>
            </w:tcBorders>
            <w:noWrap w:val="0"/>
            <w:vAlign w:val="center"/>
          </w:tcPr>
          <w:p w14:paraId="5ED1F932">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p>
        </w:tc>
        <w:tc>
          <w:tcPr>
            <w:tcW w:w="1491" w:type="dxa"/>
            <w:tcBorders>
              <w:tl2br w:val="nil"/>
              <w:tr2bl w:val="nil"/>
            </w:tcBorders>
            <w:noWrap w:val="0"/>
            <w:vAlign w:val="center"/>
          </w:tcPr>
          <w:p w14:paraId="72A58AE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旅游景区</w:t>
            </w:r>
          </w:p>
        </w:tc>
        <w:tc>
          <w:tcPr>
            <w:tcW w:w="709" w:type="dxa"/>
            <w:tcBorders>
              <w:tl2br w:val="nil"/>
              <w:tr2bl w:val="nil"/>
            </w:tcBorders>
            <w:noWrap w:val="0"/>
            <w:vAlign w:val="center"/>
          </w:tcPr>
          <w:p w14:paraId="7AF1ADEF">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无</w:t>
            </w:r>
          </w:p>
        </w:tc>
        <w:tc>
          <w:tcPr>
            <w:tcW w:w="2572" w:type="dxa"/>
            <w:tcBorders>
              <w:tl2br w:val="nil"/>
              <w:tr2bl w:val="nil"/>
            </w:tcBorders>
            <w:noWrap w:val="0"/>
            <w:vAlign w:val="center"/>
          </w:tcPr>
          <w:p w14:paraId="48A88091">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不涉及</w:t>
            </w:r>
          </w:p>
        </w:tc>
        <w:tc>
          <w:tcPr>
            <w:tcW w:w="1472" w:type="dxa"/>
            <w:vMerge w:val="continue"/>
            <w:tcBorders>
              <w:tl2br w:val="nil"/>
              <w:tr2bl w:val="nil"/>
            </w:tcBorders>
            <w:noWrap w:val="0"/>
            <w:vAlign w:val="center"/>
          </w:tcPr>
          <w:p w14:paraId="1843FA59">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p>
        </w:tc>
      </w:tr>
      <w:tr w14:paraId="2029FEF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69" w:type="dxa"/>
            <w:vMerge w:val="continue"/>
            <w:tcBorders>
              <w:tl2br w:val="nil"/>
              <w:tr2bl w:val="nil"/>
            </w:tcBorders>
            <w:noWrap w:val="0"/>
            <w:vAlign w:val="center"/>
          </w:tcPr>
          <w:p w14:paraId="00714AF4">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p>
        </w:tc>
        <w:tc>
          <w:tcPr>
            <w:tcW w:w="1491" w:type="dxa"/>
            <w:tcBorders>
              <w:tl2br w:val="nil"/>
              <w:tr2bl w:val="nil"/>
            </w:tcBorders>
            <w:noWrap w:val="0"/>
            <w:vAlign w:val="center"/>
          </w:tcPr>
          <w:p w14:paraId="62C0B0E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鸟类主要迁徙通道</w:t>
            </w:r>
          </w:p>
        </w:tc>
        <w:tc>
          <w:tcPr>
            <w:tcW w:w="709" w:type="dxa"/>
            <w:tcBorders>
              <w:tl2br w:val="nil"/>
              <w:tr2bl w:val="nil"/>
            </w:tcBorders>
            <w:noWrap w:val="0"/>
            <w:vAlign w:val="center"/>
          </w:tcPr>
          <w:p w14:paraId="7DC5B8C2">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祁东县鸟类迁徙通道</w:t>
            </w:r>
            <w:r>
              <w:rPr>
                <w:rFonts w:hint="eastAsia" w:ascii="Times New Roman" w:hAnsi="Times New Roman" w:eastAsia="宋体" w:cs="Times New Roman"/>
                <w:b/>
                <w:bCs/>
                <w:color w:val="auto"/>
                <w:sz w:val="21"/>
                <w:szCs w:val="21"/>
                <w:highlight w:val="none"/>
                <w:lang w:eastAsia="zh-CN"/>
              </w:rPr>
              <w:t>（属于鸟类次要迁徙通道，不属于主要迁徙通道）</w:t>
            </w:r>
          </w:p>
        </w:tc>
        <w:tc>
          <w:tcPr>
            <w:tcW w:w="2572" w:type="dxa"/>
            <w:tcBorders>
              <w:tl2br w:val="nil"/>
              <w:tr2bl w:val="nil"/>
            </w:tcBorders>
            <w:noWrap w:val="0"/>
            <w:vAlign w:val="center"/>
          </w:tcPr>
          <w:p w14:paraId="1B5AEBD1">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eastAsia="宋体" w:cs="Times New Roman"/>
                <w:color w:val="auto"/>
                <w:sz w:val="21"/>
                <w:szCs w:val="21"/>
                <w:highlight w:val="none"/>
                <w:lang w:eastAsia="zh-CN"/>
              </w:rPr>
              <w:t>根据</w:t>
            </w:r>
            <w:r>
              <w:rPr>
                <w:rFonts w:hint="eastAsia"/>
                <w:color w:val="auto"/>
                <w:sz w:val="21"/>
                <w:szCs w:val="21"/>
                <w:highlight w:val="none"/>
                <w:lang w:val="en-US" w:eastAsia="zh-CN"/>
              </w:rPr>
              <w:t>《</w:t>
            </w:r>
            <w:r>
              <w:rPr>
                <w:rFonts w:hint="eastAsia"/>
                <w:color w:val="auto"/>
                <w:sz w:val="21"/>
                <w:szCs w:val="21"/>
                <w:highlight w:val="none"/>
              </w:rPr>
              <w:t>祁东县南冲100MW风电项目对鸟类影响评价专题</w:t>
            </w:r>
            <w:r>
              <w:rPr>
                <w:rFonts w:hint="eastAsia"/>
                <w:color w:val="auto"/>
                <w:sz w:val="21"/>
                <w:szCs w:val="21"/>
                <w:highlight w:val="none"/>
                <w:lang w:val="en-US" w:eastAsia="zh-CN"/>
              </w:rPr>
              <w:t>报告》（湖南林氏生态园林有限公司，2023年8月）</w:t>
            </w:r>
            <w:r>
              <w:rPr>
                <w:rFonts w:hint="eastAsia" w:ascii="Times New Roman" w:hAnsi="Times New Roman" w:eastAsia="宋体" w:cs="Times New Roman"/>
                <w:color w:val="auto"/>
                <w:sz w:val="21"/>
                <w:szCs w:val="21"/>
                <w:highlight w:val="none"/>
                <w:lang w:eastAsia="zh-CN"/>
              </w:rPr>
              <w:t>，马杜桥乡有一条祁东县的</w:t>
            </w:r>
            <w:r>
              <w:rPr>
                <w:rFonts w:hint="eastAsia" w:ascii="Times New Roman" w:hAnsi="Times New Roman" w:eastAsia="宋体" w:cs="Times New Roman"/>
                <w:color w:val="auto"/>
                <w:sz w:val="21"/>
                <w:szCs w:val="21"/>
                <w:highlight w:val="none"/>
              </w:rPr>
              <w:t>鸟类次要迁徙通道</w:t>
            </w:r>
            <w:r>
              <w:rPr>
                <w:rFonts w:hint="eastAsia" w:ascii="Times New Roman" w:hAnsi="Times New Roman" w:eastAsia="宋体" w:cs="Times New Roman"/>
                <w:color w:val="auto"/>
                <w:sz w:val="21"/>
                <w:szCs w:val="21"/>
                <w:highlight w:val="none"/>
                <w:lang w:val="en-US" w:eastAsia="zh-CN"/>
              </w:rPr>
              <w:t>（N26°55′01″；E111°57′24″；海拔220m）</w:t>
            </w:r>
            <w:r>
              <w:rPr>
                <w:rFonts w:hint="eastAsia" w:ascii="Times New Roman" w:hAnsi="Times New Roman" w:eastAsia="宋体" w:cs="Times New Roman"/>
                <w:color w:val="auto"/>
                <w:sz w:val="21"/>
                <w:szCs w:val="21"/>
                <w:highlight w:val="none"/>
                <w:lang w:eastAsia="zh-CN"/>
              </w:rPr>
              <w:t>，本项目距离该通道最近的是</w:t>
            </w:r>
            <w:r>
              <w:rPr>
                <w:rFonts w:hint="eastAsia" w:ascii="Times New Roman" w:hAnsi="Times New Roman" w:eastAsia="宋体" w:cs="Times New Roman"/>
                <w:color w:val="auto"/>
                <w:sz w:val="21"/>
                <w:szCs w:val="21"/>
                <w:highlight w:val="none"/>
                <w:lang w:val="en-US" w:eastAsia="zh-CN"/>
              </w:rPr>
              <w:t>10#</w:t>
            </w:r>
            <w:r>
              <w:rPr>
                <w:rFonts w:hint="eastAsia" w:ascii="Times New Roman" w:hAnsi="Times New Roman" w:eastAsia="宋体" w:cs="Times New Roman"/>
                <w:color w:val="auto"/>
                <w:sz w:val="21"/>
                <w:szCs w:val="21"/>
                <w:highlight w:val="none"/>
                <w:lang w:eastAsia="zh-CN"/>
              </w:rPr>
              <w:t>风机位（</w:t>
            </w:r>
            <w:r>
              <w:rPr>
                <w:rFonts w:hint="eastAsia" w:ascii="Times New Roman" w:hAnsi="Times New Roman" w:eastAsia="宋体" w:cs="Times New Roman"/>
                <w:color w:val="auto"/>
                <w:sz w:val="21"/>
                <w:szCs w:val="21"/>
                <w:highlight w:val="none"/>
                <w:lang w:val="en-US" w:eastAsia="zh-CN"/>
              </w:rPr>
              <w:t>26°56′59.62″</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lang w:val="en-US" w:eastAsia="zh-CN"/>
              </w:rPr>
              <w:t>111°57′36.28″，海拔430m</w:t>
            </w:r>
            <w:r>
              <w:rPr>
                <w:rFonts w:hint="eastAsia" w:ascii="Times New Roman" w:hAnsi="Times New Roman" w:eastAsia="宋体" w:cs="Times New Roman"/>
                <w:color w:val="auto"/>
                <w:sz w:val="21"/>
                <w:szCs w:val="21"/>
                <w:highlight w:val="none"/>
                <w:lang w:eastAsia="zh-CN"/>
              </w:rPr>
              <w:t>），两者的直线距离约为</w:t>
            </w:r>
            <w:r>
              <w:rPr>
                <w:rFonts w:hint="eastAsia" w:ascii="Times New Roman" w:hAnsi="Times New Roman" w:eastAsia="宋体" w:cs="Times New Roman"/>
                <w:color w:val="auto"/>
                <w:sz w:val="21"/>
                <w:szCs w:val="21"/>
                <w:highlight w:val="none"/>
                <w:lang w:val="en-US" w:eastAsia="zh-CN"/>
              </w:rPr>
              <w:t>1.07km，海拔高程相差210m，设计的风机位无论水平位置还是海拔高度，都不与祁东县的鸟类迁徙通道重叠（见附图15）；根据鸟评报告结论：本项目符合鸟类保护的有关规定，不存在重大的影响因素，本工程建设可行。</w:t>
            </w:r>
          </w:p>
        </w:tc>
        <w:tc>
          <w:tcPr>
            <w:tcW w:w="1472" w:type="dxa"/>
            <w:vMerge w:val="restart"/>
            <w:tcBorders>
              <w:tl2br w:val="nil"/>
              <w:tr2bl w:val="nil"/>
            </w:tcBorders>
            <w:noWrap w:val="0"/>
            <w:vAlign w:val="center"/>
          </w:tcPr>
          <w:p w14:paraId="61501299">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eastAsia"/>
                <w:color w:val="auto"/>
                <w:sz w:val="21"/>
                <w:szCs w:val="21"/>
                <w:highlight w:val="none"/>
                <w:lang w:val="en-US" w:eastAsia="zh-CN"/>
              </w:rPr>
              <w:t>《祁东县南冲风电场（大马二期）工程鸟类影响评价报告》（湖南林氏生态园林有限公司，2023年8月）</w:t>
            </w:r>
            <w:r>
              <w:rPr>
                <w:rFonts w:hint="eastAsia" w:ascii="Times New Roman" w:hAnsi="Times New Roman" w:cs="Times New Roman"/>
                <w:color w:val="auto"/>
                <w:sz w:val="21"/>
                <w:szCs w:val="21"/>
                <w:highlight w:val="none"/>
                <w:lang w:eastAsia="zh-CN"/>
              </w:rPr>
              <w:t>祁东县林业局《关于祁东县南冲风电场（大马二期）的审核意见》</w:t>
            </w:r>
          </w:p>
        </w:tc>
      </w:tr>
      <w:tr w14:paraId="562B391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69" w:type="dxa"/>
            <w:vMerge w:val="continue"/>
            <w:tcBorders>
              <w:tl2br w:val="nil"/>
              <w:tr2bl w:val="nil"/>
            </w:tcBorders>
            <w:noWrap w:val="0"/>
            <w:vAlign w:val="center"/>
          </w:tcPr>
          <w:p w14:paraId="75CF0381">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p>
        </w:tc>
        <w:tc>
          <w:tcPr>
            <w:tcW w:w="1491" w:type="dxa"/>
            <w:tcBorders>
              <w:tl2br w:val="nil"/>
              <w:tr2bl w:val="nil"/>
            </w:tcBorders>
            <w:noWrap w:val="0"/>
            <w:vAlign w:val="center"/>
          </w:tcPr>
          <w:p w14:paraId="692AC9A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天然林和单位面</w:t>
            </w:r>
          </w:p>
          <w:p w14:paraId="5EB6345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积蓄积量高的林地</w:t>
            </w:r>
          </w:p>
        </w:tc>
        <w:tc>
          <w:tcPr>
            <w:tcW w:w="709" w:type="dxa"/>
            <w:tcBorders>
              <w:tl2br w:val="nil"/>
              <w:tr2bl w:val="nil"/>
            </w:tcBorders>
            <w:noWrap w:val="0"/>
            <w:vAlign w:val="center"/>
          </w:tcPr>
          <w:p w14:paraId="19D0DF8F">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2572" w:type="dxa"/>
            <w:tcBorders>
              <w:tl2br w:val="nil"/>
              <w:tr2bl w:val="nil"/>
            </w:tcBorders>
            <w:noWrap w:val="0"/>
            <w:vAlign w:val="center"/>
          </w:tcPr>
          <w:p w14:paraId="7F907CA1">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不涉及</w:t>
            </w:r>
          </w:p>
        </w:tc>
        <w:tc>
          <w:tcPr>
            <w:tcW w:w="1472" w:type="dxa"/>
            <w:vMerge w:val="continue"/>
            <w:tcBorders>
              <w:tl2br w:val="nil"/>
              <w:tr2bl w:val="nil"/>
            </w:tcBorders>
            <w:noWrap w:val="0"/>
            <w:vAlign w:val="center"/>
          </w:tcPr>
          <w:p w14:paraId="3B24634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p>
        </w:tc>
      </w:tr>
      <w:tr w14:paraId="3531135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69" w:type="dxa"/>
            <w:vMerge w:val="continue"/>
            <w:tcBorders>
              <w:tl2br w:val="nil"/>
              <w:tr2bl w:val="nil"/>
            </w:tcBorders>
            <w:noWrap w:val="0"/>
            <w:vAlign w:val="center"/>
          </w:tcPr>
          <w:p w14:paraId="58EF72F7">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p>
        </w:tc>
        <w:tc>
          <w:tcPr>
            <w:tcW w:w="1491" w:type="dxa"/>
            <w:tcBorders>
              <w:tl2br w:val="nil"/>
              <w:tr2bl w:val="nil"/>
            </w:tcBorders>
            <w:noWrap w:val="0"/>
            <w:vAlign w:val="center"/>
          </w:tcPr>
          <w:p w14:paraId="78B56C86">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基岩风化严重地区</w:t>
            </w:r>
          </w:p>
        </w:tc>
        <w:tc>
          <w:tcPr>
            <w:tcW w:w="709" w:type="dxa"/>
            <w:tcBorders>
              <w:tl2br w:val="nil"/>
              <w:tr2bl w:val="nil"/>
            </w:tcBorders>
            <w:noWrap w:val="0"/>
            <w:vAlign w:val="center"/>
          </w:tcPr>
          <w:p w14:paraId="2342E9BB">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2572" w:type="dxa"/>
            <w:tcBorders>
              <w:tl2br w:val="nil"/>
              <w:tr2bl w:val="nil"/>
            </w:tcBorders>
            <w:noWrap w:val="0"/>
            <w:vAlign w:val="center"/>
          </w:tcPr>
          <w:p w14:paraId="13D3D7F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根据现场平面地质调查结果，风电机组场区地表覆盖第四系残坡积土，下伏基岩为长石石英砂岩与板岩。根据场地各岩土层的工程地质条件，第四系残坡积土和全风化层不宜作为风机基础持力层，其余各岩层均可作为基础持力层。风电机组基础型式可采用钢筋混凝土重力式扩展基础。</w:t>
            </w:r>
          </w:p>
        </w:tc>
        <w:tc>
          <w:tcPr>
            <w:tcW w:w="1472" w:type="dxa"/>
            <w:tcBorders>
              <w:tl2br w:val="nil"/>
              <w:tr2bl w:val="nil"/>
            </w:tcBorders>
            <w:noWrap w:val="0"/>
            <w:vAlign w:val="center"/>
          </w:tcPr>
          <w:p w14:paraId="3ACD8A96">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《祁东县南冲风电场（大马二期）工程</w:t>
            </w:r>
            <w:r>
              <w:rPr>
                <w:rFonts w:hint="eastAsia" w:ascii="Times New Roman" w:hAnsi="Times New Roman" w:cs="Times New Roman"/>
                <w:color w:val="auto"/>
                <w:sz w:val="21"/>
                <w:szCs w:val="21"/>
                <w:highlight w:val="none"/>
                <w:lang w:eastAsia="zh-CN"/>
              </w:rPr>
              <w:t>可行性研究报告</w:t>
            </w:r>
            <w:r>
              <w:rPr>
                <w:rFonts w:hint="default" w:ascii="Times New Roman" w:hAnsi="Times New Roman" w:cs="Times New Roman"/>
                <w:color w:val="auto"/>
                <w:sz w:val="21"/>
                <w:szCs w:val="21"/>
                <w:highlight w:val="none"/>
              </w:rPr>
              <w:t>》</w:t>
            </w:r>
          </w:p>
        </w:tc>
      </w:tr>
      <w:tr w14:paraId="6B96745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69" w:type="dxa"/>
            <w:vMerge w:val="continue"/>
            <w:tcBorders>
              <w:tl2br w:val="nil"/>
              <w:tr2bl w:val="nil"/>
            </w:tcBorders>
            <w:noWrap w:val="0"/>
            <w:vAlign w:val="center"/>
          </w:tcPr>
          <w:p w14:paraId="55520EB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p>
        </w:tc>
        <w:tc>
          <w:tcPr>
            <w:tcW w:w="1491" w:type="dxa"/>
            <w:tcBorders>
              <w:tl2br w:val="nil"/>
              <w:tr2bl w:val="nil"/>
            </w:tcBorders>
            <w:noWrap w:val="0"/>
            <w:vAlign w:val="center"/>
          </w:tcPr>
          <w:p w14:paraId="101CD385">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生态脆弱、毁损后难以恢复的区域</w:t>
            </w:r>
          </w:p>
        </w:tc>
        <w:tc>
          <w:tcPr>
            <w:tcW w:w="709" w:type="dxa"/>
            <w:tcBorders>
              <w:tl2br w:val="nil"/>
              <w:tr2bl w:val="nil"/>
            </w:tcBorders>
            <w:noWrap w:val="0"/>
            <w:vAlign w:val="center"/>
          </w:tcPr>
          <w:p w14:paraId="0BD8FD8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2572" w:type="dxa"/>
            <w:tcBorders>
              <w:tl2br w:val="nil"/>
              <w:tr2bl w:val="nil"/>
            </w:tcBorders>
            <w:noWrap w:val="0"/>
            <w:vAlign w:val="center"/>
          </w:tcPr>
          <w:p w14:paraId="639E643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项目区属生态</w:t>
            </w:r>
            <w:r>
              <w:rPr>
                <w:rFonts w:hint="eastAsia" w:ascii="Times New Roman" w:hAnsi="Times New Roman" w:cs="Times New Roman"/>
                <w:color w:val="auto"/>
                <w:sz w:val="21"/>
                <w:szCs w:val="21"/>
                <w:highlight w:val="none"/>
                <w:lang w:eastAsia="zh-CN"/>
              </w:rPr>
              <w:t>轻度</w:t>
            </w:r>
            <w:r>
              <w:rPr>
                <w:rFonts w:hint="default" w:ascii="Times New Roman" w:hAnsi="Times New Roman" w:cs="Times New Roman"/>
                <w:color w:val="auto"/>
                <w:sz w:val="21"/>
                <w:szCs w:val="21"/>
                <w:highlight w:val="none"/>
              </w:rPr>
              <w:t>脆弱的区域，</w:t>
            </w:r>
            <w:r>
              <w:rPr>
                <w:rFonts w:hint="default" w:ascii="Times New Roman" w:hAnsi="Times New Roman" w:cs="Times New Roman"/>
                <w:color w:val="auto"/>
                <w:sz w:val="21"/>
                <w:szCs w:val="21"/>
                <w:highlight w:val="none"/>
                <w:lang w:val="en-US" w:eastAsia="zh-CN"/>
              </w:rPr>
              <w:t>所在区域生态系统抵抗力稳定性较强，项目所在区域植被易恢复</w:t>
            </w:r>
            <w:r>
              <w:rPr>
                <w:rFonts w:hint="default" w:ascii="Times New Roman" w:hAnsi="Times New Roman" w:cs="Times New Roman"/>
                <w:color w:val="auto"/>
                <w:sz w:val="21"/>
                <w:szCs w:val="21"/>
                <w:highlight w:val="none"/>
              </w:rPr>
              <w:t>。</w:t>
            </w:r>
          </w:p>
        </w:tc>
        <w:tc>
          <w:tcPr>
            <w:tcW w:w="1472" w:type="dxa"/>
            <w:tcBorders>
              <w:tl2br w:val="nil"/>
              <w:tr2bl w:val="nil"/>
            </w:tcBorders>
            <w:noWrap w:val="0"/>
            <w:vAlign w:val="center"/>
          </w:tcPr>
          <w:p w14:paraId="1542A865">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default" w:ascii="Times New Roman" w:hAnsi="Times New Roman" w:cs="Times New Roman"/>
                <w:color w:val="auto"/>
                <w:sz w:val="21"/>
                <w:szCs w:val="21"/>
                <w:highlight w:val="none"/>
              </w:rPr>
              <w:t>《湖南省主体功能区规划</w:t>
            </w:r>
            <w:r>
              <w:rPr>
                <w:rFonts w:hint="eastAsia" w:ascii="Times New Roman" w:hAnsi="Times New Roman" w:cs="Times New Roman"/>
                <w:color w:val="auto"/>
                <w:sz w:val="21"/>
                <w:szCs w:val="21"/>
                <w:highlight w:val="none"/>
                <w:lang w:eastAsia="zh-CN"/>
              </w:rPr>
              <w:t>——</w:t>
            </w:r>
            <w:r>
              <w:rPr>
                <w:rFonts w:hint="default" w:ascii="Times New Roman" w:hAnsi="Times New Roman" w:cs="Times New Roman"/>
                <w:color w:val="auto"/>
                <w:sz w:val="21"/>
                <w:szCs w:val="21"/>
                <w:highlight w:val="none"/>
              </w:rPr>
              <w:t>生态脆弱性总体评价图》</w:t>
            </w:r>
          </w:p>
        </w:tc>
      </w:tr>
    </w:tbl>
    <w:p w14:paraId="64D0B153">
      <w:pPr>
        <w:bidi w:val="0"/>
        <w:rPr>
          <w:rFonts w:hint="eastAsia" w:ascii="Times New Roman" w:hAnsi="Times New Roman" w:eastAsia="宋体" w:cs="Times New Roman"/>
          <w:b w:val="0"/>
          <w:bCs w:val="0"/>
          <w:color w:val="auto"/>
          <w:kern w:val="0"/>
          <w:sz w:val="24"/>
          <w:szCs w:val="24"/>
          <w:highlight w:val="none"/>
          <w:lang w:val="en-US" w:eastAsia="zh-CN"/>
        </w:rPr>
      </w:pPr>
      <w:r>
        <w:rPr>
          <w:rFonts w:hint="eastAsia" w:ascii="Times New Roman" w:hAnsi="Times New Roman" w:eastAsia="宋体" w:cs="Times New Roman"/>
          <w:b w:val="0"/>
          <w:bCs w:val="0"/>
          <w:color w:val="auto"/>
          <w:kern w:val="0"/>
          <w:sz w:val="24"/>
          <w:szCs w:val="24"/>
          <w:highlight w:val="none"/>
          <w:lang w:val="en-US" w:eastAsia="zh-CN"/>
        </w:rPr>
        <w:t>综上，本项目与</w:t>
      </w:r>
      <w:r>
        <w:rPr>
          <w:rFonts w:hint="default" w:ascii="Times New Roman" w:hAnsi="Times New Roman" w:eastAsia="宋体" w:cs="Times New Roman"/>
          <w:b w:val="0"/>
          <w:bCs w:val="0"/>
          <w:color w:val="auto"/>
          <w:kern w:val="0"/>
          <w:sz w:val="24"/>
          <w:szCs w:val="24"/>
          <w:highlight w:val="none"/>
          <w:lang w:val="en-US" w:eastAsia="zh-CN"/>
        </w:rPr>
        <w:t>《关于进一步规范风电发展的通知》（湘发改能源【2016】）822号）</w:t>
      </w:r>
      <w:r>
        <w:rPr>
          <w:rFonts w:hint="eastAsia" w:ascii="Times New Roman" w:hAnsi="Times New Roman" w:eastAsia="宋体" w:cs="Times New Roman"/>
          <w:b w:val="0"/>
          <w:bCs w:val="0"/>
          <w:color w:val="auto"/>
          <w:kern w:val="0"/>
          <w:sz w:val="24"/>
          <w:szCs w:val="24"/>
          <w:highlight w:val="none"/>
          <w:lang w:val="en-US" w:eastAsia="zh-CN"/>
        </w:rPr>
        <w:t>不冲突。</w:t>
      </w:r>
    </w:p>
    <w:p w14:paraId="66638948">
      <w:pPr>
        <w:pStyle w:val="6"/>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eastAsia="zh-CN"/>
        </w:rPr>
        <w:t>与</w:t>
      </w:r>
      <w:r>
        <w:rPr>
          <w:rFonts w:hint="default" w:ascii="Times New Roman" w:hAnsi="Times New Roman" w:eastAsia="宋体" w:cs="Times New Roman"/>
          <w:b/>
          <w:bCs/>
          <w:color w:val="auto"/>
          <w:kern w:val="0"/>
          <w:sz w:val="24"/>
          <w:szCs w:val="24"/>
          <w:highlight w:val="none"/>
          <w:lang w:val="en-US" w:eastAsia="zh-CN"/>
        </w:rPr>
        <w:t>国家林业和草原局关于规范风电场项目建设使用林地的通知（林资发【2019】17号）符合性分析</w:t>
      </w:r>
    </w:p>
    <w:p w14:paraId="184427BF">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2019年2月26日，国家林业和草原局《关于规范风电场项目建设使用林地的通知》林资发【2019】17号中相关内容，为规范风电场项目建设使用林地，减少对森林植被和生态环境的损害与影响，对风电项目建设提出了相应的建设要求，本项目与该规范相关建设要求符合性分析，详见下表。</w:t>
      </w:r>
    </w:p>
    <w:p w14:paraId="65DBCFF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pacing w:val="-20"/>
          <w:sz w:val="24"/>
          <w:szCs w:val="24"/>
          <w:highlight w:val="none"/>
        </w:rPr>
      </w:pPr>
      <w:r>
        <w:rPr>
          <w:rFonts w:hint="default" w:ascii="Times New Roman" w:hAnsi="Times New Roman" w:cs="Times New Roman"/>
          <w:b/>
          <w:bCs/>
          <w:color w:val="auto"/>
          <w:spacing w:val="-11"/>
          <w:sz w:val="24"/>
          <w:szCs w:val="24"/>
          <w:highlight w:val="none"/>
        </w:rPr>
        <w:t>表</w:t>
      </w:r>
      <w:r>
        <w:rPr>
          <w:rFonts w:hint="default" w:ascii="Times New Roman" w:hAnsi="Times New Roman" w:cs="Times New Roman"/>
          <w:b/>
          <w:bCs/>
          <w:color w:val="auto"/>
          <w:spacing w:val="-11"/>
          <w:sz w:val="24"/>
          <w:szCs w:val="24"/>
          <w:highlight w:val="none"/>
          <w:lang w:val="en-US" w:eastAsia="zh-CN"/>
        </w:rPr>
        <w:t>1</w:t>
      </w:r>
      <w:r>
        <w:rPr>
          <w:rFonts w:hint="eastAsia" w:ascii="Times New Roman" w:hAnsi="Times New Roman" w:cs="Times New Roman"/>
          <w:b/>
          <w:bCs/>
          <w:color w:val="auto"/>
          <w:spacing w:val="-11"/>
          <w:sz w:val="24"/>
          <w:szCs w:val="24"/>
          <w:highlight w:val="none"/>
          <w:lang w:val="en-US" w:eastAsia="zh-CN"/>
        </w:rPr>
        <w:t>.3-</w:t>
      </w:r>
      <w:r>
        <w:rPr>
          <w:rFonts w:hint="eastAsia" w:cs="Times New Roman"/>
          <w:b/>
          <w:bCs/>
          <w:color w:val="auto"/>
          <w:spacing w:val="-11"/>
          <w:sz w:val="24"/>
          <w:szCs w:val="24"/>
          <w:highlight w:val="none"/>
          <w:lang w:val="en-US" w:eastAsia="zh-CN"/>
        </w:rPr>
        <w:t>3</w:t>
      </w:r>
      <w:r>
        <w:rPr>
          <w:rFonts w:hint="eastAsia" w:ascii="Times New Roman" w:hAnsi="Times New Roman" w:cs="Times New Roman"/>
          <w:b/>
          <w:bCs/>
          <w:color w:val="auto"/>
          <w:spacing w:val="-11"/>
          <w:sz w:val="24"/>
          <w:szCs w:val="24"/>
          <w:highlight w:val="none"/>
          <w:lang w:val="en-US" w:eastAsia="zh-CN"/>
        </w:rPr>
        <w:t xml:space="preserve"> </w:t>
      </w:r>
      <w:r>
        <w:rPr>
          <w:rFonts w:hint="default" w:ascii="Times New Roman" w:hAnsi="Times New Roman" w:cs="Times New Roman"/>
          <w:b/>
          <w:bCs/>
          <w:color w:val="auto"/>
          <w:spacing w:val="-11"/>
          <w:sz w:val="24"/>
          <w:szCs w:val="24"/>
          <w:highlight w:val="none"/>
        </w:rPr>
        <w:t>与《关于规范风电场项目建设使用林地的通知》建设要求符合性分析一览表</w:t>
      </w:r>
    </w:p>
    <w:tbl>
      <w:tblPr>
        <w:tblStyle w:val="19"/>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278"/>
        <w:gridCol w:w="3447"/>
        <w:gridCol w:w="2699"/>
        <w:gridCol w:w="912"/>
      </w:tblGrid>
      <w:tr w14:paraId="721C2B3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69" w:type="dxa"/>
            <w:tcBorders>
              <w:tl2br w:val="nil"/>
              <w:tr2bl w:val="nil"/>
            </w:tcBorders>
            <w:noWrap w:val="0"/>
            <w:vAlign w:val="center"/>
          </w:tcPr>
          <w:p w14:paraId="7AECDB81">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类别</w:t>
            </w:r>
          </w:p>
        </w:tc>
        <w:tc>
          <w:tcPr>
            <w:tcW w:w="3696" w:type="dxa"/>
            <w:tcBorders>
              <w:tl2br w:val="nil"/>
              <w:tr2bl w:val="nil"/>
            </w:tcBorders>
            <w:noWrap w:val="0"/>
            <w:vAlign w:val="center"/>
          </w:tcPr>
          <w:p w14:paraId="09F6946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具体要求</w:t>
            </w:r>
          </w:p>
        </w:tc>
        <w:tc>
          <w:tcPr>
            <w:tcW w:w="2894" w:type="dxa"/>
            <w:tcBorders>
              <w:tl2br w:val="nil"/>
              <w:tr2bl w:val="nil"/>
            </w:tcBorders>
            <w:noWrap w:val="0"/>
            <w:vAlign w:val="center"/>
          </w:tcPr>
          <w:p w14:paraId="5C2F795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本项目情况</w:t>
            </w:r>
          </w:p>
        </w:tc>
        <w:tc>
          <w:tcPr>
            <w:tcW w:w="976" w:type="dxa"/>
            <w:tcBorders>
              <w:tl2br w:val="nil"/>
              <w:tr2bl w:val="nil"/>
            </w:tcBorders>
            <w:noWrap w:val="0"/>
            <w:vAlign w:val="center"/>
          </w:tcPr>
          <w:p w14:paraId="6580846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符合性</w:t>
            </w:r>
          </w:p>
          <w:p w14:paraId="06EB47DB">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分析</w:t>
            </w:r>
          </w:p>
        </w:tc>
      </w:tr>
      <w:tr w14:paraId="27B3A86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69" w:type="dxa"/>
            <w:tcBorders>
              <w:tl2br w:val="nil"/>
              <w:tr2bl w:val="nil"/>
            </w:tcBorders>
            <w:noWrap w:val="0"/>
            <w:vAlign w:val="center"/>
          </w:tcPr>
          <w:p w14:paraId="73E2020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风电场建设使用林地禁建区域</w:t>
            </w:r>
          </w:p>
        </w:tc>
        <w:tc>
          <w:tcPr>
            <w:tcW w:w="3696" w:type="dxa"/>
            <w:tcBorders>
              <w:tl2br w:val="nil"/>
              <w:tr2bl w:val="nil"/>
            </w:tcBorders>
            <w:noWrap w:val="0"/>
            <w:vAlign w:val="center"/>
          </w:tcPr>
          <w:p w14:paraId="369CC9A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自然遗产地、国家公园、自然保护区、森林公园、湿地公园、地质公园、风景名胜区、鸟类主要迁徙通道和迁徙地等区域以及沿海基干林带和消浪林带，为风电场项目禁止建设区域。</w:t>
            </w:r>
          </w:p>
        </w:tc>
        <w:tc>
          <w:tcPr>
            <w:tcW w:w="2894" w:type="dxa"/>
            <w:tcBorders>
              <w:tl2br w:val="nil"/>
              <w:tr2bl w:val="nil"/>
            </w:tcBorders>
            <w:noWrap w:val="0"/>
            <w:vAlign w:val="center"/>
          </w:tcPr>
          <w:p w14:paraId="301520A8">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①</w:t>
            </w:r>
            <w:r>
              <w:rPr>
                <w:rFonts w:hint="default" w:ascii="Times New Roman" w:hAnsi="Times New Roman" w:eastAsia="宋体" w:cs="Times New Roman"/>
                <w:color w:val="auto"/>
                <w:sz w:val="21"/>
                <w:szCs w:val="21"/>
                <w:highlight w:val="none"/>
                <w:lang w:eastAsia="zh-CN"/>
              </w:rPr>
              <w:t>本项目</w:t>
            </w:r>
            <w:r>
              <w:rPr>
                <w:rFonts w:hint="default" w:ascii="Times New Roman" w:hAnsi="Times New Roman" w:eastAsia="宋体" w:cs="Times New Roman"/>
                <w:color w:val="auto"/>
                <w:sz w:val="21"/>
                <w:szCs w:val="21"/>
                <w:highlight w:val="none"/>
              </w:rPr>
              <w:t>与衡阳三阳自然保护区核心区最近的为19#机位，最近直线距离为3.</w:t>
            </w:r>
            <w:r>
              <w:rPr>
                <w:rFonts w:hint="eastAsia" w:cs="Times New Roman"/>
                <w:color w:val="auto"/>
                <w:sz w:val="21"/>
                <w:szCs w:val="21"/>
                <w:highlight w:val="none"/>
                <w:lang w:val="en-US" w:eastAsia="zh-CN"/>
              </w:rPr>
              <w:t>8</w:t>
            </w:r>
            <w:r>
              <w:rPr>
                <w:rFonts w:hint="default" w:ascii="Times New Roman" w:hAnsi="Times New Roman" w:eastAsia="宋体" w:cs="Times New Roman"/>
                <w:color w:val="auto"/>
                <w:sz w:val="21"/>
                <w:szCs w:val="21"/>
                <w:highlight w:val="none"/>
              </w:rPr>
              <w:t>km；与缓冲区最近的为19#机位，最近直线距离为3.</w:t>
            </w:r>
            <w:r>
              <w:rPr>
                <w:rFonts w:hint="eastAsia" w:cs="Times New Roman"/>
                <w:color w:val="auto"/>
                <w:sz w:val="21"/>
                <w:szCs w:val="21"/>
                <w:highlight w:val="none"/>
                <w:lang w:val="en-US" w:eastAsia="zh-CN"/>
              </w:rPr>
              <w:t>6</w:t>
            </w:r>
            <w:r>
              <w:rPr>
                <w:rFonts w:hint="default" w:ascii="Times New Roman" w:hAnsi="Times New Roman" w:eastAsia="宋体" w:cs="Times New Roman"/>
                <w:color w:val="auto"/>
                <w:sz w:val="21"/>
                <w:szCs w:val="21"/>
                <w:highlight w:val="none"/>
              </w:rPr>
              <w:t>km；</w:t>
            </w:r>
            <w:r>
              <w:rPr>
                <w:rFonts w:hint="eastAsia" w:cs="Times New Roman"/>
                <w:color w:val="auto"/>
                <w:sz w:val="21"/>
                <w:szCs w:val="21"/>
                <w:highlight w:val="none"/>
                <w:lang w:val="en-US" w:eastAsia="zh-CN"/>
              </w:rPr>
              <w:t>17</w:t>
            </w:r>
            <w:r>
              <w:rPr>
                <w:rFonts w:hint="default" w:ascii="Times New Roman" w:hAnsi="Times New Roman" w:eastAsia="宋体" w:cs="Times New Roman"/>
                <w:color w:val="auto"/>
                <w:sz w:val="21"/>
                <w:szCs w:val="21"/>
                <w:highlight w:val="none"/>
              </w:rPr>
              <w:t>#、1</w:t>
            </w:r>
            <w:r>
              <w:rPr>
                <w:rFonts w:hint="eastAsia" w:cs="Times New Roman"/>
                <w:color w:val="auto"/>
                <w:sz w:val="21"/>
                <w:szCs w:val="21"/>
                <w:highlight w:val="none"/>
                <w:lang w:val="en-US" w:eastAsia="zh-CN"/>
              </w:rPr>
              <w:t>8</w:t>
            </w:r>
            <w:r>
              <w:rPr>
                <w:rFonts w:hint="default" w:ascii="Times New Roman" w:hAnsi="Times New Roman" w:eastAsia="宋体" w:cs="Times New Roman"/>
                <w:color w:val="auto"/>
                <w:sz w:val="21"/>
                <w:szCs w:val="21"/>
                <w:highlight w:val="none"/>
              </w:rPr>
              <w:t>#、19#机位与</w:t>
            </w:r>
            <w:r>
              <w:rPr>
                <w:rFonts w:hint="eastAsia" w:cs="Times New Roman"/>
                <w:color w:val="auto"/>
                <w:sz w:val="21"/>
                <w:szCs w:val="21"/>
                <w:highlight w:val="none"/>
                <w:lang w:eastAsia="zh-CN"/>
              </w:rPr>
              <w:t>胡井</w:t>
            </w:r>
            <w:r>
              <w:rPr>
                <w:rFonts w:hint="default" w:ascii="Times New Roman" w:hAnsi="Times New Roman" w:eastAsia="宋体" w:cs="Times New Roman"/>
                <w:color w:val="auto"/>
                <w:sz w:val="21"/>
                <w:szCs w:val="21"/>
                <w:highlight w:val="none"/>
              </w:rPr>
              <w:t>实验区较近，最近直线距离分别为</w:t>
            </w:r>
            <w:r>
              <w:rPr>
                <w:rFonts w:hint="eastAsia" w:cs="Times New Roman"/>
                <w:color w:val="auto"/>
                <w:sz w:val="21"/>
                <w:szCs w:val="21"/>
                <w:highlight w:val="none"/>
                <w:lang w:val="en-US" w:eastAsia="zh-CN"/>
              </w:rPr>
              <w:t>125</w:t>
            </w:r>
            <w:r>
              <w:rPr>
                <w:rFonts w:hint="default" w:ascii="Times New Roman" w:hAnsi="Times New Roman" w:eastAsia="宋体" w:cs="Times New Roman"/>
                <w:color w:val="auto"/>
                <w:sz w:val="21"/>
                <w:szCs w:val="21"/>
                <w:highlight w:val="none"/>
              </w:rPr>
              <w:t>m、</w:t>
            </w:r>
            <w:r>
              <w:rPr>
                <w:rFonts w:hint="eastAsia" w:cs="Times New Roman"/>
                <w:color w:val="auto"/>
                <w:sz w:val="21"/>
                <w:szCs w:val="21"/>
                <w:highlight w:val="none"/>
                <w:lang w:val="en-US" w:eastAsia="zh-CN"/>
              </w:rPr>
              <w:t>455</w:t>
            </w:r>
            <w:r>
              <w:rPr>
                <w:rFonts w:hint="default" w:ascii="Times New Roman" w:hAnsi="Times New Roman" w:eastAsia="宋体" w:cs="Times New Roman"/>
                <w:color w:val="auto"/>
                <w:sz w:val="21"/>
                <w:szCs w:val="21"/>
                <w:highlight w:val="none"/>
              </w:rPr>
              <w:t>m、</w:t>
            </w:r>
            <w:r>
              <w:rPr>
                <w:rFonts w:hint="eastAsia" w:cs="Times New Roman"/>
                <w:color w:val="auto"/>
                <w:sz w:val="21"/>
                <w:szCs w:val="21"/>
                <w:highlight w:val="none"/>
                <w:lang w:val="en-US" w:eastAsia="zh-CN"/>
              </w:rPr>
              <w:t>142</w:t>
            </w:r>
            <w:r>
              <w:rPr>
                <w:rFonts w:hint="default" w:ascii="Times New Roman" w:hAnsi="Times New Roman" w:eastAsia="宋体" w:cs="Times New Roman"/>
                <w:color w:val="auto"/>
                <w:sz w:val="21"/>
                <w:szCs w:val="21"/>
                <w:highlight w:val="none"/>
              </w:rPr>
              <w:t>m，</w:t>
            </w:r>
            <w:r>
              <w:rPr>
                <w:rFonts w:hint="default" w:ascii="Times New Roman" w:hAnsi="Times New Roman" w:eastAsia="宋体" w:cs="Times New Roman"/>
                <w:color w:val="auto"/>
                <w:sz w:val="21"/>
                <w:szCs w:val="21"/>
                <w:highlight w:val="none"/>
                <w:lang w:val="en-US" w:eastAsia="zh-CN"/>
              </w:rPr>
              <w:t>与实验区之间有山脊线相隔，不位于保护区上游</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②根据《祁东县南冲100MW风电项目对鸟类影响评价专题报告》(湖南林氏生态园林有限公司，2023年8月)，马杜桥乡有一条祁东县的鸟类次要迁徙通道</w:t>
            </w:r>
            <w:r>
              <w:rPr>
                <w:rFonts w:hint="default" w:ascii="Times New Roman" w:hAnsi="Times New Roman" w:eastAsia="宋体" w:cs="Times New Roman"/>
                <w:color w:val="auto"/>
                <w:sz w:val="21"/>
                <w:szCs w:val="21"/>
                <w:highlight w:val="none"/>
                <w:lang w:eastAsia="zh-CN"/>
              </w:rPr>
              <w:t>，不属于鸟类主要迁徙通道</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val="en-US" w:eastAsia="zh-CN"/>
              </w:rPr>
              <w:t>设计的风机位无论水平位置还是海拔高度，都不与祁东县的鸟类迁徙通道重叠，</w:t>
            </w:r>
            <w:r>
              <w:rPr>
                <w:rFonts w:hint="default" w:ascii="Times New Roman" w:hAnsi="Times New Roman" w:eastAsia="宋体" w:cs="Times New Roman"/>
                <w:color w:val="auto"/>
                <w:sz w:val="21"/>
                <w:szCs w:val="21"/>
                <w:highlight w:val="none"/>
              </w:rPr>
              <w:t>不占用鸟类迁徙通道和迁徙地</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③项目区域不涉及沿海基干林带和消浪林带</w:t>
            </w:r>
            <w:r>
              <w:rPr>
                <w:rFonts w:hint="default" w:ascii="Times New Roman" w:hAnsi="Times New Roman" w:eastAsia="宋体" w:cs="Times New Roman"/>
                <w:color w:val="auto"/>
                <w:sz w:val="21"/>
                <w:szCs w:val="21"/>
                <w:highlight w:val="none"/>
                <w:lang w:eastAsia="zh-CN"/>
              </w:rPr>
              <w:t>。</w:t>
            </w:r>
          </w:p>
        </w:tc>
        <w:tc>
          <w:tcPr>
            <w:tcW w:w="976" w:type="dxa"/>
            <w:tcBorders>
              <w:tl2br w:val="nil"/>
              <w:tr2bl w:val="nil"/>
            </w:tcBorders>
            <w:noWrap w:val="0"/>
            <w:vAlign w:val="center"/>
          </w:tcPr>
          <w:p w14:paraId="72CD562F">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w:t>
            </w:r>
          </w:p>
        </w:tc>
      </w:tr>
      <w:tr w14:paraId="4743FCA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69" w:type="dxa"/>
            <w:vMerge w:val="restart"/>
            <w:tcBorders>
              <w:tl2br w:val="nil"/>
              <w:tr2bl w:val="nil"/>
            </w:tcBorders>
            <w:noWrap w:val="0"/>
            <w:vAlign w:val="center"/>
          </w:tcPr>
          <w:p w14:paraId="0EA6420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风电场建设使用林地限制范围</w:t>
            </w:r>
          </w:p>
        </w:tc>
        <w:tc>
          <w:tcPr>
            <w:tcW w:w="3696" w:type="dxa"/>
            <w:tcBorders>
              <w:tl2br w:val="nil"/>
              <w:tr2bl w:val="nil"/>
            </w:tcBorders>
            <w:noWrap w:val="0"/>
            <w:vAlign w:val="center"/>
          </w:tcPr>
          <w:p w14:paraId="53A29A47">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风机基础、施工和检修道路、升压站、集电线路等，禁止占用天然乔木林（竹林）地、年降雨量400毫米以下区域的有林地、一级国家级公益林地和二级国家级公益林中的有林地。</w:t>
            </w:r>
          </w:p>
        </w:tc>
        <w:tc>
          <w:tcPr>
            <w:tcW w:w="2894" w:type="dxa"/>
            <w:vMerge w:val="restart"/>
            <w:tcBorders>
              <w:tl2br w:val="nil"/>
              <w:tr2bl w:val="nil"/>
            </w:tcBorders>
            <w:noWrap w:val="0"/>
            <w:vAlign w:val="center"/>
          </w:tcPr>
          <w:p w14:paraId="22AD5C51">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①项目占地内林地为人工林，不占用天然乔木林地</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②本项目所在区域年降水量达到</w:t>
            </w:r>
            <w:r>
              <w:rPr>
                <w:rFonts w:hint="default" w:ascii="Times New Roman" w:hAnsi="Times New Roman" w:eastAsia="宋体" w:cs="Times New Roman"/>
                <w:color w:val="auto"/>
                <w:sz w:val="21"/>
                <w:szCs w:val="21"/>
                <w:highlight w:val="none"/>
                <w:lang w:val="en-US" w:eastAsia="zh-CN"/>
              </w:rPr>
              <w:t>1217</w:t>
            </w:r>
            <w:r>
              <w:rPr>
                <w:rFonts w:hint="default" w:ascii="Times New Roman" w:hAnsi="Times New Roman" w:eastAsia="宋体" w:cs="Times New Roman"/>
                <w:color w:val="auto"/>
                <w:sz w:val="21"/>
                <w:szCs w:val="21"/>
                <w:highlight w:val="none"/>
              </w:rPr>
              <w:t>毫米</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③根据林业部门证明</w:t>
            </w:r>
            <w:r>
              <w:rPr>
                <w:rFonts w:hint="default" w:ascii="Times New Roman" w:hAnsi="Times New Roman" w:eastAsia="宋体" w:cs="Times New Roman"/>
                <w:color w:val="auto"/>
                <w:sz w:val="21"/>
                <w:szCs w:val="21"/>
                <w:highlight w:val="none"/>
                <w:lang w:eastAsia="zh-CN"/>
              </w:rPr>
              <w:t>及附图</w:t>
            </w:r>
            <w:r>
              <w:rPr>
                <w:rFonts w:hint="default" w:ascii="Times New Roman" w:hAnsi="Times New Roman" w:eastAsia="宋体" w:cs="Times New Roman"/>
                <w:color w:val="auto"/>
                <w:sz w:val="21"/>
                <w:szCs w:val="21"/>
                <w:highlight w:val="none"/>
                <w:lang w:val="en-US" w:eastAsia="zh-CN"/>
              </w:rPr>
              <w:t>14-1、附图14-2</w:t>
            </w:r>
            <w:r>
              <w:rPr>
                <w:rFonts w:hint="default" w:ascii="Times New Roman" w:hAnsi="Times New Roman" w:eastAsia="宋体" w:cs="Times New Roman"/>
                <w:color w:val="auto"/>
                <w:sz w:val="21"/>
                <w:szCs w:val="21"/>
                <w:highlight w:val="none"/>
              </w:rPr>
              <w:t>，本项目不涉及占用</w:t>
            </w:r>
            <w:r>
              <w:rPr>
                <w:rFonts w:hint="default" w:ascii="Times New Roman" w:hAnsi="Times New Roman" w:eastAsia="宋体" w:cs="Times New Roman"/>
                <w:color w:val="auto"/>
                <w:sz w:val="21"/>
                <w:szCs w:val="21"/>
                <w:highlight w:val="none"/>
                <w:lang w:eastAsia="zh-CN"/>
              </w:rPr>
              <w:t>天然林有林地和国家级公益林。</w:t>
            </w:r>
          </w:p>
        </w:tc>
        <w:tc>
          <w:tcPr>
            <w:tcW w:w="976" w:type="dxa"/>
            <w:vMerge w:val="restart"/>
            <w:tcBorders>
              <w:tl2br w:val="nil"/>
              <w:tr2bl w:val="nil"/>
            </w:tcBorders>
            <w:noWrap w:val="0"/>
            <w:vAlign w:val="center"/>
          </w:tcPr>
          <w:p w14:paraId="77A8449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w:t>
            </w:r>
          </w:p>
        </w:tc>
      </w:tr>
      <w:tr w14:paraId="1DD4171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69" w:type="dxa"/>
            <w:vMerge w:val="continue"/>
            <w:tcBorders>
              <w:tl2br w:val="nil"/>
              <w:tr2bl w:val="nil"/>
            </w:tcBorders>
            <w:noWrap w:val="0"/>
            <w:vAlign w:val="center"/>
          </w:tcPr>
          <w:p w14:paraId="114D94A5">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p>
        </w:tc>
        <w:tc>
          <w:tcPr>
            <w:tcW w:w="3696" w:type="dxa"/>
            <w:tcBorders>
              <w:tl2br w:val="nil"/>
              <w:tr2bl w:val="nil"/>
            </w:tcBorders>
            <w:noWrap w:val="0"/>
            <w:vAlign w:val="center"/>
          </w:tcPr>
          <w:p w14:paraId="07B1695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本通知下发之前已经核准但未取得使用林地手续的风电场项目，要重新合理优化选址和建设方案，加强生态影响分析和评估，不得占用年降雨量400毫米以下区域的有林地和一级国家级公益林地，避让二级国家级公益林中有林地集中区域。</w:t>
            </w:r>
          </w:p>
        </w:tc>
        <w:tc>
          <w:tcPr>
            <w:tcW w:w="2894" w:type="dxa"/>
            <w:vMerge w:val="continue"/>
            <w:tcBorders>
              <w:tl2br w:val="nil"/>
              <w:tr2bl w:val="nil"/>
            </w:tcBorders>
            <w:noWrap w:val="0"/>
            <w:vAlign w:val="center"/>
          </w:tcPr>
          <w:p w14:paraId="34DBCBF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p>
        </w:tc>
        <w:tc>
          <w:tcPr>
            <w:tcW w:w="976" w:type="dxa"/>
            <w:vMerge w:val="continue"/>
            <w:tcBorders>
              <w:tl2br w:val="nil"/>
              <w:tr2bl w:val="nil"/>
            </w:tcBorders>
            <w:noWrap w:val="0"/>
            <w:vAlign w:val="center"/>
          </w:tcPr>
          <w:p w14:paraId="2C161E56">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p>
        </w:tc>
      </w:tr>
      <w:tr w14:paraId="7CB7A00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69" w:type="dxa"/>
            <w:vMerge w:val="restart"/>
            <w:tcBorders>
              <w:tl2br w:val="nil"/>
              <w:tr2bl w:val="nil"/>
            </w:tcBorders>
            <w:noWrap w:val="0"/>
            <w:vAlign w:val="center"/>
          </w:tcPr>
          <w:p w14:paraId="1A2378E7">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强化风电场道路建设和临时用地管理</w:t>
            </w:r>
          </w:p>
        </w:tc>
        <w:tc>
          <w:tcPr>
            <w:tcW w:w="3696" w:type="dxa"/>
            <w:tcBorders>
              <w:tl2br w:val="nil"/>
              <w:tr2bl w:val="nil"/>
            </w:tcBorders>
            <w:noWrap w:val="0"/>
            <w:vAlign w:val="center"/>
          </w:tcPr>
          <w:p w14:paraId="00C24F11">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风电场施工和检修道路，应尽可能利用现有森林防火道路、林区道路、乡村道路等道路，在其基础上扩建的风电场道路原则上不得改变现有道路性质。</w:t>
            </w:r>
          </w:p>
        </w:tc>
        <w:tc>
          <w:tcPr>
            <w:tcW w:w="2894" w:type="dxa"/>
            <w:tcBorders>
              <w:tl2br w:val="nil"/>
              <w:tr2bl w:val="nil"/>
            </w:tcBorders>
            <w:noWrap w:val="0"/>
            <w:vAlign w:val="center"/>
          </w:tcPr>
          <w:p w14:paraId="7FF0B48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风电场施工和检修道路主要利用山顶的现有森林防火道路，进场道路主要利用现有的村道进行扩建改造，项目完成后道路仍可作为当地出行的通道</w:t>
            </w:r>
          </w:p>
        </w:tc>
        <w:tc>
          <w:tcPr>
            <w:tcW w:w="976" w:type="dxa"/>
            <w:tcBorders>
              <w:tl2br w:val="nil"/>
              <w:tr2bl w:val="nil"/>
            </w:tcBorders>
            <w:noWrap w:val="0"/>
            <w:vAlign w:val="center"/>
          </w:tcPr>
          <w:p w14:paraId="2C23F19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w:t>
            </w:r>
          </w:p>
        </w:tc>
      </w:tr>
      <w:tr w14:paraId="4C39308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69" w:type="dxa"/>
            <w:vMerge w:val="continue"/>
            <w:tcBorders>
              <w:tl2br w:val="nil"/>
              <w:tr2bl w:val="nil"/>
            </w:tcBorders>
            <w:noWrap w:val="0"/>
            <w:vAlign w:val="center"/>
          </w:tcPr>
          <w:p w14:paraId="712AEAF4">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p>
        </w:tc>
        <w:tc>
          <w:tcPr>
            <w:tcW w:w="3696" w:type="dxa"/>
            <w:tcBorders>
              <w:tl2br w:val="nil"/>
              <w:tr2bl w:val="nil"/>
            </w:tcBorders>
            <w:noWrap w:val="0"/>
            <w:vAlign w:val="center"/>
          </w:tcPr>
          <w:p w14:paraId="3DB55557">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风电场新建配套道路应与风电场一同办理使用林地手续，风电场配套道路要严格控制道路宽度，提高标准，合理建设排水沟、过水涵洞、挡土墙等设施。</w:t>
            </w:r>
          </w:p>
        </w:tc>
        <w:tc>
          <w:tcPr>
            <w:tcW w:w="2894" w:type="dxa"/>
            <w:tcBorders>
              <w:tl2br w:val="nil"/>
              <w:tr2bl w:val="nil"/>
            </w:tcBorders>
            <w:noWrap w:val="0"/>
            <w:vAlign w:val="center"/>
          </w:tcPr>
          <w:p w14:paraId="03F6D998">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eastAsia="zh-CN"/>
              </w:rPr>
              <w:t>本项目配套道路与风电场一同办理使用林地手续；道路设计时严格控制道路宽度，提高标准，合理设计排水沟、过水涵洞、挡土墙等设施。</w:t>
            </w:r>
          </w:p>
        </w:tc>
        <w:tc>
          <w:tcPr>
            <w:tcW w:w="976" w:type="dxa"/>
            <w:tcBorders>
              <w:tl2br w:val="nil"/>
              <w:tr2bl w:val="nil"/>
            </w:tcBorders>
            <w:noWrap w:val="0"/>
            <w:vAlign w:val="center"/>
          </w:tcPr>
          <w:p w14:paraId="13270B4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w:t>
            </w:r>
          </w:p>
        </w:tc>
      </w:tr>
      <w:tr w14:paraId="0F82098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69" w:type="dxa"/>
            <w:vMerge w:val="continue"/>
            <w:tcBorders>
              <w:tl2br w:val="nil"/>
              <w:tr2bl w:val="nil"/>
            </w:tcBorders>
            <w:noWrap w:val="0"/>
            <w:vAlign w:val="center"/>
          </w:tcPr>
          <w:p w14:paraId="7DA93E6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p>
        </w:tc>
        <w:tc>
          <w:tcPr>
            <w:tcW w:w="3696" w:type="dxa"/>
            <w:tcBorders>
              <w:tl2br w:val="nil"/>
              <w:tr2bl w:val="nil"/>
            </w:tcBorders>
            <w:noWrap w:val="0"/>
            <w:vAlign w:val="center"/>
          </w:tcPr>
          <w:p w14:paraId="4E929C5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严格按照设计规范施工，禁止强推强挖式放坡施工，防止废弃砂石任意放置和随意滚落，同步实施水土保持和恢复林业生产条件的措施。</w:t>
            </w:r>
          </w:p>
        </w:tc>
        <w:tc>
          <w:tcPr>
            <w:tcW w:w="2894" w:type="dxa"/>
            <w:tcBorders>
              <w:tl2br w:val="nil"/>
              <w:tr2bl w:val="nil"/>
            </w:tcBorders>
            <w:noWrap w:val="0"/>
            <w:vAlign w:val="center"/>
          </w:tcPr>
          <w:p w14:paraId="75B5B83B">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采用半挖半填施工，同步按照水保方案实施水土保持措施</w:t>
            </w:r>
          </w:p>
        </w:tc>
        <w:tc>
          <w:tcPr>
            <w:tcW w:w="976" w:type="dxa"/>
            <w:tcBorders>
              <w:tl2br w:val="nil"/>
              <w:tr2bl w:val="nil"/>
            </w:tcBorders>
            <w:noWrap w:val="0"/>
            <w:vAlign w:val="center"/>
          </w:tcPr>
          <w:p w14:paraId="031B7F3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w:t>
            </w:r>
          </w:p>
        </w:tc>
      </w:tr>
      <w:tr w14:paraId="4B9550D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69" w:type="dxa"/>
            <w:vMerge w:val="continue"/>
            <w:tcBorders>
              <w:tl2br w:val="nil"/>
              <w:tr2bl w:val="nil"/>
            </w:tcBorders>
            <w:noWrap w:val="0"/>
            <w:vAlign w:val="center"/>
          </w:tcPr>
          <w:p w14:paraId="2E80E45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p>
        </w:tc>
        <w:tc>
          <w:tcPr>
            <w:tcW w:w="3696" w:type="dxa"/>
            <w:tcBorders>
              <w:tl2br w:val="nil"/>
              <w:tr2bl w:val="nil"/>
            </w:tcBorders>
            <w:noWrap w:val="0"/>
            <w:vAlign w:val="center"/>
          </w:tcPr>
          <w:p w14:paraId="461ED10F">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吊装平台、施工道路、集电线路等临时占用林地的，应在临时占用林地期满后一年内恢复林业生产条件，并及时恢复植被。</w:t>
            </w:r>
          </w:p>
        </w:tc>
        <w:tc>
          <w:tcPr>
            <w:tcW w:w="2894" w:type="dxa"/>
            <w:tcBorders>
              <w:tl2br w:val="nil"/>
              <w:tr2bl w:val="nil"/>
            </w:tcBorders>
            <w:noWrap w:val="0"/>
            <w:vAlign w:val="center"/>
          </w:tcPr>
          <w:p w14:paraId="5286D11F">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临时占地施工完成后期按照水保方案全部恢复植被</w:t>
            </w:r>
          </w:p>
        </w:tc>
        <w:tc>
          <w:tcPr>
            <w:tcW w:w="976" w:type="dxa"/>
            <w:tcBorders>
              <w:tl2br w:val="nil"/>
              <w:tr2bl w:val="nil"/>
            </w:tcBorders>
            <w:noWrap w:val="0"/>
            <w:vAlign w:val="center"/>
          </w:tcPr>
          <w:p w14:paraId="158881B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符合</w:t>
            </w:r>
          </w:p>
        </w:tc>
      </w:tr>
    </w:tbl>
    <w:p w14:paraId="24E7E0B7">
      <w:pPr>
        <w:pStyle w:val="2"/>
        <w:keepNext w:val="0"/>
        <w:keepLines w:val="0"/>
        <w:pageBreakBefore w:val="0"/>
        <w:widowControl/>
        <w:kinsoku/>
        <w:wordWrap/>
        <w:overflowPunct/>
        <w:topLinePunct w:val="0"/>
        <w:autoSpaceDE/>
        <w:autoSpaceDN/>
        <w:bidi w:val="0"/>
        <w:adjustRightInd w:val="0"/>
        <w:snapToGrid w:val="0"/>
        <w:spacing w:before="0" w:after="0" w:line="360" w:lineRule="auto"/>
        <w:ind w:right="0"/>
        <w:textAlignment w:val="auto"/>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根据上述分析，本项目符合风电场建设使用林地禁建区域、风电场建设使用林地限制范围及风电场道路建设和临时用地管理要求</w:t>
      </w:r>
      <w:r>
        <w:rPr>
          <w:rFonts w:hint="default" w:ascii="Times New Roman" w:hAnsi="Times New Roman" w:eastAsia="宋体" w:cs="Times New Roman"/>
          <w:color w:val="auto"/>
          <w:sz w:val="24"/>
          <w:szCs w:val="24"/>
          <w:highlight w:val="none"/>
          <w:lang w:val="en-US" w:eastAsia="zh-CN"/>
        </w:rPr>
        <w:t>，临时用地</w:t>
      </w:r>
      <w:r>
        <w:rPr>
          <w:rFonts w:hint="eastAsia" w:ascii="Times New Roman" w:hAnsi="Times New Roman" w:eastAsia="宋体" w:cs="Times New Roman"/>
          <w:color w:val="auto"/>
          <w:sz w:val="24"/>
          <w:szCs w:val="24"/>
          <w:highlight w:val="none"/>
          <w:lang w:val="en-US" w:eastAsia="zh-CN"/>
        </w:rPr>
        <w:t>将</w:t>
      </w:r>
      <w:r>
        <w:rPr>
          <w:rFonts w:hint="default" w:ascii="Times New Roman" w:hAnsi="Times New Roman" w:eastAsia="宋体" w:cs="Times New Roman"/>
          <w:color w:val="auto"/>
          <w:sz w:val="24"/>
          <w:szCs w:val="24"/>
          <w:highlight w:val="none"/>
          <w:lang w:val="en-US" w:eastAsia="zh-CN"/>
        </w:rPr>
        <w:t>按照水保方案全部恢复植被。综上，</w:t>
      </w:r>
      <w:r>
        <w:rPr>
          <w:rFonts w:hint="eastAsia" w:ascii="Times New Roman" w:hAnsi="Times New Roman" w:eastAsia="宋体" w:cs="Times New Roman"/>
          <w:color w:val="auto"/>
          <w:sz w:val="24"/>
          <w:szCs w:val="24"/>
          <w:highlight w:val="none"/>
          <w:lang w:val="en-US" w:eastAsia="zh-CN"/>
        </w:rPr>
        <w:t>南冲</w:t>
      </w:r>
      <w:r>
        <w:rPr>
          <w:rFonts w:hint="default" w:ascii="Times New Roman" w:hAnsi="Times New Roman" w:eastAsia="宋体" w:cs="Times New Roman"/>
          <w:color w:val="auto"/>
          <w:sz w:val="24"/>
          <w:szCs w:val="24"/>
          <w:highlight w:val="none"/>
          <w:lang w:val="en-US" w:eastAsia="zh-CN"/>
        </w:rPr>
        <w:t>风电场</w:t>
      </w:r>
      <w:r>
        <w:rPr>
          <w:rFonts w:hint="default" w:ascii="Times New Roman" w:hAnsi="Times New Roman" w:cs="Times New Roman"/>
          <w:color w:val="auto"/>
          <w:sz w:val="24"/>
          <w:szCs w:val="24"/>
          <w:highlight w:val="none"/>
        </w:rPr>
        <w:t>符合《关于规范风电场项目建设使用林地的通知》建设要求。</w:t>
      </w:r>
    </w:p>
    <w:p w14:paraId="10400549">
      <w:pPr>
        <w:pStyle w:val="6"/>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eastAsia="zh-CN"/>
        </w:rPr>
        <w:t>与</w:t>
      </w:r>
      <w:r>
        <w:rPr>
          <w:rFonts w:hint="default" w:ascii="Times New Roman" w:hAnsi="Times New Roman" w:eastAsia="宋体" w:cs="Times New Roman"/>
          <w:b/>
          <w:bCs/>
          <w:color w:val="auto"/>
          <w:kern w:val="0"/>
          <w:sz w:val="24"/>
          <w:szCs w:val="24"/>
          <w:highlight w:val="none"/>
          <w:lang w:val="en-US" w:eastAsia="zh-CN"/>
        </w:rPr>
        <w:t>湖南省林业厅关于进一步加强风电建设项目使用林地管理的通知（湘林政【2018】5号）符合性分析</w:t>
      </w:r>
    </w:p>
    <w:p w14:paraId="32856FFF">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根据湖南省林业厅发布的《关于进一步加强风电建设项目使用林地管理的通知》（湘林政【2018】5号）中相关内容，对风电项目建设提出相关建设要求。自本通知施行之日起，禁止在经省人民政府批准的生态保护红线区域和未纳入生态保护红线区域的世界自然遗产地、国有林场、重要湿地、省级以上森林公园、湿地公园、地质公园、风景名胜区，县级以上人民政府规定并发布的鸟类迁徙通道，海拔800米以上且坡度36度以上、母岩为强风化花岗岩、砂岩或石灰岩区域以及各县市（区）最高峰或地标性山峰地域建设新的风电项目。</w:t>
      </w:r>
    </w:p>
    <w:p w14:paraId="791F75AB">
      <w:pPr>
        <w:bidi w:val="0"/>
        <w:rPr>
          <w:rFonts w:hint="default"/>
          <w:color w:val="auto"/>
          <w:highlight w:val="none"/>
        </w:rPr>
      </w:pPr>
      <w:r>
        <w:rPr>
          <w:rFonts w:hint="default" w:ascii="Times New Roman" w:hAnsi="Times New Roman" w:eastAsia="宋体" w:cs="Times New Roman"/>
          <w:color w:val="auto"/>
          <w:kern w:val="0"/>
          <w:sz w:val="24"/>
          <w:szCs w:val="24"/>
          <w:highlight w:val="none"/>
          <w:lang w:val="en-US" w:eastAsia="zh-CN"/>
        </w:rPr>
        <w:t>根据祁东县林业局《关于祁东县南冲风电场（大马二期）的审核意见》</w:t>
      </w:r>
      <w:r>
        <w:rPr>
          <w:rFonts w:hint="eastAsia" w:ascii="Times New Roman" w:hAnsi="Times New Roman" w:eastAsia="宋体" w:cs="Times New Roman"/>
          <w:color w:val="auto"/>
          <w:kern w:val="0"/>
          <w:sz w:val="24"/>
          <w:szCs w:val="24"/>
          <w:highlight w:val="none"/>
          <w:lang w:val="en-US" w:eastAsia="zh-CN"/>
        </w:rPr>
        <w:t>（详见附件6）</w:t>
      </w:r>
      <w:r>
        <w:rPr>
          <w:rFonts w:hint="default" w:ascii="Times New Roman" w:hAnsi="Times New Roman" w:eastAsia="宋体" w:cs="Times New Roman"/>
          <w:color w:val="auto"/>
          <w:kern w:val="0"/>
          <w:sz w:val="24"/>
          <w:szCs w:val="24"/>
          <w:highlight w:val="none"/>
          <w:lang w:val="en-US" w:eastAsia="zh-CN"/>
        </w:rPr>
        <w:t>，</w:t>
      </w:r>
      <w:r>
        <w:rPr>
          <w:rFonts w:hint="eastAsia" w:ascii="Times New Roman" w:hAnsi="Times New Roman" w:eastAsia="宋体" w:cs="Times New Roman"/>
          <w:color w:val="auto"/>
          <w:kern w:val="0"/>
          <w:sz w:val="24"/>
          <w:szCs w:val="24"/>
          <w:highlight w:val="none"/>
          <w:lang w:val="en-US" w:eastAsia="zh-CN"/>
        </w:rPr>
        <w:t>南冲风电场不涉及</w:t>
      </w:r>
      <w:r>
        <w:rPr>
          <w:rFonts w:hint="default" w:ascii="Times New Roman" w:hAnsi="Times New Roman" w:eastAsia="宋体" w:cs="Times New Roman"/>
          <w:color w:val="auto"/>
          <w:kern w:val="0"/>
          <w:sz w:val="24"/>
          <w:szCs w:val="24"/>
          <w:highlight w:val="none"/>
          <w:lang w:val="en-US" w:eastAsia="zh-CN"/>
        </w:rPr>
        <w:t>湘林政【2018】5号</w:t>
      </w:r>
      <w:r>
        <w:rPr>
          <w:rFonts w:hint="eastAsia" w:ascii="Times New Roman" w:hAnsi="Times New Roman" w:eastAsia="宋体" w:cs="Times New Roman"/>
          <w:color w:val="auto"/>
          <w:kern w:val="0"/>
          <w:sz w:val="24"/>
          <w:szCs w:val="24"/>
          <w:highlight w:val="none"/>
          <w:lang w:val="en-US" w:eastAsia="zh-CN"/>
        </w:rPr>
        <w:t>文件中所列禁止建设区，风机平台海拔高度位于400m~650m，未超过800m</w:t>
      </w:r>
      <w:r>
        <w:rPr>
          <w:rFonts w:hint="default" w:ascii="Times New Roman" w:hAnsi="Times New Roman" w:eastAsia="宋体" w:cs="Times New Roman"/>
          <w:color w:val="auto"/>
          <w:kern w:val="0"/>
          <w:sz w:val="24"/>
          <w:szCs w:val="24"/>
          <w:highlight w:val="none"/>
          <w:lang w:val="en-US" w:eastAsia="zh-CN"/>
        </w:rPr>
        <w:t>，项目区土壤母岩主要为板、页岩，</w:t>
      </w:r>
      <w:r>
        <w:rPr>
          <w:rFonts w:hint="eastAsia" w:ascii="Times New Roman" w:hAnsi="Times New Roman" w:eastAsia="宋体" w:cs="Times New Roman"/>
          <w:color w:val="auto"/>
          <w:kern w:val="0"/>
          <w:sz w:val="24"/>
          <w:szCs w:val="24"/>
          <w:highlight w:val="none"/>
          <w:lang w:val="en-US" w:eastAsia="zh-CN"/>
        </w:rPr>
        <w:t>不属于祁东县最高峰和地标性山峰地，</w:t>
      </w:r>
      <w:r>
        <w:rPr>
          <w:rFonts w:hint="default" w:ascii="Times New Roman" w:hAnsi="Times New Roman" w:eastAsia="宋体" w:cs="Times New Roman"/>
          <w:color w:val="auto"/>
          <w:kern w:val="0"/>
          <w:sz w:val="24"/>
          <w:szCs w:val="24"/>
          <w:highlight w:val="none"/>
          <w:lang w:val="en-US" w:eastAsia="zh-CN"/>
        </w:rPr>
        <w:t>因此，本项目实施与湘林政【2018】5号文件</w:t>
      </w:r>
      <w:r>
        <w:rPr>
          <w:rFonts w:hint="eastAsia" w:ascii="Times New Roman" w:hAnsi="Times New Roman" w:eastAsia="宋体" w:cs="Times New Roman"/>
          <w:color w:val="auto"/>
          <w:kern w:val="0"/>
          <w:sz w:val="24"/>
          <w:szCs w:val="24"/>
          <w:highlight w:val="none"/>
          <w:lang w:val="en-US" w:eastAsia="zh-CN"/>
        </w:rPr>
        <w:t>相符</w:t>
      </w:r>
      <w:r>
        <w:rPr>
          <w:rFonts w:hint="default" w:ascii="Times New Roman" w:hAnsi="Times New Roman" w:eastAsia="宋体" w:cs="Times New Roman"/>
          <w:color w:val="auto"/>
          <w:kern w:val="0"/>
          <w:sz w:val="24"/>
          <w:szCs w:val="24"/>
          <w:highlight w:val="none"/>
          <w:lang w:val="en-US" w:eastAsia="zh-CN"/>
        </w:rPr>
        <w:t>。</w:t>
      </w:r>
    </w:p>
    <w:p w14:paraId="7F16CEEF">
      <w:pPr>
        <w:pStyle w:val="5"/>
        <w:bidi w:val="0"/>
        <w:rPr>
          <w:rFonts w:hint="default"/>
          <w:color w:val="auto"/>
          <w:highlight w:val="none"/>
        </w:rPr>
      </w:pPr>
      <w:r>
        <w:rPr>
          <w:rFonts w:hint="eastAsia"/>
          <w:color w:val="auto"/>
          <w:highlight w:val="none"/>
          <w:u w:val="none"/>
          <w:lang w:val="en-US" w:eastAsia="zh-CN"/>
        </w:rPr>
        <w:t>与相关规划的符合性分析</w:t>
      </w:r>
    </w:p>
    <w:p w14:paraId="692C7281">
      <w:pPr>
        <w:pStyle w:val="6"/>
        <w:bidi w:val="0"/>
        <w:rPr>
          <w:rFonts w:hint="default"/>
          <w:color w:val="auto"/>
          <w:highlight w:val="none"/>
        </w:rPr>
      </w:pPr>
      <w:r>
        <w:rPr>
          <w:rFonts w:hint="eastAsia" w:cs="Times New Roman"/>
          <w:color w:val="auto"/>
          <w:highlight w:val="none"/>
          <w:lang w:val="en-US" w:eastAsia="zh-CN"/>
        </w:rPr>
        <w:t>与</w:t>
      </w:r>
      <w:r>
        <w:rPr>
          <w:rFonts w:hint="eastAsia" w:ascii="Times New Roman" w:hAnsi="Times New Roman" w:eastAsia="宋体" w:cs="Times New Roman"/>
          <w:b/>
          <w:bCs/>
          <w:color w:val="auto"/>
          <w:kern w:val="0"/>
          <w:sz w:val="24"/>
          <w:szCs w:val="24"/>
          <w:highlight w:val="none"/>
          <w:lang w:val="en-US" w:eastAsia="zh-CN"/>
        </w:rPr>
        <w:t>《</w:t>
      </w:r>
      <w:r>
        <w:rPr>
          <w:rFonts w:hint="default" w:ascii="Times New Roman" w:hAnsi="Times New Roman" w:eastAsia="宋体" w:cs="Times New Roman"/>
          <w:b/>
          <w:bCs/>
          <w:color w:val="auto"/>
          <w:kern w:val="0"/>
          <w:sz w:val="24"/>
          <w:szCs w:val="24"/>
          <w:highlight w:val="none"/>
          <w:lang w:val="en-US" w:eastAsia="zh-CN"/>
        </w:rPr>
        <w:t>中华人民共和国国民经济和社会发展第十四个五年规划和2035年远景目标纲要</w:t>
      </w:r>
      <w:r>
        <w:rPr>
          <w:rFonts w:hint="eastAsia" w:ascii="Times New Roman" w:hAnsi="Times New Roman" w:eastAsia="宋体" w:cs="Times New Roman"/>
          <w:b/>
          <w:bCs/>
          <w:color w:val="auto"/>
          <w:kern w:val="0"/>
          <w:sz w:val="24"/>
          <w:szCs w:val="24"/>
          <w:highlight w:val="none"/>
          <w:lang w:val="en-US" w:eastAsia="zh-CN"/>
        </w:rPr>
        <w:t>》</w:t>
      </w:r>
      <w:r>
        <w:rPr>
          <w:rFonts w:hint="eastAsia" w:cs="Times New Roman"/>
          <w:color w:val="auto"/>
          <w:highlight w:val="none"/>
          <w:lang w:val="en-US" w:eastAsia="zh-CN"/>
        </w:rPr>
        <w:t>相符性分析</w:t>
      </w:r>
    </w:p>
    <w:p w14:paraId="04FD52E4">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firstLine="480" w:firstLineChars="200"/>
        <w:textAlignment w:val="auto"/>
        <w:rPr>
          <w:rFonts w:hint="eastAsia"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《中华人民共和国国民经济和社会发展第十四个五年规划和2035年远景目标纲要》</w:t>
      </w:r>
      <w:r>
        <w:rPr>
          <w:rFonts w:hint="eastAsia" w:ascii="Times New Roman" w:hAnsi="Times New Roman" w:eastAsia="宋体" w:cs="Times New Roman"/>
          <w:color w:val="auto"/>
          <w:kern w:val="0"/>
          <w:sz w:val="24"/>
          <w:szCs w:val="24"/>
          <w:highlight w:val="none"/>
          <w:lang w:val="en-US" w:eastAsia="zh-CN"/>
        </w:rPr>
        <w:t>中指出：推进能源革命，建设清洁低碳、安全高效的能源体系，提高能源供给保障能力。</w:t>
      </w:r>
      <w:r>
        <w:rPr>
          <w:rFonts w:hint="eastAsia" w:ascii="Times New Roman" w:hAnsi="Times New Roman" w:eastAsia="宋体" w:cs="Times New Roman"/>
          <w:b/>
          <w:bCs/>
          <w:color w:val="auto"/>
          <w:kern w:val="0"/>
          <w:sz w:val="24"/>
          <w:szCs w:val="24"/>
          <w:highlight w:val="none"/>
          <w:lang w:val="en-US" w:eastAsia="zh-CN"/>
        </w:rPr>
        <w:t>加快发展非化石能源，坚持集中式和分布式并举，大力提升风电、光伏发电规模，加快发展东中部分布式能源</w:t>
      </w:r>
      <w:r>
        <w:rPr>
          <w:rFonts w:hint="eastAsia" w:ascii="Times New Roman" w:hAnsi="Times New Roman" w:eastAsia="宋体" w:cs="Times New Roman"/>
          <w:color w:val="auto"/>
          <w:kern w:val="0"/>
          <w:sz w:val="24"/>
          <w:szCs w:val="24"/>
          <w:highlight w:val="none"/>
          <w:lang w:val="en-US" w:eastAsia="zh-CN"/>
        </w:rPr>
        <w:t>，有序发展海上风电，加快西南水电基地建设，安全稳妥推动沿海核电建设，建设一批多能互补的清洁能源基地，</w:t>
      </w:r>
      <w:r>
        <w:rPr>
          <w:rFonts w:hint="eastAsia" w:ascii="Times New Roman" w:hAnsi="Times New Roman" w:eastAsia="宋体" w:cs="Times New Roman"/>
          <w:b/>
          <w:bCs/>
          <w:color w:val="auto"/>
          <w:kern w:val="0"/>
          <w:sz w:val="24"/>
          <w:szCs w:val="24"/>
          <w:highlight w:val="none"/>
          <w:lang w:val="en-US" w:eastAsia="zh-CN"/>
        </w:rPr>
        <w:t>非化石能源占能源消费总量比重提高到20%左右</w:t>
      </w:r>
      <w:r>
        <w:rPr>
          <w:rFonts w:hint="eastAsia" w:ascii="Times New Roman" w:hAnsi="Times New Roman" w:eastAsia="宋体" w:cs="Times New Roman"/>
          <w:color w:val="auto"/>
          <w:kern w:val="0"/>
          <w:sz w:val="24"/>
          <w:szCs w:val="24"/>
          <w:highlight w:val="none"/>
          <w:lang w:val="en-US" w:eastAsia="zh-CN"/>
        </w:rPr>
        <w:t>。</w:t>
      </w:r>
    </w:p>
    <w:p w14:paraId="0B6FF24A">
      <w:pPr>
        <w:bidi w:val="0"/>
        <w:rPr>
          <w:rFonts w:hint="eastAsia" w:ascii="Times New Roman" w:hAnsi="Times New Roman" w:eastAsia="宋体" w:cs="Times New Roman"/>
          <w:color w:val="auto"/>
          <w:kern w:val="0"/>
          <w:sz w:val="24"/>
          <w:szCs w:val="24"/>
          <w:highlight w:val="none"/>
          <w:lang w:val="en-US" w:eastAsia="zh-CN"/>
        </w:rPr>
      </w:pPr>
      <w:r>
        <w:rPr>
          <w:rFonts w:hint="eastAsia" w:ascii="Times New Roman" w:hAnsi="Times New Roman" w:eastAsia="宋体" w:cs="Times New Roman"/>
          <w:color w:val="auto"/>
          <w:kern w:val="0"/>
          <w:sz w:val="24"/>
          <w:szCs w:val="24"/>
          <w:highlight w:val="none"/>
          <w:lang w:val="en-US" w:eastAsia="zh-CN"/>
        </w:rPr>
        <w:t>本项目属于非化石能源——风电工程，工程建设可提升全国风电规模，本工程建设符合</w:t>
      </w:r>
      <w:r>
        <w:rPr>
          <w:rFonts w:hint="default" w:ascii="Times New Roman" w:hAnsi="Times New Roman" w:eastAsia="宋体" w:cs="Times New Roman"/>
          <w:color w:val="auto"/>
          <w:kern w:val="0"/>
          <w:sz w:val="24"/>
          <w:szCs w:val="24"/>
          <w:highlight w:val="none"/>
          <w:lang w:val="en-US" w:eastAsia="zh-CN"/>
        </w:rPr>
        <w:t>《中华人民共和国国民经济和社会发展第十四个五年规划和2035年远景目标纲要》</w:t>
      </w:r>
      <w:r>
        <w:rPr>
          <w:rFonts w:hint="eastAsia" w:ascii="Times New Roman" w:hAnsi="Times New Roman" w:eastAsia="宋体" w:cs="Times New Roman"/>
          <w:color w:val="auto"/>
          <w:kern w:val="0"/>
          <w:sz w:val="24"/>
          <w:szCs w:val="24"/>
          <w:highlight w:val="none"/>
          <w:lang w:val="en-US" w:eastAsia="zh-CN"/>
        </w:rPr>
        <w:t>。</w:t>
      </w:r>
    </w:p>
    <w:p w14:paraId="02618FC3">
      <w:pPr>
        <w:pStyle w:val="6"/>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eastAsia="zh-CN"/>
        </w:rPr>
        <w:t>与</w:t>
      </w:r>
      <w:r>
        <w:rPr>
          <w:rFonts w:hint="default" w:ascii="Times New Roman" w:hAnsi="Times New Roman" w:eastAsia="宋体" w:cs="Times New Roman"/>
          <w:b/>
          <w:bCs/>
          <w:color w:val="auto"/>
          <w:kern w:val="0"/>
          <w:sz w:val="24"/>
          <w:szCs w:val="24"/>
          <w:highlight w:val="none"/>
          <w:lang w:val="en-US" w:eastAsia="zh-CN"/>
        </w:rPr>
        <w:t>《全国主体功能区规划》的相符性分析</w:t>
      </w:r>
    </w:p>
    <w:p w14:paraId="0FCA1387">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国务院关于印发全国主体功能区规划的通知》（国发〔2010〕46号）中，明确了国家层面优化开发、重点开发、限制开发、禁止开发四类主体功能区的功能定位、发展目标、发展方向和开发原则。根据《全国主体功能区规划》：按开发方式，分为优化开发区域、重点开发区域、限制开发区域和禁止开发区域；按开发内容，分为城市化地区、农产品主产区和重点生态功能区；按层级，分为国家和省级两个层面。</w:t>
      </w:r>
    </w:p>
    <w:p w14:paraId="084CBE25">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限制开发区域分为两类：</w:t>
      </w:r>
      <w:r>
        <w:rPr>
          <w:rFonts w:hint="default" w:ascii="Times New Roman" w:hAnsi="Times New Roman" w:eastAsia="宋体" w:cs="Times New Roman"/>
          <w:b/>
          <w:bCs/>
          <w:color w:val="auto"/>
          <w:kern w:val="0"/>
          <w:sz w:val="24"/>
          <w:szCs w:val="24"/>
          <w:highlight w:val="none"/>
          <w:lang w:val="en-US" w:eastAsia="zh-CN"/>
        </w:rPr>
        <w:t>一类是农产品主产区，即耕地较多、农业发展条件较好，尽管也适宜工业化城镇化开发，但从保障国家农产品安全以及中华民族永续发展的需要出发，必须把增强农业综合生产能力作为发展的首要任务，从而应该限制进行大规模高强度工业化城镇化开发的地区</w:t>
      </w:r>
      <w:r>
        <w:rPr>
          <w:rFonts w:hint="default" w:ascii="Times New Roman" w:hAnsi="Times New Roman" w:eastAsia="宋体" w:cs="Times New Roman"/>
          <w:color w:val="auto"/>
          <w:kern w:val="0"/>
          <w:sz w:val="24"/>
          <w:szCs w:val="24"/>
          <w:highlight w:val="none"/>
          <w:lang w:val="en-US" w:eastAsia="zh-CN"/>
        </w:rPr>
        <w:t>；</w:t>
      </w:r>
      <w:r>
        <w:rPr>
          <w:rFonts w:hint="eastAsia" w:ascii="Times New Roman" w:hAnsi="Times New Roman" w:eastAsia="宋体" w:cs="Times New Roman"/>
          <w:color w:val="auto"/>
          <w:kern w:val="0"/>
          <w:sz w:val="24"/>
          <w:szCs w:val="24"/>
          <w:highlight w:val="none"/>
          <w:lang w:val="en-US" w:eastAsia="zh-CN"/>
        </w:rPr>
        <w:t>另</w:t>
      </w:r>
      <w:r>
        <w:rPr>
          <w:rFonts w:hint="default" w:ascii="Times New Roman" w:hAnsi="Times New Roman" w:eastAsia="宋体" w:cs="Times New Roman"/>
          <w:color w:val="auto"/>
          <w:kern w:val="0"/>
          <w:sz w:val="24"/>
          <w:szCs w:val="24"/>
          <w:highlight w:val="none"/>
          <w:lang w:val="en-US" w:eastAsia="zh-CN"/>
        </w:rPr>
        <w:t>一类是重点生态功能区，即生态系统脆弱或生态功能重要，资源环境承载能力较低，不具备大规模高强度工业化城镇化开发的条件，必须把增强生态产品生产能力作为首要任务，从而应该限制进行大规模高强度工业化城镇化开发的地区。</w:t>
      </w:r>
    </w:p>
    <w:p w14:paraId="4E9480FD">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eastAsia" w:ascii="Times New Roman" w:hAnsi="Times New Roman" w:eastAsia="宋体" w:cs="Times New Roman"/>
          <w:color w:val="auto"/>
          <w:kern w:val="0"/>
          <w:sz w:val="24"/>
          <w:szCs w:val="24"/>
          <w:highlight w:val="none"/>
          <w:lang w:val="en-US" w:eastAsia="zh-CN"/>
        </w:rPr>
        <w:t>祁东县属于农产品主产区，为</w:t>
      </w:r>
      <w:r>
        <w:rPr>
          <w:rFonts w:hint="default" w:ascii="Times New Roman" w:hAnsi="Times New Roman" w:eastAsia="宋体" w:cs="Times New Roman"/>
          <w:color w:val="auto"/>
          <w:kern w:val="0"/>
          <w:sz w:val="24"/>
          <w:szCs w:val="24"/>
          <w:highlight w:val="none"/>
          <w:lang w:val="en-US" w:eastAsia="zh-CN"/>
        </w:rPr>
        <w:t>限制开发区域，</w:t>
      </w:r>
      <w:r>
        <w:rPr>
          <w:rFonts w:hint="eastAsia" w:ascii="Times New Roman" w:hAnsi="Times New Roman" w:eastAsia="宋体" w:cs="Times New Roman"/>
          <w:color w:val="auto"/>
          <w:kern w:val="0"/>
          <w:sz w:val="24"/>
          <w:szCs w:val="24"/>
          <w:highlight w:val="none"/>
          <w:lang w:val="en-US" w:eastAsia="zh-CN"/>
        </w:rPr>
        <w:t>本工程位于祁东县北部黄土铺镇、马杜桥乡两个乡镇，</w:t>
      </w:r>
      <w:r>
        <w:rPr>
          <w:rFonts w:hint="default" w:ascii="Times New Roman" w:hAnsi="Times New Roman" w:eastAsia="宋体" w:cs="Times New Roman"/>
          <w:color w:val="auto"/>
          <w:kern w:val="0"/>
          <w:sz w:val="24"/>
          <w:szCs w:val="24"/>
          <w:highlight w:val="none"/>
          <w:lang w:val="en-US" w:eastAsia="zh-CN"/>
        </w:rPr>
        <w:t>不涉及国家级自然保护区、世界文化自然遗产、国家级风景名胜区、国家森林公园、国家地质公园等国家禁止开发区域。</w:t>
      </w:r>
    </w:p>
    <w:p w14:paraId="16306C2B">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风电项目属于清洁能源项目，为鼓励发展的产业，不属于高强度工业化城镇化开发项目。工程占地区植被以</w:t>
      </w:r>
      <w:r>
        <w:rPr>
          <w:rFonts w:hint="eastAsia" w:ascii="Times New Roman" w:hAnsi="Times New Roman" w:eastAsia="宋体" w:cs="Times New Roman"/>
          <w:color w:val="auto"/>
          <w:kern w:val="0"/>
          <w:sz w:val="24"/>
          <w:szCs w:val="24"/>
          <w:highlight w:val="none"/>
          <w:lang w:val="en-US" w:eastAsia="zh-CN"/>
        </w:rPr>
        <w:t>林地、</w:t>
      </w:r>
      <w:r>
        <w:rPr>
          <w:rFonts w:hint="default" w:ascii="Times New Roman" w:hAnsi="Times New Roman" w:eastAsia="宋体" w:cs="Times New Roman"/>
          <w:color w:val="auto"/>
          <w:kern w:val="0"/>
          <w:sz w:val="24"/>
          <w:szCs w:val="24"/>
          <w:highlight w:val="none"/>
          <w:lang w:val="en-US" w:eastAsia="zh-CN"/>
        </w:rPr>
        <w:t>灌草丛为主</w:t>
      </w:r>
      <w:r>
        <w:rPr>
          <w:rFonts w:hint="eastAsia" w:ascii="Times New Roman" w:hAnsi="Times New Roman" w:eastAsia="宋体" w:cs="Times New Roman"/>
          <w:color w:val="auto"/>
          <w:kern w:val="0"/>
          <w:sz w:val="24"/>
          <w:szCs w:val="24"/>
          <w:highlight w:val="none"/>
          <w:lang w:val="en-US" w:eastAsia="zh-CN"/>
        </w:rPr>
        <w:t>，不占用基本农田</w:t>
      </w:r>
      <w:r>
        <w:rPr>
          <w:rFonts w:hint="default" w:ascii="Times New Roman" w:hAnsi="Times New Roman" w:eastAsia="宋体" w:cs="Times New Roman"/>
          <w:color w:val="auto"/>
          <w:kern w:val="0"/>
          <w:sz w:val="24"/>
          <w:szCs w:val="24"/>
          <w:highlight w:val="none"/>
          <w:lang w:val="en-US" w:eastAsia="zh-CN"/>
        </w:rPr>
        <w:t>，风电场建设过程中应</w:t>
      </w:r>
      <w:r>
        <w:rPr>
          <w:rFonts w:hint="eastAsia" w:ascii="Times New Roman" w:hAnsi="Times New Roman" w:eastAsia="宋体" w:cs="Times New Roman"/>
          <w:color w:val="auto"/>
          <w:kern w:val="0"/>
          <w:sz w:val="24"/>
          <w:szCs w:val="24"/>
          <w:highlight w:val="none"/>
          <w:lang w:val="en-US" w:eastAsia="zh-CN"/>
        </w:rPr>
        <w:t>注意尽量减少生态破坏，工程竣工后</w:t>
      </w:r>
      <w:r>
        <w:rPr>
          <w:rFonts w:hint="default" w:ascii="Times New Roman" w:hAnsi="Times New Roman" w:eastAsia="宋体" w:cs="Times New Roman"/>
          <w:color w:val="auto"/>
          <w:kern w:val="0"/>
          <w:sz w:val="24"/>
          <w:szCs w:val="24"/>
          <w:highlight w:val="none"/>
          <w:lang w:val="en-US" w:eastAsia="zh-CN"/>
        </w:rPr>
        <w:t>恢复植被生态，营运期</w:t>
      </w:r>
      <w:r>
        <w:rPr>
          <w:rFonts w:hint="eastAsia" w:ascii="Times New Roman" w:hAnsi="Times New Roman" w:eastAsia="宋体" w:cs="Times New Roman"/>
          <w:color w:val="auto"/>
          <w:kern w:val="0"/>
          <w:sz w:val="24"/>
          <w:szCs w:val="24"/>
          <w:highlight w:val="none"/>
          <w:lang w:val="en-US" w:eastAsia="zh-CN"/>
        </w:rPr>
        <w:t>加强生态保护措施，</w:t>
      </w:r>
      <w:r>
        <w:rPr>
          <w:rFonts w:hint="default" w:ascii="Times New Roman" w:hAnsi="Times New Roman" w:eastAsia="宋体" w:cs="Times New Roman"/>
          <w:color w:val="auto"/>
          <w:kern w:val="0"/>
          <w:sz w:val="24"/>
          <w:szCs w:val="24"/>
          <w:highlight w:val="none"/>
          <w:lang w:val="en-US" w:eastAsia="zh-CN"/>
        </w:rPr>
        <w:t>不会损害当地的生态功能。因此，工程建设与《全国主体功能区规划》</w:t>
      </w:r>
      <w:r>
        <w:rPr>
          <w:rFonts w:hint="eastAsia" w:ascii="Times New Roman" w:hAnsi="Times New Roman" w:eastAsia="宋体" w:cs="Times New Roman"/>
          <w:color w:val="auto"/>
          <w:kern w:val="0"/>
          <w:sz w:val="24"/>
          <w:szCs w:val="24"/>
          <w:highlight w:val="none"/>
          <w:lang w:val="en-US" w:eastAsia="zh-CN"/>
        </w:rPr>
        <w:t>相符</w:t>
      </w:r>
      <w:r>
        <w:rPr>
          <w:rFonts w:hint="default" w:ascii="Times New Roman" w:hAnsi="Times New Roman" w:eastAsia="宋体" w:cs="Times New Roman"/>
          <w:color w:val="auto"/>
          <w:kern w:val="0"/>
          <w:sz w:val="24"/>
          <w:szCs w:val="24"/>
          <w:highlight w:val="none"/>
          <w:lang w:val="en-US" w:eastAsia="zh-CN"/>
        </w:rPr>
        <w:t>。</w:t>
      </w:r>
    </w:p>
    <w:p w14:paraId="76F37AD5">
      <w:pPr>
        <w:pStyle w:val="6"/>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eastAsia="zh-CN"/>
        </w:rPr>
        <w:t>与</w:t>
      </w:r>
      <w:r>
        <w:rPr>
          <w:rFonts w:hint="eastAsia" w:ascii="Times New Roman" w:hAnsi="Times New Roman" w:eastAsia="宋体" w:cs="Times New Roman"/>
          <w:b/>
          <w:bCs/>
          <w:color w:val="auto"/>
          <w:kern w:val="0"/>
          <w:sz w:val="24"/>
          <w:szCs w:val="24"/>
          <w:highlight w:val="none"/>
          <w:lang w:val="en-US" w:eastAsia="zh-CN"/>
        </w:rPr>
        <w:t>《湖南省主体功能区规划》的符合性分析</w:t>
      </w:r>
    </w:p>
    <w:p w14:paraId="0E1C13FC">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《湖南省主体功能区</w:t>
      </w:r>
      <w:r>
        <w:rPr>
          <w:rFonts w:hint="eastAsia" w:ascii="Times New Roman" w:hAnsi="Times New Roman" w:eastAsia="宋体" w:cs="Times New Roman"/>
          <w:color w:val="auto"/>
          <w:kern w:val="0"/>
          <w:sz w:val="24"/>
          <w:szCs w:val="24"/>
          <w:highlight w:val="none"/>
          <w:lang w:val="en-US" w:eastAsia="zh-CN"/>
        </w:rPr>
        <w:t>规</w:t>
      </w:r>
      <w:r>
        <w:rPr>
          <w:rFonts w:hint="default" w:ascii="Times New Roman" w:hAnsi="Times New Roman" w:eastAsia="宋体" w:cs="Times New Roman"/>
          <w:color w:val="auto"/>
          <w:kern w:val="0"/>
          <w:sz w:val="24"/>
          <w:szCs w:val="24"/>
          <w:highlight w:val="none"/>
          <w:lang w:val="en-US" w:eastAsia="zh-CN"/>
        </w:rPr>
        <w:t>划》在对全省国土空间进行综合评价的基础上，以是否适宜或如何进行大规模高强度工业化城镇化为基础，以县级行政区为基本单元，将全省国土空间划分为以下主体功能区：按开发内容，分为城市化地区、农产品主产区和重点生态功能区；按开发方式和强度，分为重点开发区域、限制开发区域和禁止开发区域。禁止开发区域是指依法设立的各级各类自然文化资源保护区域，以及其它禁止进行工业化城镇化开发、需要特殊保护的重点生态功能区，点状分布于重点开发和限制开发区域之中。主要包括：各级各类自然保护区、风景名胜区、森林公园、地质公园、重要湿地、历史文化自然遗产、基本农田、蓄滞洪区、重要水源地等。限制开发区域主要包括农产品主产区和重点生态功能区。农产品主产区是指耕地面积较多、发展农业条件较好，尽管也适宜工业化城镇化开发，但从保障农产品安全以及永续发展的要求出发，必须把增强农业综合生产能力作为发展的首要任务，从而应该限制进行大规模高强度工业化城镇化开发的地区，以提供农产品为主体功能，也提供生态产品、服务产品和工业品。重点生态功能区是指生态系统脆弱或生态功能重要，资源环境承载能力较低，不具备大规模高强度工业化城镇化开发的条件，必须把增强生态产品生产能力作为首要任务，从而应该限制进行大规模高强度工业化城镇化开发的地区，以提供生态产品为主体功能，也提供一定的农产品、服务产品和工业品。</w:t>
      </w:r>
    </w:p>
    <w:p w14:paraId="25038CC0">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firstLine="480" w:firstLineChars="200"/>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根据《湖南省主体功能区划》，</w:t>
      </w:r>
      <w:r>
        <w:rPr>
          <w:rFonts w:hint="eastAsia" w:ascii="Times New Roman" w:hAnsi="Times New Roman" w:eastAsia="宋体" w:cs="Times New Roman"/>
          <w:color w:val="auto"/>
          <w:kern w:val="0"/>
          <w:sz w:val="24"/>
          <w:szCs w:val="24"/>
          <w:highlight w:val="none"/>
          <w:lang w:val="en-US" w:eastAsia="zh-CN"/>
        </w:rPr>
        <w:t>祁东县</w:t>
      </w:r>
      <w:r>
        <w:rPr>
          <w:rFonts w:hint="default" w:ascii="Times New Roman" w:hAnsi="Times New Roman" w:eastAsia="宋体" w:cs="Times New Roman"/>
          <w:color w:val="auto"/>
          <w:kern w:val="0"/>
          <w:sz w:val="24"/>
          <w:szCs w:val="24"/>
          <w:highlight w:val="none"/>
          <w:lang w:val="en-US" w:eastAsia="zh-CN"/>
        </w:rPr>
        <w:t>为国家级农产品主产区，属于限制开发区域。《湖南省主体功能区划》对</w:t>
      </w:r>
      <w:r>
        <w:rPr>
          <w:rFonts w:hint="eastAsia" w:ascii="Times New Roman" w:hAnsi="Times New Roman" w:eastAsia="宋体" w:cs="Times New Roman"/>
          <w:color w:val="auto"/>
          <w:kern w:val="0"/>
          <w:sz w:val="24"/>
          <w:szCs w:val="24"/>
          <w:highlight w:val="none"/>
          <w:lang w:val="en-US" w:eastAsia="zh-CN"/>
        </w:rPr>
        <w:t>农产品主产区</w:t>
      </w:r>
      <w:r>
        <w:rPr>
          <w:rFonts w:hint="default" w:ascii="Times New Roman" w:hAnsi="Times New Roman" w:eastAsia="宋体" w:cs="Times New Roman"/>
          <w:color w:val="auto"/>
          <w:kern w:val="0"/>
          <w:sz w:val="24"/>
          <w:szCs w:val="24"/>
          <w:highlight w:val="none"/>
          <w:lang w:val="en-US" w:eastAsia="zh-CN"/>
        </w:rPr>
        <w:t>的发展要求是：大力发展高产、高效、优质、安全的现代农业，加强耕地保护，严格控制区内农用地转为建设用地，禁止违法占用耕地，严禁擅自毁坏、污染耕地；提升农业规模化水平，加快转变农业发展方式，支持发展农产品深加工和第三产业，拓展农村就业和增收空间。</w:t>
      </w:r>
    </w:p>
    <w:p w14:paraId="2E3047F0">
      <w:pPr>
        <w:bidi w:val="0"/>
        <w:rPr>
          <w:rFonts w:hint="default"/>
          <w:color w:val="auto"/>
          <w:highlight w:val="none"/>
          <w:lang w:val="en-US" w:eastAsia="zh-CN"/>
        </w:rPr>
      </w:pPr>
      <w:r>
        <w:rPr>
          <w:rFonts w:hint="default" w:ascii="Times New Roman" w:hAnsi="Times New Roman" w:eastAsia="宋体" w:cs="Times New Roman"/>
          <w:color w:val="auto"/>
          <w:kern w:val="0"/>
          <w:sz w:val="24"/>
          <w:szCs w:val="24"/>
          <w:highlight w:val="none"/>
          <w:lang w:val="en-US" w:eastAsia="zh-CN"/>
        </w:rPr>
        <w:t>风电项目属于清洁能源项目，为限制开发区域的产业政策中鼓励发展的产业，风电场建设和运行对生态环境影响较小，</w:t>
      </w:r>
      <w:r>
        <w:rPr>
          <w:rFonts w:hint="eastAsia" w:ascii="Times New Roman" w:hAnsi="Times New Roman" w:eastAsia="宋体" w:cs="Times New Roman"/>
          <w:color w:val="auto"/>
          <w:kern w:val="0"/>
          <w:sz w:val="24"/>
          <w:szCs w:val="24"/>
          <w:highlight w:val="none"/>
          <w:lang w:val="en-US" w:eastAsia="zh-CN"/>
        </w:rPr>
        <w:t>项目占地主要为林地，不占用耕地和永久基本农田</w:t>
      </w:r>
      <w:r>
        <w:rPr>
          <w:rFonts w:hint="default" w:ascii="Times New Roman" w:hAnsi="Times New Roman" w:eastAsia="宋体" w:cs="Times New Roman"/>
          <w:color w:val="auto"/>
          <w:kern w:val="0"/>
          <w:sz w:val="24"/>
          <w:szCs w:val="24"/>
          <w:highlight w:val="none"/>
          <w:lang w:val="en-US" w:eastAsia="zh-CN"/>
        </w:rPr>
        <w:t>，本工程建设符合《湖南省主体功能区规划》中“因地制宜发展适度资源开采、农林产品生产加工等资源环境可承载的适宜产业”，不属于“高污染、高能耗、高物耗产业，淘汰污染环境、破坏生态、浪费资源的产业”。</w:t>
      </w:r>
    </w:p>
    <w:p w14:paraId="5AE0F6A4">
      <w:pPr>
        <w:pStyle w:val="6"/>
        <w:rPr>
          <w:rFonts w:hint="default"/>
          <w:color w:val="auto"/>
          <w:highlight w:val="none"/>
          <w:lang w:val="en-US"/>
        </w:rPr>
      </w:pPr>
      <w:r>
        <w:rPr>
          <w:rFonts w:hint="eastAsia"/>
          <w:color w:val="auto"/>
          <w:highlight w:val="none"/>
          <w:lang w:val="en-US" w:eastAsia="zh-CN"/>
        </w:rPr>
        <w:t>与</w:t>
      </w:r>
      <w:r>
        <w:rPr>
          <w:rFonts w:hint="default" w:ascii="Times New Roman" w:hAnsi="Times New Roman" w:eastAsia="宋体" w:cs="Times New Roman"/>
          <w:b/>
          <w:bCs/>
          <w:color w:val="auto"/>
          <w:kern w:val="0"/>
          <w:sz w:val="24"/>
          <w:szCs w:val="24"/>
          <w:highlight w:val="none"/>
          <w:lang w:val="en-US" w:eastAsia="zh-CN"/>
        </w:rPr>
        <w:t>《湖南省“十四五”可再生能源发展规划》（湘发改能源规〔2022〕405号）</w:t>
      </w:r>
      <w:r>
        <w:rPr>
          <w:rFonts w:hint="eastAsia"/>
          <w:color w:val="auto"/>
          <w:highlight w:val="none"/>
          <w:lang w:val="en-US" w:eastAsia="zh-CN"/>
        </w:rPr>
        <w:t>符合性分析</w:t>
      </w:r>
    </w:p>
    <w:p w14:paraId="768E8BFE">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eastAsia="宋体" w:cs="Times New Roman"/>
          <w:b w:val="0"/>
          <w:bCs w:val="0"/>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《湖南省“十四五”可再生能源发展规划》</w:t>
      </w:r>
      <w:r>
        <w:rPr>
          <w:rFonts w:hint="eastAsia" w:ascii="Times New Roman" w:hAnsi="Times New Roman" w:eastAsia="宋体" w:cs="Times New Roman"/>
          <w:color w:val="auto"/>
          <w:kern w:val="0"/>
          <w:sz w:val="24"/>
          <w:szCs w:val="24"/>
          <w:highlight w:val="none"/>
          <w:lang w:val="en-US" w:eastAsia="zh-CN"/>
        </w:rPr>
        <w:t>中指出：“十四五”期间，积极推进风电发展，按照“储备一批、成熟一批、推进一批”的思路，推动省内风电规模化和可持续发展，</w:t>
      </w:r>
      <w:r>
        <w:rPr>
          <w:rFonts w:hint="eastAsia" w:ascii="Times New Roman" w:hAnsi="Times New Roman" w:eastAsia="宋体" w:cs="Times New Roman"/>
          <w:b/>
          <w:bCs/>
          <w:color w:val="auto"/>
          <w:kern w:val="0"/>
          <w:sz w:val="24"/>
          <w:szCs w:val="24"/>
          <w:highlight w:val="none"/>
          <w:lang w:val="en-US" w:eastAsia="zh-CN"/>
        </w:rPr>
        <w:t>以不断扩大的建设规模和市场化资源配置带动省内风电产业继续发展壮大</w:t>
      </w:r>
      <w:r>
        <w:rPr>
          <w:rFonts w:hint="eastAsia" w:ascii="Times New Roman" w:hAnsi="Times New Roman" w:eastAsia="宋体" w:cs="Times New Roman"/>
          <w:color w:val="auto"/>
          <w:kern w:val="0"/>
          <w:sz w:val="24"/>
          <w:szCs w:val="24"/>
          <w:highlight w:val="none"/>
          <w:lang w:val="en-US" w:eastAsia="zh-CN"/>
        </w:rPr>
        <w:t>。开展老旧风电场风力发电设备“以大代小”退役改造，因地制宜推进易覆冰风电场抗冰改造，提升装机容量、风能利用效率和风电场经济性。</w:t>
      </w:r>
      <w:r>
        <w:rPr>
          <w:rFonts w:hint="eastAsia" w:ascii="Times New Roman" w:hAnsi="Times New Roman" w:eastAsia="宋体" w:cs="Times New Roman"/>
          <w:b w:val="0"/>
          <w:bCs w:val="0"/>
          <w:color w:val="auto"/>
          <w:kern w:val="0"/>
          <w:sz w:val="24"/>
          <w:szCs w:val="24"/>
          <w:highlight w:val="none"/>
          <w:lang w:val="en-US" w:eastAsia="zh-CN"/>
        </w:rPr>
        <w:t>到2025年，全省风电总装机规模达到1200万千瓦以上。</w:t>
      </w:r>
    </w:p>
    <w:p w14:paraId="1AD2F15E">
      <w:pPr>
        <w:bidi w:val="0"/>
        <w:rPr>
          <w:color w:val="auto"/>
          <w:highlight w:val="none"/>
        </w:rPr>
      </w:pPr>
      <w:r>
        <w:rPr>
          <w:rFonts w:hint="eastAsia" w:ascii="Times New Roman" w:hAnsi="Times New Roman" w:eastAsia="宋体" w:cs="Times New Roman"/>
          <w:color w:val="auto"/>
          <w:kern w:val="0"/>
          <w:sz w:val="24"/>
          <w:szCs w:val="24"/>
          <w:highlight w:val="none"/>
          <w:lang w:val="en-US" w:eastAsia="zh-CN"/>
        </w:rPr>
        <w:t>本项目属于可再生能源——风电工程，工程建设可推动省内风电规模化和可持续发展，</w:t>
      </w:r>
      <w:r>
        <w:rPr>
          <w:rFonts w:hint="default" w:ascii="Times New Roman" w:hAnsi="Times New Roman" w:eastAsia="宋体" w:cs="Times New Roman"/>
          <w:color w:val="auto"/>
          <w:kern w:val="0"/>
          <w:sz w:val="24"/>
          <w:szCs w:val="24"/>
          <w:highlight w:val="none"/>
          <w:lang w:val="en-US" w:eastAsia="zh-CN"/>
        </w:rPr>
        <w:t>因此，本工程建设符合《湖南省“十四五”可再生能源发展规划》。</w:t>
      </w:r>
    </w:p>
    <w:p w14:paraId="02D73327">
      <w:pPr>
        <w:pStyle w:val="6"/>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与</w:t>
      </w:r>
      <w:r>
        <w:rPr>
          <w:rFonts w:hint="eastAsia" w:ascii="Times New Roman" w:hAnsi="Times New Roman" w:eastAsia="宋体" w:cs="Times New Roman"/>
          <w:b/>
          <w:bCs/>
          <w:color w:val="auto"/>
          <w:kern w:val="0"/>
          <w:sz w:val="24"/>
          <w:szCs w:val="24"/>
          <w:highlight w:val="none"/>
          <w:lang w:val="en-US" w:eastAsia="zh-CN"/>
        </w:rPr>
        <w:t>《湖南省“十四五”生态环境保护规划》（湘政办发〔2021〕61号）</w:t>
      </w:r>
      <w:r>
        <w:rPr>
          <w:rFonts w:hint="eastAsia" w:ascii="Times New Roman" w:hAnsi="Times New Roman" w:eastAsia="宋体" w:cs="Times New Roman"/>
          <w:color w:val="auto"/>
          <w:highlight w:val="none"/>
          <w:lang w:val="en-US" w:eastAsia="zh-CN"/>
        </w:rPr>
        <w:t>相符性分析</w:t>
      </w:r>
    </w:p>
    <w:p w14:paraId="376ECA79">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firstLine="480" w:firstLineChars="200"/>
        <w:textAlignment w:val="auto"/>
        <w:rPr>
          <w:rFonts w:hint="eastAsia" w:ascii="Times New Roman" w:hAnsi="Times New Roman" w:eastAsia="宋体" w:cs="Times New Roman"/>
          <w:color w:val="auto"/>
          <w:kern w:val="0"/>
          <w:sz w:val="24"/>
          <w:szCs w:val="24"/>
          <w:highlight w:val="none"/>
          <w:lang w:val="en-US" w:eastAsia="zh-CN"/>
        </w:rPr>
      </w:pPr>
      <w:r>
        <w:rPr>
          <w:rFonts w:hint="eastAsia" w:ascii="Times New Roman" w:hAnsi="Times New Roman" w:eastAsia="宋体" w:cs="Times New Roman"/>
          <w:color w:val="auto"/>
          <w:kern w:val="0"/>
          <w:sz w:val="24"/>
          <w:szCs w:val="24"/>
          <w:highlight w:val="none"/>
          <w:lang w:val="en-US" w:eastAsia="zh-CN"/>
        </w:rPr>
        <w:t>《湖南省“十四五”生态环境保护规划》中指出：推动能源结构持续优化。加大“外电入湘”“页岩气入湘”等省外优质能源引入力度，</w:t>
      </w:r>
      <w:r>
        <w:rPr>
          <w:rFonts w:hint="eastAsia" w:ascii="Times New Roman" w:hAnsi="Times New Roman" w:eastAsia="宋体" w:cs="Times New Roman"/>
          <w:b/>
          <w:bCs/>
          <w:color w:val="auto"/>
          <w:kern w:val="0"/>
          <w:sz w:val="24"/>
          <w:szCs w:val="24"/>
          <w:highlight w:val="none"/>
          <w:lang w:val="en-US" w:eastAsia="zh-CN"/>
        </w:rPr>
        <w:t>加快推进以风电、光伏发电为主的新能源发展，</w:t>
      </w:r>
      <w:r>
        <w:rPr>
          <w:rFonts w:hint="eastAsia" w:ascii="Times New Roman" w:hAnsi="Times New Roman" w:eastAsia="宋体" w:cs="Times New Roman"/>
          <w:color w:val="auto"/>
          <w:kern w:val="0"/>
          <w:sz w:val="24"/>
          <w:szCs w:val="24"/>
          <w:highlight w:val="none"/>
          <w:lang w:val="en-US" w:eastAsia="zh-CN"/>
        </w:rPr>
        <w:t>统筹发展水能、氢能、地热、生物质等优质清洁能源。</w:t>
      </w:r>
    </w:p>
    <w:p w14:paraId="2F652A04">
      <w:pPr>
        <w:bidi w:val="0"/>
        <w:rPr>
          <w:color w:val="auto"/>
          <w:highlight w:val="none"/>
        </w:rPr>
      </w:pPr>
      <w:r>
        <w:rPr>
          <w:rFonts w:hint="eastAsia" w:ascii="Times New Roman" w:hAnsi="Times New Roman" w:eastAsia="宋体" w:cs="Times New Roman"/>
          <w:color w:val="auto"/>
          <w:kern w:val="0"/>
          <w:sz w:val="24"/>
          <w:szCs w:val="24"/>
          <w:highlight w:val="none"/>
          <w:lang w:val="en-US" w:eastAsia="zh-CN"/>
        </w:rPr>
        <w:t>本项目属于新能源——风电工程，工程建设可推动省内风电新能源发展，</w:t>
      </w:r>
      <w:r>
        <w:rPr>
          <w:rFonts w:hint="default" w:ascii="Times New Roman" w:hAnsi="Times New Roman" w:eastAsia="宋体" w:cs="Times New Roman"/>
          <w:color w:val="auto"/>
          <w:kern w:val="0"/>
          <w:sz w:val="24"/>
          <w:szCs w:val="24"/>
          <w:highlight w:val="none"/>
          <w:lang w:val="en-US" w:eastAsia="zh-CN"/>
        </w:rPr>
        <w:t>因此，本工程建设符合《湖南省“十四五”</w:t>
      </w:r>
      <w:r>
        <w:rPr>
          <w:rFonts w:hint="eastAsia" w:ascii="Times New Roman" w:hAnsi="Times New Roman" w:eastAsia="宋体" w:cs="Times New Roman"/>
          <w:color w:val="auto"/>
          <w:kern w:val="0"/>
          <w:sz w:val="24"/>
          <w:szCs w:val="24"/>
          <w:highlight w:val="none"/>
          <w:lang w:val="en-US" w:eastAsia="zh-CN"/>
        </w:rPr>
        <w:t>生态环境保护规划</w:t>
      </w:r>
      <w:r>
        <w:rPr>
          <w:rFonts w:hint="default" w:ascii="Times New Roman" w:hAnsi="Times New Roman" w:eastAsia="宋体" w:cs="Times New Roman"/>
          <w:color w:val="auto"/>
          <w:kern w:val="0"/>
          <w:sz w:val="24"/>
          <w:szCs w:val="24"/>
          <w:highlight w:val="none"/>
          <w:lang w:val="en-US" w:eastAsia="zh-CN"/>
        </w:rPr>
        <w:t>》。</w:t>
      </w:r>
    </w:p>
    <w:p w14:paraId="75533E17">
      <w:pPr>
        <w:pStyle w:val="6"/>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eastAsia="zh-CN"/>
        </w:rPr>
        <w:t>与</w:t>
      </w:r>
      <w:r>
        <w:rPr>
          <w:rFonts w:hint="default" w:ascii="Times New Roman" w:hAnsi="Times New Roman" w:eastAsia="宋体" w:cs="Times New Roman"/>
          <w:b/>
          <w:bCs/>
          <w:color w:val="auto"/>
          <w:kern w:val="0"/>
          <w:sz w:val="24"/>
          <w:szCs w:val="24"/>
          <w:highlight w:val="none"/>
          <w:lang w:val="en-US" w:eastAsia="zh-CN"/>
        </w:rPr>
        <w:t>《</w:t>
      </w:r>
      <w:r>
        <w:rPr>
          <w:rFonts w:hint="eastAsia" w:ascii="Times New Roman" w:hAnsi="Times New Roman" w:eastAsia="宋体" w:cs="Times New Roman"/>
          <w:b/>
          <w:bCs/>
          <w:color w:val="auto"/>
          <w:kern w:val="0"/>
          <w:sz w:val="24"/>
          <w:szCs w:val="24"/>
          <w:highlight w:val="none"/>
          <w:lang w:val="en-US" w:eastAsia="zh-CN"/>
        </w:rPr>
        <w:t>衡阳</w:t>
      </w:r>
      <w:r>
        <w:rPr>
          <w:rFonts w:hint="default" w:ascii="Times New Roman" w:hAnsi="Times New Roman" w:eastAsia="宋体" w:cs="Times New Roman"/>
          <w:b/>
          <w:bCs/>
          <w:color w:val="auto"/>
          <w:kern w:val="0"/>
          <w:sz w:val="24"/>
          <w:szCs w:val="24"/>
          <w:highlight w:val="none"/>
          <w:lang w:val="en-US" w:eastAsia="zh-CN"/>
        </w:rPr>
        <w:t>市“十四五”生态环境保护规划》</w:t>
      </w:r>
      <w:r>
        <w:rPr>
          <w:rFonts w:hint="eastAsia" w:ascii="Times New Roman" w:hAnsi="Times New Roman" w:eastAsia="宋体" w:cs="Times New Roman"/>
          <w:b/>
          <w:bCs/>
          <w:color w:val="auto"/>
          <w:kern w:val="0"/>
          <w:sz w:val="24"/>
          <w:szCs w:val="24"/>
          <w:highlight w:val="none"/>
          <w:lang w:val="en-US" w:eastAsia="zh-CN"/>
        </w:rPr>
        <w:t>（衡政办发〔2021〕37号）</w:t>
      </w:r>
      <w:r>
        <w:rPr>
          <w:rFonts w:hint="default" w:ascii="Times New Roman" w:hAnsi="Times New Roman" w:cs="Times New Roman"/>
          <w:color w:val="auto"/>
          <w:highlight w:val="none"/>
          <w:lang w:eastAsia="zh-CN"/>
        </w:rPr>
        <w:t>相符性分析</w:t>
      </w:r>
    </w:p>
    <w:p w14:paraId="66CE8F03">
      <w:pPr>
        <w:pStyle w:val="2"/>
        <w:keepNext w:val="0"/>
        <w:keepLines w:val="0"/>
        <w:pageBreakBefore w:val="0"/>
        <w:widowControl/>
        <w:kinsoku/>
        <w:wordWrap/>
        <w:overflowPunct/>
        <w:topLinePunct w:val="0"/>
        <w:autoSpaceDE/>
        <w:autoSpaceDN/>
        <w:bidi w:val="0"/>
        <w:adjustRightInd w:val="0"/>
        <w:snapToGrid w:val="0"/>
        <w:spacing w:before="0" w:after="0" w:line="360" w:lineRule="auto"/>
        <w:ind w:right="0" w:firstLine="480" w:firstLineChars="200"/>
        <w:textAlignment w:val="auto"/>
        <w:rPr>
          <w:rFonts w:hint="eastAsia" w:ascii="Times New Roman" w:hAnsi="Times New Roman" w:eastAsia="宋体" w:cs="Times New Roman"/>
          <w:b/>
          <w:bCs/>
          <w:color w:val="auto"/>
          <w:kern w:val="0"/>
          <w:sz w:val="24"/>
          <w:szCs w:val="24"/>
          <w:highlight w:val="none"/>
          <w:lang w:val="en-US" w:eastAsia="zh-CN" w:bidi="ar-SA"/>
        </w:rPr>
      </w:pPr>
      <w:r>
        <w:rPr>
          <w:rFonts w:hint="default" w:ascii="Times New Roman" w:hAnsi="Times New Roman" w:eastAsia="宋体" w:cs="Times New Roman"/>
          <w:color w:val="auto"/>
          <w:kern w:val="0"/>
          <w:sz w:val="24"/>
          <w:szCs w:val="24"/>
          <w:highlight w:val="none"/>
          <w:lang w:val="en-US" w:eastAsia="zh-CN" w:bidi="ar-SA"/>
        </w:rPr>
        <w:t>《</w:t>
      </w:r>
      <w:r>
        <w:rPr>
          <w:rFonts w:hint="eastAsia" w:ascii="Times New Roman" w:hAnsi="Times New Roman" w:eastAsia="宋体" w:cs="Times New Roman"/>
          <w:color w:val="auto"/>
          <w:kern w:val="0"/>
          <w:sz w:val="24"/>
          <w:szCs w:val="24"/>
          <w:highlight w:val="none"/>
          <w:lang w:val="en-US" w:eastAsia="zh-CN" w:bidi="ar-SA"/>
        </w:rPr>
        <w:t>衡阳</w:t>
      </w:r>
      <w:r>
        <w:rPr>
          <w:rFonts w:hint="default" w:ascii="Times New Roman" w:hAnsi="Times New Roman" w:eastAsia="宋体" w:cs="Times New Roman"/>
          <w:color w:val="auto"/>
          <w:kern w:val="0"/>
          <w:sz w:val="24"/>
          <w:szCs w:val="24"/>
          <w:highlight w:val="none"/>
          <w:lang w:val="en-US" w:eastAsia="zh-CN" w:bidi="ar-SA"/>
        </w:rPr>
        <w:t>市“十四五”生态环境保护规划》</w:t>
      </w:r>
      <w:r>
        <w:rPr>
          <w:rFonts w:hint="eastAsia" w:ascii="Times New Roman" w:hAnsi="Times New Roman" w:eastAsia="宋体" w:cs="Times New Roman"/>
          <w:color w:val="auto"/>
          <w:kern w:val="0"/>
          <w:sz w:val="24"/>
          <w:szCs w:val="24"/>
          <w:highlight w:val="none"/>
          <w:lang w:val="en-US" w:eastAsia="zh-CN" w:bidi="ar-SA"/>
        </w:rPr>
        <w:t>中指出：</w:t>
      </w:r>
      <w:r>
        <w:rPr>
          <w:rFonts w:hint="eastAsia" w:ascii="Times New Roman" w:hAnsi="Times New Roman" w:eastAsia="宋体" w:cs="Times New Roman"/>
          <w:b/>
          <w:bCs/>
          <w:color w:val="auto"/>
          <w:kern w:val="0"/>
          <w:sz w:val="24"/>
          <w:szCs w:val="24"/>
          <w:highlight w:val="none"/>
          <w:lang w:val="en-US" w:eastAsia="zh-CN" w:bidi="ar-SA"/>
        </w:rPr>
        <w:t>大力发展清洁能源。</w:t>
      </w:r>
      <w:r>
        <w:rPr>
          <w:rFonts w:hint="eastAsia" w:ascii="Times New Roman" w:hAnsi="Times New Roman" w:eastAsia="宋体" w:cs="Times New Roman"/>
          <w:color w:val="auto"/>
          <w:kern w:val="0"/>
          <w:sz w:val="24"/>
          <w:szCs w:val="24"/>
          <w:highlight w:val="none"/>
          <w:lang w:val="en-US" w:eastAsia="zh-CN" w:bidi="ar-SA"/>
        </w:rPr>
        <w:t>加快推进“气化衡阳”工程建设，推进天然气管网、储气库等基础设施建设，提升天然气供应保障能力，扩大天然气利用规模，到2025年天然气在一次能源占比进一步提高。优先发展和保障居民生活用气，提高居民管道天然气覆盖率。</w:t>
      </w:r>
      <w:r>
        <w:rPr>
          <w:rFonts w:hint="eastAsia" w:ascii="Times New Roman" w:hAnsi="Times New Roman" w:eastAsia="宋体" w:cs="Times New Roman"/>
          <w:b/>
          <w:bCs/>
          <w:color w:val="auto"/>
          <w:kern w:val="0"/>
          <w:sz w:val="24"/>
          <w:szCs w:val="24"/>
          <w:highlight w:val="none"/>
          <w:lang w:val="en-US" w:eastAsia="zh-CN" w:bidi="ar-SA"/>
        </w:rPr>
        <w:t>积极发展太阳能光伏、风电、沼气等清洁能源，推进非化石能源规模化利用。</w:t>
      </w:r>
      <w:r>
        <w:rPr>
          <w:rFonts w:hint="eastAsia" w:ascii="Times New Roman" w:hAnsi="Times New Roman" w:eastAsia="宋体" w:cs="Times New Roman"/>
          <w:color w:val="auto"/>
          <w:kern w:val="0"/>
          <w:sz w:val="24"/>
          <w:szCs w:val="24"/>
          <w:highlight w:val="none"/>
          <w:lang w:val="en-US" w:eastAsia="zh-CN" w:bidi="ar-SA"/>
        </w:rPr>
        <w:t>构建清洁低碳、安全高效的能源体系</w:t>
      </w:r>
      <w:r>
        <w:rPr>
          <w:rFonts w:hint="eastAsia" w:ascii="Times New Roman" w:hAnsi="Times New Roman" w:eastAsia="宋体" w:cs="Times New Roman"/>
          <w:b/>
          <w:bCs/>
          <w:color w:val="auto"/>
          <w:kern w:val="0"/>
          <w:sz w:val="24"/>
          <w:szCs w:val="24"/>
          <w:highlight w:val="none"/>
          <w:lang w:val="en-US" w:eastAsia="zh-CN" w:bidi="ar-SA"/>
        </w:rPr>
        <w:t>。</w:t>
      </w:r>
    </w:p>
    <w:p w14:paraId="3835A157">
      <w:pPr>
        <w:bidi w:val="0"/>
        <w:rPr>
          <w:rFonts w:hint="default"/>
          <w:lang w:val="en-US" w:eastAsia="zh-CN"/>
        </w:rPr>
      </w:pPr>
      <w:r>
        <w:rPr>
          <w:rFonts w:hint="eastAsia"/>
          <w:lang w:val="en-US" w:eastAsia="zh-CN"/>
        </w:rPr>
        <w:t>本项目属于清洁能源——风电工程，工程建设可推进非化石能源规模化利用，</w:t>
      </w:r>
      <w:r>
        <w:rPr>
          <w:rFonts w:hint="default"/>
          <w:lang w:val="en-US" w:eastAsia="zh-CN"/>
        </w:rPr>
        <w:t>因此，本工程建设符合《</w:t>
      </w:r>
      <w:r>
        <w:rPr>
          <w:rFonts w:hint="eastAsia"/>
          <w:lang w:val="en-US" w:eastAsia="zh-CN"/>
        </w:rPr>
        <w:t>衡阳</w:t>
      </w:r>
      <w:r>
        <w:rPr>
          <w:rFonts w:hint="default"/>
          <w:lang w:val="en-US" w:eastAsia="zh-CN"/>
        </w:rPr>
        <w:t>市“十四五”生态环境保护规划》。</w:t>
      </w:r>
    </w:p>
    <w:p w14:paraId="2BBED801">
      <w:pPr>
        <w:pStyle w:val="5"/>
        <w:bidi w:val="0"/>
        <w:rPr>
          <w:rFonts w:hint="default"/>
          <w:color w:val="auto"/>
          <w:highlight w:val="none"/>
        </w:rPr>
      </w:pPr>
      <w:r>
        <w:rPr>
          <w:rFonts w:hint="eastAsia"/>
          <w:color w:val="auto"/>
          <w:highlight w:val="none"/>
          <w:u w:val="none"/>
          <w:lang w:val="en-US" w:eastAsia="zh-CN"/>
        </w:rPr>
        <w:t>与</w:t>
      </w:r>
      <w:r>
        <w:rPr>
          <w:rFonts w:hint="eastAsia"/>
          <w:color w:val="auto"/>
          <w:highlight w:val="none"/>
          <w:u w:val="none"/>
        </w:rPr>
        <w:t>“三线一单”</w:t>
      </w:r>
      <w:r>
        <w:rPr>
          <w:rFonts w:hint="eastAsia"/>
          <w:color w:val="auto"/>
          <w:highlight w:val="none"/>
          <w:u w:val="none"/>
          <w:lang w:val="en-US" w:eastAsia="zh-CN"/>
        </w:rPr>
        <w:t>的相符性分析</w:t>
      </w:r>
    </w:p>
    <w:p w14:paraId="494253D8">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firstLine="480" w:firstLineChars="200"/>
        <w:textAlignment w:val="auto"/>
        <w:rPr>
          <w:rFonts w:hint="default" w:ascii="Times New Roman" w:hAnsi="Times New Roman" w:eastAsia="宋体" w:cs="Times New Roman"/>
          <w:color w:val="auto"/>
          <w:kern w:val="0"/>
          <w:sz w:val="24"/>
          <w:szCs w:val="24"/>
          <w:highlight w:val="none"/>
          <w:u w:val="none"/>
          <w:lang w:val="en-US" w:eastAsia="zh-CN"/>
        </w:rPr>
      </w:pPr>
      <w:r>
        <w:rPr>
          <w:rFonts w:hint="default" w:ascii="Times New Roman" w:hAnsi="Times New Roman" w:eastAsia="宋体" w:cs="Times New Roman"/>
          <w:color w:val="auto"/>
          <w:kern w:val="0"/>
          <w:sz w:val="24"/>
          <w:szCs w:val="24"/>
          <w:highlight w:val="none"/>
          <w:u w:val="none"/>
          <w:lang w:val="en-US" w:eastAsia="zh-CN"/>
        </w:rPr>
        <w:t>（1）生态保护红线符合性分析</w:t>
      </w:r>
    </w:p>
    <w:p w14:paraId="2FAB1ED3">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firstLine="480" w:firstLineChars="200"/>
        <w:textAlignment w:val="auto"/>
        <w:rPr>
          <w:rFonts w:hint="default" w:ascii="Times New Roman" w:hAnsi="Times New Roman" w:eastAsia="宋体" w:cs="Times New Roman"/>
          <w:color w:val="auto"/>
          <w:kern w:val="0"/>
          <w:sz w:val="24"/>
          <w:szCs w:val="24"/>
          <w:highlight w:val="none"/>
          <w:u w:val="none"/>
          <w:lang w:val="en-US" w:eastAsia="zh-CN"/>
        </w:rPr>
      </w:pPr>
      <w:r>
        <w:rPr>
          <w:rFonts w:hint="default" w:ascii="Times New Roman" w:hAnsi="Times New Roman" w:eastAsia="宋体" w:cs="Times New Roman"/>
          <w:color w:val="auto"/>
          <w:kern w:val="0"/>
          <w:sz w:val="24"/>
          <w:szCs w:val="24"/>
          <w:highlight w:val="none"/>
          <w:u w:val="none"/>
          <w:lang w:val="en-US" w:eastAsia="zh-CN"/>
        </w:rPr>
        <w:t>根据《湖南省人民政府关于印发&lt;湖南省生态保护红线&gt;的通知》（湘政发〔2018〕20号），湖南省生态保护红线划定面积为4.28万平方公里，占全省国土面积的20.23%，全省生态保护红线空间格局为“一湖三山四水”。</w:t>
      </w:r>
    </w:p>
    <w:p w14:paraId="5A0D88BF">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firstLine="480" w:firstLineChars="200"/>
        <w:textAlignment w:val="auto"/>
        <w:rPr>
          <w:rFonts w:hint="default" w:ascii="Times New Roman" w:hAnsi="Times New Roman" w:eastAsia="宋体" w:cs="Times New Roman"/>
          <w:color w:val="auto"/>
          <w:kern w:val="0"/>
          <w:sz w:val="24"/>
          <w:szCs w:val="24"/>
          <w:highlight w:val="none"/>
          <w:u w:val="none"/>
          <w:lang w:val="en-US" w:eastAsia="zh-CN"/>
        </w:rPr>
      </w:pPr>
      <w:r>
        <w:rPr>
          <w:rFonts w:hint="eastAsia" w:ascii="Times New Roman" w:hAnsi="Times New Roman" w:eastAsia="宋体" w:cs="Times New Roman"/>
          <w:color w:val="auto"/>
          <w:kern w:val="0"/>
          <w:sz w:val="24"/>
          <w:szCs w:val="24"/>
          <w:highlight w:val="none"/>
          <w:u w:val="none"/>
          <w:lang w:val="en-US" w:eastAsia="zh-CN"/>
        </w:rPr>
        <w:t>本工程</w:t>
      </w:r>
      <w:r>
        <w:rPr>
          <w:rFonts w:hint="default" w:ascii="Times New Roman" w:hAnsi="Times New Roman" w:eastAsia="宋体" w:cs="Times New Roman"/>
          <w:color w:val="auto"/>
          <w:kern w:val="0"/>
          <w:sz w:val="24"/>
          <w:szCs w:val="24"/>
          <w:highlight w:val="none"/>
          <w:u w:val="none"/>
          <w:lang w:val="en-US" w:eastAsia="zh-CN"/>
        </w:rPr>
        <w:t>选址位于</w:t>
      </w:r>
      <w:r>
        <w:rPr>
          <w:rFonts w:hint="eastAsia" w:ascii="Times New Roman" w:hAnsi="Times New Roman" w:eastAsia="宋体" w:cs="Times New Roman"/>
          <w:color w:val="auto"/>
          <w:kern w:val="0"/>
          <w:sz w:val="24"/>
          <w:szCs w:val="24"/>
          <w:highlight w:val="none"/>
          <w:u w:val="none"/>
          <w:lang w:val="en-US" w:eastAsia="zh-CN"/>
        </w:rPr>
        <w:t>祁东县北部黄土铺镇和马杜桥乡</w:t>
      </w:r>
      <w:r>
        <w:rPr>
          <w:rFonts w:hint="default" w:ascii="Times New Roman" w:hAnsi="Times New Roman" w:eastAsia="宋体" w:cs="Times New Roman"/>
          <w:color w:val="auto"/>
          <w:kern w:val="0"/>
          <w:sz w:val="24"/>
          <w:szCs w:val="24"/>
          <w:highlight w:val="none"/>
          <w:u w:val="none"/>
          <w:lang w:val="en-US" w:eastAsia="zh-CN"/>
        </w:rPr>
        <w:t>，</w:t>
      </w:r>
      <w:r>
        <w:rPr>
          <w:rFonts w:hint="eastAsia" w:ascii="Times New Roman" w:hAnsi="Times New Roman" w:eastAsia="宋体" w:cs="Times New Roman"/>
          <w:color w:val="auto"/>
          <w:kern w:val="0"/>
          <w:sz w:val="24"/>
          <w:szCs w:val="24"/>
          <w:highlight w:val="none"/>
          <w:u w:val="none"/>
          <w:lang w:val="en-US" w:eastAsia="zh-CN"/>
        </w:rPr>
        <w:t>根据</w:t>
      </w:r>
      <w:r>
        <w:rPr>
          <w:rFonts w:hint="eastAsia" w:ascii="Times New Roman" w:hAnsi="Times New Roman" w:cs="Times New Roman"/>
          <w:color w:val="auto"/>
          <w:sz w:val="24"/>
          <w:szCs w:val="24"/>
          <w:highlight w:val="none"/>
          <w:lang w:val="en-US" w:eastAsia="zh-CN"/>
        </w:rPr>
        <w:t>项目用地预审和选址意见（详见附件3）</w:t>
      </w:r>
      <w:r>
        <w:rPr>
          <w:rFonts w:hint="eastAsia" w:ascii="Times New Roman" w:hAnsi="Times New Roman" w:eastAsia="宋体" w:cs="Times New Roman"/>
          <w:color w:val="auto"/>
          <w:kern w:val="0"/>
          <w:sz w:val="24"/>
          <w:szCs w:val="24"/>
          <w:highlight w:val="none"/>
          <w:u w:val="none"/>
          <w:lang w:val="en-US" w:eastAsia="zh-CN"/>
        </w:rPr>
        <w:t>，</w:t>
      </w:r>
      <w:r>
        <w:rPr>
          <w:rFonts w:hint="default" w:ascii="Times New Roman" w:hAnsi="Times New Roman" w:eastAsia="宋体" w:cs="Times New Roman"/>
          <w:color w:val="auto"/>
          <w:kern w:val="0"/>
          <w:sz w:val="24"/>
          <w:szCs w:val="24"/>
          <w:highlight w:val="none"/>
          <w:u w:val="none"/>
          <w:lang w:val="en-US" w:eastAsia="zh-CN"/>
        </w:rPr>
        <w:t>本</w:t>
      </w:r>
      <w:r>
        <w:rPr>
          <w:rFonts w:hint="eastAsia" w:ascii="Times New Roman" w:hAnsi="Times New Roman" w:eastAsia="宋体" w:cs="Times New Roman"/>
          <w:color w:val="auto"/>
          <w:kern w:val="0"/>
          <w:sz w:val="24"/>
          <w:szCs w:val="24"/>
          <w:highlight w:val="none"/>
          <w:u w:val="none"/>
          <w:lang w:val="en-US" w:eastAsia="zh-CN"/>
        </w:rPr>
        <w:t>工程</w:t>
      </w:r>
      <w:r>
        <w:rPr>
          <w:rFonts w:hint="default" w:ascii="Times New Roman" w:hAnsi="Times New Roman" w:eastAsia="宋体" w:cs="Times New Roman"/>
          <w:color w:val="auto"/>
          <w:kern w:val="0"/>
          <w:sz w:val="24"/>
          <w:szCs w:val="24"/>
          <w:highlight w:val="none"/>
          <w:u w:val="none"/>
          <w:lang w:val="en-US" w:eastAsia="zh-CN"/>
        </w:rPr>
        <w:t>不涉及湖南省生态保护红线</w:t>
      </w:r>
      <w:r>
        <w:rPr>
          <w:rFonts w:hint="eastAsia" w:ascii="Times New Roman" w:hAnsi="Times New Roman" w:eastAsia="宋体" w:cs="Times New Roman"/>
          <w:color w:val="auto"/>
          <w:kern w:val="0"/>
          <w:sz w:val="24"/>
          <w:szCs w:val="24"/>
          <w:highlight w:val="none"/>
          <w:u w:val="none"/>
          <w:lang w:val="en-US" w:eastAsia="zh-CN"/>
        </w:rPr>
        <w:t>，根据《祁东县国土空间总体规划（2021-2035年）》，本项目已纳入祁东县国土空间总体规划，属于祁东县国土空间总体规划中重点建设项目</w:t>
      </w:r>
      <w:r>
        <w:rPr>
          <w:rFonts w:hint="eastAsia" w:ascii="Times New Roman" w:hAnsi="Times New Roman" w:cs="Times New Roman"/>
          <w:color w:val="auto"/>
          <w:sz w:val="24"/>
          <w:szCs w:val="24"/>
          <w:highlight w:val="none"/>
          <w:lang w:val="en-US" w:eastAsia="zh-CN"/>
        </w:rPr>
        <w:t>（详见附件5）</w:t>
      </w:r>
      <w:r>
        <w:rPr>
          <w:rFonts w:hint="default" w:ascii="Times New Roman" w:hAnsi="Times New Roman" w:eastAsia="宋体" w:cs="Times New Roman"/>
          <w:color w:val="auto"/>
          <w:kern w:val="0"/>
          <w:sz w:val="24"/>
          <w:szCs w:val="24"/>
          <w:highlight w:val="none"/>
          <w:u w:val="none"/>
          <w:lang w:val="en-US" w:eastAsia="zh-CN"/>
        </w:rPr>
        <w:t>。</w:t>
      </w:r>
    </w:p>
    <w:p w14:paraId="202331E0">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firstLine="480" w:firstLineChars="200"/>
        <w:textAlignment w:val="auto"/>
        <w:rPr>
          <w:rFonts w:hint="default" w:ascii="Times New Roman" w:hAnsi="Times New Roman" w:eastAsia="宋体" w:cs="Times New Roman"/>
          <w:color w:val="auto"/>
          <w:kern w:val="0"/>
          <w:sz w:val="24"/>
          <w:szCs w:val="24"/>
          <w:highlight w:val="none"/>
          <w:u w:val="none"/>
          <w:lang w:val="en-US" w:eastAsia="zh-CN"/>
        </w:rPr>
      </w:pPr>
      <w:r>
        <w:rPr>
          <w:rFonts w:hint="default" w:ascii="Times New Roman" w:hAnsi="Times New Roman" w:eastAsia="宋体" w:cs="Times New Roman"/>
          <w:color w:val="auto"/>
          <w:kern w:val="0"/>
          <w:sz w:val="24"/>
          <w:szCs w:val="24"/>
          <w:highlight w:val="none"/>
          <w:u w:val="none"/>
          <w:lang w:val="en-US" w:eastAsia="zh-CN"/>
        </w:rPr>
        <w:t>（2）环境质量底线符合性分析</w:t>
      </w:r>
    </w:p>
    <w:p w14:paraId="42C19C01">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firstLine="480" w:firstLineChars="200"/>
        <w:textAlignment w:val="auto"/>
        <w:rPr>
          <w:rFonts w:hint="default" w:ascii="Times New Roman" w:hAnsi="Times New Roman" w:eastAsia="宋体" w:cs="Times New Roman"/>
          <w:color w:val="auto"/>
          <w:kern w:val="0"/>
          <w:sz w:val="24"/>
          <w:szCs w:val="24"/>
          <w:highlight w:val="none"/>
          <w:u w:val="none"/>
          <w:lang w:val="en-US" w:eastAsia="zh-CN"/>
        </w:rPr>
      </w:pPr>
      <w:r>
        <w:rPr>
          <w:rFonts w:hint="default" w:ascii="Times New Roman" w:hAnsi="Times New Roman" w:eastAsia="宋体" w:cs="Times New Roman"/>
          <w:color w:val="auto"/>
          <w:kern w:val="0"/>
          <w:sz w:val="24"/>
          <w:szCs w:val="24"/>
          <w:highlight w:val="none"/>
          <w:u w:val="none"/>
          <w:lang w:val="en-US" w:eastAsia="zh-CN"/>
        </w:rPr>
        <w:t>项目选址区域为环境空气功能二类区，根据</w:t>
      </w:r>
      <w:r>
        <w:rPr>
          <w:rFonts w:hint="eastAsia" w:ascii="Times New Roman" w:hAnsi="Times New Roman" w:eastAsia="宋体" w:cs="Times New Roman"/>
          <w:color w:val="auto"/>
          <w:kern w:val="0"/>
          <w:sz w:val="24"/>
          <w:szCs w:val="24"/>
          <w:highlight w:val="none"/>
          <w:u w:val="none"/>
          <w:lang w:val="en-US" w:eastAsia="zh-CN"/>
        </w:rPr>
        <w:t>衡阳市</w:t>
      </w:r>
      <w:r>
        <w:rPr>
          <w:rFonts w:hint="default" w:ascii="Times New Roman" w:hAnsi="Times New Roman" w:eastAsia="宋体" w:cs="Times New Roman"/>
          <w:color w:val="auto"/>
          <w:kern w:val="0"/>
          <w:sz w:val="24"/>
          <w:szCs w:val="24"/>
          <w:highlight w:val="none"/>
          <w:u w:val="none"/>
          <w:lang w:val="en-US" w:eastAsia="zh-CN"/>
        </w:rPr>
        <w:t>生态环境局发布的《</w:t>
      </w:r>
      <w:r>
        <w:rPr>
          <w:rFonts w:hint="eastAsia" w:ascii="Times New Roman" w:hAnsi="Times New Roman" w:eastAsia="宋体" w:cs="Times New Roman"/>
          <w:color w:val="auto"/>
          <w:kern w:val="0"/>
          <w:sz w:val="24"/>
          <w:szCs w:val="24"/>
          <w:highlight w:val="none"/>
          <w:u w:val="none"/>
          <w:lang w:val="en-US" w:eastAsia="zh-CN"/>
        </w:rPr>
        <w:t>2022年1-12月</w:t>
      </w:r>
      <w:r>
        <w:rPr>
          <w:rFonts w:hint="default" w:ascii="Times New Roman" w:hAnsi="Times New Roman" w:eastAsia="宋体" w:cs="Times New Roman"/>
          <w:color w:val="auto"/>
          <w:kern w:val="0"/>
          <w:sz w:val="24"/>
          <w:szCs w:val="24"/>
          <w:highlight w:val="none"/>
          <w:u w:val="none"/>
          <w:lang w:val="en-US" w:eastAsia="zh-CN"/>
        </w:rPr>
        <w:t>全市环境质量状况的通报》可知，项目所在地</w:t>
      </w:r>
      <w:r>
        <w:rPr>
          <w:rFonts w:hint="eastAsia" w:ascii="Times New Roman" w:hAnsi="Times New Roman" w:eastAsia="宋体" w:cs="Times New Roman"/>
          <w:color w:val="auto"/>
          <w:kern w:val="0"/>
          <w:sz w:val="24"/>
          <w:szCs w:val="24"/>
          <w:highlight w:val="none"/>
          <w:u w:val="none"/>
          <w:lang w:val="en-US" w:eastAsia="zh-CN"/>
        </w:rPr>
        <w:t>祁东县</w:t>
      </w:r>
      <w:r>
        <w:rPr>
          <w:rFonts w:hint="default" w:ascii="Times New Roman" w:hAnsi="Times New Roman" w:eastAsia="宋体" w:cs="Times New Roman"/>
          <w:color w:val="auto"/>
          <w:kern w:val="0"/>
          <w:sz w:val="24"/>
          <w:szCs w:val="24"/>
          <w:highlight w:val="none"/>
          <w:u w:val="none"/>
          <w:lang w:val="en-US" w:eastAsia="zh-CN"/>
        </w:rPr>
        <w:t>SO</w:t>
      </w:r>
      <w:r>
        <w:rPr>
          <w:rFonts w:hint="default" w:ascii="Times New Roman" w:hAnsi="Times New Roman" w:eastAsia="宋体" w:cs="Times New Roman"/>
          <w:color w:val="auto"/>
          <w:kern w:val="0"/>
          <w:sz w:val="24"/>
          <w:szCs w:val="24"/>
          <w:highlight w:val="none"/>
          <w:u w:val="none"/>
          <w:vertAlign w:val="subscript"/>
          <w:lang w:val="en-US" w:eastAsia="zh-CN"/>
        </w:rPr>
        <w:t>2</w:t>
      </w:r>
      <w:r>
        <w:rPr>
          <w:rFonts w:hint="default" w:ascii="Times New Roman" w:hAnsi="Times New Roman" w:eastAsia="宋体" w:cs="Times New Roman"/>
          <w:color w:val="auto"/>
          <w:kern w:val="0"/>
          <w:sz w:val="24"/>
          <w:szCs w:val="24"/>
          <w:highlight w:val="none"/>
          <w:u w:val="none"/>
          <w:lang w:val="en-US" w:eastAsia="zh-CN"/>
        </w:rPr>
        <w:t>、NO</w:t>
      </w:r>
      <w:r>
        <w:rPr>
          <w:rFonts w:hint="default" w:ascii="Times New Roman" w:hAnsi="Times New Roman" w:eastAsia="宋体" w:cs="Times New Roman"/>
          <w:color w:val="auto"/>
          <w:kern w:val="0"/>
          <w:sz w:val="24"/>
          <w:szCs w:val="24"/>
          <w:highlight w:val="none"/>
          <w:u w:val="none"/>
          <w:vertAlign w:val="subscript"/>
          <w:lang w:val="en-US" w:eastAsia="zh-CN"/>
        </w:rPr>
        <w:t>2</w:t>
      </w:r>
      <w:r>
        <w:rPr>
          <w:rFonts w:hint="default" w:ascii="Times New Roman" w:hAnsi="Times New Roman" w:eastAsia="宋体" w:cs="Times New Roman"/>
          <w:color w:val="auto"/>
          <w:kern w:val="0"/>
          <w:sz w:val="24"/>
          <w:szCs w:val="24"/>
          <w:highlight w:val="none"/>
          <w:u w:val="none"/>
          <w:lang w:val="en-US" w:eastAsia="zh-CN"/>
        </w:rPr>
        <w:t>、PM</w:t>
      </w:r>
      <w:r>
        <w:rPr>
          <w:rFonts w:hint="default" w:ascii="Times New Roman" w:hAnsi="Times New Roman" w:eastAsia="宋体" w:cs="Times New Roman"/>
          <w:color w:val="auto"/>
          <w:kern w:val="0"/>
          <w:sz w:val="24"/>
          <w:szCs w:val="24"/>
          <w:highlight w:val="none"/>
          <w:u w:val="none"/>
          <w:vertAlign w:val="subscript"/>
          <w:lang w:val="en-US" w:eastAsia="zh-CN"/>
        </w:rPr>
        <w:t>10</w:t>
      </w:r>
      <w:r>
        <w:rPr>
          <w:rFonts w:hint="default" w:ascii="Times New Roman" w:hAnsi="Times New Roman" w:eastAsia="宋体" w:cs="Times New Roman"/>
          <w:color w:val="auto"/>
          <w:kern w:val="0"/>
          <w:sz w:val="24"/>
          <w:szCs w:val="24"/>
          <w:highlight w:val="none"/>
          <w:u w:val="none"/>
          <w:lang w:val="en-US" w:eastAsia="zh-CN"/>
        </w:rPr>
        <w:t>、PM</w:t>
      </w:r>
      <w:r>
        <w:rPr>
          <w:rFonts w:hint="default" w:ascii="Times New Roman" w:hAnsi="Times New Roman" w:eastAsia="宋体" w:cs="Times New Roman"/>
          <w:color w:val="auto"/>
          <w:kern w:val="0"/>
          <w:sz w:val="24"/>
          <w:szCs w:val="24"/>
          <w:highlight w:val="none"/>
          <w:u w:val="none"/>
          <w:vertAlign w:val="subscript"/>
          <w:lang w:val="en-US" w:eastAsia="zh-CN"/>
        </w:rPr>
        <w:t>2.5</w:t>
      </w:r>
      <w:r>
        <w:rPr>
          <w:rFonts w:hint="default" w:ascii="Times New Roman" w:hAnsi="Times New Roman" w:eastAsia="宋体" w:cs="Times New Roman"/>
          <w:color w:val="auto"/>
          <w:kern w:val="0"/>
          <w:sz w:val="24"/>
          <w:szCs w:val="24"/>
          <w:highlight w:val="none"/>
          <w:u w:val="none"/>
          <w:lang w:val="en-US" w:eastAsia="zh-CN"/>
        </w:rPr>
        <w:t>、CO、O</w:t>
      </w:r>
      <w:r>
        <w:rPr>
          <w:rFonts w:hint="default" w:ascii="Times New Roman" w:hAnsi="Times New Roman" w:eastAsia="宋体" w:cs="Times New Roman"/>
          <w:color w:val="auto"/>
          <w:kern w:val="0"/>
          <w:sz w:val="24"/>
          <w:szCs w:val="24"/>
          <w:highlight w:val="none"/>
          <w:u w:val="none"/>
          <w:vertAlign w:val="subscript"/>
          <w:lang w:val="en-US" w:eastAsia="zh-CN"/>
        </w:rPr>
        <w:t>3</w:t>
      </w:r>
      <w:r>
        <w:rPr>
          <w:rFonts w:hint="default" w:ascii="Times New Roman" w:hAnsi="Times New Roman" w:eastAsia="宋体" w:cs="Times New Roman"/>
          <w:color w:val="auto"/>
          <w:kern w:val="0"/>
          <w:sz w:val="24"/>
          <w:szCs w:val="24"/>
          <w:highlight w:val="none"/>
          <w:u w:val="none"/>
          <w:lang w:val="en-US" w:eastAsia="zh-CN"/>
        </w:rPr>
        <w:t>六项基本因子，均可满足《环境空气质量标准》（GB3095-2012）及2018年修改单中的二级标准，区域202</w:t>
      </w:r>
      <w:r>
        <w:rPr>
          <w:rFonts w:hint="eastAsia" w:ascii="Times New Roman" w:hAnsi="Times New Roman" w:eastAsia="宋体" w:cs="Times New Roman"/>
          <w:color w:val="auto"/>
          <w:kern w:val="0"/>
          <w:sz w:val="24"/>
          <w:szCs w:val="24"/>
          <w:highlight w:val="none"/>
          <w:u w:val="none"/>
          <w:lang w:val="en-US" w:eastAsia="zh-CN"/>
        </w:rPr>
        <w:t>2</w:t>
      </w:r>
      <w:r>
        <w:rPr>
          <w:rFonts w:hint="default" w:ascii="Times New Roman" w:hAnsi="Times New Roman" w:eastAsia="宋体" w:cs="Times New Roman"/>
          <w:color w:val="auto"/>
          <w:kern w:val="0"/>
          <w:sz w:val="24"/>
          <w:szCs w:val="24"/>
          <w:highlight w:val="none"/>
          <w:u w:val="none"/>
          <w:lang w:val="en-US" w:eastAsia="zh-CN"/>
        </w:rPr>
        <w:t>年环境空气质量属于达标区。</w:t>
      </w:r>
      <w:r>
        <w:rPr>
          <w:rFonts w:hint="eastAsia" w:ascii="Times New Roman" w:hAnsi="Times New Roman" w:eastAsia="宋体" w:cs="Times New Roman"/>
          <w:color w:val="auto"/>
          <w:kern w:val="0"/>
          <w:sz w:val="24"/>
          <w:szCs w:val="24"/>
          <w:highlight w:val="none"/>
          <w:u w:val="none"/>
          <w:lang w:val="en-US" w:eastAsia="zh-CN"/>
        </w:rPr>
        <w:t>项目施工废水经沉淀处理后回用不外排，营运期生活污水依托大马风电场已建的地埋式污水处理站处理达标后用于绿化浇灌，不外排；大马风电场升压站工程位于寿岭冲水库汇水范围内</w:t>
      </w:r>
      <w:r>
        <w:rPr>
          <w:rFonts w:hint="default" w:ascii="Times New Roman" w:hAnsi="Times New Roman" w:eastAsia="宋体" w:cs="Times New Roman"/>
          <w:color w:val="auto"/>
          <w:kern w:val="0"/>
          <w:sz w:val="24"/>
          <w:szCs w:val="24"/>
          <w:highlight w:val="none"/>
          <w:u w:val="none"/>
          <w:lang w:val="en-US" w:eastAsia="zh-CN"/>
        </w:rPr>
        <w:t>，</w:t>
      </w:r>
      <w:r>
        <w:rPr>
          <w:rFonts w:hint="eastAsia" w:ascii="Times New Roman" w:hAnsi="Times New Roman" w:eastAsia="宋体" w:cs="Times New Roman"/>
          <w:color w:val="auto"/>
          <w:kern w:val="0"/>
          <w:sz w:val="24"/>
          <w:szCs w:val="24"/>
          <w:highlight w:val="none"/>
          <w:u w:val="none"/>
          <w:lang w:val="en-US" w:eastAsia="zh-CN"/>
        </w:rPr>
        <w:t>根据现状监测数据可知，寿岭冲水库水质能满足</w:t>
      </w:r>
      <w:r>
        <w:rPr>
          <w:rFonts w:hint="default" w:ascii="Times New Roman" w:hAnsi="Times New Roman" w:eastAsia="宋体" w:cs="Times New Roman"/>
          <w:color w:val="auto"/>
          <w:kern w:val="0"/>
          <w:sz w:val="24"/>
          <w:szCs w:val="24"/>
          <w:highlight w:val="none"/>
          <w:u w:val="none"/>
          <w:lang w:val="en-US" w:eastAsia="zh-CN"/>
        </w:rPr>
        <w:t>《地表水环境质量标准》（GB3838-2002）Ⅲ类标准。</w:t>
      </w:r>
    </w:p>
    <w:p w14:paraId="71F4D497">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firstLine="480" w:firstLineChars="200"/>
        <w:textAlignment w:val="auto"/>
        <w:rPr>
          <w:rFonts w:hint="default" w:ascii="Times New Roman" w:hAnsi="Times New Roman" w:eastAsia="宋体" w:cs="Times New Roman"/>
          <w:color w:val="auto"/>
          <w:kern w:val="0"/>
          <w:sz w:val="24"/>
          <w:szCs w:val="24"/>
          <w:highlight w:val="none"/>
          <w:u w:val="none"/>
          <w:lang w:val="en-US" w:eastAsia="zh-CN"/>
        </w:rPr>
      </w:pPr>
      <w:r>
        <w:rPr>
          <w:rFonts w:hint="default" w:ascii="Times New Roman" w:hAnsi="Times New Roman" w:eastAsia="宋体" w:cs="Times New Roman"/>
          <w:color w:val="auto"/>
          <w:kern w:val="0"/>
          <w:sz w:val="24"/>
          <w:szCs w:val="24"/>
          <w:highlight w:val="none"/>
          <w:u w:val="none"/>
          <w:lang w:val="en-US" w:eastAsia="zh-CN"/>
        </w:rPr>
        <w:t>本项目运营后在正常工况下不会对地表水、大气、土壤等环境造成明显影响，不会突破区域环境质量底线。</w:t>
      </w:r>
    </w:p>
    <w:p w14:paraId="1019D0B0">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firstLine="480" w:firstLineChars="200"/>
        <w:textAlignment w:val="auto"/>
        <w:rPr>
          <w:rFonts w:hint="default" w:ascii="Times New Roman" w:hAnsi="Times New Roman" w:eastAsia="宋体" w:cs="Times New Roman"/>
          <w:color w:val="auto"/>
          <w:kern w:val="0"/>
          <w:sz w:val="24"/>
          <w:szCs w:val="24"/>
          <w:highlight w:val="none"/>
          <w:u w:val="none"/>
          <w:lang w:val="en-US" w:eastAsia="zh-CN"/>
        </w:rPr>
      </w:pPr>
      <w:r>
        <w:rPr>
          <w:rFonts w:hint="default" w:ascii="Times New Roman" w:hAnsi="Times New Roman" w:eastAsia="宋体" w:cs="Times New Roman"/>
          <w:color w:val="auto"/>
          <w:kern w:val="0"/>
          <w:sz w:val="24"/>
          <w:szCs w:val="24"/>
          <w:highlight w:val="none"/>
          <w:u w:val="none"/>
          <w:lang w:val="en-US" w:eastAsia="zh-CN"/>
        </w:rPr>
        <w:t>（3）资源利用上线符合性分析</w:t>
      </w:r>
    </w:p>
    <w:p w14:paraId="68B7118B">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firstLine="480" w:firstLineChars="200"/>
        <w:textAlignment w:val="auto"/>
        <w:rPr>
          <w:rFonts w:hint="default" w:ascii="Times New Roman" w:hAnsi="Times New Roman" w:eastAsia="宋体" w:cs="Times New Roman"/>
          <w:color w:val="auto"/>
          <w:kern w:val="0"/>
          <w:sz w:val="24"/>
          <w:szCs w:val="24"/>
          <w:highlight w:val="none"/>
          <w:u w:val="none"/>
          <w:lang w:val="en-US" w:eastAsia="zh-CN"/>
        </w:rPr>
      </w:pPr>
      <w:r>
        <w:rPr>
          <w:rFonts w:hint="default" w:ascii="Times New Roman" w:hAnsi="Times New Roman" w:eastAsia="宋体" w:cs="Times New Roman"/>
          <w:color w:val="auto"/>
          <w:kern w:val="0"/>
          <w:sz w:val="24"/>
          <w:szCs w:val="24"/>
          <w:highlight w:val="none"/>
          <w:u w:val="none"/>
          <w:lang w:val="en-US" w:eastAsia="zh-CN"/>
        </w:rPr>
        <w:t>本</w:t>
      </w:r>
      <w:r>
        <w:rPr>
          <w:rFonts w:hint="eastAsia" w:ascii="Times New Roman" w:hAnsi="Times New Roman" w:eastAsia="宋体" w:cs="Times New Roman"/>
          <w:color w:val="auto"/>
          <w:kern w:val="0"/>
          <w:sz w:val="24"/>
          <w:szCs w:val="24"/>
          <w:highlight w:val="none"/>
          <w:u w:val="none"/>
          <w:lang w:val="en-US" w:eastAsia="zh-CN"/>
        </w:rPr>
        <w:t>工程为风力发电项目，将风能转化为电能，为区域提供电能，不会突破区域</w:t>
      </w:r>
      <w:r>
        <w:rPr>
          <w:rFonts w:hint="default" w:ascii="Times New Roman" w:hAnsi="Times New Roman" w:eastAsia="宋体" w:cs="Times New Roman"/>
          <w:color w:val="auto"/>
          <w:kern w:val="0"/>
          <w:sz w:val="24"/>
          <w:szCs w:val="24"/>
          <w:highlight w:val="none"/>
          <w:u w:val="none"/>
          <w:lang w:val="en-US" w:eastAsia="zh-CN"/>
        </w:rPr>
        <w:t>资源利用上线。</w:t>
      </w:r>
    </w:p>
    <w:p w14:paraId="099DDF30">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firstLine="480" w:firstLineChars="200"/>
        <w:textAlignment w:val="auto"/>
        <w:rPr>
          <w:rFonts w:hint="default" w:ascii="Times New Roman" w:hAnsi="Times New Roman" w:eastAsia="宋体" w:cs="Times New Roman"/>
          <w:color w:val="auto"/>
          <w:kern w:val="0"/>
          <w:sz w:val="24"/>
          <w:szCs w:val="24"/>
          <w:highlight w:val="none"/>
          <w:u w:val="none"/>
          <w:lang w:val="en-US" w:eastAsia="zh-CN"/>
        </w:rPr>
      </w:pPr>
      <w:r>
        <w:rPr>
          <w:rFonts w:hint="eastAsia" w:ascii="Times New Roman" w:hAnsi="Times New Roman" w:eastAsia="宋体" w:cs="Times New Roman"/>
          <w:color w:val="auto"/>
          <w:kern w:val="0"/>
          <w:sz w:val="24"/>
          <w:szCs w:val="24"/>
          <w:highlight w:val="none"/>
          <w:u w:val="none"/>
          <w:lang w:val="en-US" w:eastAsia="zh-CN"/>
        </w:rPr>
        <w:t>（4）生态环境准入清单符合性分析</w:t>
      </w:r>
    </w:p>
    <w:p w14:paraId="740591D0">
      <w:pPr>
        <w:keepNext w:val="0"/>
        <w:keepLines w:val="0"/>
        <w:pageBreakBefore w:val="0"/>
        <w:widowControl w:val="0"/>
        <w:numPr>
          <w:ilvl w:val="0"/>
          <w:numId w:val="0"/>
        </w:numPr>
        <w:kinsoku/>
        <w:wordWrap/>
        <w:overflowPunct/>
        <w:topLinePunct w:val="0"/>
        <w:autoSpaceDE w:val="0"/>
        <w:autoSpaceDN w:val="0"/>
        <w:bidi w:val="0"/>
        <w:adjustRightInd w:val="0"/>
        <w:snapToGrid w:val="0"/>
        <w:spacing w:line="360" w:lineRule="auto"/>
        <w:ind w:leftChars="0" w:firstLine="480" w:firstLineChars="200"/>
        <w:textAlignment w:val="auto"/>
        <w:rPr>
          <w:rFonts w:hint="default" w:ascii="Times New Roman" w:hAnsi="Times New Roman" w:eastAsia="宋体" w:cs="Times New Roman"/>
          <w:color w:val="auto"/>
          <w:kern w:val="0"/>
          <w:sz w:val="24"/>
          <w:szCs w:val="24"/>
          <w:highlight w:val="none"/>
          <w:u w:val="none"/>
          <w:lang w:val="en-US" w:eastAsia="zh-CN"/>
        </w:rPr>
      </w:pPr>
      <w:r>
        <w:rPr>
          <w:rFonts w:hint="default" w:ascii="Times New Roman" w:hAnsi="Times New Roman" w:eastAsia="宋体" w:cs="Times New Roman"/>
          <w:color w:val="auto"/>
          <w:kern w:val="0"/>
          <w:sz w:val="24"/>
          <w:szCs w:val="24"/>
          <w:highlight w:val="none"/>
          <w:u w:val="none"/>
          <w:lang w:val="en-US" w:eastAsia="zh-CN"/>
        </w:rPr>
        <w:t>本项目位于</w:t>
      </w:r>
      <w:r>
        <w:rPr>
          <w:rFonts w:hint="eastAsia" w:ascii="Times New Roman" w:hAnsi="Times New Roman" w:eastAsia="宋体" w:cs="Times New Roman"/>
          <w:color w:val="auto"/>
          <w:kern w:val="0"/>
          <w:sz w:val="24"/>
          <w:szCs w:val="24"/>
          <w:highlight w:val="none"/>
          <w:u w:val="none"/>
          <w:lang w:val="en-US" w:eastAsia="zh-CN"/>
        </w:rPr>
        <w:t>祁东县北部黄土铺镇和马杜桥乡</w:t>
      </w:r>
      <w:r>
        <w:rPr>
          <w:rFonts w:hint="default" w:ascii="Times New Roman" w:hAnsi="Times New Roman" w:eastAsia="宋体" w:cs="Times New Roman"/>
          <w:color w:val="auto"/>
          <w:kern w:val="0"/>
          <w:sz w:val="24"/>
          <w:szCs w:val="24"/>
          <w:highlight w:val="none"/>
          <w:u w:val="none"/>
          <w:lang w:val="en-US" w:eastAsia="zh-CN"/>
        </w:rPr>
        <w:t>，对照</w:t>
      </w:r>
      <w:r>
        <w:rPr>
          <w:rFonts w:hint="eastAsia" w:ascii="Times New Roman" w:hAnsi="Times New Roman" w:eastAsia="宋体" w:cs="Times New Roman"/>
          <w:color w:val="auto"/>
          <w:kern w:val="0"/>
          <w:sz w:val="24"/>
          <w:szCs w:val="24"/>
          <w:highlight w:val="none"/>
          <w:u w:val="none"/>
          <w:lang w:val="en-US" w:eastAsia="zh-CN"/>
        </w:rPr>
        <w:t>衡阳市</w:t>
      </w:r>
      <w:r>
        <w:rPr>
          <w:rFonts w:hint="default" w:ascii="Times New Roman" w:hAnsi="Times New Roman" w:eastAsia="宋体" w:cs="Times New Roman"/>
          <w:color w:val="auto"/>
          <w:kern w:val="0"/>
          <w:sz w:val="24"/>
          <w:szCs w:val="24"/>
          <w:highlight w:val="none"/>
          <w:u w:val="none"/>
          <w:lang w:val="en-US" w:eastAsia="zh-CN"/>
        </w:rPr>
        <w:t>人民政府《关于实施“三线一单”生态环境分区管控的意见》（衡政发</w:t>
      </w:r>
      <w:r>
        <w:rPr>
          <w:rFonts w:hint="eastAsia" w:ascii="Times New Roman" w:hAnsi="Times New Roman" w:eastAsia="宋体" w:cs="Times New Roman"/>
          <w:color w:val="auto"/>
          <w:kern w:val="0"/>
          <w:sz w:val="24"/>
          <w:szCs w:val="24"/>
          <w:highlight w:val="none"/>
          <w:u w:val="none"/>
          <w:lang w:val="en-US" w:eastAsia="zh-CN"/>
        </w:rPr>
        <w:t>[</w:t>
      </w:r>
      <w:r>
        <w:rPr>
          <w:rFonts w:hint="default" w:ascii="Times New Roman" w:hAnsi="Times New Roman" w:eastAsia="宋体" w:cs="Times New Roman"/>
          <w:color w:val="auto"/>
          <w:kern w:val="0"/>
          <w:sz w:val="24"/>
          <w:szCs w:val="24"/>
          <w:highlight w:val="none"/>
          <w:u w:val="none"/>
          <w:lang w:val="en-US" w:eastAsia="zh-CN"/>
        </w:rPr>
        <w:t>2020</w:t>
      </w:r>
      <w:r>
        <w:rPr>
          <w:rFonts w:hint="eastAsia" w:ascii="Times New Roman" w:hAnsi="Times New Roman" w:eastAsia="宋体" w:cs="Times New Roman"/>
          <w:color w:val="auto"/>
          <w:kern w:val="0"/>
          <w:sz w:val="24"/>
          <w:szCs w:val="24"/>
          <w:highlight w:val="none"/>
          <w:u w:val="none"/>
          <w:lang w:val="en-US" w:eastAsia="zh-CN"/>
        </w:rPr>
        <w:t>]</w:t>
      </w:r>
      <w:r>
        <w:rPr>
          <w:rFonts w:hint="default" w:ascii="Times New Roman" w:hAnsi="Times New Roman" w:eastAsia="宋体" w:cs="Times New Roman"/>
          <w:color w:val="auto"/>
          <w:kern w:val="0"/>
          <w:sz w:val="24"/>
          <w:szCs w:val="24"/>
          <w:highlight w:val="none"/>
          <w:u w:val="none"/>
          <w:lang w:val="en-US" w:eastAsia="zh-CN"/>
        </w:rPr>
        <w:t>9号），</w:t>
      </w:r>
      <w:r>
        <w:rPr>
          <w:rFonts w:hint="eastAsia" w:ascii="Times New Roman" w:hAnsi="Times New Roman" w:eastAsia="宋体" w:cs="Times New Roman"/>
          <w:color w:val="auto"/>
          <w:kern w:val="0"/>
          <w:sz w:val="24"/>
          <w:szCs w:val="24"/>
          <w:highlight w:val="none"/>
          <w:u w:val="none"/>
          <w:lang w:val="en-US" w:eastAsia="zh-CN"/>
        </w:rPr>
        <w:t>黄土铺镇和马杜桥乡</w:t>
      </w:r>
      <w:r>
        <w:rPr>
          <w:rFonts w:hint="default" w:ascii="Times New Roman" w:hAnsi="Times New Roman" w:eastAsia="宋体" w:cs="Times New Roman"/>
          <w:color w:val="auto"/>
          <w:kern w:val="0"/>
          <w:sz w:val="24"/>
          <w:szCs w:val="24"/>
          <w:highlight w:val="none"/>
          <w:u w:val="none"/>
          <w:lang w:val="en-US" w:eastAsia="zh-CN"/>
        </w:rPr>
        <w:t>所在环境管控单元为</w:t>
      </w:r>
      <w:r>
        <w:rPr>
          <w:rFonts w:hint="eastAsia" w:ascii="Times New Roman" w:hAnsi="Times New Roman" w:eastAsia="宋体" w:cs="Times New Roman"/>
          <w:color w:val="auto"/>
          <w:kern w:val="0"/>
          <w:sz w:val="24"/>
          <w:szCs w:val="24"/>
          <w:highlight w:val="none"/>
          <w:u w:val="none"/>
          <w:lang w:val="en-US" w:eastAsia="zh-CN"/>
        </w:rPr>
        <w:t>一般管控单元，黄土铺镇单元编码为ZH43042630002，马杜桥乡单元编码为ZH43042630001</w:t>
      </w:r>
      <w:r>
        <w:rPr>
          <w:rFonts w:hint="default" w:ascii="Times New Roman" w:hAnsi="Times New Roman" w:eastAsia="宋体" w:cs="Times New Roman"/>
          <w:color w:val="auto"/>
          <w:kern w:val="0"/>
          <w:sz w:val="24"/>
          <w:szCs w:val="24"/>
          <w:highlight w:val="none"/>
          <w:u w:val="none"/>
          <w:lang w:val="en-US" w:eastAsia="zh-CN"/>
        </w:rPr>
        <w:t>，主体功能定位为国家层面农产品主产区，经济产业布局为矿产资源开采、建材、农副产品加工、烟花炮竹、旅游、物流、生态农业、烟草、畜禽养殖等</w:t>
      </w:r>
      <w:r>
        <w:rPr>
          <w:rFonts w:hint="eastAsia" w:ascii="Times New Roman" w:hAnsi="Times New Roman" w:eastAsia="宋体" w:cs="Times New Roman"/>
          <w:color w:val="auto"/>
          <w:kern w:val="0"/>
          <w:sz w:val="24"/>
          <w:szCs w:val="24"/>
          <w:highlight w:val="none"/>
          <w:u w:val="none"/>
          <w:lang w:val="en-US" w:eastAsia="zh-CN"/>
        </w:rPr>
        <w:t>。</w:t>
      </w:r>
      <w:r>
        <w:rPr>
          <w:rFonts w:hint="default" w:ascii="Times New Roman" w:hAnsi="Times New Roman" w:eastAsia="宋体" w:cs="Times New Roman"/>
          <w:color w:val="auto"/>
          <w:kern w:val="0"/>
          <w:sz w:val="24"/>
          <w:szCs w:val="24"/>
          <w:highlight w:val="none"/>
          <w:u w:val="none"/>
          <w:lang w:val="en-US" w:eastAsia="zh-CN"/>
        </w:rPr>
        <w:t>本项目与其管控要求相符性分析见下表：</w:t>
      </w:r>
    </w:p>
    <w:p w14:paraId="323D1AF1">
      <w:pPr>
        <w:numPr>
          <w:ilvl w:val="0"/>
          <w:numId w:val="0"/>
        </w:numPr>
        <w:autoSpaceDE w:val="0"/>
        <w:autoSpaceDN w:val="0"/>
        <w:adjustRightInd w:val="0"/>
        <w:snapToGrid w:val="0"/>
        <w:ind w:left="0" w:leftChars="0" w:right="0" w:rightChars="0" w:firstLine="0" w:firstLineChars="0"/>
        <w:jc w:val="center"/>
        <w:rPr>
          <w:rFonts w:hint="default" w:ascii="Times New Roman" w:hAnsi="Times New Roman" w:eastAsia="宋体" w:cs="Times New Roman"/>
          <w:b/>
          <w:bCs/>
          <w:color w:val="auto"/>
          <w:kern w:val="0"/>
          <w:sz w:val="24"/>
          <w:szCs w:val="24"/>
          <w:highlight w:val="none"/>
          <w:u w:val="none"/>
          <w:lang w:val="en-US" w:eastAsia="zh-CN"/>
        </w:rPr>
      </w:pPr>
      <w:r>
        <w:rPr>
          <w:rFonts w:hint="default" w:ascii="Times New Roman" w:hAnsi="Times New Roman" w:eastAsia="宋体" w:cs="Times New Roman"/>
          <w:b/>
          <w:bCs/>
          <w:color w:val="auto"/>
          <w:kern w:val="0"/>
          <w:sz w:val="24"/>
          <w:szCs w:val="24"/>
          <w:highlight w:val="none"/>
          <w:u w:val="none"/>
          <w:lang w:val="en-US" w:eastAsia="zh-CN"/>
        </w:rPr>
        <w:t>表1</w:t>
      </w:r>
      <w:r>
        <w:rPr>
          <w:rFonts w:hint="eastAsia" w:ascii="Times New Roman" w:hAnsi="Times New Roman" w:eastAsia="宋体" w:cs="Times New Roman"/>
          <w:b/>
          <w:bCs/>
          <w:color w:val="auto"/>
          <w:kern w:val="0"/>
          <w:sz w:val="24"/>
          <w:szCs w:val="24"/>
          <w:highlight w:val="none"/>
          <w:u w:val="none"/>
          <w:lang w:val="en-US" w:eastAsia="zh-CN"/>
        </w:rPr>
        <w:t>.3</w:t>
      </w:r>
      <w:r>
        <w:rPr>
          <w:rFonts w:hint="default" w:ascii="Times New Roman" w:hAnsi="Times New Roman" w:eastAsia="宋体" w:cs="Times New Roman"/>
          <w:b/>
          <w:bCs/>
          <w:color w:val="auto"/>
          <w:kern w:val="0"/>
          <w:sz w:val="24"/>
          <w:szCs w:val="24"/>
          <w:highlight w:val="none"/>
          <w:u w:val="none"/>
          <w:lang w:val="en-US" w:eastAsia="zh-CN"/>
        </w:rPr>
        <w:t>-</w:t>
      </w:r>
      <w:r>
        <w:rPr>
          <w:rFonts w:hint="eastAsia" w:ascii="Times New Roman" w:hAnsi="Times New Roman" w:eastAsia="宋体" w:cs="Times New Roman"/>
          <w:b/>
          <w:bCs/>
          <w:color w:val="auto"/>
          <w:kern w:val="0"/>
          <w:sz w:val="24"/>
          <w:szCs w:val="24"/>
          <w:highlight w:val="none"/>
          <w:u w:val="none"/>
          <w:lang w:val="en-US" w:eastAsia="zh-CN"/>
        </w:rPr>
        <w:t xml:space="preserve">3  </w:t>
      </w:r>
      <w:r>
        <w:rPr>
          <w:rFonts w:hint="default" w:ascii="Times New Roman" w:hAnsi="Times New Roman" w:eastAsia="宋体" w:cs="Times New Roman"/>
          <w:b/>
          <w:bCs/>
          <w:color w:val="auto"/>
          <w:kern w:val="0"/>
          <w:sz w:val="24"/>
          <w:szCs w:val="24"/>
          <w:highlight w:val="none"/>
          <w:u w:val="none"/>
          <w:lang w:val="en-US" w:eastAsia="zh-CN"/>
        </w:rPr>
        <w:t>本项目与</w:t>
      </w:r>
      <w:r>
        <w:rPr>
          <w:rFonts w:hint="eastAsia" w:ascii="Times New Roman" w:hAnsi="Times New Roman" w:eastAsia="宋体" w:cs="Times New Roman"/>
          <w:b/>
          <w:bCs/>
          <w:color w:val="auto"/>
          <w:kern w:val="0"/>
          <w:sz w:val="24"/>
          <w:szCs w:val="24"/>
          <w:highlight w:val="none"/>
          <w:u w:val="none"/>
          <w:lang w:val="en-US" w:eastAsia="zh-CN"/>
        </w:rPr>
        <w:t>衡阳</w:t>
      </w:r>
      <w:r>
        <w:rPr>
          <w:rFonts w:hint="default" w:ascii="Times New Roman" w:hAnsi="Times New Roman" w:eastAsia="宋体" w:cs="Times New Roman"/>
          <w:b/>
          <w:bCs/>
          <w:color w:val="auto"/>
          <w:kern w:val="0"/>
          <w:sz w:val="24"/>
          <w:szCs w:val="24"/>
          <w:highlight w:val="none"/>
          <w:u w:val="none"/>
          <w:lang w:val="en-US" w:eastAsia="zh-CN"/>
        </w:rPr>
        <w:t>市人民政府《关于实施“三线一单”生态环境分区管控的意见》管控要求相符性分析</w:t>
      </w:r>
    </w:p>
    <w:tbl>
      <w:tblPr>
        <w:tblStyle w:val="20"/>
        <w:tblW w:w="494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51"/>
        <w:gridCol w:w="5002"/>
        <w:gridCol w:w="2079"/>
      </w:tblGrid>
      <w:tr w14:paraId="4E3CA01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7" w:type="dxa"/>
            <w:tcBorders>
              <w:tl2br w:val="nil"/>
              <w:tr2bl w:val="nil"/>
            </w:tcBorders>
            <w:noWrap w:val="0"/>
            <w:vAlign w:val="center"/>
          </w:tcPr>
          <w:p w14:paraId="59CA485D">
            <w:pPr>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kern w:val="0"/>
                <w:sz w:val="21"/>
                <w:szCs w:val="21"/>
                <w:highlight w:val="none"/>
                <w:u w:val="none"/>
                <w:vertAlign w:val="baseline"/>
                <w:lang w:val="en-US" w:eastAsia="zh-CN"/>
              </w:rPr>
            </w:pPr>
            <w:r>
              <w:rPr>
                <w:rFonts w:hint="default" w:ascii="Times New Roman" w:hAnsi="Times New Roman" w:eastAsia="宋体" w:cs="Times New Roman"/>
                <w:b/>
                <w:bCs/>
                <w:color w:val="auto"/>
                <w:kern w:val="0"/>
                <w:sz w:val="21"/>
                <w:szCs w:val="21"/>
                <w:highlight w:val="none"/>
                <w:u w:val="none"/>
                <w:vertAlign w:val="baseline"/>
                <w:lang w:val="en-US" w:eastAsia="zh-CN"/>
              </w:rPr>
              <w:t>管控维度</w:t>
            </w:r>
          </w:p>
        </w:tc>
        <w:tc>
          <w:tcPr>
            <w:tcW w:w="4099" w:type="dxa"/>
            <w:tcBorders>
              <w:tl2br w:val="nil"/>
              <w:tr2bl w:val="nil"/>
            </w:tcBorders>
            <w:noWrap w:val="0"/>
            <w:vAlign w:val="center"/>
          </w:tcPr>
          <w:p w14:paraId="3C092B89">
            <w:pPr>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kern w:val="0"/>
                <w:sz w:val="21"/>
                <w:szCs w:val="21"/>
                <w:highlight w:val="none"/>
                <w:u w:val="none"/>
                <w:vertAlign w:val="baseline"/>
                <w:lang w:val="en-US" w:eastAsia="zh-CN"/>
              </w:rPr>
            </w:pPr>
            <w:r>
              <w:rPr>
                <w:rFonts w:hint="default" w:ascii="Times New Roman" w:hAnsi="Times New Roman" w:eastAsia="宋体" w:cs="Times New Roman"/>
                <w:b/>
                <w:bCs/>
                <w:color w:val="auto"/>
                <w:kern w:val="0"/>
                <w:sz w:val="21"/>
                <w:szCs w:val="21"/>
                <w:highlight w:val="none"/>
                <w:u w:val="none"/>
                <w:vertAlign w:val="baseline"/>
                <w:lang w:val="en-US" w:eastAsia="zh-CN"/>
              </w:rPr>
              <w:t>管控要求</w:t>
            </w:r>
          </w:p>
        </w:tc>
        <w:tc>
          <w:tcPr>
            <w:tcW w:w="1704" w:type="dxa"/>
            <w:tcBorders>
              <w:tl2br w:val="nil"/>
              <w:tr2bl w:val="nil"/>
            </w:tcBorders>
            <w:noWrap w:val="0"/>
            <w:vAlign w:val="center"/>
          </w:tcPr>
          <w:p w14:paraId="768EF7A2">
            <w:pPr>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kern w:val="0"/>
                <w:sz w:val="21"/>
                <w:szCs w:val="21"/>
                <w:highlight w:val="none"/>
                <w:u w:val="none"/>
                <w:vertAlign w:val="baseline"/>
                <w:lang w:val="en-US" w:eastAsia="zh-CN"/>
              </w:rPr>
            </w:pPr>
            <w:r>
              <w:rPr>
                <w:rFonts w:hint="default" w:ascii="Times New Roman" w:hAnsi="Times New Roman" w:eastAsia="宋体" w:cs="Times New Roman"/>
                <w:b/>
                <w:bCs/>
                <w:color w:val="auto"/>
                <w:kern w:val="0"/>
                <w:sz w:val="21"/>
                <w:szCs w:val="21"/>
                <w:highlight w:val="none"/>
                <w:u w:val="none"/>
                <w:vertAlign w:val="baseline"/>
                <w:lang w:val="en-US" w:eastAsia="zh-CN"/>
              </w:rPr>
              <w:t>相符性分析</w:t>
            </w:r>
          </w:p>
        </w:tc>
      </w:tr>
      <w:tr w14:paraId="747EE4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7" w:type="dxa"/>
            <w:tcBorders>
              <w:tl2br w:val="nil"/>
              <w:tr2bl w:val="nil"/>
            </w:tcBorders>
            <w:noWrap w:val="0"/>
            <w:vAlign w:val="center"/>
          </w:tcPr>
          <w:p w14:paraId="66610C73">
            <w:pPr>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u w:val="none"/>
                <w:vertAlign w:val="baseline"/>
                <w:lang w:val="en-US" w:eastAsia="zh-CN"/>
              </w:rPr>
            </w:pPr>
            <w:r>
              <w:rPr>
                <w:rFonts w:hint="default" w:ascii="Times New Roman" w:hAnsi="Times New Roman" w:eastAsia="宋体" w:cs="Times New Roman"/>
                <w:color w:val="auto"/>
                <w:kern w:val="0"/>
                <w:sz w:val="21"/>
                <w:szCs w:val="21"/>
                <w:highlight w:val="none"/>
                <w:u w:val="none"/>
                <w:vertAlign w:val="baseline"/>
                <w:lang w:val="en-US" w:eastAsia="zh-CN"/>
              </w:rPr>
              <w:t>空间布局约束</w:t>
            </w:r>
          </w:p>
        </w:tc>
        <w:tc>
          <w:tcPr>
            <w:tcW w:w="4099" w:type="dxa"/>
            <w:tcBorders>
              <w:tl2br w:val="nil"/>
              <w:tr2bl w:val="nil"/>
            </w:tcBorders>
            <w:noWrap w:val="0"/>
            <w:vAlign w:val="center"/>
          </w:tcPr>
          <w:p w14:paraId="0DB76DAC">
            <w:pPr>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leftChars="0" w:right="0" w:rightChars="0" w:firstLine="0" w:firstLineChars="0"/>
              <w:jc w:val="left"/>
              <w:textAlignment w:val="auto"/>
              <w:rPr>
                <w:rFonts w:hint="default" w:ascii="Times New Roman" w:hAnsi="Times New Roman" w:eastAsia="宋体" w:cs="Times New Roman"/>
                <w:color w:val="auto"/>
                <w:kern w:val="0"/>
                <w:sz w:val="21"/>
                <w:szCs w:val="21"/>
                <w:highlight w:val="none"/>
                <w:u w:val="none"/>
                <w:vertAlign w:val="baseline"/>
                <w:lang w:val="en-US" w:eastAsia="zh-CN"/>
              </w:rPr>
            </w:pPr>
            <w:r>
              <w:rPr>
                <w:rFonts w:hint="default" w:ascii="Times New Roman" w:hAnsi="Times New Roman" w:eastAsia="宋体" w:cs="Times New Roman"/>
                <w:color w:val="auto"/>
                <w:kern w:val="0"/>
                <w:sz w:val="21"/>
                <w:szCs w:val="21"/>
                <w:highlight w:val="none"/>
                <w:u w:val="none"/>
                <w:vertAlign w:val="baseline"/>
                <w:lang w:val="en-US" w:eastAsia="zh-CN"/>
              </w:rPr>
              <w:t>（1.1）区域养殖业按划定的禁养区、限养区、适养区实施分类管理。</w:t>
            </w:r>
          </w:p>
        </w:tc>
        <w:tc>
          <w:tcPr>
            <w:tcW w:w="1704" w:type="dxa"/>
            <w:tcBorders>
              <w:tl2br w:val="nil"/>
              <w:tr2bl w:val="nil"/>
            </w:tcBorders>
            <w:noWrap w:val="0"/>
            <w:vAlign w:val="center"/>
          </w:tcPr>
          <w:p w14:paraId="0F00F869">
            <w:pPr>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u w:val="none"/>
                <w:vertAlign w:val="baseline"/>
                <w:lang w:val="en-US" w:eastAsia="zh-CN"/>
              </w:rPr>
            </w:pPr>
            <w:r>
              <w:rPr>
                <w:rFonts w:hint="eastAsia" w:ascii="Times New Roman" w:hAnsi="Times New Roman" w:eastAsia="宋体" w:cs="Times New Roman"/>
                <w:color w:val="auto"/>
                <w:kern w:val="0"/>
                <w:sz w:val="21"/>
                <w:szCs w:val="21"/>
                <w:highlight w:val="none"/>
                <w:u w:val="none"/>
                <w:vertAlign w:val="baseline"/>
                <w:lang w:val="en-US" w:eastAsia="zh-CN"/>
              </w:rPr>
              <w:t>不涉及</w:t>
            </w:r>
          </w:p>
        </w:tc>
      </w:tr>
      <w:tr w14:paraId="071E122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07" w:type="dxa"/>
            <w:tcBorders>
              <w:tl2br w:val="nil"/>
              <w:tr2bl w:val="nil"/>
            </w:tcBorders>
            <w:noWrap w:val="0"/>
            <w:vAlign w:val="center"/>
          </w:tcPr>
          <w:p w14:paraId="4B32F9A8">
            <w:pPr>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u w:val="none"/>
                <w:vertAlign w:val="baseline"/>
                <w:lang w:val="en-US" w:eastAsia="zh-CN"/>
              </w:rPr>
            </w:pPr>
            <w:r>
              <w:rPr>
                <w:rFonts w:hint="default" w:ascii="Times New Roman" w:hAnsi="Times New Roman" w:eastAsia="宋体" w:cs="Times New Roman"/>
                <w:color w:val="auto"/>
                <w:kern w:val="0"/>
                <w:sz w:val="21"/>
                <w:szCs w:val="21"/>
                <w:highlight w:val="none"/>
                <w:u w:val="none"/>
                <w:vertAlign w:val="baseline"/>
                <w:lang w:val="en-US" w:eastAsia="zh-CN"/>
              </w:rPr>
              <w:t>污染物排放管控</w:t>
            </w:r>
          </w:p>
        </w:tc>
        <w:tc>
          <w:tcPr>
            <w:tcW w:w="4099" w:type="dxa"/>
            <w:tcBorders>
              <w:tl2br w:val="nil"/>
              <w:tr2bl w:val="nil"/>
            </w:tcBorders>
            <w:noWrap w:val="0"/>
            <w:vAlign w:val="center"/>
          </w:tcPr>
          <w:p w14:paraId="35BDF7C4">
            <w:pPr>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leftChars="0" w:right="0" w:rightChars="0" w:firstLine="0" w:firstLineChars="0"/>
              <w:jc w:val="left"/>
              <w:textAlignment w:val="auto"/>
              <w:rPr>
                <w:rFonts w:hint="default" w:ascii="Times New Roman" w:hAnsi="Times New Roman" w:eastAsia="宋体" w:cs="Times New Roman"/>
                <w:color w:val="auto"/>
                <w:kern w:val="0"/>
                <w:sz w:val="21"/>
                <w:szCs w:val="21"/>
                <w:highlight w:val="none"/>
                <w:u w:val="none"/>
                <w:vertAlign w:val="baseline"/>
                <w:lang w:val="en-US" w:eastAsia="zh-CN"/>
              </w:rPr>
            </w:pPr>
            <w:r>
              <w:rPr>
                <w:rFonts w:hint="default" w:ascii="Times New Roman" w:hAnsi="Times New Roman" w:eastAsia="宋体" w:cs="Times New Roman"/>
                <w:color w:val="auto"/>
                <w:kern w:val="0"/>
                <w:sz w:val="21"/>
                <w:szCs w:val="21"/>
                <w:highlight w:val="none"/>
                <w:u w:val="none"/>
                <w:vertAlign w:val="baseline"/>
                <w:lang w:val="en-US" w:eastAsia="zh-CN"/>
              </w:rPr>
              <w:t>（2.1）积极推进雨污分流、老旧污水管网改造和破损修复等工作，加快消除老旧城区和城乡结合部生活污水收集处理设施空白区，显著提升县城生活污水集中收集效能，落实《湖南省乡镇污水处理设施建设四年行动实施方案（2019—2022年）》，实现全县乡镇污水处理设施全覆盖。加快实施城市黑臭水体治理工程，突出抓好控源截污、内源治理、生态修复、活水保质等工作。</w:t>
            </w:r>
            <w:r>
              <w:rPr>
                <w:rFonts w:hint="default" w:ascii="Times New Roman" w:hAnsi="Times New Roman" w:eastAsia="宋体" w:cs="Times New Roman"/>
                <w:color w:val="auto"/>
                <w:kern w:val="0"/>
                <w:sz w:val="21"/>
                <w:szCs w:val="21"/>
                <w:highlight w:val="none"/>
                <w:u w:val="none"/>
                <w:vertAlign w:val="baseline"/>
                <w:lang w:val="en-US" w:eastAsia="zh-CN"/>
              </w:rPr>
              <w:br w:type="textWrapping"/>
            </w:r>
            <w:r>
              <w:rPr>
                <w:rFonts w:hint="default" w:ascii="Times New Roman" w:hAnsi="Times New Roman" w:eastAsia="宋体" w:cs="Times New Roman"/>
                <w:color w:val="auto"/>
                <w:kern w:val="0"/>
                <w:sz w:val="21"/>
                <w:szCs w:val="21"/>
                <w:highlight w:val="none"/>
                <w:u w:val="none"/>
                <w:vertAlign w:val="baseline"/>
                <w:lang w:val="en-US" w:eastAsia="zh-CN"/>
              </w:rPr>
              <w:t>（2.2）完成“散乱污”企业及集群综合整治工作，全面推进清洁生产技术改造；新建涉及工业炉窑的建设项目，原则上要入园区，配套建设高效环保治理设施；加油站、储油库、油罐车基本完成油气回收治理工作；辖区内涉气型污染企业应配置废气收集与净化处理装置，减少无组织排放，废气达到国家或地方排放标准要求；禁止露天烧烤直排；禁止露天焚烧农作物秸秆、枯枝、落叶、杂草及生活垃圾。</w:t>
            </w:r>
            <w:r>
              <w:rPr>
                <w:rFonts w:hint="default" w:ascii="Times New Roman" w:hAnsi="Times New Roman" w:eastAsia="宋体" w:cs="Times New Roman"/>
                <w:color w:val="auto"/>
                <w:kern w:val="0"/>
                <w:sz w:val="21"/>
                <w:szCs w:val="21"/>
                <w:highlight w:val="none"/>
                <w:u w:val="none"/>
                <w:vertAlign w:val="baseline"/>
                <w:lang w:val="en-US" w:eastAsia="zh-CN"/>
              </w:rPr>
              <w:br w:type="textWrapping"/>
            </w:r>
            <w:r>
              <w:rPr>
                <w:rFonts w:hint="default" w:ascii="Times New Roman" w:hAnsi="Times New Roman" w:eastAsia="宋体" w:cs="Times New Roman"/>
                <w:color w:val="auto"/>
                <w:kern w:val="0"/>
                <w:sz w:val="21"/>
                <w:szCs w:val="21"/>
                <w:highlight w:val="none"/>
                <w:u w:val="none"/>
                <w:vertAlign w:val="baseline"/>
                <w:lang w:val="en-US" w:eastAsia="zh-CN"/>
              </w:rPr>
              <w:t>（2.3）建立健全城镇垃圾收集转运及处理处置体系，推动生活垃圾分类，统筹布局生活垃圾转运站，逐步淘汰敞开式收运设施，在全县建成区推广密闭压缩式收运方式，加快建设生活垃圾处理设施；对于无渗滤液处理设施、渗滤液处理不达标的生活垃圾处理设施，加快完成改造。</w:t>
            </w:r>
          </w:p>
        </w:tc>
        <w:tc>
          <w:tcPr>
            <w:tcW w:w="1704" w:type="dxa"/>
            <w:tcBorders>
              <w:tl2br w:val="nil"/>
              <w:tr2bl w:val="nil"/>
            </w:tcBorders>
            <w:noWrap w:val="0"/>
            <w:vAlign w:val="center"/>
          </w:tcPr>
          <w:p w14:paraId="1A09A195">
            <w:pPr>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leftChars="0" w:right="0" w:rightChars="0" w:firstLine="0" w:firstLineChars="0"/>
              <w:jc w:val="left"/>
              <w:textAlignment w:val="auto"/>
              <w:rPr>
                <w:rFonts w:hint="default" w:ascii="Times New Roman" w:hAnsi="Times New Roman" w:eastAsia="宋体" w:cs="Times New Roman"/>
                <w:color w:val="auto"/>
                <w:kern w:val="0"/>
                <w:sz w:val="21"/>
                <w:szCs w:val="21"/>
                <w:highlight w:val="none"/>
                <w:u w:val="none"/>
                <w:vertAlign w:val="baseline"/>
                <w:lang w:val="en-US" w:eastAsia="zh-CN"/>
              </w:rPr>
            </w:pPr>
            <w:r>
              <w:rPr>
                <w:rFonts w:hint="default" w:ascii="Times New Roman" w:hAnsi="Times New Roman" w:eastAsia="宋体" w:cs="Times New Roman"/>
                <w:color w:val="auto"/>
                <w:kern w:val="0"/>
                <w:sz w:val="21"/>
                <w:szCs w:val="21"/>
                <w:highlight w:val="none"/>
                <w:u w:val="none"/>
                <w:vertAlign w:val="baseline"/>
                <w:lang w:val="en-US" w:eastAsia="zh-CN"/>
              </w:rPr>
              <w:t>本</w:t>
            </w:r>
            <w:r>
              <w:rPr>
                <w:rFonts w:hint="eastAsia" w:ascii="Times New Roman" w:hAnsi="Times New Roman" w:eastAsia="宋体" w:cs="Times New Roman"/>
                <w:color w:val="auto"/>
                <w:kern w:val="0"/>
                <w:sz w:val="21"/>
                <w:szCs w:val="21"/>
                <w:highlight w:val="none"/>
                <w:u w:val="none"/>
                <w:vertAlign w:val="baseline"/>
                <w:lang w:val="en-US" w:eastAsia="zh-CN"/>
              </w:rPr>
              <w:t>工程</w:t>
            </w:r>
            <w:r>
              <w:rPr>
                <w:rFonts w:hint="default" w:ascii="Times New Roman" w:hAnsi="Times New Roman" w:eastAsia="宋体" w:cs="Times New Roman"/>
                <w:color w:val="auto"/>
                <w:kern w:val="0"/>
                <w:sz w:val="21"/>
                <w:szCs w:val="21"/>
                <w:highlight w:val="none"/>
                <w:u w:val="none"/>
                <w:vertAlign w:val="baseline"/>
                <w:lang w:val="en-US" w:eastAsia="zh-CN"/>
              </w:rPr>
              <w:t>为风力发电，属于清洁能源，项目营运过程中无</w:t>
            </w:r>
            <w:r>
              <w:rPr>
                <w:rFonts w:hint="eastAsia" w:ascii="Times New Roman" w:hAnsi="Times New Roman" w:eastAsia="宋体" w:cs="Times New Roman"/>
                <w:color w:val="auto"/>
                <w:kern w:val="0"/>
                <w:sz w:val="21"/>
                <w:szCs w:val="21"/>
                <w:highlight w:val="none"/>
                <w:u w:val="none"/>
                <w:vertAlign w:val="baseline"/>
                <w:lang w:val="en-US" w:eastAsia="zh-CN"/>
              </w:rPr>
              <w:t>生产</w:t>
            </w:r>
            <w:r>
              <w:rPr>
                <w:rFonts w:hint="default" w:ascii="Times New Roman" w:hAnsi="Times New Roman" w:eastAsia="宋体" w:cs="Times New Roman"/>
                <w:color w:val="auto"/>
                <w:kern w:val="0"/>
                <w:sz w:val="21"/>
                <w:szCs w:val="21"/>
                <w:highlight w:val="none"/>
                <w:u w:val="none"/>
                <w:vertAlign w:val="baseline"/>
                <w:lang w:val="en-US" w:eastAsia="zh-CN"/>
              </w:rPr>
              <w:t>废水、</w:t>
            </w:r>
            <w:r>
              <w:rPr>
                <w:rFonts w:hint="eastAsia" w:cs="Times New Roman"/>
                <w:color w:val="auto"/>
                <w:kern w:val="0"/>
                <w:sz w:val="21"/>
                <w:szCs w:val="21"/>
                <w:highlight w:val="none"/>
                <w:u w:val="none"/>
                <w:vertAlign w:val="baseline"/>
                <w:lang w:val="en-US" w:eastAsia="zh-CN"/>
              </w:rPr>
              <w:t>工艺</w:t>
            </w:r>
            <w:r>
              <w:rPr>
                <w:rFonts w:hint="default" w:ascii="Times New Roman" w:hAnsi="Times New Roman" w:eastAsia="宋体" w:cs="Times New Roman"/>
                <w:color w:val="auto"/>
                <w:kern w:val="0"/>
                <w:sz w:val="21"/>
                <w:szCs w:val="21"/>
                <w:highlight w:val="none"/>
                <w:u w:val="none"/>
                <w:vertAlign w:val="baseline"/>
                <w:lang w:val="en-US" w:eastAsia="zh-CN"/>
              </w:rPr>
              <w:t>废气产生，噪声能实现达标排放，固废能得到妥善处置，符合污染物排放管控要求。</w:t>
            </w:r>
          </w:p>
        </w:tc>
      </w:tr>
      <w:tr w14:paraId="4F52D88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7" w:type="dxa"/>
            <w:tcBorders>
              <w:tl2br w:val="nil"/>
              <w:tr2bl w:val="nil"/>
            </w:tcBorders>
            <w:noWrap w:val="0"/>
            <w:vAlign w:val="center"/>
          </w:tcPr>
          <w:p w14:paraId="4786056E">
            <w:pPr>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u w:val="none"/>
                <w:vertAlign w:val="baseline"/>
                <w:lang w:val="en-US" w:eastAsia="zh-CN"/>
              </w:rPr>
            </w:pPr>
            <w:r>
              <w:rPr>
                <w:rFonts w:hint="default" w:ascii="Times New Roman" w:hAnsi="Times New Roman" w:eastAsia="宋体" w:cs="Times New Roman"/>
                <w:color w:val="auto"/>
                <w:kern w:val="0"/>
                <w:sz w:val="21"/>
                <w:szCs w:val="21"/>
                <w:highlight w:val="none"/>
                <w:u w:val="none"/>
                <w:vertAlign w:val="baseline"/>
                <w:lang w:val="en-US" w:eastAsia="zh-CN"/>
              </w:rPr>
              <w:t>环境风险防控</w:t>
            </w:r>
          </w:p>
        </w:tc>
        <w:tc>
          <w:tcPr>
            <w:tcW w:w="4099" w:type="dxa"/>
            <w:tcBorders>
              <w:tl2br w:val="nil"/>
              <w:tr2bl w:val="nil"/>
            </w:tcBorders>
            <w:noWrap w:val="0"/>
            <w:vAlign w:val="center"/>
          </w:tcPr>
          <w:p w14:paraId="29C57E85">
            <w:pPr>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leftChars="0" w:right="0" w:rightChars="0" w:firstLine="0" w:firstLineChars="0"/>
              <w:jc w:val="left"/>
              <w:textAlignment w:val="auto"/>
              <w:rPr>
                <w:rFonts w:hint="default" w:ascii="Times New Roman" w:hAnsi="Times New Roman" w:eastAsia="宋体" w:cs="Times New Roman"/>
                <w:color w:val="auto"/>
                <w:kern w:val="0"/>
                <w:sz w:val="21"/>
                <w:szCs w:val="21"/>
                <w:highlight w:val="none"/>
                <w:u w:val="none"/>
                <w:vertAlign w:val="baseline"/>
                <w:lang w:val="en-US" w:eastAsia="zh-CN"/>
              </w:rPr>
            </w:pPr>
            <w:r>
              <w:rPr>
                <w:rFonts w:hint="default" w:ascii="Times New Roman" w:hAnsi="Times New Roman" w:eastAsia="宋体" w:cs="Times New Roman"/>
                <w:color w:val="auto"/>
                <w:kern w:val="0"/>
                <w:sz w:val="21"/>
                <w:szCs w:val="21"/>
                <w:highlight w:val="none"/>
                <w:u w:val="none"/>
                <w:vertAlign w:val="baseline"/>
                <w:lang w:val="en-US" w:eastAsia="zh-CN"/>
              </w:rPr>
              <w:t>（3.1）管控农用地土壤污染风险。推动完成受污染耕地安全利用和结构调整工作，在农用地土壤污染状况详查基础上，完成受污染耕地的质量类别划分，开展受污染耕地成因排查和整改试点工作。</w:t>
            </w:r>
            <w:r>
              <w:rPr>
                <w:rFonts w:hint="default" w:ascii="Times New Roman" w:hAnsi="Times New Roman" w:eastAsia="宋体" w:cs="Times New Roman"/>
                <w:color w:val="auto"/>
                <w:kern w:val="0"/>
                <w:sz w:val="21"/>
                <w:szCs w:val="21"/>
                <w:highlight w:val="none"/>
                <w:u w:val="none"/>
                <w:vertAlign w:val="baseline"/>
                <w:lang w:val="en-US" w:eastAsia="zh-CN"/>
              </w:rPr>
              <w:br w:type="textWrapping"/>
            </w:r>
            <w:r>
              <w:rPr>
                <w:rFonts w:hint="default" w:ascii="Times New Roman" w:hAnsi="Times New Roman" w:eastAsia="宋体" w:cs="Times New Roman"/>
                <w:color w:val="auto"/>
                <w:kern w:val="0"/>
                <w:sz w:val="21"/>
                <w:szCs w:val="21"/>
                <w:highlight w:val="none"/>
                <w:u w:val="none"/>
                <w:vertAlign w:val="baseline"/>
                <w:lang w:val="en-US" w:eastAsia="zh-CN"/>
              </w:rPr>
              <w:t>（3.2）根据建设用地土壤环境调查评估及现有重金属污染场地调查结果，逐步建立污染地块名录及其开发利用的负面清单，合理确定土地用途。土地开发利用必须符合土壤环境质量要求。各部门在编制土地利用总体规划、城市总体规划、控制性详细规划等相关规划时，应充分考虑污染地块的环境风险，合理确定土地用途。制定实施受污染耕地安全利用方案，采取农艺调控、化学阻控、替代种植等措施，降低农产品重金属超标风险。暂时不能进行治理修复的污染地块，设置标志标识围栏，根据各地块的环境因地制宜采取建设撇洪导流沟渠、地表覆盖等措施减少雨水冲刷等风险管控措施。在未完成治理并通过验收前，不得用于农业、畜牧业以及工商业开发建设。</w:t>
            </w:r>
          </w:p>
        </w:tc>
        <w:tc>
          <w:tcPr>
            <w:tcW w:w="1704" w:type="dxa"/>
            <w:tcBorders>
              <w:tl2br w:val="nil"/>
              <w:tr2bl w:val="nil"/>
            </w:tcBorders>
            <w:noWrap w:val="0"/>
            <w:vAlign w:val="center"/>
          </w:tcPr>
          <w:p w14:paraId="06514A03">
            <w:pPr>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leftChars="0" w:right="0" w:rightChars="0" w:firstLine="0" w:firstLineChars="0"/>
              <w:jc w:val="left"/>
              <w:textAlignment w:val="auto"/>
              <w:rPr>
                <w:rFonts w:hint="default" w:ascii="Times New Roman" w:hAnsi="Times New Roman" w:eastAsia="宋体" w:cs="Times New Roman"/>
                <w:color w:val="auto"/>
                <w:kern w:val="0"/>
                <w:sz w:val="21"/>
                <w:szCs w:val="21"/>
                <w:highlight w:val="none"/>
                <w:u w:val="none"/>
                <w:vertAlign w:val="baseline"/>
                <w:lang w:val="en-US" w:eastAsia="zh-CN"/>
              </w:rPr>
            </w:pPr>
            <w:r>
              <w:rPr>
                <w:rFonts w:hint="default" w:ascii="Times New Roman" w:hAnsi="Times New Roman" w:eastAsia="宋体" w:cs="Times New Roman"/>
                <w:color w:val="auto"/>
                <w:kern w:val="0"/>
                <w:sz w:val="21"/>
                <w:szCs w:val="21"/>
                <w:highlight w:val="none"/>
                <w:u w:val="none"/>
                <w:vertAlign w:val="baseline"/>
                <w:lang w:val="en-US" w:eastAsia="zh-CN"/>
              </w:rPr>
              <w:t>本</w:t>
            </w:r>
            <w:r>
              <w:rPr>
                <w:rFonts w:hint="eastAsia" w:ascii="Times New Roman" w:hAnsi="Times New Roman" w:eastAsia="宋体" w:cs="Times New Roman"/>
                <w:color w:val="auto"/>
                <w:kern w:val="0"/>
                <w:sz w:val="21"/>
                <w:szCs w:val="21"/>
                <w:highlight w:val="none"/>
                <w:u w:val="none"/>
                <w:vertAlign w:val="baseline"/>
                <w:lang w:val="en-US" w:eastAsia="zh-CN"/>
              </w:rPr>
              <w:t>工程</w:t>
            </w:r>
            <w:r>
              <w:rPr>
                <w:rFonts w:hint="default" w:ascii="Times New Roman" w:hAnsi="Times New Roman" w:eastAsia="宋体" w:cs="Times New Roman"/>
                <w:color w:val="auto"/>
                <w:kern w:val="0"/>
                <w:sz w:val="21"/>
                <w:szCs w:val="21"/>
                <w:highlight w:val="none"/>
                <w:u w:val="none"/>
                <w:vertAlign w:val="baseline"/>
                <w:lang w:val="en-US" w:eastAsia="zh-CN"/>
              </w:rPr>
              <w:t>为风力发电，属于清洁能源，项目营运过程中无</w:t>
            </w:r>
            <w:r>
              <w:rPr>
                <w:rFonts w:hint="eastAsia" w:ascii="Times New Roman" w:hAnsi="Times New Roman" w:eastAsia="宋体" w:cs="Times New Roman"/>
                <w:color w:val="auto"/>
                <w:kern w:val="0"/>
                <w:sz w:val="21"/>
                <w:szCs w:val="21"/>
                <w:highlight w:val="none"/>
                <w:u w:val="none"/>
                <w:vertAlign w:val="baseline"/>
                <w:lang w:val="en-US" w:eastAsia="zh-CN"/>
              </w:rPr>
              <w:t>生产</w:t>
            </w:r>
            <w:r>
              <w:rPr>
                <w:rFonts w:hint="default" w:ascii="Times New Roman" w:hAnsi="Times New Roman" w:eastAsia="宋体" w:cs="Times New Roman"/>
                <w:color w:val="auto"/>
                <w:kern w:val="0"/>
                <w:sz w:val="21"/>
                <w:szCs w:val="21"/>
                <w:highlight w:val="none"/>
                <w:u w:val="none"/>
                <w:vertAlign w:val="baseline"/>
                <w:lang w:val="en-US" w:eastAsia="zh-CN"/>
              </w:rPr>
              <w:t>废水、</w:t>
            </w:r>
            <w:r>
              <w:rPr>
                <w:rFonts w:hint="eastAsia" w:cs="Times New Roman"/>
                <w:color w:val="auto"/>
                <w:kern w:val="0"/>
                <w:sz w:val="21"/>
                <w:szCs w:val="21"/>
                <w:highlight w:val="none"/>
                <w:u w:val="none"/>
                <w:vertAlign w:val="baseline"/>
                <w:lang w:val="en-US" w:eastAsia="zh-CN"/>
              </w:rPr>
              <w:t>工艺</w:t>
            </w:r>
            <w:r>
              <w:rPr>
                <w:rFonts w:hint="default" w:ascii="Times New Roman" w:hAnsi="Times New Roman" w:eastAsia="宋体" w:cs="Times New Roman"/>
                <w:color w:val="auto"/>
                <w:kern w:val="0"/>
                <w:sz w:val="21"/>
                <w:szCs w:val="21"/>
                <w:highlight w:val="none"/>
                <w:u w:val="none"/>
                <w:vertAlign w:val="baseline"/>
                <w:lang w:val="en-US" w:eastAsia="zh-CN"/>
              </w:rPr>
              <w:t>废气产生，项目生产过程中产生的危险废物（主要为废机油、废液压油</w:t>
            </w:r>
            <w:r>
              <w:rPr>
                <w:rFonts w:hint="eastAsia" w:ascii="Times New Roman" w:hAnsi="Times New Roman" w:eastAsia="宋体" w:cs="Times New Roman"/>
                <w:color w:val="auto"/>
                <w:kern w:val="0"/>
                <w:sz w:val="21"/>
                <w:szCs w:val="21"/>
                <w:highlight w:val="none"/>
                <w:u w:val="none"/>
                <w:vertAlign w:val="baseline"/>
                <w:lang w:val="en-US" w:eastAsia="zh-CN"/>
              </w:rPr>
              <w:t>、废铅</w:t>
            </w:r>
            <w:r>
              <w:rPr>
                <w:rFonts w:hint="eastAsia" w:cs="Times New Roman"/>
                <w:color w:val="auto"/>
                <w:kern w:val="0"/>
                <w:sz w:val="21"/>
                <w:szCs w:val="21"/>
                <w:highlight w:val="none"/>
                <w:u w:val="none"/>
                <w:vertAlign w:val="baseline"/>
                <w:lang w:val="en-US" w:eastAsia="zh-CN"/>
              </w:rPr>
              <w:t>铅蓄电池</w:t>
            </w:r>
            <w:r>
              <w:rPr>
                <w:rFonts w:hint="default" w:ascii="Times New Roman" w:hAnsi="Times New Roman" w:eastAsia="宋体" w:cs="Times New Roman"/>
                <w:color w:val="auto"/>
                <w:kern w:val="0"/>
                <w:sz w:val="21"/>
                <w:szCs w:val="21"/>
                <w:highlight w:val="none"/>
                <w:u w:val="none"/>
                <w:vertAlign w:val="baseline"/>
                <w:lang w:val="en-US" w:eastAsia="zh-CN"/>
              </w:rPr>
              <w:t>）在危废暂存间内分类暂存，并定期交由有资质单位处理，符合环境风险防控要求。</w:t>
            </w:r>
          </w:p>
        </w:tc>
      </w:tr>
      <w:tr w14:paraId="4A4B29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7" w:type="dxa"/>
            <w:tcBorders>
              <w:tl2br w:val="nil"/>
              <w:tr2bl w:val="nil"/>
            </w:tcBorders>
            <w:noWrap w:val="0"/>
            <w:vAlign w:val="center"/>
          </w:tcPr>
          <w:p w14:paraId="2DF1E3AC">
            <w:pPr>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u w:val="none"/>
                <w:vertAlign w:val="baseline"/>
                <w:lang w:val="en-US" w:eastAsia="zh-CN"/>
              </w:rPr>
            </w:pPr>
            <w:r>
              <w:rPr>
                <w:rFonts w:hint="default" w:ascii="Times New Roman" w:hAnsi="Times New Roman" w:eastAsia="宋体" w:cs="Times New Roman"/>
                <w:color w:val="auto"/>
                <w:kern w:val="0"/>
                <w:sz w:val="21"/>
                <w:szCs w:val="21"/>
                <w:highlight w:val="none"/>
                <w:u w:val="none"/>
                <w:vertAlign w:val="baseline"/>
                <w:lang w:val="en-US" w:eastAsia="zh-CN"/>
              </w:rPr>
              <w:t>资源开发效率要求</w:t>
            </w:r>
          </w:p>
        </w:tc>
        <w:tc>
          <w:tcPr>
            <w:tcW w:w="4099" w:type="dxa"/>
            <w:tcBorders>
              <w:tl2br w:val="nil"/>
              <w:tr2bl w:val="nil"/>
            </w:tcBorders>
            <w:noWrap w:val="0"/>
            <w:vAlign w:val="center"/>
          </w:tcPr>
          <w:p w14:paraId="7DBEBB6F">
            <w:pPr>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leftChars="0" w:right="0" w:rightChars="0" w:firstLine="0" w:firstLineChars="0"/>
              <w:jc w:val="left"/>
              <w:textAlignment w:val="auto"/>
              <w:rPr>
                <w:rFonts w:hint="default" w:ascii="Times New Roman" w:hAnsi="Times New Roman" w:eastAsia="宋体" w:cs="Times New Roman"/>
                <w:color w:val="auto"/>
                <w:kern w:val="0"/>
                <w:sz w:val="21"/>
                <w:szCs w:val="21"/>
                <w:highlight w:val="none"/>
                <w:u w:val="none"/>
                <w:vertAlign w:val="baseline"/>
                <w:lang w:val="en-US" w:eastAsia="zh-CN"/>
              </w:rPr>
            </w:pPr>
            <w:r>
              <w:rPr>
                <w:rFonts w:hint="default" w:ascii="Times New Roman" w:hAnsi="Times New Roman" w:eastAsia="宋体" w:cs="Times New Roman"/>
                <w:color w:val="auto"/>
                <w:kern w:val="0"/>
                <w:sz w:val="21"/>
                <w:szCs w:val="21"/>
                <w:highlight w:val="none"/>
                <w:u w:val="none"/>
                <w:vertAlign w:val="baseline"/>
                <w:lang w:val="en-US" w:eastAsia="zh-CN"/>
              </w:rPr>
              <w:t>（4.1）能源：强化节能环保标准约束，严格行业规范、准入管理和节能审查，对电力、钢铁、建材、有色、化工、石油石化、煤炭、造纸等行业中，环保、能耗、安全等不达标或生产、使用淘汰类产品的企业和产能，依法依规改造升级或有序退出。推广使用优质煤、洁净型煤，推进煤改气、煤改电，鼓励利用可再生能源、天然气、电力等优质能源替代燃煤使用。</w:t>
            </w:r>
            <w:r>
              <w:rPr>
                <w:rFonts w:hint="default" w:ascii="Times New Roman" w:hAnsi="Times New Roman" w:eastAsia="宋体" w:cs="Times New Roman"/>
                <w:color w:val="auto"/>
                <w:kern w:val="0"/>
                <w:sz w:val="21"/>
                <w:szCs w:val="21"/>
                <w:highlight w:val="none"/>
                <w:u w:val="none"/>
                <w:vertAlign w:val="baseline"/>
                <w:lang w:val="en-US" w:eastAsia="zh-CN"/>
              </w:rPr>
              <w:br w:type="textWrapping"/>
            </w:r>
            <w:r>
              <w:rPr>
                <w:rFonts w:hint="default" w:ascii="Times New Roman" w:hAnsi="Times New Roman" w:eastAsia="宋体" w:cs="Times New Roman"/>
                <w:color w:val="auto"/>
                <w:kern w:val="0"/>
                <w:sz w:val="21"/>
                <w:szCs w:val="21"/>
                <w:highlight w:val="none"/>
                <w:u w:val="none"/>
                <w:vertAlign w:val="baseline"/>
                <w:lang w:val="en-US" w:eastAsia="zh-CN"/>
              </w:rPr>
              <w:t>（4.2）水资源：大力推进农业、工业、城镇节水，全面推进节水型社会建设。</w:t>
            </w:r>
          </w:p>
        </w:tc>
        <w:tc>
          <w:tcPr>
            <w:tcW w:w="1704" w:type="dxa"/>
            <w:tcBorders>
              <w:tl2br w:val="nil"/>
              <w:tr2bl w:val="nil"/>
            </w:tcBorders>
            <w:noWrap w:val="0"/>
            <w:vAlign w:val="center"/>
          </w:tcPr>
          <w:p w14:paraId="613132EE">
            <w:pPr>
              <w:keepNext w:val="0"/>
              <w:keepLines w:val="0"/>
              <w:pageBreakBefore w:val="0"/>
              <w:widowControl w:val="0"/>
              <w:numPr>
                <w:ilvl w:val="0"/>
                <w:numId w:val="0"/>
              </w:numPr>
              <w:kinsoku/>
              <w:wordWrap/>
              <w:overflowPunct/>
              <w:topLinePunct w:val="0"/>
              <w:autoSpaceDE w:val="0"/>
              <w:autoSpaceDN w:val="0"/>
              <w:bidi w:val="0"/>
              <w:adjustRightInd w:val="0"/>
              <w:snapToGrid w:val="0"/>
              <w:spacing w:line="240" w:lineRule="auto"/>
              <w:ind w:left="0" w:leftChars="0" w:right="0" w:rightChars="0" w:firstLine="0" w:firstLineChars="0"/>
              <w:jc w:val="left"/>
              <w:textAlignment w:val="auto"/>
              <w:rPr>
                <w:rFonts w:hint="default" w:ascii="Times New Roman" w:hAnsi="Times New Roman" w:eastAsia="宋体" w:cs="Times New Roman"/>
                <w:color w:val="auto"/>
                <w:kern w:val="0"/>
                <w:sz w:val="21"/>
                <w:szCs w:val="21"/>
                <w:highlight w:val="none"/>
                <w:u w:val="none"/>
                <w:vertAlign w:val="baseline"/>
                <w:lang w:val="en-US" w:eastAsia="zh-CN"/>
              </w:rPr>
            </w:pPr>
            <w:r>
              <w:rPr>
                <w:rFonts w:hint="default" w:ascii="Times New Roman" w:hAnsi="Times New Roman" w:eastAsia="宋体" w:cs="Times New Roman"/>
                <w:color w:val="auto"/>
                <w:kern w:val="0"/>
                <w:sz w:val="21"/>
                <w:szCs w:val="21"/>
                <w:highlight w:val="none"/>
                <w:u w:val="none"/>
                <w:vertAlign w:val="baseline"/>
                <w:lang w:val="en-US" w:eastAsia="zh-CN"/>
              </w:rPr>
              <w:t>本</w:t>
            </w:r>
            <w:r>
              <w:rPr>
                <w:rFonts w:hint="eastAsia" w:ascii="Times New Roman" w:hAnsi="Times New Roman" w:eastAsia="宋体" w:cs="Times New Roman"/>
                <w:color w:val="auto"/>
                <w:kern w:val="0"/>
                <w:sz w:val="21"/>
                <w:szCs w:val="21"/>
                <w:highlight w:val="none"/>
                <w:u w:val="none"/>
                <w:vertAlign w:val="baseline"/>
                <w:lang w:val="en-US" w:eastAsia="zh-CN"/>
              </w:rPr>
              <w:t>工程</w:t>
            </w:r>
            <w:r>
              <w:rPr>
                <w:rFonts w:hint="default" w:ascii="Times New Roman" w:hAnsi="Times New Roman" w:eastAsia="宋体" w:cs="Times New Roman"/>
                <w:color w:val="auto"/>
                <w:kern w:val="0"/>
                <w:sz w:val="21"/>
                <w:szCs w:val="21"/>
                <w:highlight w:val="none"/>
                <w:u w:val="none"/>
                <w:vertAlign w:val="baseline"/>
                <w:lang w:val="en-US" w:eastAsia="zh-CN"/>
              </w:rPr>
              <w:t>为风力发电，属于清洁能源，发电过程中不产生废水、余热等；项目科学布局，合理开发风力资源，符合资源开发效率要求。</w:t>
            </w:r>
          </w:p>
        </w:tc>
      </w:tr>
    </w:tbl>
    <w:p w14:paraId="19B7945B">
      <w:pPr>
        <w:pStyle w:val="5"/>
        <w:bidi w:val="0"/>
        <w:rPr>
          <w:rFonts w:hint="default" w:ascii="Times New Roman" w:hAnsi="Times New Roman" w:cs="Times New Roman"/>
          <w:color w:val="auto"/>
          <w:highlight w:val="none"/>
        </w:rPr>
      </w:pPr>
      <w:bookmarkStart w:id="34" w:name="_Toc20082"/>
      <w:r>
        <w:rPr>
          <w:rFonts w:hint="eastAsia" w:cs="Times New Roman"/>
          <w:color w:val="auto"/>
          <w:highlight w:val="none"/>
          <w:lang w:eastAsia="zh-CN"/>
        </w:rPr>
        <w:t>环境制约因素及解决方案</w:t>
      </w:r>
    </w:p>
    <w:p w14:paraId="14D66EAF">
      <w:pPr>
        <w:pStyle w:val="6"/>
        <w:bidi w:val="0"/>
        <w:rPr>
          <w:rFonts w:hint="default" w:ascii="Times New Roman" w:hAnsi="Times New Roman" w:eastAsia="宋体" w:cs="Times New Roman"/>
          <w:color w:val="auto"/>
          <w:highlight w:val="none"/>
          <w:lang w:eastAsia="zh-CN"/>
        </w:rPr>
      </w:pPr>
      <w:r>
        <w:rPr>
          <w:rFonts w:hint="eastAsia" w:cs="Times New Roman"/>
          <w:color w:val="auto"/>
          <w:highlight w:val="none"/>
          <w:lang w:eastAsia="zh-CN"/>
        </w:rPr>
        <w:t>衡阳县三阳自然保护区</w:t>
      </w:r>
    </w:p>
    <w:p w14:paraId="48F832ED">
      <w:pPr>
        <w:numPr>
          <w:ilvl w:val="0"/>
          <w:numId w:val="3"/>
        </w:numPr>
        <w:rPr>
          <w:rFonts w:hint="eastAsia" w:cs="Times New Roman"/>
          <w:b/>
          <w:bCs/>
          <w:lang w:val="en-US" w:eastAsia="zh-CN"/>
        </w:rPr>
      </w:pPr>
      <w:r>
        <w:rPr>
          <w:rFonts w:hint="eastAsia" w:cs="Times New Roman"/>
          <w:b/>
          <w:bCs/>
          <w:lang w:val="en-US" w:eastAsia="zh-CN"/>
        </w:rPr>
        <w:t>制约因素</w:t>
      </w:r>
    </w:p>
    <w:p w14:paraId="4A4BDDFE">
      <w:pPr>
        <w:numPr>
          <w:ilvl w:val="-1"/>
          <w:numId w:val="0"/>
        </w:numPr>
        <w:ind w:firstLine="480" w:firstLineChars="200"/>
        <w:rPr>
          <w:rFonts w:hint="default" w:ascii="Times New Roman" w:hAnsi="Times New Roman" w:eastAsia="宋体" w:cs="Times New Roman"/>
          <w:lang w:val="en-US" w:eastAsia="zh-CN"/>
        </w:rPr>
      </w:pPr>
      <w:r>
        <w:rPr>
          <w:rFonts w:hint="eastAsia" w:cs="Times New Roman"/>
          <w:lang w:val="en-US" w:eastAsia="zh-CN"/>
        </w:rPr>
        <w:t>本工程不位于、</w:t>
      </w:r>
      <w:r>
        <w:rPr>
          <w:rFonts w:hint="eastAsia"/>
          <w:color w:val="auto"/>
          <w:highlight w:val="none"/>
          <w:lang w:val="en-US" w:eastAsia="zh-CN"/>
        </w:rPr>
        <w:t>穿越、跨越衡阳县三阳自然保护区，工程17#风机附近的场内道路临近自然保护区胡井实验区，最近距离52m；Z12渣场距离胡井实验区边界413m；此外水平距离较近的风机位为17#风机（125m）、18#风机（455m）、19#风机（142m），该3个机位与自然保护区水平距离在500m范围内，与自然保护区之间有山脊线相隔。</w:t>
      </w:r>
    </w:p>
    <w:p w14:paraId="3810D064">
      <w:pPr>
        <w:numPr>
          <w:ilvl w:val="0"/>
          <w:numId w:val="3"/>
        </w:numPr>
        <w:rPr>
          <w:rFonts w:hint="eastAsia" w:cs="Times New Roman"/>
          <w:b/>
          <w:bCs/>
          <w:lang w:val="en-US" w:eastAsia="zh-CN"/>
        </w:rPr>
      </w:pPr>
      <w:r>
        <w:rPr>
          <w:rFonts w:hint="eastAsia" w:cs="Times New Roman"/>
          <w:b/>
          <w:bCs/>
          <w:lang w:val="en-US" w:eastAsia="zh-CN"/>
        </w:rPr>
        <w:t>解决方案</w:t>
      </w:r>
    </w:p>
    <w:p w14:paraId="0DC676AC">
      <w:pPr>
        <w:keepNext w:val="0"/>
        <w:keepLines w:val="0"/>
        <w:widowControl/>
        <w:suppressLineNumbers w:val="0"/>
        <w:jc w:val="left"/>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经分析，项目施工对自然保护区景观、动植物资源影响较小。本次评价针对性地提出了合理安排工期，优化施工布置等工程措施，制定工程施工操作规范，建立管理制度，规范施工等工程技术和管理措施减缓影响；针对性地提出了适地适树等生态补偿恢复措施。</w:t>
      </w:r>
    </w:p>
    <w:p w14:paraId="5817D4DE">
      <w:pPr>
        <w:keepNext w:val="0"/>
        <w:keepLines w:val="0"/>
        <w:widowControl/>
        <w:suppressLineNumbers w:val="0"/>
        <w:jc w:val="left"/>
      </w:pPr>
      <w:r>
        <w:rPr>
          <w:rFonts w:hint="eastAsia" w:ascii="宋体" w:hAnsi="宋体" w:eastAsia="宋体" w:cs="宋体"/>
          <w:color w:val="000000"/>
          <w:kern w:val="0"/>
          <w:sz w:val="24"/>
          <w:szCs w:val="24"/>
          <w:lang w:val="en-US" w:eastAsia="zh-CN" w:bidi="ar"/>
        </w:rPr>
        <w:t>工程不占用自然保护区土地，且确认风机安装场地、临时弃渣堆土等均不占用保护区地界。本项目全部工程都位于祁东县境内，在确保规范施工和运营管理的前提下，工程施工和后期运营不会对县界外占地造成影响。为进一步确保本工程不会对县界外环境造成影响，建设单位应严格划定施工边界，确保不会发生越界施工的现象。</w:t>
      </w:r>
    </w:p>
    <w:p w14:paraId="072A622D">
      <w:pPr>
        <w:pStyle w:val="6"/>
        <w:bidi w:val="0"/>
        <w:rPr>
          <w:rFonts w:hint="default" w:ascii="Times New Roman" w:hAnsi="Times New Roman" w:eastAsia="宋体" w:cs="Times New Roman"/>
          <w:color w:val="auto"/>
          <w:highlight w:val="none"/>
          <w:lang w:eastAsia="zh-CN"/>
        </w:rPr>
      </w:pPr>
      <w:r>
        <w:rPr>
          <w:rFonts w:hint="eastAsia" w:cs="Times New Roman"/>
          <w:color w:val="auto"/>
          <w:highlight w:val="none"/>
          <w:lang w:eastAsia="zh-CN"/>
        </w:rPr>
        <w:t>祁东县鸟类迁徙通道</w:t>
      </w:r>
    </w:p>
    <w:p w14:paraId="34AAECD2">
      <w:pPr>
        <w:numPr>
          <w:ilvl w:val="0"/>
          <w:numId w:val="4"/>
        </w:numPr>
        <w:rPr>
          <w:rFonts w:hint="eastAsia" w:cs="Times New Roman"/>
          <w:b/>
          <w:bCs/>
          <w:lang w:val="en-US" w:eastAsia="zh-CN"/>
        </w:rPr>
      </w:pPr>
      <w:r>
        <w:rPr>
          <w:rFonts w:hint="eastAsia" w:cs="Times New Roman"/>
          <w:b/>
          <w:bCs/>
          <w:lang w:val="en-US" w:eastAsia="zh-CN"/>
        </w:rPr>
        <w:t>制约因素</w:t>
      </w:r>
    </w:p>
    <w:p w14:paraId="1819863C">
      <w:pPr>
        <w:numPr>
          <w:ilvl w:val="-1"/>
          <w:numId w:val="0"/>
        </w:numPr>
        <w:ind w:firstLine="480" w:firstLineChars="200"/>
        <w:rPr>
          <w:rFonts w:hint="eastAsia" w:cs="Times New Roman"/>
          <w:lang w:val="en-US" w:eastAsia="zh-CN"/>
        </w:rPr>
      </w:pPr>
      <w:r>
        <w:rPr>
          <w:rFonts w:hint="eastAsia" w:cs="Times New Roman"/>
          <w:lang w:val="en-US" w:eastAsia="zh-CN"/>
        </w:rPr>
        <w:t>根据《祁东县南冲100MW风电项目对鸟类影响评价专题报告》（湖南林氏生态园林有限公司，2023年8月），马杜桥乡有一条祁东县的鸟类次要迁徙通道（N26°55′01″；E111°57′24″；海拔220m），本项目距离该通道最近的是10#风机位（26°56′59.62″，111°57′36.28″，海拔430m），两者的直线距离约为1.07km，海拔高程相差210m。</w:t>
      </w:r>
    </w:p>
    <w:p w14:paraId="09122385">
      <w:pPr>
        <w:numPr>
          <w:ilvl w:val="0"/>
          <w:numId w:val="4"/>
        </w:numPr>
        <w:rPr>
          <w:rFonts w:hint="eastAsia" w:cs="Times New Roman"/>
          <w:b/>
          <w:bCs/>
          <w:lang w:val="en-US" w:eastAsia="zh-CN"/>
        </w:rPr>
      </w:pPr>
      <w:r>
        <w:rPr>
          <w:rFonts w:hint="eastAsia" w:cs="Times New Roman"/>
          <w:b/>
          <w:bCs/>
          <w:lang w:val="en-US" w:eastAsia="zh-CN"/>
        </w:rPr>
        <w:t>解决方案</w:t>
      </w:r>
    </w:p>
    <w:p w14:paraId="166C444D">
      <w:pPr>
        <w:adjustRightInd w:val="0"/>
        <w:snapToGrid w:val="0"/>
        <w:spacing w:line="360" w:lineRule="auto"/>
        <w:ind w:firstLine="480" w:firstLineChars="200"/>
        <w:jc w:val="left"/>
        <w:rPr>
          <w:color w:val="auto"/>
          <w:sz w:val="24"/>
          <w:highlight w:val="none"/>
        </w:rPr>
      </w:pPr>
      <w:r>
        <w:rPr>
          <w:color w:val="auto"/>
          <w:sz w:val="24"/>
          <w:highlight w:val="none"/>
        </w:rPr>
        <w:fldChar w:fldCharType="begin"/>
      </w:r>
      <w:r>
        <w:rPr>
          <w:color w:val="auto"/>
          <w:sz w:val="24"/>
          <w:highlight w:val="none"/>
        </w:rPr>
        <w:instrText xml:space="preserve"> </w:instrText>
      </w:r>
      <w:r>
        <w:rPr>
          <w:rFonts w:hint="eastAsia"/>
          <w:color w:val="auto"/>
          <w:sz w:val="24"/>
          <w:highlight w:val="none"/>
        </w:rPr>
        <w:instrText xml:space="preserve">= 1 \* GB3</w:instrText>
      </w:r>
      <w:r>
        <w:rPr>
          <w:color w:val="auto"/>
          <w:sz w:val="24"/>
          <w:highlight w:val="none"/>
        </w:rPr>
        <w:instrText xml:space="preserve"> </w:instrText>
      </w:r>
      <w:r>
        <w:rPr>
          <w:color w:val="auto"/>
          <w:sz w:val="24"/>
          <w:highlight w:val="none"/>
        </w:rPr>
        <w:fldChar w:fldCharType="separate"/>
      </w:r>
      <w:r>
        <w:rPr>
          <w:rFonts w:hint="eastAsia"/>
          <w:color w:val="auto"/>
          <w:sz w:val="24"/>
          <w:highlight w:val="none"/>
        </w:rPr>
        <w:t>①</w:t>
      </w:r>
      <w:r>
        <w:rPr>
          <w:color w:val="auto"/>
          <w:sz w:val="24"/>
          <w:highlight w:val="none"/>
        </w:rPr>
        <w:fldChar w:fldCharType="end"/>
      </w:r>
      <w:r>
        <w:rPr>
          <w:color w:val="auto"/>
          <w:sz w:val="24"/>
          <w:highlight w:val="none"/>
        </w:rPr>
        <w:t>加强在运营期的鸟类监测活动，采用人工观测记录或者红外监控系统进行观测鸟类迁徙活动。根据鸟类观测结果，在发现大量鸟类迁徙的情况下关闭可能威胁到鸟类迁徙的风机，避免迁徙鸟类撞击风机叶片。</w:t>
      </w:r>
    </w:p>
    <w:p w14:paraId="06E4ED4C">
      <w:pPr>
        <w:adjustRightInd w:val="0"/>
        <w:snapToGrid w:val="0"/>
        <w:spacing w:line="360" w:lineRule="auto"/>
        <w:ind w:firstLine="480" w:firstLineChars="200"/>
        <w:jc w:val="left"/>
        <w:rPr>
          <w:color w:val="auto"/>
          <w:sz w:val="24"/>
          <w:highlight w:val="none"/>
        </w:rPr>
      </w:pPr>
      <w:r>
        <w:rPr>
          <w:color w:val="auto"/>
          <w:sz w:val="24"/>
          <w:highlight w:val="none"/>
        </w:rPr>
        <w:fldChar w:fldCharType="begin"/>
      </w:r>
      <w:r>
        <w:rPr>
          <w:color w:val="auto"/>
          <w:sz w:val="24"/>
          <w:highlight w:val="none"/>
        </w:rPr>
        <w:instrText xml:space="preserve"> </w:instrText>
      </w:r>
      <w:r>
        <w:rPr>
          <w:rFonts w:hint="eastAsia"/>
          <w:color w:val="auto"/>
          <w:sz w:val="24"/>
          <w:highlight w:val="none"/>
        </w:rPr>
        <w:instrText xml:space="preserve">= 2 \* GB3</w:instrText>
      </w:r>
      <w:r>
        <w:rPr>
          <w:color w:val="auto"/>
          <w:sz w:val="24"/>
          <w:highlight w:val="none"/>
        </w:rPr>
        <w:instrText xml:space="preserve"> </w:instrText>
      </w:r>
      <w:r>
        <w:rPr>
          <w:color w:val="auto"/>
          <w:sz w:val="24"/>
          <w:highlight w:val="none"/>
        </w:rPr>
        <w:fldChar w:fldCharType="separate"/>
      </w:r>
      <w:r>
        <w:rPr>
          <w:rFonts w:hint="eastAsia"/>
          <w:color w:val="auto"/>
          <w:sz w:val="24"/>
          <w:highlight w:val="none"/>
        </w:rPr>
        <w:t>②</w:t>
      </w:r>
      <w:r>
        <w:rPr>
          <w:color w:val="auto"/>
          <w:sz w:val="24"/>
          <w:highlight w:val="none"/>
        </w:rPr>
        <w:fldChar w:fldCharType="end"/>
      </w:r>
      <w:r>
        <w:rPr>
          <w:color w:val="auto"/>
          <w:sz w:val="24"/>
          <w:highlight w:val="none"/>
        </w:rPr>
        <w:t>在鸟类观测站配备相应的鸟类救护设备，对巡护人员进行基础救护培训，加强巡护过程中对鸟类的救护，鸟类伤势严重的情况下及时送往野保站进行救护。</w:t>
      </w:r>
    </w:p>
    <w:p w14:paraId="0D9D189F">
      <w:pPr>
        <w:adjustRightInd w:val="0"/>
        <w:snapToGrid w:val="0"/>
        <w:spacing w:line="360" w:lineRule="auto"/>
        <w:ind w:firstLine="480" w:firstLineChars="200"/>
        <w:jc w:val="left"/>
        <w:rPr>
          <w:color w:val="auto"/>
          <w:sz w:val="24"/>
          <w:highlight w:val="none"/>
        </w:rPr>
      </w:pPr>
      <w:r>
        <w:rPr>
          <w:color w:val="auto"/>
          <w:sz w:val="24"/>
          <w:highlight w:val="none"/>
        </w:rPr>
        <w:fldChar w:fldCharType="begin"/>
      </w:r>
      <w:r>
        <w:rPr>
          <w:color w:val="auto"/>
          <w:sz w:val="24"/>
          <w:highlight w:val="none"/>
        </w:rPr>
        <w:instrText xml:space="preserve"> </w:instrText>
      </w:r>
      <w:r>
        <w:rPr>
          <w:rFonts w:hint="eastAsia"/>
          <w:color w:val="auto"/>
          <w:sz w:val="24"/>
          <w:highlight w:val="none"/>
        </w:rPr>
        <w:instrText xml:space="preserve">= 3 \* GB3</w:instrText>
      </w:r>
      <w:r>
        <w:rPr>
          <w:color w:val="auto"/>
          <w:sz w:val="24"/>
          <w:highlight w:val="none"/>
        </w:rPr>
        <w:instrText xml:space="preserve"> </w:instrText>
      </w:r>
      <w:r>
        <w:rPr>
          <w:color w:val="auto"/>
          <w:sz w:val="24"/>
          <w:highlight w:val="none"/>
        </w:rPr>
        <w:fldChar w:fldCharType="separate"/>
      </w:r>
      <w:r>
        <w:rPr>
          <w:rFonts w:hint="eastAsia"/>
          <w:color w:val="auto"/>
          <w:sz w:val="24"/>
          <w:highlight w:val="none"/>
        </w:rPr>
        <w:t>③</w:t>
      </w:r>
      <w:r>
        <w:rPr>
          <w:color w:val="auto"/>
          <w:sz w:val="24"/>
          <w:highlight w:val="none"/>
        </w:rPr>
        <w:fldChar w:fldCharType="end"/>
      </w:r>
      <w:r>
        <w:rPr>
          <w:color w:val="auto"/>
          <w:sz w:val="24"/>
          <w:highlight w:val="none"/>
        </w:rPr>
        <w:t>提高鸟类对风电机敏感性，在风机的叶片上涂上能吸引鸟类注意力的反射紫外线涂层或鲜艳颜色，如红色、橙色等，提高鸟类的注意力，避免白天鸟类撞击风机。</w:t>
      </w:r>
    </w:p>
    <w:p w14:paraId="794EE7CD">
      <w:pPr>
        <w:numPr>
          <w:ilvl w:val="-1"/>
          <w:numId w:val="0"/>
        </w:numPr>
        <w:ind w:firstLine="480" w:firstLineChars="200"/>
        <w:rPr>
          <w:rFonts w:hint="eastAsia" w:ascii="Times New Roman" w:hAnsi="Times New Roman" w:eastAsia="宋体" w:cs="Times New Roman"/>
          <w:lang w:val="en-US" w:eastAsia="zh-CN"/>
        </w:rPr>
      </w:pPr>
      <w:r>
        <w:rPr>
          <w:rFonts w:hint="eastAsia"/>
          <w:color w:val="auto"/>
          <w:sz w:val="24"/>
          <w:highlight w:val="none"/>
          <w:lang w:eastAsia="zh-CN"/>
        </w:rPr>
        <w:t>④</w:t>
      </w:r>
      <w:r>
        <w:rPr>
          <w:rFonts w:hint="eastAsia"/>
          <w:color w:val="auto"/>
          <w:sz w:val="24"/>
          <w:highlight w:val="none"/>
        </w:rPr>
        <w:t>建议NC10</w:t>
      </w:r>
      <w:r>
        <w:rPr>
          <w:rFonts w:hint="eastAsia"/>
          <w:color w:val="auto"/>
          <w:sz w:val="24"/>
          <w:highlight w:val="none"/>
          <w:lang w:eastAsia="zh-CN"/>
        </w:rPr>
        <w:t>机位附近</w:t>
      </w:r>
      <w:r>
        <w:rPr>
          <w:rFonts w:hint="eastAsia"/>
          <w:color w:val="auto"/>
          <w:sz w:val="24"/>
          <w:highlight w:val="none"/>
        </w:rPr>
        <w:t>配备驱鸟设施；并加强巡查观测，如候鸟迁徙高峰期、气象条件差的时段有大群候鸟跨越风电场机位区，立即停机。</w:t>
      </w:r>
    </w:p>
    <w:p w14:paraId="7E8AEAFD">
      <w:pPr>
        <w:pStyle w:val="5"/>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选址</w:t>
      </w:r>
      <w:r>
        <w:rPr>
          <w:rFonts w:hint="default" w:ascii="Times New Roman" w:hAnsi="Times New Roman" w:eastAsia="宋体" w:cs="Times New Roman"/>
          <w:color w:val="auto"/>
          <w:highlight w:val="none"/>
          <w:lang w:val="en-US" w:eastAsia="zh-CN"/>
        </w:rPr>
        <w:t>可行性</w:t>
      </w:r>
      <w:r>
        <w:rPr>
          <w:rFonts w:hint="default" w:ascii="Times New Roman" w:hAnsi="Times New Roman" w:cs="Times New Roman"/>
          <w:color w:val="auto"/>
          <w:highlight w:val="none"/>
        </w:rPr>
        <w:t>分析</w:t>
      </w:r>
      <w:bookmarkEnd w:id="34"/>
    </w:p>
    <w:p w14:paraId="35AA5CBF">
      <w:pPr>
        <w:spacing w:line="360" w:lineRule="auto"/>
        <w:ind w:firstLine="504" w:firstLineChars="200"/>
        <w:rPr>
          <w:bCs/>
          <w:color w:val="auto"/>
          <w:spacing w:val="6"/>
          <w:sz w:val="24"/>
          <w:highlight w:val="none"/>
        </w:rPr>
      </w:pPr>
      <w:r>
        <w:rPr>
          <w:bCs/>
          <w:color w:val="auto"/>
          <w:spacing w:val="6"/>
          <w:sz w:val="24"/>
          <w:highlight w:val="none"/>
        </w:rPr>
        <w:t>本项目位于湖南省</w:t>
      </w:r>
      <w:r>
        <w:rPr>
          <w:rFonts w:hint="eastAsia"/>
          <w:bCs/>
          <w:color w:val="auto"/>
          <w:spacing w:val="6"/>
          <w:sz w:val="24"/>
          <w:highlight w:val="none"/>
          <w:lang w:eastAsia="zh-CN"/>
        </w:rPr>
        <w:t>衡阳市祁东县黄土铺镇和马杜桥乡</w:t>
      </w:r>
      <w:r>
        <w:rPr>
          <w:bCs/>
          <w:color w:val="auto"/>
          <w:spacing w:val="6"/>
          <w:sz w:val="24"/>
          <w:highlight w:val="none"/>
        </w:rPr>
        <w:t>一带，</w:t>
      </w:r>
      <w:r>
        <w:rPr>
          <w:rFonts w:hint="eastAsia" w:ascii="Times New Roman" w:hAnsi="Times New Roman" w:cs="Times New Roman"/>
          <w:color w:val="auto"/>
          <w:kern w:val="0"/>
          <w:sz w:val="24"/>
          <w:szCs w:val="24"/>
          <w:highlight w:val="none"/>
          <w:lang w:eastAsia="zh-CN"/>
        </w:rPr>
        <w:t>场址中部</w:t>
      </w:r>
      <w:r>
        <w:rPr>
          <w:rFonts w:hint="eastAsia" w:ascii="Times New Roman" w:hAnsi="Times New Roman" w:cs="Times New Roman"/>
          <w:color w:val="auto"/>
          <w:kern w:val="0"/>
          <w:sz w:val="24"/>
          <w:szCs w:val="24"/>
          <w:highlight w:val="none"/>
          <w:lang w:val="en-US" w:eastAsia="zh-CN"/>
        </w:rPr>
        <w:t>12#机位</w:t>
      </w:r>
      <w:r>
        <w:rPr>
          <w:rFonts w:hint="eastAsia" w:ascii="Times New Roman" w:hAnsi="Times New Roman" w:cs="Times New Roman"/>
          <w:color w:val="auto"/>
          <w:kern w:val="0"/>
          <w:sz w:val="24"/>
          <w:szCs w:val="24"/>
          <w:highlight w:val="none"/>
          <w:lang w:eastAsia="zh-CN"/>
        </w:rPr>
        <w:t>坐标为：</w:t>
      </w:r>
      <w:r>
        <w:rPr>
          <w:rFonts w:hint="eastAsia" w:ascii="Times New Roman" w:hAnsi="Times New Roman" w:cs="Times New Roman"/>
          <w:color w:val="auto"/>
          <w:kern w:val="0"/>
          <w:sz w:val="24"/>
          <w:szCs w:val="24"/>
          <w:highlight w:val="none"/>
          <w:lang w:val="en-US" w:eastAsia="zh-CN"/>
        </w:rPr>
        <w:t>N26°55′01″；E111°57′24″，</w:t>
      </w:r>
      <w:r>
        <w:rPr>
          <w:bCs/>
          <w:color w:val="auto"/>
          <w:spacing w:val="6"/>
          <w:sz w:val="24"/>
          <w:highlight w:val="none"/>
        </w:rPr>
        <w:t>海拔高程在</w:t>
      </w:r>
      <w:r>
        <w:rPr>
          <w:rFonts w:hint="eastAsia"/>
          <w:bCs/>
          <w:color w:val="auto"/>
          <w:spacing w:val="6"/>
          <w:sz w:val="24"/>
          <w:highlight w:val="none"/>
          <w:lang w:val="en-US" w:eastAsia="zh-CN"/>
        </w:rPr>
        <w:t>400</w:t>
      </w:r>
      <w:r>
        <w:rPr>
          <w:bCs/>
          <w:color w:val="auto"/>
          <w:spacing w:val="6"/>
          <w:sz w:val="24"/>
          <w:highlight w:val="none"/>
        </w:rPr>
        <w:t>～</w:t>
      </w:r>
      <w:r>
        <w:rPr>
          <w:rFonts w:hint="eastAsia"/>
          <w:bCs/>
          <w:color w:val="auto"/>
          <w:spacing w:val="6"/>
          <w:sz w:val="24"/>
          <w:highlight w:val="none"/>
          <w:lang w:val="en-US" w:eastAsia="zh-CN"/>
        </w:rPr>
        <w:t>65</w:t>
      </w:r>
      <w:r>
        <w:rPr>
          <w:bCs/>
          <w:color w:val="auto"/>
          <w:spacing w:val="6"/>
          <w:sz w:val="24"/>
          <w:highlight w:val="none"/>
        </w:rPr>
        <w:t>0m之间，本风电场工程规模为</w:t>
      </w:r>
      <w:r>
        <w:rPr>
          <w:rFonts w:hint="eastAsia"/>
          <w:bCs/>
          <w:color w:val="auto"/>
          <w:spacing w:val="6"/>
          <w:sz w:val="24"/>
          <w:highlight w:val="none"/>
        </w:rPr>
        <w:t>中</w:t>
      </w:r>
      <w:r>
        <w:rPr>
          <w:bCs/>
          <w:color w:val="auto"/>
          <w:spacing w:val="6"/>
          <w:sz w:val="24"/>
          <w:highlight w:val="none"/>
        </w:rPr>
        <w:t>型。根据区域地质资料显示，场址区域地震基本烈度Ⅵ度，拟建场地处于稳定地块内</w:t>
      </w:r>
      <w:r>
        <w:rPr>
          <w:rFonts w:hint="eastAsia"/>
          <w:bCs/>
          <w:color w:val="auto"/>
          <w:spacing w:val="6"/>
          <w:sz w:val="24"/>
          <w:highlight w:val="none"/>
        </w:rPr>
        <w:t>，</w:t>
      </w:r>
      <w:r>
        <w:rPr>
          <w:color w:val="auto"/>
          <w:spacing w:val="-4"/>
          <w:sz w:val="24"/>
          <w:highlight w:val="none"/>
        </w:rPr>
        <w:t>地质条件</w:t>
      </w:r>
      <w:r>
        <w:rPr>
          <w:bCs/>
          <w:color w:val="auto"/>
          <w:spacing w:val="6"/>
          <w:sz w:val="24"/>
          <w:highlight w:val="none"/>
        </w:rPr>
        <w:t>稳定</w:t>
      </w:r>
      <w:r>
        <w:rPr>
          <w:rFonts w:hint="eastAsia"/>
          <w:bCs/>
          <w:color w:val="auto"/>
          <w:spacing w:val="6"/>
          <w:sz w:val="24"/>
          <w:highlight w:val="none"/>
        </w:rPr>
        <w:t>。</w:t>
      </w:r>
    </w:p>
    <w:p w14:paraId="43217F26">
      <w:pPr>
        <w:spacing w:line="360" w:lineRule="auto"/>
        <w:ind w:firstLine="504" w:firstLineChars="200"/>
        <w:jc w:val="left"/>
        <w:rPr>
          <w:bCs/>
          <w:color w:val="auto"/>
          <w:spacing w:val="6"/>
          <w:sz w:val="24"/>
          <w:highlight w:val="none"/>
        </w:rPr>
      </w:pPr>
      <w:r>
        <w:rPr>
          <w:bCs/>
          <w:color w:val="auto"/>
          <w:spacing w:val="6"/>
          <w:sz w:val="24"/>
          <w:highlight w:val="none"/>
        </w:rPr>
        <w:t>根据</w:t>
      </w:r>
      <w:r>
        <w:rPr>
          <w:rFonts w:hint="eastAsia"/>
          <w:bCs/>
          <w:color w:val="auto"/>
          <w:spacing w:val="6"/>
          <w:sz w:val="24"/>
          <w:highlight w:val="none"/>
        </w:rPr>
        <w:t>湖南省自然资源厅关于《祁东县南冲风电场（大马二期）建设项目压覆重要矿产资源查询情况的说明》</w:t>
      </w:r>
      <w:r>
        <w:rPr>
          <w:rFonts w:hint="eastAsia"/>
          <w:bCs/>
          <w:color w:val="auto"/>
          <w:spacing w:val="6"/>
          <w:sz w:val="24"/>
          <w:highlight w:val="none"/>
          <w:lang w:eastAsia="zh-CN"/>
        </w:rPr>
        <w:t>（附件</w:t>
      </w:r>
      <w:r>
        <w:rPr>
          <w:rFonts w:hint="eastAsia"/>
          <w:bCs/>
          <w:color w:val="auto"/>
          <w:spacing w:val="6"/>
          <w:sz w:val="24"/>
          <w:highlight w:val="none"/>
          <w:lang w:val="en-US" w:eastAsia="zh-CN"/>
        </w:rPr>
        <w:t>11</w:t>
      </w:r>
      <w:r>
        <w:rPr>
          <w:rFonts w:hint="eastAsia"/>
          <w:bCs/>
          <w:color w:val="auto"/>
          <w:spacing w:val="6"/>
          <w:sz w:val="24"/>
          <w:highlight w:val="none"/>
          <w:lang w:eastAsia="zh-CN"/>
        </w:rPr>
        <w:t>）</w:t>
      </w:r>
      <w:r>
        <w:rPr>
          <w:bCs/>
          <w:color w:val="auto"/>
          <w:spacing w:val="6"/>
          <w:sz w:val="24"/>
          <w:highlight w:val="none"/>
        </w:rPr>
        <w:t>：建设项目</w:t>
      </w:r>
      <w:r>
        <w:rPr>
          <w:rFonts w:hint="eastAsia"/>
          <w:bCs/>
          <w:color w:val="auto"/>
          <w:spacing w:val="6"/>
          <w:sz w:val="24"/>
          <w:highlight w:val="none"/>
        </w:rPr>
        <w:t>查询范围与矿产资源总体规划规划区块、矿业权、矿产地无重叠，未压覆重要矿产资源。</w:t>
      </w:r>
    </w:p>
    <w:p w14:paraId="173501DD">
      <w:pPr>
        <w:spacing w:line="360" w:lineRule="auto"/>
        <w:ind w:firstLine="504" w:firstLineChars="200"/>
        <w:jc w:val="left"/>
        <w:rPr>
          <w:bCs/>
          <w:color w:val="auto"/>
          <w:spacing w:val="6"/>
          <w:sz w:val="24"/>
          <w:highlight w:val="none"/>
        </w:rPr>
      </w:pPr>
      <w:r>
        <w:rPr>
          <w:bCs/>
          <w:color w:val="auto"/>
          <w:spacing w:val="6"/>
          <w:sz w:val="24"/>
          <w:highlight w:val="none"/>
        </w:rPr>
        <w:t>工程区域属于属亚热带季风湿润气候，气候温和、四季分明、热量充足，雨水较多；</w:t>
      </w:r>
      <w:r>
        <w:rPr>
          <w:rFonts w:hint="eastAsia"/>
          <w:bCs/>
          <w:color w:val="auto"/>
          <w:spacing w:val="6"/>
          <w:sz w:val="24"/>
          <w:highlight w:val="none"/>
          <w:lang w:eastAsia="zh-CN"/>
        </w:rPr>
        <w:t>根据</w:t>
      </w:r>
      <w:r>
        <w:rPr>
          <w:bCs/>
          <w:color w:val="auto"/>
          <w:spacing w:val="6"/>
          <w:sz w:val="24"/>
          <w:highlight w:val="none"/>
        </w:rPr>
        <w:t>实地测风资料统计结果与</w:t>
      </w:r>
      <w:r>
        <w:rPr>
          <w:rFonts w:hint="eastAsia"/>
          <w:bCs/>
          <w:color w:val="auto"/>
          <w:spacing w:val="6"/>
          <w:sz w:val="24"/>
          <w:highlight w:val="none"/>
          <w:lang w:eastAsia="zh-CN"/>
        </w:rPr>
        <w:t>祁东</w:t>
      </w:r>
      <w:r>
        <w:rPr>
          <w:bCs/>
          <w:color w:val="auto"/>
          <w:spacing w:val="6"/>
          <w:sz w:val="24"/>
          <w:highlight w:val="none"/>
        </w:rPr>
        <w:t>气象站的常年统计结果分析表明：风电场场址测风塔测风数据详实可靠，盛行风向较稳定，风能密度相对较集</w:t>
      </w:r>
      <w:r>
        <w:rPr>
          <w:color w:val="auto"/>
          <w:sz w:val="24"/>
          <w:highlight w:val="none"/>
        </w:rPr>
        <w:t>中，有效风能小时数较多，采用大容量低风速超长叶片风力发电机可以充分利用当地风能资源，风能资源具有一定的开发利用价值。</w:t>
      </w:r>
    </w:p>
    <w:p w14:paraId="200145DA">
      <w:pPr>
        <w:spacing w:line="360" w:lineRule="auto"/>
        <w:ind w:firstLine="504" w:firstLineChars="200"/>
        <w:jc w:val="left"/>
        <w:rPr>
          <w:bCs/>
          <w:color w:val="auto"/>
          <w:spacing w:val="6"/>
          <w:sz w:val="24"/>
          <w:highlight w:val="none"/>
        </w:rPr>
      </w:pPr>
      <w:r>
        <w:rPr>
          <w:bCs/>
          <w:color w:val="auto"/>
          <w:spacing w:val="6"/>
          <w:sz w:val="24"/>
          <w:highlight w:val="none"/>
        </w:rPr>
        <w:t>项目占地不涉及自然保护区、风景名胜区、世界文化或自然遗产地、森林公园、地质公园、重要湿地、文物保护单位、饮用水源保护区等敏感区，不涉及候鸟保护区和候鸟迁徙路径。风电场场址区植被以</w:t>
      </w:r>
      <w:r>
        <w:rPr>
          <w:rFonts w:hint="eastAsia"/>
          <w:bCs/>
          <w:color w:val="auto"/>
          <w:spacing w:val="6"/>
          <w:sz w:val="24"/>
          <w:highlight w:val="none"/>
        </w:rPr>
        <w:t>油茶林、</w:t>
      </w:r>
      <w:r>
        <w:rPr>
          <w:bCs/>
          <w:color w:val="auto"/>
          <w:spacing w:val="6"/>
          <w:sz w:val="24"/>
          <w:highlight w:val="none"/>
        </w:rPr>
        <w:t>杉木林、马尾松林</w:t>
      </w:r>
      <w:r>
        <w:rPr>
          <w:rFonts w:hint="eastAsia"/>
          <w:bCs/>
          <w:color w:val="auto"/>
          <w:spacing w:val="6"/>
          <w:sz w:val="24"/>
          <w:highlight w:val="none"/>
        </w:rPr>
        <w:t>、</w:t>
      </w:r>
      <w:r>
        <w:rPr>
          <w:bCs/>
          <w:color w:val="auto"/>
          <w:spacing w:val="6"/>
          <w:sz w:val="24"/>
          <w:highlight w:val="none"/>
        </w:rPr>
        <w:t>灌丛为主</w:t>
      </w:r>
      <w:r>
        <w:rPr>
          <w:rFonts w:hint="eastAsia"/>
          <w:bCs/>
          <w:color w:val="auto"/>
          <w:spacing w:val="6"/>
          <w:sz w:val="24"/>
          <w:highlight w:val="none"/>
        </w:rPr>
        <w:t>。</w:t>
      </w:r>
    </w:p>
    <w:p w14:paraId="0EFC1A0C">
      <w:pPr>
        <w:spacing w:line="360" w:lineRule="auto"/>
        <w:ind w:firstLine="504" w:firstLineChars="200"/>
        <w:jc w:val="left"/>
        <w:rPr>
          <w:color w:val="auto"/>
          <w:spacing w:val="-4"/>
          <w:sz w:val="24"/>
          <w:highlight w:val="none"/>
        </w:rPr>
      </w:pPr>
      <w:r>
        <w:rPr>
          <w:bCs/>
          <w:color w:val="auto"/>
          <w:spacing w:val="6"/>
          <w:sz w:val="24"/>
          <w:highlight w:val="none"/>
        </w:rPr>
        <w:t>综合分析，</w:t>
      </w:r>
      <w:r>
        <w:rPr>
          <w:color w:val="auto"/>
          <w:spacing w:val="-4"/>
          <w:sz w:val="24"/>
          <w:highlight w:val="none"/>
        </w:rPr>
        <w:t>本风电场选址地质条件</w:t>
      </w:r>
      <w:r>
        <w:rPr>
          <w:bCs/>
          <w:color w:val="auto"/>
          <w:spacing w:val="6"/>
          <w:sz w:val="24"/>
          <w:highlight w:val="none"/>
        </w:rPr>
        <w:t>稳定</w:t>
      </w:r>
      <w:r>
        <w:rPr>
          <w:color w:val="auto"/>
          <w:spacing w:val="-4"/>
          <w:sz w:val="24"/>
          <w:highlight w:val="none"/>
        </w:rPr>
        <w:t>，</w:t>
      </w:r>
      <w:r>
        <w:rPr>
          <w:rFonts w:hint="eastAsia"/>
          <w:color w:val="auto"/>
          <w:spacing w:val="-4"/>
          <w:sz w:val="24"/>
          <w:highlight w:val="none"/>
          <w:lang w:eastAsia="zh-CN"/>
        </w:rPr>
        <w:t>与</w:t>
      </w:r>
      <w:r>
        <w:rPr>
          <w:color w:val="auto"/>
          <w:spacing w:val="-4"/>
          <w:sz w:val="24"/>
          <w:highlight w:val="none"/>
        </w:rPr>
        <w:t>环境敏感区</w:t>
      </w:r>
      <w:r>
        <w:rPr>
          <w:rFonts w:hint="eastAsia"/>
          <w:color w:val="auto"/>
          <w:spacing w:val="-4"/>
          <w:sz w:val="24"/>
          <w:highlight w:val="none"/>
          <w:lang w:eastAsia="zh-CN"/>
        </w:rPr>
        <w:t>——衡阳县三阳自然保护区有一定的距离，最近风机（</w:t>
      </w:r>
      <w:r>
        <w:rPr>
          <w:rFonts w:hint="eastAsia"/>
          <w:color w:val="auto"/>
          <w:spacing w:val="-4"/>
          <w:sz w:val="24"/>
          <w:highlight w:val="none"/>
          <w:lang w:val="en-US" w:eastAsia="zh-CN"/>
        </w:rPr>
        <w:t>17#风机</w:t>
      </w:r>
      <w:r>
        <w:rPr>
          <w:rFonts w:hint="eastAsia"/>
          <w:color w:val="auto"/>
          <w:spacing w:val="-4"/>
          <w:sz w:val="24"/>
          <w:highlight w:val="none"/>
          <w:lang w:eastAsia="zh-CN"/>
        </w:rPr>
        <w:t>）距离实验区</w:t>
      </w:r>
      <w:r>
        <w:rPr>
          <w:rFonts w:hint="eastAsia"/>
          <w:color w:val="auto"/>
          <w:spacing w:val="-4"/>
          <w:sz w:val="24"/>
          <w:highlight w:val="none"/>
          <w:lang w:val="en-US" w:eastAsia="zh-CN"/>
        </w:rPr>
        <w:t>125m，可以保证营运期风机叶片不会扫掠自然保护区。根据南冲风电场代表测风塔115m高度风向、风能均主要集中在NNE和E方向，17#~19#风机位于衡阳县三阳自然保护区西南侧，位于衡阳县三阳自然保护区下风向，与保护区之间有山脊线相隔</w:t>
      </w:r>
      <w:r>
        <w:rPr>
          <w:rFonts w:hint="eastAsia"/>
          <w:color w:val="auto"/>
          <w:spacing w:val="-4"/>
          <w:sz w:val="24"/>
          <w:highlight w:val="none"/>
          <w:lang w:eastAsia="zh-CN"/>
        </w:rPr>
        <w:t>。同时，根据《祁东县南冲风电场（大马二期）工程鸟类影响评价报告》（湖南林氏生态园林有限公司，2023年8月）结论“本项目符合鸟类保护的有关规定，不存在重大的影响因素，本工程建设可行。”因此，本项目</w:t>
      </w:r>
      <w:r>
        <w:rPr>
          <w:color w:val="auto"/>
          <w:spacing w:val="-4"/>
          <w:sz w:val="24"/>
          <w:highlight w:val="none"/>
        </w:rPr>
        <w:t>不存在</w:t>
      </w:r>
      <w:r>
        <w:rPr>
          <w:rFonts w:hint="eastAsia"/>
          <w:color w:val="auto"/>
          <w:spacing w:val="-4"/>
          <w:sz w:val="24"/>
          <w:highlight w:val="none"/>
          <w:lang w:eastAsia="zh-CN"/>
        </w:rPr>
        <w:t>重大</w:t>
      </w:r>
      <w:r>
        <w:rPr>
          <w:color w:val="auto"/>
          <w:spacing w:val="-4"/>
          <w:sz w:val="24"/>
          <w:highlight w:val="none"/>
        </w:rPr>
        <w:t>环境制约因素，在切实做好施工开挖弃渣的挡护、施工迹地的生态恢复措施，</w:t>
      </w:r>
      <w:r>
        <w:rPr>
          <w:rFonts w:hint="eastAsia"/>
          <w:color w:val="auto"/>
          <w:spacing w:val="-4"/>
          <w:sz w:val="24"/>
          <w:highlight w:val="none"/>
        </w:rPr>
        <w:t>优化施工期及运行期噪声控制管理措施，</w:t>
      </w:r>
      <w:r>
        <w:rPr>
          <w:color w:val="auto"/>
          <w:spacing w:val="-4"/>
          <w:sz w:val="24"/>
          <w:highlight w:val="none"/>
        </w:rPr>
        <w:t>对环境的不利影响将得到有效控制，工程选址可行。</w:t>
      </w:r>
    </w:p>
    <w:p w14:paraId="33B4574A">
      <w:pPr>
        <w:pStyle w:val="6"/>
        <w:bidi w:val="0"/>
        <w:rPr>
          <w:rFonts w:hint="default" w:ascii="Times New Roman" w:hAnsi="Times New Roman" w:eastAsia="宋体" w:cs="Times New Roman"/>
          <w:color w:val="auto"/>
          <w:highlight w:val="none"/>
          <w:lang w:eastAsia="zh-CN"/>
        </w:rPr>
      </w:pPr>
      <w:r>
        <w:rPr>
          <w:rFonts w:hint="default" w:ascii="Times New Roman" w:hAnsi="Times New Roman" w:eastAsia="宋体" w:cs="Times New Roman"/>
          <w:color w:val="auto"/>
          <w:highlight w:val="none"/>
          <w:lang w:eastAsia="zh-CN"/>
        </w:rPr>
        <w:t>风机</w:t>
      </w:r>
      <w:r>
        <w:rPr>
          <w:rFonts w:hint="eastAsia" w:ascii="Times New Roman" w:hAnsi="Times New Roman" w:eastAsia="宋体" w:cs="Times New Roman"/>
          <w:color w:val="auto"/>
          <w:highlight w:val="none"/>
          <w:lang w:eastAsia="zh-CN"/>
        </w:rPr>
        <w:t>机位选址合理性</w:t>
      </w:r>
    </w:p>
    <w:p w14:paraId="0DD3F51C">
      <w:pPr>
        <w:spacing w:line="360" w:lineRule="auto"/>
        <w:ind w:firstLine="504" w:firstLineChars="200"/>
        <w:jc w:val="left"/>
        <w:rPr>
          <w:bCs/>
          <w:color w:val="auto"/>
          <w:spacing w:val="6"/>
          <w:sz w:val="24"/>
          <w:highlight w:val="none"/>
          <w:u w:val="none"/>
        </w:rPr>
      </w:pPr>
      <w:r>
        <w:rPr>
          <w:rFonts w:hint="eastAsia"/>
          <w:bCs/>
          <w:color w:val="auto"/>
          <w:spacing w:val="6"/>
          <w:sz w:val="24"/>
          <w:highlight w:val="none"/>
          <w:u w:val="none"/>
        </w:rPr>
        <w:t>本项目的风机位于高程在</w:t>
      </w:r>
      <w:r>
        <w:rPr>
          <w:rFonts w:hint="eastAsia"/>
          <w:bCs/>
          <w:color w:val="auto"/>
          <w:spacing w:val="6"/>
          <w:sz w:val="24"/>
          <w:highlight w:val="none"/>
          <w:u w:val="none"/>
          <w:lang w:val="en-US" w:eastAsia="zh-CN"/>
        </w:rPr>
        <w:t>400</w:t>
      </w:r>
      <w:r>
        <w:rPr>
          <w:rFonts w:hint="eastAsia"/>
          <w:bCs/>
          <w:color w:val="auto"/>
          <w:spacing w:val="6"/>
          <w:sz w:val="24"/>
          <w:highlight w:val="none"/>
          <w:u w:val="none"/>
        </w:rPr>
        <w:t>～</w:t>
      </w:r>
      <w:r>
        <w:rPr>
          <w:rFonts w:hint="eastAsia"/>
          <w:bCs/>
          <w:color w:val="auto"/>
          <w:spacing w:val="6"/>
          <w:sz w:val="24"/>
          <w:highlight w:val="none"/>
          <w:u w:val="none"/>
          <w:lang w:val="en-US" w:eastAsia="zh-CN"/>
        </w:rPr>
        <w:t>65</w:t>
      </w:r>
      <w:r>
        <w:rPr>
          <w:rFonts w:hint="eastAsia"/>
          <w:bCs/>
          <w:color w:val="auto"/>
          <w:spacing w:val="6"/>
          <w:sz w:val="24"/>
          <w:highlight w:val="none"/>
          <w:u w:val="none"/>
        </w:rPr>
        <w:t>0m之间的山脊或山顶上，山体间分散</w:t>
      </w:r>
      <w:r>
        <w:rPr>
          <w:rFonts w:hint="eastAsia"/>
          <w:bCs/>
          <w:color w:val="auto"/>
          <w:spacing w:val="6"/>
          <w:sz w:val="24"/>
          <w:highlight w:val="none"/>
          <w:u w:val="none"/>
          <w:lang w:eastAsia="zh-CN"/>
        </w:rPr>
        <w:t>少量</w:t>
      </w:r>
      <w:r>
        <w:rPr>
          <w:rFonts w:hint="eastAsia"/>
          <w:bCs/>
          <w:color w:val="auto"/>
          <w:spacing w:val="6"/>
          <w:sz w:val="24"/>
          <w:highlight w:val="none"/>
          <w:u w:val="none"/>
        </w:rPr>
        <w:t>居民，通过微观选址优化，本项目</w:t>
      </w:r>
      <w:r>
        <w:rPr>
          <w:bCs/>
          <w:color w:val="auto"/>
          <w:spacing w:val="6"/>
          <w:sz w:val="24"/>
          <w:highlight w:val="none"/>
          <w:u w:val="none"/>
        </w:rPr>
        <w:t>场址</w:t>
      </w:r>
      <w:r>
        <w:rPr>
          <w:rFonts w:hint="eastAsia"/>
          <w:bCs/>
          <w:color w:val="auto"/>
          <w:spacing w:val="6"/>
          <w:sz w:val="24"/>
          <w:highlight w:val="none"/>
          <w:u w:val="none"/>
        </w:rPr>
        <w:t>附近居民点数量控制在最少。</w:t>
      </w:r>
    </w:p>
    <w:p w14:paraId="4EDDE3F1">
      <w:pPr>
        <w:pStyle w:val="6"/>
        <w:bidi w:val="0"/>
        <w:rPr>
          <w:rFonts w:hint="default" w:ascii="Times New Roman" w:hAnsi="Times New Roman" w:eastAsia="宋体" w:cs="Times New Roman"/>
          <w:color w:val="auto"/>
          <w:highlight w:val="none"/>
          <w:lang w:eastAsia="zh-CN"/>
        </w:rPr>
      </w:pPr>
      <w:r>
        <w:rPr>
          <w:rFonts w:hint="eastAsia" w:ascii="Times New Roman" w:hAnsi="Times New Roman" w:eastAsia="宋体" w:cs="Times New Roman"/>
          <w:color w:val="auto"/>
          <w:highlight w:val="none"/>
          <w:lang w:eastAsia="zh-CN"/>
        </w:rPr>
        <w:t>升压站选址合理性</w:t>
      </w:r>
    </w:p>
    <w:p w14:paraId="63D7CB33">
      <w:pPr>
        <w:spacing w:line="360" w:lineRule="auto"/>
        <w:ind w:firstLine="480" w:firstLineChars="200"/>
        <w:jc w:val="left"/>
        <w:rPr>
          <w:color w:val="auto"/>
          <w:spacing w:val="-4"/>
          <w:sz w:val="24"/>
          <w:highlight w:val="none"/>
        </w:rPr>
      </w:pPr>
      <w:r>
        <w:rPr>
          <w:rFonts w:hint="eastAsia" w:hAnsi="宋体"/>
          <w:color w:val="auto"/>
          <w:sz w:val="24"/>
          <w:szCs w:val="20"/>
          <w:highlight w:val="none"/>
        </w:rPr>
        <w:t>本工程风电场区共分5组集电线路接入大马风电场110kV升压站。升压站内综合楼、设备楼、附属用房等建筑物已满足生产生活需要，不需要扩建。仅需对升压站内主变基础、无功补偿基础、构架等变配电设备基础进行扩建。</w:t>
      </w:r>
      <w:r>
        <w:rPr>
          <w:rFonts w:hint="eastAsia" w:hAnsi="宋体"/>
          <w:color w:val="auto"/>
          <w:sz w:val="24"/>
          <w:szCs w:val="20"/>
          <w:highlight w:val="none"/>
          <w:lang w:eastAsia="zh-CN"/>
        </w:rPr>
        <w:t>大马升压站在设计时已经预留了本工程主变压器和无功补偿装置位置，因此本次依托大马风电场现有升压站进行扩建可行</w:t>
      </w:r>
      <w:r>
        <w:rPr>
          <w:rFonts w:hint="eastAsia" w:hAnsi="宋体"/>
          <w:color w:val="auto"/>
          <w:sz w:val="24"/>
          <w:szCs w:val="20"/>
          <w:highlight w:val="none"/>
        </w:rPr>
        <w:t>。</w:t>
      </w:r>
    </w:p>
    <w:p w14:paraId="3D045F45">
      <w:pPr>
        <w:pStyle w:val="6"/>
        <w:bidi w:val="0"/>
        <w:rPr>
          <w:rFonts w:hint="default" w:ascii="Times New Roman" w:hAnsi="Times New Roman" w:eastAsia="宋体" w:cs="Times New Roman"/>
          <w:color w:val="auto"/>
          <w:highlight w:val="none"/>
          <w:lang w:eastAsia="zh-CN"/>
        </w:rPr>
      </w:pPr>
      <w:r>
        <w:rPr>
          <w:rFonts w:hint="eastAsia" w:ascii="Times New Roman" w:hAnsi="Times New Roman" w:eastAsia="宋体" w:cs="Times New Roman"/>
          <w:color w:val="auto"/>
          <w:highlight w:val="none"/>
          <w:lang w:eastAsia="zh-CN"/>
        </w:rPr>
        <w:t>弃渣场选址合理性</w:t>
      </w:r>
    </w:p>
    <w:p w14:paraId="132211CB">
      <w:pPr>
        <w:adjustRightInd w:val="0"/>
        <w:snapToGrid w:val="0"/>
        <w:spacing w:line="360" w:lineRule="auto"/>
        <w:ind w:firstLine="504" w:firstLineChars="200"/>
        <w:jc w:val="left"/>
        <w:rPr>
          <w:bCs/>
          <w:color w:val="auto"/>
          <w:spacing w:val="6"/>
          <w:sz w:val="24"/>
          <w:highlight w:val="none"/>
        </w:rPr>
      </w:pPr>
      <w:r>
        <w:rPr>
          <w:bCs/>
          <w:color w:val="auto"/>
          <w:spacing w:val="6"/>
          <w:sz w:val="24"/>
          <w:highlight w:val="none"/>
        </w:rPr>
        <w:t>根据</w:t>
      </w:r>
      <w:r>
        <w:rPr>
          <w:rFonts w:hint="eastAsia"/>
          <w:color w:val="auto"/>
          <w:highlight w:val="none"/>
          <w:lang w:val="en-US" w:eastAsia="zh-CN"/>
        </w:rPr>
        <w:t>《</w:t>
      </w:r>
      <w:r>
        <w:rPr>
          <w:rFonts w:hint="eastAsia"/>
          <w:color w:val="auto"/>
          <w:highlight w:val="none"/>
          <w:lang w:val="en-US" w:eastAsia="zh-CN"/>
        </w:rPr>
        <w:fldChar w:fldCharType="begin"/>
      </w:r>
      <w:r>
        <w:rPr>
          <w:rFonts w:hint="eastAsia"/>
          <w:color w:val="auto"/>
          <w:highlight w:val="none"/>
          <w:lang w:val="en-US" w:eastAsia="zh-CN"/>
        </w:rPr>
        <w:instrText xml:space="preserve"> LINK Excel.Sheet.8 "D:\\2022风电场项目摸板\\风电项目算表（摸板）.xls" "基本情况!R4C3" \t \a  \* MERGEFORMAT </w:instrText>
      </w:r>
      <w:r>
        <w:rPr>
          <w:rFonts w:hint="eastAsia"/>
          <w:color w:val="auto"/>
          <w:highlight w:val="none"/>
          <w:lang w:val="en-US" w:eastAsia="zh-CN"/>
        </w:rPr>
        <w:fldChar w:fldCharType="separate"/>
      </w:r>
      <w:r>
        <w:rPr>
          <w:rFonts w:hint="eastAsia"/>
          <w:color w:val="auto"/>
          <w:highlight w:val="none"/>
          <w:lang w:val="en-US" w:eastAsia="zh-CN"/>
        </w:rPr>
        <w:t>祁东县南冲风电场（大马二期）工程</w:t>
      </w:r>
      <w:r>
        <w:rPr>
          <w:rFonts w:hint="eastAsia"/>
          <w:color w:val="auto"/>
          <w:highlight w:val="none"/>
          <w:lang w:val="en-US" w:eastAsia="zh-CN"/>
        </w:rPr>
        <w:fldChar w:fldCharType="end"/>
      </w:r>
      <w:r>
        <w:rPr>
          <w:rFonts w:hint="eastAsia"/>
          <w:color w:val="auto"/>
          <w:highlight w:val="none"/>
          <w:lang w:val="en-US" w:eastAsia="zh-CN"/>
        </w:rPr>
        <w:t>水土保持方案报告书》（湖南湘资沅生态环境规划设计院有限公司，2023年7月）</w:t>
      </w:r>
      <w:r>
        <w:rPr>
          <w:bCs/>
          <w:color w:val="auto"/>
          <w:spacing w:val="6"/>
          <w:sz w:val="24"/>
          <w:highlight w:val="none"/>
        </w:rPr>
        <w:t>，本项目弃方量为</w:t>
      </w:r>
      <w:r>
        <w:rPr>
          <w:rFonts w:hint="eastAsia"/>
          <w:bCs/>
          <w:color w:val="auto"/>
          <w:spacing w:val="6"/>
          <w:sz w:val="24"/>
          <w:highlight w:val="none"/>
          <w:u w:val="none"/>
          <w:lang w:val="en-US" w:eastAsia="zh-CN"/>
        </w:rPr>
        <w:t>84.63</w:t>
      </w:r>
      <w:r>
        <w:rPr>
          <w:bCs/>
          <w:color w:val="auto"/>
          <w:spacing w:val="6"/>
          <w:sz w:val="24"/>
          <w:highlight w:val="none"/>
        </w:rPr>
        <w:t>万m³，主要来源于风机机组、道路工程。本项目弃渣场遵循“分散弃渣、安全稳定、便于运弃”原则。根据水土保持相关规范要求，结合现场实地踏勘，本项目共布设</w:t>
      </w:r>
      <w:r>
        <w:rPr>
          <w:rFonts w:hint="eastAsia"/>
          <w:bCs/>
          <w:color w:val="auto"/>
          <w:spacing w:val="6"/>
          <w:sz w:val="24"/>
          <w:highlight w:val="none"/>
          <w:u w:val="none"/>
          <w:lang w:val="en-US" w:eastAsia="zh-CN"/>
        </w:rPr>
        <w:t>12</w:t>
      </w:r>
      <w:r>
        <w:rPr>
          <w:bCs/>
          <w:color w:val="auto"/>
          <w:spacing w:val="6"/>
          <w:sz w:val="24"/>
          <w:highlight w:val="none"/>
          <w:u w:val="none"/>
        </w:rPr>
        <w:t>处</w:t>
      </w:r>
      <w:r>
        <w:rPr>
          <w:bCs/>
          <w:color w:val="auto"/>
          <w:spacing w:val="6"/>
          <w:sz w:val="24"/>
          <w:highlight w:val="none"/>
        </w:rPr>
        <w:t>弃渣场</w:t>
      </w:r>
      <w:r>
        <w:rPr>
          <w:rFonts w:hint="eastAsia"/>
          <w:bCs/>
          <w:color w:val="auto"/>
          <w:spacing w:val="6"/>
          <w:sz w:val="24"/>
          <w:highlight w:val="none"/>
        </w:rPr>
        <w:t>（见表</w:t>
      </w:r>
      <w:r>
        <w:rPr>
          <w:rFonts w:hint="eastAsia"/>
          <w:bCs/>
          <w:color w:val="auto"/>
          <w:spacing w:val="6"/>
          <w:sz w:val="24"/>
          <w:highlight w:val="none"/>
          <w:lang w:val="en-US" w:eastAsia="zh-CN"/>
        </w:rPr>
        <w:t>1-9</w:t>
      </w:r>
      <w:r>
        <w:rPr>
          <w:rFonts w:hint="eastAsia"/>
          <w:bCs/>
          <w:color w:val="auto"/>
          <w:spacing w:val="6"/>
          <w:sz w:val="24"/>
          <w:highlight w:val="none"/>
        </w:rPr>
        <w:t>）</w:t>
      </w:r>
      <w:r>
        <w:rPr>
          <w:bCs/>
          <w:color w:val="auto"/>
          <w:spacing w:val="6"/>
          <w:sz w:val="24"/>
          <w:highlight w:val="none"/>
        </w:rPr>
        <w:t>。</w:t>
      </w:r>
    </w:p>
    <w:p w14:paraId="0E858C6D">
      <w:pPr>
        <w:adjustRightInd w:val="0"/>
        <w:snapToGrid w:val="0"/>
        <w:spacing w:line="360" w:lineRule="auto"/>
        <w:ind w:firstLine="504" w:firstLineChars="200"/>
        <w:jc w:val="left"/>
        <w:rPr>
          <w:bCs/>
          <w:color w:val="auto"/>
          <w:spacing w:val="6"/>
          <w:sz w:val="24"/>
          <w:highlight w:val="none"/>
        </w:rPr>
      </w:pPr>
      <w:r>
        <w:rPr>
          <w:bCs/>
          <w:color w:val="auto"/>
          <w:spacing w:val="6"/>
          <w:sz w:val="24"/>
          <w:highlight w:val="none"/>
        </w:rPr>
        <w:t>在主体工程土石方平衡调配的基础上，根据弃渣场选址原则，尽可能将弃渣场布置在大开挖路段附近，从而缩短弃渣的运输距离，减少运渣施工便道的修建，减少运输过程中的散落。各弃渣场均紧邻场内交通道路，便于弃渣和防护材料的运输。弃渣场附近植被类型以灌草丛为主。选址避免了对农田的占用，弃渣堆放对农业及林业生态的影响较小，通过弃渣结束后恢复林地可得以补偿。各渣场下游侧无重要的基础设施、集中居民点和工业企业等，基本为利用荒沟、凹地和支毛沟的沟道型渣场，没有大的集雨区域和防洪排水量，符合《开发建设项目水土保持技术规范》中弃渣场选址的要求。</w:t>
      </w:r>
    </w:p>
    <w:p w14:paraId="3FD4CD16">
      <w:pPr>
        <w:adjustRightInd w:val="0"/>
        <w:snapToGrid w:val="0"/>
        <w:spacing w:line="360" w:lineRule="auto"/>
        <w:ind w:firstLine="504" w:firstLineChars="200"/>
        <w:jc w:val="left"/>
        <w:rPr>
          <w:bCs/>
          <w:color w:val="auto"/>
          <w:spacing w:val="6"/>
          <w:sz w:val="24"/>
          <w:highlight w:val="none"/>
        </w:rPr>
      </w:pPr>
      <w:r>
        <w:rPr>
          <w:bCs/>
          <w:color w:val="auto"/>
          <w:spacing w:val="6"/>
          <w:sz w:val="24"/>
          <w:highlight w:val="none"/>
        </w:rPr>
        <w:t>由于弃渣场堆放的土石渣受降雨和地表径流的影响，极易造成水土流失，因此，弃渣时应严格按照“先拦后弃”的堆渣原则，以防渣料顺坡向下游滚落；弃渣时应采用自下而上分层填渣的方式，严禁自上而下倾倒的方式弃渣，并应严格控制弃渣场外侧边坡的坡度及平整度，尽可能减少水土流失的发生；堆渣完毕后及时对可绿化区域采取植物措施。</w:t>
      </w:r>
    </w:p>
    <w:p w14:paraId="469394B3">
      <w:pPr>
        <w:pStyle w:val="29"/>
        <w:ind w:firstLine="504"/>
        <w:jc w:val="left"/>
        <w:rPr>
          <w:rFonts w:hAnsi="宋体" w:cs="Times New Roman"/>
          <w:color w:val="auto"/>
          <w:highlight w:val="none"/>
        </w:rPr>
      </w:pPr>
      <w:r>
        <w:rPr>
          <w:rFonts w:cs="Times New Roman"/>
          <w:bCs/>
          <w:color w:val="auto"/>
          <w:spacing w:val="6"/>
          <w:highlight w:val="none"/>
        </w:rPr>
        <w:t>综上所述，本工程弃渣场选址合理。</w:t>
      </w:r>
    </w:p>
    <w:p w14:paraId="3479063A">
      <w:pPr>
        <w:pStyle w:val="6"/>
        <w:bidi w:val="0"/>
        <w:rPr>
          <w:rFonts w:hint="default" w:ascii="Times New Roman" w:hAnsi="Times New Roman" w:eastAsia="宋体" w:cs="Times New Roman"/>
          <w:color w:val="auto"/>
          <w:highlight w:val="none"/>
          <w:lang w:eastAsia="zh-CN"/>
        </w:rPr>
      </w:pPr>
      <w:r>
        <w:rPr>
          <w:rFonts w:hint="eastAsia" w:ascii="Times New Roman" w:hAnsi="Times New Roman" w:eastAsia="宋体" w:cs="Times New Roman"/>
          <w:color w:val="auto"/>
          <w:highlight w:val="none"/>
          <w:lang w:eastAsia="zh-CN"/>
        </w:rPr>
        <w:t>道路选址合理性分析</w:t>
      </w:r>
    </w:p>
    <w:p w14:paraId="45FFEE45">
      <w:pPr>
        <w:pStyle w:val="29"/>
        <w:ind w:firstLine="480"/>
        <w:rPr>
          <w:rFonts w:hAnsi="宋体" w:cs="Times New Roman"/>
          <w:color w:val="auto"/>
          <w:highlight w:val="none"/>
        </w:rPr>
      </w:pPr>
      <w:r>
        <w:rPr>
          <w:rFonts w:hint="eastAsia" w:hAnsi="宋体" w:cs="Times New Roman"/>
          <w:color w:val="auto"/>
          <w:highlight w:val="none"/>
        </w:rPr>
        <w:t>本项目场内</w:t>
      </w:r>
      <w:r>
        <w:rPr>
          <w:rFonts w:hAnsi="宋体" w:cs="Times New Roman"/>
          <w:color w:val="auto"/>
          <w:highlight w:val="none"/>
        </w:rPr>
        <w:t>道路主要为接入各</w:t>
      </w:r>
      <w:r>
        <w:rPr>
          <w:rFonts w:hint="eastAsia" w:hAnsi="宋体" w:cs="Times New Roman"/>
          <w:color w:val="auto"/>
          <w:highlight w:val="none"/>
        </w:rPr>
        <w:t>风</w:t>
      </w:r>
      <w:r>
        <w:rPr>
          <w:rFonts w:hAnsi="宋体" w:cs="Times New Roman"/>
          <w:color w:val="auto"/>
          <w:highlight w:val="none"/>
        </w:rPr>
        <w:t>机位而修建的施工检修道路，</w:t>
      </w:r>
      <w:r>
        <w:rPr>
          <w:rFonts w:hint="default" w:hAnsi="宋体" w:cs="Times New Roman"/>
          <w:color w:val="auto"/>
          <w:highlight w:val="none"/>
        </w:rPr>
        <w:t>尽可能利用现有森林防火道路、林区道路、乡村道路等道路，</w:t>
      </w:r>
      <w:r>
        <w:rPr>
          <w:rFonts w:hAnsi="宋体" w:cs="Times New Roman"/>
          <w:color w:val="auto"/>
          <w:highlight w:val="none"/>
        </w:rPr>
        <w:t>主要分布在山体上，无明显保护敏感问题，道路选线避开</w:t>
      </w:r>
      <w:r>
        <w:rPr>
          <w:rFonts w:hint="eastAsia" w:hAnsi="宋体" w:cs="Times New Roman"/>
          <w:color w:val="auto"/>
          <w:highlight w:val="none"/>
        </w:rPr>
        <w:t>了</w:t>
      </w:r>
      <w:r>
        <w:rPr>
          <w:rFonts w:hAnsi="宋体" w:cs="Times New Roman"/>
          <w:color w:val="auto"/>
          <w:highlight w:val="none"/>
        </w:rPr>
        <w:t>耕地、远离居民</w:t>
      </w:r>
      <w:r>
        <w:rPr>
          <w:rFonts w:hint="eastAsia" w:hAnsi="宋体" w:cs="Times New Roman"/>
          <w:color w:val="auto"/>
          <w:highlight w:val="none"/>
        </w:rPr>
        <w:t>集中点。本工程场内道路所经过的山坡段地形较陡，道路两旁</w:t>
      </w:r>
      <w:r>
        <w:rPr>
          <w:rFonts w:hint="eastAsia" w:hAnsi="宋体" w:cs="Times New Roman"/>
          <w:color w:val="auto"/>
          <w:highlight w:val="none"/>
          <w:lang w:eastAsia="zh-CN"/>
        </w:rPr>
        <w:t>设置</w:t>
      </w:r>
      <w:r>
        <w:rPr>
          <w:rFonts w:hint="eastAsia" w:hAnsi="宋体" w:cs="Times New Roman"/>
          <w:color w:val="auto"/>
          <w:highlight w:val="none"/>
        </w:rPr>
        <w:t>排水设施及挡墙护坡工程，防止山体滑坡等地质灾害。道路施工过程中，在必须破坏地表植被的区域</w:t>
      </w:r>
      <w:r>
        <w:rPr>
          <w:rFonts w:hint="eastAsia" w:hAnsi="宋体" w:cs="Times New Roman"/>
          <w:color w:val="auto"/>
          <w:highlight w:val="none"/>
          <w:lang w:eastAsia="zh-CN"/>
        </w:rPr>
        <w:t>，尽量</w:t>
      </w:r>
      <w:r>
        <w:rPr>
          <w:rFonts w:hint="eastAsia" w:hAnsi="宋体" w:cs="Times New Roman"/>
          <w:color w:val="auto"/>
          <w:highlight w:val="none"/>
        </w:rPr>
        <w:t>减少重复线路，尽量沿山脊布线，尽量不设支路，避免沿山坡布线，对较陡的地方应绕缓坡走线，避开高挖高填区域，从而减少工程占地及施工期水土流失。</w:t>
      </w:r>
    </w:p>
    <w:p w14:paraId="3881578A">
      <w:pPr>
        <w:pStyle w:val="29"/>
        <w:ind w:firstLine="480"/>
        <w:rPr>
          <w:rFonts w:hAnsi="宋体" w:cs="Times New Roman"/>
          <w:color w:val="auto"/>
          <w:highlight w:val="none"/>
        </w:rPr>
      </w:pPr>
      <w:r>
        <w:rPr>
          <w:rFonts w:hAnsi="宋体" w:cs="Times New Roman"/>
          <w:color w:val="auto"/>
          <w:highlight w:val="none"/>
        </w:rPr>
        <w:t>根据现场踏勘，项目</w:t>
      </w:r>
      <w:r>
        <w:rPr>
          <w:rFonts w:hint="eastAsia" w:hAnsi="宋体" w:cs="Times New Roman"/>
          <w:color w:val="auto"/>
          <w:highlight w:val="none"/>
        </w:rPr>
        <w:t>初步设计</w:t>
      </w:r>
      <w:r>
        <w:rPr>
          <w:rFonts w:hAnsi="宋体" w:cs="Times New Roman"/>
          <w:color w:val="auto"/>
          <w:highlight w:val="none"/>
        </w:rPr>
        <w:t>规划的进场道路、场内道路可满足工程施工运输要求</w:t>
      </w:r>
      <w:r>
        <w:rPr>
          <w:rFonts w:hint="eastAsia" w:hAnsi="宋体" w:cs="Times New Roman"/>
          <w:color w:val="auto"/>
          <w:highlight w:val="none"/>
        </w:rPr>
        <w:t>，</w:t>
      </w:r>
      <w:r>
        <w:rPr>
          <w:rFonts w:hAnsi="宋体" w:cs="Times New Roman"/>
          <w:color w:val="auto"/>
          <w:highlight w:val="none"/>
        </w:rPr>
        <w:t>施工活动</w:t>
      </w:r>
      <w:r>
        <w:rPr>
          <w:rFonts w:hint="eastAsia" w:hAnsi="宋体" w:cs="Times New Roman"/>
          <w:color w:val="auto"/>
          <w:highlight w:val="none"/>
        </w:rPr>
        <w:t>通过</w:t>
      </w:r>
      <w:r>
        <w:rPr>
          <w:rFonts w:hAnsi="宋体" w:cs="Times New Roman"/>
          <w:color w:val="auto"/>
          <w:highlight w:val="none"/>
        </w:rPr>
        <w:t>严格控制在征地红线范围内，对地表及植被的扰动和损坏</w:t>
      </w:r>
      <w:r>
        <w:rPr>
          <w:rFonts w:hint="eastAsia" w:hAnsi="宋体" w:cs="Times New Roman"/>
          <w:color w:val="auto"/>
          <w:highlight w:val="none"/>
        </w:rPr>
        <w:t>较小，道路施工对环境影响较小，因此施工道路选线合理。</w:t>
      </w:r>
    </w:p>
    <w:p w14:paraId="45C443D3">
      <w:pPr>
        <w:pStyle w:val="6"/>
        <w:bidi w:val="0"/>
        <w:rPr>
          <w:rFonts w:hint="default" w:ascii="Times New Roman" w:hAnsi="Times New Roman" w:eastAsia="宋体" w:cs="Times New Roman"/>
          <w:color w:val="auto"/>
          <w:highlight w:val="none"/>
          <w:lang w:eastAsia="zh-CN"/>
        </w:rPr>
      </w:pPr>
      <w:r>
        <w:rPr>
          <w:rFonts w:hint="eastAsia" w:ascii="Times New Roman" w:hAnsi="Times New Roman" w:eastAsia="宋体" w:cs="Times New Roman"/>
          <w:color w:val="auto"/>
          <w:highlight w:val="none"/>
          <w:lang w:eastAsia="zh-CN"/>
        </w:rPr>
        <w:t>集电线路路径合理性分析</w:t>
      </w:r>
    </w:p>
    <w:p w14:paraId="1B8BA1F3">
      <w:pPr>
        <w:pStyle w:val="29"/>
        <w:ind w:firstLine="480"/>
        <w:rPr>
          <w:rFonts w:hint="eastAsia" w:hAnsi="宋体" w:eastAsia="宋体" w:cs="Times New Roman"/>
          <w:color w:val="auto"/>
          <w:highlight w:val="none"/>
          <w:lang w:eastAsia="zh-CN"/>
        </w:rPr>
      </w:pPr>
      <w:r>
        <w:rPr>
          <w:rFonts w:hAnsi="宋体" w:cs="Times New Roman"/>
          <w:color w:val="auto"/>
          <w:highlight w:val="none"/>
        </w:rPr>
        <w:t>集电线路沿场内道路埋设，</w:t>
      </w:r>
      <w:r>
        <w:rPr>
          <w:rFonts w:hint="eastAsia" w:hAnsi="宋体" w:cs="Times New Roman"/>
          <w:color w:val="auto"/>
          <w:highlight w:val="none"/>
          <w:lang w:eastAsia="zh-CN"/>
        </w:rPr>
        <w:t>全部</w:t>
      </w:r>
      <w:r>
        <w:rPr>
          <w:rFonts w:hAnsi="宋体" w:cs="Times New Roman"/>
          <w:color w:val="auto"/>
          <w:highlight w:val="none"/>
        </w:rPr>
        <w:t>采用地埋式，集电线路征地范围内无明显保护敏感问题。地埋电缆基本上沿道路埋设，沿道路开挖，能够最大限度的减少对生态的破坏；在落实水保提出的植被恢复措施的情况下，水土流失将会得到控制</w:t>
      </w:r>
      <w:r>
        <w:rPr>
          <w:rFonts w:hint="eastAsia" w:hAnsi="宋体" w:cs="Times New Roman"/>
          <w:color w:val="auto"/>
          <w:highlight w:val="none"/>
          <w:lang w:eastAsia="zh-CN"/>
        </w:rPr>
        <w:t>，设置合理。</w:t>
      </w:r>
    </w:p>
    <w:p w14:paraId="323B7D2C">
      <w:pPr>
        <w:pStyle w:val="6"/>
        <w:bidi w:val="0"/>
        <w:rPr>
          <w:rFonts w:hint="default" w:ascii="Times New Roman" w:hAnsi="Times New Roman" w:eastAsia="宋体" w:cs="Times New Roman"/>
          <w:color w:val="auto"/>
          <w:highlight w:val="none"/>
          <w:lang w:eastAsia="zh-CN"/>
        </w:rPr>
      </w:pPr>
      <w:r>
        <w:rPr>
          <w:rFonts w:hint="eastAsia" w:ascii="Times New Roman" w:hAnsi="Times New Roman" w:eastAsia="宋体" w:cs="Times New Roman"/>
          <w:color w:val="auto"/>
          <w:highlight w:val="none"/>
          <w:lang w:eastAsia="zh-CN"/>
        </w:rPr>
        <w:t>施工生产区选址合理性分析</w:t>
      </w:r>
    </w:p>
    <w:p w14:paraId="4BF02C0A">
      <w:pPr>
        <w:bidi w:val="0"/>
        <w:rPr>
          <w:color w:val="auto"/>
          <w:highlight w:val="none"/>
        </w:rPr>
      </w:pPr>
      <w:r>
        <w:rPr>
          <w:color w:val="auto"/>
          <w:spacing w:val="6"/>
          <w:sz w:val="24"/>
          <w:highlight w:val="none"/>
        </w:rPr>
        <w:t>本项目</w:t>
      </w:r>
      <w:r>
        <w:rPr>
          <w:rFonts w:hint="default"/>
          <w:color w:val="auto"/>
          <w:spacing w:val="6"/>
          <w:sz w:val="24"/>
          <w:highlight w:val="none"/>
        </w:rPr>
        <w:t>施工临建区</w:t>
      </w:r>
      <w:r>
        <w:rPr>
          <w:rFonts w:hint="eastAsia"/>
          <w:color w:val="auto"/>
          <w:spacing w:val="6"/>
          <w:sz w:val="24"/>
          <w:highlight w:val="none"/>
          <w:lang w:eastAsia="zh-CN"/>
        </w:rPr>
        <w:t>利用现有升压站及新建的风机安装平台，施工人员住宿租用山脚下民房，不新增占地</w:t>
      </w:r>
      <w:r>
        <w:rPr>
          <w:color w:val="auto"/>
          <w:kern w:val="0"/>
          <w:sz w:val="24"/>
          <w:highlight w:val="none"/>
        </w:rPr>
        <w:t>。因此，</w:t>
      </w:r>
      <w:r>
        <w:rPr>
          <w:bCs/>
          <w:color w:val="auto"/>
          <w:kern w:val="0"/>
          <w:sz w:val="24"/>
          <w:highlight w:val="none"/>
        </w:rPr>
        <w:t>施工</w:t>
      </w:r>
      <w:r>
        <w:rPr>
          <w:rFonts w:hint="eastAsia"/>
          <w:bCs/>
          <w:color w:val="auto"/>
          <w:kern w:val="0"/>
          <w:sz w:val="24"/>
          <w:highlight w:val="none"/>
        </w:rPr>
        <w:t>生产区</w:t>
      </w:r>
      <w:r>
        <w:rPr>
          <w:bCs/>
          <w:color w:val="auto"/>
          <w:kern w:val="0"/>
          <w:sz w:val="24"/>
          <w:highlight w:val="none"/>
        </w:rPr>
        <w:t>选址合理</w:t>
      </w:r>
      <w:r>
        <w:rPr>
          <w:rFonts w:hAnsi="宋体"/>
          <w:color w:val="auto"/>
          <w:sz w:val="24"/>
          <w:szCs w:val="20"/>
          <w:highlight w:val="none"/>
        </w:rPr>
        <w:t>。</w:t>
      </w:r>
    </w:p>
    <w:p w14:paraId="58470DF8">
      <w:pPr>
        <w:pStyle w:val="5"/>
        <w:bidi w:val="0"/>
        <w:rPr>
          <w:rFonts w:hint="default" w:ascii="Times New Roman" w:hAnsi="Times New Roman" w:cs="Times New Roman"/>
          <w:color w:val="auto"/>
          <w:highlight w:val="none"/>
        </w:rPr>
      </w:pPr>
      <w:bookmarkStart w:id="35" w:name="_Toc184"/>
      <w:r>
        <w:rPr>
          <w:rFonts w:hint="default" w:ascii="Times New Roman" w:hAnsi="Times New Roman" w:cs="Times New Roman"/>
          <w:color w:val="auto"/>
          <w:highlight w:val="none"/>
        </w:rPr>
        <w:t>平面</w:t>
      </w:r>
      <w:r>
        <w:rPr>
          <w:rFonts w:hint="default" w:ascii="Times New Roman" w:hAnsi="Times New Roman" w:eastAsia="宋体" w:cs="Times New Roman"/>
          <w:color w:val="auto"/>
          <w:highlight w:val="none"/>
          <w:lang w:val="en-US" w:eastAsia="zh-CN"/>
        </w:rPr>
        <w:t>布局</w:t>
      </w:r>
      <w:r>
        <w:rPr>
          <w:rFonts w:hint="default" w:ascii="Times New Roman" w:hAnsi="Times New Roman" w:cs="Times New Roman"/>
          <w:color w:val="auto"/>
          <w:highlight w:val="none"/>
        </w:rPr>
        <w:t>合理性分析</w:t>
      </w:r>
      <w:bookmarkEnd w:id="35"/>
    </w:p>
    <w:p w14:paraId="1AC2B3C2">
      <w:pPr>
        <w:bidi w:val="0"/>
        <w:rPr>
          <w:rFonts w:hint="eastAsia"/>
          <w:color w:val="auto"/>
          <w:highlight w:val="none"/>
          <w:lang w:val="en-US" w:eastAsia="zh-CN"/>
        </w:rPr>
      </w:pPr>
      <w:r>
        <w:rPr>
          <w:rFonts w:hint="eastAsia"/>
          <w:color w:val="auto"/>
          <w:highlight w:val="none"/>
          <w:lang w:val="en-US" w:eastAsia="zh-CN"/>
        </w:rPr>
        <w:t>综合考虑工程规模、施工方案及工期、造价等因素，按照因地制宜、因时制宜、有利生产、方便生活、易于管理、安全可靠、尽量不占耕地的原则，在满足环境保护与水土保持要求的条件下布置风电机组、集电线路工程、道路工程、施工临建设施区、表土堆场和弃渣场等。</w:t>
      </w:r>
    </w:p>
    <w:p w14:paraId="2A894092">
      <w:pPr>
        <w:bidi w:val="0"/>
        <w:rPr>
          <w:rFonts w:hint="eastAsia"/>
          <w:color w:val="auto"/>
          <w:highlight w:val="none"/>
          <w:lang w:val="en-US" w:eastAsia="zh-CN"/>
        </w:rPr>
      </w:pPr>
      <w:r>
        <w:rPr>
          <w:rFonts w:hint="eastAsia"/>
          <w:color w:val="auto"/>
          <w:highlight w:val="none"/>
          <w:lang w:val="en-US" w:eastAsia="zh-CN"/>
        </w:rPr>
        <w:t>1、风电机组：风电机组布置于山顶(脊)上，项目选址风力资源满足风电场建设要求，所处区域地质稳定，无外力破坏其原有稳定结构，不易发生地质灾害。</w:t>
      </w:r>
    </w:p>
    <w:p w14:paraId="59C87B80">
      <w:pPr>
        <w:bidi w:val="0"/>
        <w:rPr>
          <w:rFonts w:hint="eastAsia"/>
          <w:color w:val="auto"/>
          <w:highlight w:val="none"/>
          <w:lang w:val="en-US" w:eastAsia="zh-CN"/>
        </w:rPr>
      </w:pPr>
      <w:r>
        <w:rPr>
          <w:rFonts w:hint="eastAsia"/>
          <w:color w:val="auto"/>
          <w:highlight w:val="none"/>
          <w:lang w:val="en-US" w:eastAsia="zh-CN"/>
        </w:rPr>
        <w:t>2、升压站：本风电场接入已建大马风电场110kV升压站，升压站内综合楼、设备楼、附属用房等建筑物已满足生产生活需要，不需要扩建。仅需对升压站内主变基础、无功补偿基础、构架等变配电设备基础进行扩建。</w:t>
      </w:r>
    </w:p>
    <w:p w14:paraId="13EF440D">
      <w:pPr>
        <w:bidi w:val="0"/>
        <w:rPr>
          <w:rFonts w:hint="eastAsia"/>
          <w:color w:val="auto"/>
          <w:highlight w:val="none"/>
          <w:lang w:val="en-US" w:eastAsia="zh-CN"/>
        </w:rPr>
      </w:pPr>
      <w:r>
        <w:rPr>
          <w:rFonts w:hint="eastAsia"/>
          <w:color w:val="auto"/>
          <w:highlight w:val="none"/>
          <w:lang w:val="en-US" w:eastAsia="zh-CN"/>
        </w:rPr>
        <w:t>3、道路工程：根据项目施工总平面图以及现场查勘，进场道路为改造道路，在通往各风机安装场地道路全部为新建道路。</w:t>
      </w:r>
    </w:p>
    <w:p w14:paraId="314C0918">
      <w:pPr>
        <w:bidi w:val="0"/>
        <w:rPr>
          <w:rFonts w:hint="eastAsia"/>
          <w:color w:val="auto"/>
          <w:highlight w:val="none"/>
          <w:lang w:val="en-US" w:eastAsia="zh-CN"/>
        </w:rPr>
      </w:pPr>
      <w:r>
        <w:rPr>
          <w:rFonts w:hint="eastAsia"/>
          <w:color w:val="auto"/>
          <w:highlight w:val="none"/>
          <w:lang w:val="en-US" w:eastAsia="zh-CN"/>
        </w:rPr>
        <w:t>4、集电线路：集电线路全部采用直埋电缆，全部结合本工程场内道路布置，有利于电缆敷设施工，有效控制了施工扰动范围，减少了植被破坏面积。</w:t>
      </w:r>
    </w:p>
    <w:p w14:paraId="1DAD96C3">
      <w:pPr>
        <w:bidi w:val="0"/>
        <w:rPr>
          <w:rFonts w:hint="eastAsia"/>
          <w:color w:val="auto"/>
          <w:highlight w:val="none"/>
          <w:lang w:val="en-US" w:eastAsia="zh-CN"/>
        </w:rPr>
      </w:pPr>
      <w:r>
        <w:rPr>
          <w:rFonts w:hint="eastAsia"/>
          <w:color w:val="auto"/>
          <w:highlight w:val="none"/>
          <w:lang w:val="en-US" w:eastAsia="zh-CN"/>
        </w:rPr>
        <w:t>5、施工临建设施区：</w:t>
      </w:r>
      <w:r>
        <w:rPr>
          <w:rFonts w:hint="default"/>
          <w:color w:val="auto"/>
          <w:highlight w:val="none"/>
        </w:rPr>
        <w:t>施工临建区</w:t>
      </w:r>
      <w:r>
        <w:rPr>
          <w:rFonts w:hint="eastAsia"/>
          <w:color w:val="auto"/>
          <w:highlight w:val="none"/>
          <w:lang w:eastAsia="zh-CN"/>
        </w:rPr>
        <w:t>利用现有升压站及新建的风机安装平台，施工人员住宿租用山脚下民房，不新增占地</w:t>
      </w:r>
      <w:r>
        <w:rPr>
          <w:rFonts w:hint="eastAsia"/>
          <w:color w:val="auto"/>
          <w:highlight w:val="none"/>
          <w:lang w:val="en-US" w:eastAsia="zh-CN"/>
        </w:rPr>
        <w:t>。</w:t>
      </w:r>
    </w:p>
    <w:p w14:paraId="00310525">
      <w:pPr>
        <w:bidi w:val="0"/>
        <w:rPr>
          <w:rFonts w:hint="eastAsia"/>
          <w:color w:val="auto"/>
          <w:highlight w:val="none"/>
          <w:lang w:val="en-US" w:eastAsia="zh-CN"/>
        </w:rPr>
      </w:pPr>
      <w:r>
        <w:rPr>
          <w:rFonts w:hint="eastAsia"/>
          <w:color w:val="auto"/>
          <w:highlight w:val="none"/>
          <w:lang w:val="en-US" w:eastAsia="zh-CN"/>
        </w:rPr>
        <w:t>6、表土堆场和弃渣场：</w:t>
      </w:r>
    </w:p>
    <w:p w14:paraId="044006E6">
      <w:pPr>
        <w:bidi w:val="0"/>
        <w:rPr>
          <w:rFonts w:hint="eastAsia"/>
          <w:color w:val="auto"/>
          <w:highlight w:val="none"/>
          <w:lang w:val="en-US" w:eastAsia="zh-CN"/>
        </w:rPr>
      </w:pPr>
      <w:r>
        <w:rPr>
          <w:rFonts w:hint="eastAsia"/>
          <w:color w:val="auto"/>
          <w:highlight w:val="none"/>
          <w:lang w:val="en-US" w:eastAsia="zh-CN"/>
        </w:rPr>
        <w:t>①表土堆场布置：风机机组区剥离表土集中堆置于风机安装场地一角，不新增临时占地；交通道路区根据施工时序，就近堆置于道路一侧或弯道平台区域，待路基成型后及时回覆于道路绿化区域；弃渣场区表土剥离后在弃渣场范围内隔离出一小块区域堆放。集电线路中直埋线路剥离表土堆放于电缆沟一侧。</w:t>
      </w:r>
    </w:p>
    <w:p w14:paraId="3CEA7F06">
      <w:pPr>
        <w:bidi w:val="0"/>
        <w:rPr>
          <w:color w:val="auto"/>
          <w:highlight w:val="none"/>
        </w:rPr>
      </w:pPr>
      <w:r>
        <w:rPr>
          <w:rFonts w:hint="eastAsia"/>
          <w:color w:val="auto"/>
          <w:highlight w:val="none"/>
          <w:lang w:val="en-US" w:eastAsia="zh-CN"/>
        </w:rPr>
        <w:t>②弃渣场布置：本工程弃渣场按照“分散弃渣、相对集中、安全稳定、便于运弃”的原则，沿场内道路共布设12个弃渣场，分别位于1#风机、2#风机、3#风机、4#风机、6#风机、10#风机、11#风机、12#风机、14#风机、15#风机、16#风机、18#风机进场道路旁，弃渣场周边范围内均无居民、生态保护红线、公共设施和重要基础设施等。</w:t>
      </w:r>
    </w:p>
    <w:p w14:paraId="2A8E9640">
      <w:pPr>
        <w:bidi w:val="0"/>
        <w:rPr>
          <w:color w:val="auto"/>
          <w:highlight w:val="none"/>
        </w:rPr>
      </w:pPr>
      <w:r>
        <w:rPr>
          <w:rFonts w:hint="eastAsia"/>
          <w:color w:val="auto"/>
          <w:highlight w:val="none"/>
          <w:lang w:eastAsia="zh-CN"/>
        </w:rPr>
        <w:t>综上，</w:t>
      </w:r>
      <w:r>
        <w:rPr>
          <w:rFonts w:hint="default" w:ascii="Times New Roman" w:hAnsi="Times New Roman" w:cs="Times New Roman"/>
          <w:color w:val="auto"/>
          <w:highlight w:val="none"/>
          <w:u w:val="none"/>
          <w:lang w:val="en-US" w:eastAsia="zh-CN"/>
        </w:rPr>
        <w:t>从功能布置及环境保护等角度考量，本项目</w:t>
      </w:r>
      <w:r>
        <w:rPr>
          <w:rStyle w:val="22"/>
          <w:rFonts w:hint="default" w:ascii="Times New Roman" w:hAnsi="Times New Roman" w:cs="Times New Roman"/>
          <w:color w:val="auto"/>
          <w:sz w:val="24"/>
          <w:szCs w:val="24"/>
          <w:highlight w:val="none"/>
          <w:u w:val="none"/>
        </w:rPr>
        <w:t>平面布局合理</w:t>
      </w:r>
      <w:r>
        <w:rPr>
          <w:rStyle w:val="22"/>
          <w:rFonts w:hint="default" w:ascii="Times New Roman" w:hAnsi="Times New Roman" w:cs="Times New Roman"/>
          <w:color w:val="auto"/>
          <w:sz w:val="24"/>
          <w:szCs w:val="24"/>
          <w:highlight w:val="none"/>
          <w:u w:val="none"/>
          <w:lang w:val="en-US" w:eastAsia="zh-CN"/>
        </w:rPr>
        <w:t>基本合理</w:t>
      </w:r>
      <w:r>
        <w:rPr>
          <w:rStyle w:val="22"/>
          <w:rFonts w:hint="eastAsia" w:cs="Times New Roman"/>
          <w:color w:val="auto"/>
          <w:sz w:val="24"/>
          <w:szCs w:val="24"/>
          <w:highlight w:val="none"/>
          <w:u w:val="none"/>
          <w:lang w:val="en-US" w:eastAsia="zh-CN"/>
        </w:rPr>
        <w:t>。</w:t>
      </w:r>
    </w:p>
    <w:p w14:paraId="0497623B">
      <w:pPr>
        <w:pStyle w:val="4"/>
        <w:rPr>
          <w:rFonts w:hint="default" w:ascii="Times New Roman" w:hAnsi="Times New Roman" w:cs="Times New Roman"/>
          <w:color w:val="auto"/>
          <w:highlight w:val="none"/>
        </w:rPr>
      </w:pPr>
      <w:bookmarkStart w:id="36" w:name="_Toc1850"/>
      <w:bookmarkStart w:id="37" w:name="_Toc6282"/>
      <w:r>
        <w:rPr>
          <w:rFonts w:hint="default" w:ascii="Times New Roman" w:hAnsi="Times New Roman" w:cs="Times New Roman"/>
          <w:color w:val="auto"/>
          <w:highlight w:val="none"/>
        </w:rPr>
        <w:t>关注的主要环境问题</w:t>
      </w:r>
      <w:bookmarkEnd w:id="36"/>
      <w:bookmarkEnd w:id="37"/>
    </w:p>
    <w:p w14:paraId="672BD414">
      <w:pPr>
        <w:rPr>
          <w:rFonts w:hint="eastAsia"/>
          <w:color w:val="auto"/>
          <w:highlight w:val="none"/>
        </w:rPr>
      </w:pPr>
      <w:r>
        <w:rPr>
          <w:rFonts w:hint="eastAsia"/>
          <w:color w:val="auto"/>
          <w:highlight w:val="none"/>
        </w:rPr>
        <w:t>本项目的主要环境问题是在</w:t>
      </w:r>
      <w:r>
        <w:rPr>
          <w:rFonts w:hint="eastAsia"/>
          <w:color w:val="auto"/>
          <w:highlight w:val="none"/>
          <w:lang w:eastAsia="zh-CN"/>
        </w:rPr>
        <w:t>施工期生态影响及运营期噪声影响</w:t>
      </w:r>
      <w:r>
        <w:rPr>
          <w:rFonts w:hint="eastAsia"/>
          <w:color w:val="auto"/>
          <w:highlight w:val="none"/>
        </w:rPr>
        <w:t>。</w:t>
      </w:r>
    </w:p>
    <w:p w14:paraId="7F68B92A">
      <w:pPr>
        <w:numPr>
          <w:ilvl w:val="0"/>
          <w:numId w:val="5"/>
        </w:numPr>
        <w:rPr>
          <w:rFonts w:hint="eastAsia"/>
          <w:color w:val="auto"/>
          <w:highlight w:val="none"/>
          <w:lang w:eastAsia="zh-CN"/>
        </w:rPr>
      </w:pPr>
      <w:r>
        <w:rPr>
          <w:rFonts w:hint="eastAsia"/>
          <w:color w:val="auto"/>
          <w:highlight w:val="none"/>
          <w:lang w:eastAsia="zh-CN"/>
        </w:rPr>
        <w:t>施工期重点关注：</w:t>
      </w:r>
    </w:p>
    <w:p w14:paraId="72E98F27">
      <w:pPr>
        <w:bidi w:val="0"/>
        <w:rPr>
          <w:rFonts w:hint="eastAsia" w:eastAsia="宋体"/>
          <w:lang w:eastAsia="zh-CN"/>
        </w:rPr>
      </w:pPr>
      <w:r>
        <w:rPr>
          <w:rFonts w:hint="eastAsia"/>
          <w:lang w:eastAsia="zh-CN"/>
        </w:rPr>
        <w:t>①工程占地影响；</w:t>
      </w:r>
    </w:p>
    <w:p w14:paraId="48DE738E">
      <w:pPr>
        <w:bidi w:val="0"/>
        <w:rPr>
          <w:rFonts w:hint="eastAsia"/>
          <w:lang w:eastAsia="zh-CN"/>
        </w:rPr>
      </w:pPr>
      <w:r>
        <w:rPr>
          <w:rFonts w:hint="eastAsia"/>
          <w:lang w:eastAsia="zh-CN"/>
        </w:rPr>
        <w:t>②工程建设对衡阳三阳自然保护区</w:t>
      </w:r>
      <w:r>
        <w:rPr>
          <w:rFonts w:hint="eastAsia"/>
        </w:rPr>
        <w:t>的影响</w:t>
      </w:r>
      <w:r>
        <w:rPr>
          <w:rFonts w:hint="eastAsia"/>
          <w:lang w:eastAsia="zh-CN"/>
        </w:rPr>
        <w:t>；</w:t>
      </w:r>
    </w:p>
    <w:p w14:paraId="3538C355">
      <w:pPr>
        <w:bidi w:val="0"/>
        <w:rPr>
          <w:rFonts w:hint="eastAsia"/>
        </w:rPr>
      </w:pPr>
      <w:r>
        <w:rPr>
          <w:rFonts w:hint="eastAsia"/>
          <w:lang w:eastAsia="zh-CN"/>
        </w:rPr>
        <w:t>③工程建设对邻近饮用水源保护区的影响</w:t>
      </w:r>
      <w:r>
        <w:rPr>
          <w:rFonts w:hint="eastAsia"/>
        </w:rPr>
        <w:t>。</w:t>
      </w:r>
    </w:p>
    <w:p w14:paraId="571D6D50">
      <w:pPr>
        <w:rPr>
          <w:color w:val="auto"/>
          <w:highlight w:val="none"/>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w:t>
      </w:r>
      <w:r>
        <w:rPr>
          <w:rFonts w:hint="eastAsia"/>
          <w:color w:val="auto"/>
          <w:highlight w:val="none"/>
        </w:rPr>
        <w:t>营运期</w:t>
      </w:r>
      <w:r>
        <w:rPr>
          <w:rFonts w:hint="eastAsia"/>
          <w:color w:val="auto"/>
          <w:highlight w:val="none"/>
          <w:lang w:eastAsia="zh-CN"/>
        </w:rPr>
        <w:t>重点关注风机</w:t>
      </w:r>
      <w:r>
        <w:rPr>
          <w:rFonts w:hint="eastAsia"/>
          <w:color w:val="auto"/>
          <w:highlight w:val="none"/>
        </w:rPr>
        <w:t>噪声</w:t>
      </w:r>
      <w:r>
        <w:rPr>
          <w:rFonts w:hint="eastAsia"/>
          <w:color w:val="auto"/>
          <w:highlight w:val="none"/>
          <w:lang w:eastAsia="zh-CN"/>
        </w:rPr>
        <w:t>对周边居民点的</w:t>
      </w:r>
      <w:r>
        <w:rPr>
          <w:rFonts w:hint="eastAsia"/>
          <w:color w:val="auto"/>
          <w:highlight w:val="none"/>
        </w:rPr>
        <w:t>影响。</w:t>
      </w:r>
    </w:p>
    <w:p w14:paraId="538936F6">
      <w:pPr>
        <w:pStyle w:val="4"/>
        <w:rPr>
          <w:rFonts w:hint="default" w:ascii="Times New Roman" w:hAnsi="Times New Roman" w:cs="Times New Roman"/>
          <w:color w:val="auto"/>
          <w:highlight w:val="none"/>
        </w:rPr>
      </w:pPr>
      <w:bookmarkStart w:id="38" w:name="_Toc13407"/>
      <w:bookmarkStart w:id="39" w:name="_Toc29353"/>
      <w:r>
        <w:rPr>
          <w:rFonts w:hint="default" w:ascii="Times New Roman" w:hAnsi="Times New Roman" w:cs="Times New Roman"/>
          <w:color w:val="auto"/>
          <w:highlight w:val="none"/>
        </w:rPr>
        <w:t>环评报告书的主要结论</w:t>
      </w:r>
      <w:bookmarkEnd w:id="38"/>
      <w:bookmarkEnd w:id="39"/>
    </w:p>
    <w:p w14:paraId="36812CAE">
      <w:pPr>
        <w:spacing w:line="360" w:lineRule="auto"/>
        <w:ind w:firstLine="480" w:firstLineChars="200"/>
        <w:rPr>
          <w:color w:val="auto"/>
          <w:sz w:val="24"/>
          <w:highlight w:val="none"/>
        </w:rPr>
      </w:pPr>
      <w:r>
        <w:rPr>
          <w:rFonts w:hint="eastAsia"/>
          <w:color w:val="auto"/>
          <w:sz w:val="24"/>
          <w:highlight w:val="none"/>
        </w:rPr>
        <w:t>祁东县南冲风电场（大马二期）工程</w:t>
      </w:r>
      <w:r>
        <w:rPr>
          <w:color w:val="auto"/>
          <w:sz w:val="24"/>
          <w:highlight w:val="none"/>
        </w:rPr>
        <w:t>符合国家和地方相关产业政策；选址符合当地规划，平面布局合理。通过对该项目的工程分析、污染因素分析，在采取环评提出的污染控制措施的基础上，项目对环境的影响较小。本项目从环境保护的角度分析是可行的。</w:t>
      </w:r>
    </w:p>
    <w:p w14:paraId="3A731B3B">
      <w:pPr>
        <w:spacing w:line="360" w:lineRule="auto"/>
        <w:ind w:firstLine="480" w:firstLineChars="200"/>
        <w:rPr>
          <w:color w:val="auto"/>
          <w:sz w:val="24"/>
          <w:highlight w:val="none"/>
        </w:rPr>
      </w:pPr>
      <w:r>
        <w:rPr>
          <w:color w:val="auto"/>
          <w:sz w:val="24"/>
          <w:highlight w:val="none"/>
        </w:rPr>
        <w:t>建设单位应严格按照环评提出的要求，切实落实相应的污染防治对策及生态保护措施，严格执行建设项目竣工环境保护验收，并加强环保设施管理和维护，确保环保设施的正常高效运行，减缓项目建设对环境带来的不利影响，使工程建设与环境保护协调发展</w:t>
      </w:r>
      <w:r>
        <w:rPr>
          <w:rFonts w:hint="eastAsia"/>
          <w:color w:val="auto"/>
          <w:sz w:val="24"/>
          <w:highlight w:val="none"/>
        </w:rPr>
        <w:t>。</w:t>
      </w:r>
    </w:p>
    <w:p w14:paraId="36FB9E34">
      <w:pPr>
        <w:bidi w:val="0"/>
        <w:rPr>
          <w:color w:val="auto"/>
          <w:highlight w:val="none"/>
        </w:rPr>
        <w:sectPr>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p>
    <w:p w14:paraId="3DF8E920">
      <w:pPr>
        <w:pStyle w:val="3"/>
        <w:rPr>
          <w:rFonts w:hint="default" w:ascii="Times New Roman" w:hAnsi="Times New Roman" w:cs="Times New Roman"/>
          <w:color w:val="auto"/>
          <w:highlight w:val="none"/>
        </w:rPr>
      </w:pPr>
      <w:bookmarkStart w:id="40" w:name="_Toc27473"/>
      <w:bookmarkStart w:id="41" w:name="_Toc32162"/>
      <w:bookmarkStart w:id="42" w:name="_Toc12660"/>
      <w:bookmarkStart w:id="43" w:name="_Toc6069"/>
      <w:r>
        <w:rPr>
          <w:rFonts w:hint="default" w:ascii="Times New Roman" w:hAnsi="Times New Roman" w:cs="Times New Roman"/>
          <w:color w:val="auto"/>
          <w:highlight w:val="none"/>
        </w:rPr>
        <w:t>总</w:t>
      </w:r>
      <w:bookmarkEnd w:id="40"/>
      <w:bookmarkEnd w:id="41"/>
      <w:r>
        <w:rPr>
          <w:rFonts w:hint="default" w:ascii="Times New Roman" w:hAnsi="Times New Roman" w:cs="Times New Roman"/>
          <w:color w:val="auto"/>
          <w:highlight w:val="none"/>
          <w:lang w:val="en-US" w:eastAsia="zh-CN"/>
        </w:rPr>
        <w:t>论</w:t>
      </w:r>
      <w:bookmarkEnd w:id="42"/>
      <w:bookmarkEnd w:id="43"/>
    </w:p>
    <w:p w14:paraId="22E98EFA">
      <w:pPr>
        <w:pStyle w:val="4"/>
        <w:rPr>
          <w:rFonts w:hint="default" w:ascii="Times New Roman" w:hAnsi="Times New Roman" w:cs="Times New Roman"/>
          <w:color w:val="auto"/>
          <w:highlight w:val="none"/>
          <w:u w:val="none"/>
        </w:rPr>
      </w:pPr>
      <w:bookmarkStart w:id="44" w:name="_Toc12368"/>
      <w:bookmarkStart w:id="45" w:name="_Toc21423"/>
      <w:bookmarkStart w:id="46" w:name="_Toc25226"/>
      <w:bookmarkStart w:id="47" w:name="_Toc8212"/>
      <w:r>
        <w:rPr>
          <w:rFonts w:hint="default" w:ascii="Times New Roman" w:hAnsi="Times New Roman" w:cs="Times New Roman"/>
          <w:color w:val="auto"/>
          <w:highlight w:val="none"/>
        </w:rPr>
        <w:t>编</w:t>
      </w:r>
      <w:r>
        <w:rPr>
          <w:rFonts w:hint="default" w:ascii="Times New Roman" w:hAnsi="Times New Roman" w:cs="Times New Roman"/>
          <w:color w:val="auto"/>
          <w:highlight w:val="none"/>
          <w:u w:val="none"/>
        </w:rPr>
        <w:t>制依据</w:t>
      </w:r>
      <w:bookmarkEnd w:id="44"/>
      <w:bookmarkEnd w:id="45"/>
      <w:bookmarkEnd w:id="46"/>
      <w:bookmarkEnd w:id="47"/>
    </w:p>
    <w:p w14:paraId="547C4E12">
      <w:pPr>
        <w:pStyle w:val="5"/>
        <w:rPr>
          <w:rFonts w:hint="default" w:ascii="Times New Roman" w:hAnsi="Times New Roman" w:cs="Times New Roman"/>
          <w:color w:val="auto"/>
          <w:highlight w:val="none"/>
          <w:u w:val="none"/>
        </w:rPr>
      </w:pPr>
      <w:r>
        <w:rPr>
          <w:rFonts w:hint="default" w:ascii="Times New Roman" w:hAnsi="Times New Roman" w:cs="Times New Roman"/>
          <w:color w:val="auto"/>
          <w:highlight w:val="none"/>
          <w:u w:val="none"/>
        </w:rPr>
        <w:t>国家有关法律、法规及政策文件</w:t>
      </w:r>
    </w:p>
    <w:p w14:paraId="4323BE16">
      <w:pPr>
        <w:pStyle w:val="30"/>
        <w:numPr>
          <w:ilvl w:val="0"/>
          <w:numId w:val="6"/>
        </w:numPr>
        <w:bidi w:val="0"/>
        <w:rPr>
          <w:rFonts w:hint="eastAsia" w:ascii="Times New Roman" w:hAnsi="Times New Roman" w:eastAsia="宋体" w:cs="Times New Roman"/>
          <w:color w:val="auto"/>
          <w:highlight w:val="none"/>
          <w:lang w:val="en-US" w:eastAsia="zh-CN"/>
        </w:rPr>
      </w:pPr>
      <w:r>
        <w:rPr>
          <w:rFonts w:hint="eastAsia"/>
          <w:color w:val="auto"/>
          <w:highlight w:val="none"/>
          <w:lang w:val="en-US" w:eastAsia="zh-CN"/>
        </w:rPr>
        <w:t>《中华人民共和国环境保护</w:t>
      </w:r>
      <w:r>
        <w:rPr>
          <w:rFonts w:hint="eastAsia" w:ascii="Times New Roman" w:hAnsi="Times New Roman" w:eastAsia="宋体" w:cs="Times New Roman"/>
          <w:color w:val="auto"/>
          <w:highlight w:val="none"/>
          <w:lang w:val="en-US" w:eastAsia="zh-CN"/>
        </w:rPr>
        <w:t>法》</w:t>
      </w:r>
      <w:r>
        <w:rPr>
          <w:rFonts w:hint="eastAsia" w:cs="Times New Roman"/>
          <w:color w:val="auto"/>
          <w:highlight w:val="none"/>
          <w:lang w:val="en-US" w:eastAsia="zh-CN"/>
        </w:rPr>
        <w:t>（</w:t>
      </w:r>
      <w:r>
        <w:rPr>
          <w:rFonts w:hint="eastAsia" w:ascii="Times New Roman" w:hAnsi="Times New Roman" w:eastAsia="宋体" w:cs="Times New Roman"/>
          <w:color w:val="auto"/>
          <w:highlight w:val="none"/>
          <w:lang w:val="en-US" w:eastAsia="zh-CN"/>
        </w:rPr>
        <w:t>2014年</w:t>
      </w:r>
      <w:r>
        <w:rPr>
          <w:rFonts w:hint="eastAsia"/>
          <w:color w:val="auto"/>
          <w:highlight w:val="none"/>
          <w:lang w:val="en-US" w:eastAsia="zh-CN"/>
        </w:rPr>
        <w:t>4月修</w:t>
      </w:r>
      <w:r>
        <w:rPr>
          <w:rFonts w:hint="eastAsia" w:ascii="Times New Roman" w:hAnsi="Times New Roman" w:eastAsia="宋体" w:cs="Times New Roman"/>
          <w:color w:val="auto"/>
          <w:highlight w:val="none"/>
          <w:lang w:val="en-US" w:eastAsia="zh-CN"/>
        </w:rPr>
        <w:t>订，</w:t>
      </w:r>
      <w:r>
        <w:rPr>
          <w:rFonts w:hint="eastAsia" w:ascii="Times New Roman" w:hAnsi="Times New Roman" w:eastAsia="宋体" w:cs="Times New Roman"/>
          <w:i w:val="0"/>
          <w:iCs w:val="0"/>
          <w:caps w:val="0"/>
          <w:color w:val="auto"/>
          <w:spacing w:val="0"/>
          <w:sz w:val="24"/>
          <w:szCs w:val="24"/>
          <w:highlight w:val="none"/>
          <w:shd w:val="clear" w:color="auto" w:fill="auto"/>
        </w:rPr>
        <w:t>自2015年1月1日起施行</w:t>
      </w:r>
      <w:r>
        <w:rPr>
          <w:rFonts w:hint="eastAsia" w:cs="Times New Roman"/>
          <w:color w:val="auto"/>
          <w:highlight w:val="none"/>
          <w:lang w:val="en-US" w:eastAsia="zh-CN"/>
        </w:rPr>
        <w:t>）</w:t>
      </w:r>
      <w:r>
        <w:rPr>
          <w:rFonts w:hint="eastAsia" w:ascii="Times New Roman" w:hAnsi="Times New Roman" w:eastAsia="宋体" w:cs="Times New Roman"/>
          <w:color w:val="auto"/>
          <w:highlight w:val="none"/>
          <w:lang w:val="en-US" w:eastAsia="zh-CN"/>
        </w:rPr>
        <w:t>；</w:t>
      </w:r>
    </w:p>
    <w:p w14:paraId="33833F6C">
      <w:pPr>
        <w:pStyle w:val="30"/>
        <w:numPr>
          <w:ilvl w:val="0"/>
          <w:numId w:val="6"/>
        </w:numPr>
        <w:bidi w:val="0"/>
        <w:ind w:left="0" w:leftChars="0" w:firstLine="480" w:firstLineChars="200"/>
        <w:rPr>
          <w:rFonts w:hint="eastAsia"/>
          <w:color w:val="auto"/>
          <w:highlight w:val="none"/>
          <w:lang w:val="en-US" w:eastAsia="zh-CN"/>
        </w:rPr>
      </w:pPr>
      <w:r>
        <w:rPr>
          <w:rFonts w:hint="eastAsia"/>
          <w:color w:val="auto"/>
          <w:highlight w:val="none"/>
          <w:lang w:val="en-US" w:eastAsia="zh-CN"/>
        </w:rPr>
        <w:t>《中华人民共和国环境影响评价法》（2018年修正，2018年12月29日起施行）；</w:t>
      </w:r>
    </w:p>
    <w:p w14:paraId="50E75EFE">
      <w:pPr>
        <w:pStyle w:val="37"/>
        <w:keepNext w:val="0"/>
        <w:keepLines w:val="0"/>
        <w:pageBreakBefore w:val="0"/>
        <w:widowControl w:val="0"/>
        <w:numPr>
          <w:ilvl w:val="0"/>
          <w:numId w:val="6"/>
        </w:numPr>
        <w:kinsoku/>
        <w:wordWrap/>
        <w:overflowPunct/>
        <w:topLinePunct w:val="0"/>
        <w:bidi w:val="0"/>
        <w:adjustRightInd w:val="0"/>
        <w:snapToGrid w:val="0"/>
        <w:ind w:left="0" w:leftChars="0" w:firstLine="480" w:firstLineChars="200"/>
        <w:jc w:val="both"/>
        <w:textAlignment w:val="auto"/>
        <w:rPr>
          <w:rFonts w:hint="default" w:ascii="Times New Roman" w:hAnsi="Times New Roman" w:cs="Times New Roman"/>
          <w:color w:val="auto"/>
          <w:highlight w:val="none"/>
          <w:u w:val="none"/>
        </w:rPr>
      </w:pPr>
      <w:r>
        <w:rPr>
          <w:rFonts w:hint="default" w:ascii="Times New Roman" w:hAnsi="Times New Roman" w:cs="Times New Roman"/>
          <w:color w:val="auto"/>
          <w:highlight w:val="none"/>
          <w:u w:val="none"/>
        </w:rPr>
        <w:t>《中华人民共和国水污染防治法》（</w:t>
      </w:r>
      <w:r>
        <w:rPr>
          <w:rFonts w:hint="default" w:ascii="Times New Roman" w:hAnsi="Times New Roman" w:cs="Times New Roman"/>
          <w:color w:val="auto"/>
          <w:highlight w:val="none"/>
          <w:u w:val="none"/>
          <w:lang w:val="en-US" w:eastAsia="zh-CN"/>
        </w:rPr>
        <w:t>2017年6月27日第二次修正</w:t>
      </w:r>
      <w:r>
        <w:rPr>
          <w:rFonts w:hint="eastAsia" w:ascii="Times New Roman" w:hAnsi="Times New Roman" w:cs="Times New Roman"/>
          <w:color w:val="auto"/>
          <w:highlight w:val="none"/>
          <w:u w:val="none"/>
          <w:lang w:eastAsia="zh-CN"/>
        </w:rPr>
        <w:t>，</w:t>
      </w:r>
      <w:r>
        <w:rPr>
          <w:rFonts w:hint="eastAsia" w:ascii="Times New Roman" w:hAnsi="Times New Roman" w:cs="Times New Roman"/>
          <w:color w:val="auto"/>
          <w:highlight w:val="none"/>
          <w:u w:val="none"/>
          <w:lang w:val="en-US" w:eastAsia="zh-CN"/>
        </w:rPr>
        <w:t>2018年1月1日起施行</w:t>
      </w:r>
      <w:r>
        <w:rPr>
          <w:rFonts w:hint="default" w:ascii="Times New Roman" w:hAnsi="Times New Roman" w:cs="Times New Roman"/>
          <w:color w:val="auto"/>
          <w:highlight w:val="none"/>
          <w:u w:val="none"/>
        </w:rPr>
        <w:t>）；</w:t>
      </w:r>
    </w:p>
    <w:p w14:paraId="4D2F5DDF">
      <w:pPr>
        <w:pStyle w:val="37"/>
        <w:keepNext w:val="0"/>
        <w:keepLines w:val="0"/>
        <w:pageBreakBefore w:val="0"/>
        <w:widowControl w:val="0"/>
        <w:numPr>
          <w:ilvl w:val="0"/>
          <w:numId w:val="6"/>
        </w:numPr>
        <w:kinsoku/>
        <w:wordWrap/>
        <w:overflowPunct/>
        <w:topLinePunct w:val="0"/>
        <w:bidi w:val="0"/>
        <w:adjustRightInd w:val="0"/>
        <w:snapToGrid w:val="0"/>
        <w:ind w:left="0" w:leftChars="0" w:firstLine="480" w:firstLineChars="200"/>
        <w:jc w:val="both"/>
        <w:textAlignment w:val="auto"/>
        <w:rPr>
          <w:rFonts w:hint="default" w:ascii="Times New Roman" w:hAnsi="Times New Roman" w:cs="Times New Roman"/>
          <w:color w:val="auto"/>
          <w:highlight w:val="none"/>
          <w:u w:val="none"/>
        </w:rPr>
      </w:pPr>
      <w:r>
        <w:rPr>
          <w:rFonts w:hint="default" w:ascii="Times New Roman" w:hAnsi="Times New Roman" w:cs="Times New Roman"/>
          <w:color w:val="auto"/>
          <w:highlight w:val="none"/>
          <w:u w:val="none"/>
        </w:rPr>
        <w:t>《中华人民共和国大气污染防治法》（2018年10月26日修订通过）；</w:t>
      </w:r>
    </w:p>
    <w:p w14:paraId="7CB52ECA">
      <w:pPr>
        <w:pStyle w:val="37"/>
        <w:keepNext w:val="0"/>
        <w:keepLines w:val="0"/>
        <w:pageBreakBefore w:val="0"/>
        <w:widowControl w:val="0"/>
        <w:numPr>
          <w:ilvl w:val="0"/>
          <w:numId w:val="6"/>
        </w:numPr>
        <w:kinsoku/>
        <w:wordWrap/>
        <w:overflowPunct/>
        <w:topLinePunct w:val="0"/>
        <w:bidi w:val="0"/>
        <w:adjustRightInd w:val="0"/>
        <w:snapToGrid w:val="0"/>
        <w:ind w:left="0" w:leftChars="0" w:firstLine="480" w:firstLineChars="200"/>
        <w:jc w:val="both"/>
        <w:textAlignment w:val="auto"/>
        <w:rPr>
          <w:rFonts w:hint="default" w:ascii="Times New Roman" w:hAnsi="Times New Roman" w:cs="Times New Roman"/>
          <w:color w:val="auto"/>
          <w:highlight w:val="none"/>
          <w:u w:val="none"/>
        </w:rPr>
      </w:pPr>
      <w:r>
        <w:rPr>
          <w:rFonts w:hint="default" w:ascii="Times New Roman" w:hAnsi="Times New Roman" w:cs="Times New Roman"/>
          <w:color w:val="auto"/>
          <w:highlight w:val="none"/>
          <w:u w:val="none"/>
        </w:rPr>
        <w:t>《中华人民共和国噪声污染防治法》（</w:t>
      </w:r>
      <w:r>
        <w:rPr>
          <w:rFonts w:hint="eastAsia" w:cs="Times New Roman"/>
          <w:color w:val="auto"/>
          <w:highlight w:val="none"/>
          <w:u w:val="none"/>
          <w:lang w:val="en-US" w:eastAsia="zh-CN"/>
        </w:rPr>
        <w:t>中华人民共和国主席令第一〇四号，2022年6月5日</w:t>
      </w:r>
      <w:r>
        <w:rPr>
          <w:rFonts w:hint="default" w:ascii="Times New Roman" w:hAnsi="Times New Roman" w:cs="Times New Roman"/>
          <w:color w:val="auto"/>
          <w:highlight w:val="none"/>
          <w:u w:val="none"/>
        </w:rPr>
        <w:t>起施行）；</w:t>
      </w:r>
    </w:p>
    <w:p w14:paraId="30A45B75">
      <w:pPr>
        <w:pStyle w:val="37"/>
        <w:keepNext w:val="0"/>
        <w:keepLines w:val="0"/>
        <w:pageBreakBefore w:val="0"/>
        <w:widowControl w:val="0"/>
        <w:numPr>
          <w:ilvl w:val="0"/>
          <w:numId w:val="6"/>
        </w:numPr>
        <w:kinsoku/>
        <w:wordWrap/>
        <w:overflowPunct/>
        <w:topLinePunct w:val="0"/>
        <w:bidi w:val="0"/>
        <w:adjustRightInd w:val="0"/>
        <w:snapToGrid w:val="0"/>
        <w:ind w:left="0" w:leftChars="0" w:firstLine="480" w:firstLineChars="200"/>
        <w:jc w:val="both"/>
        <w:textAlignment w:val="auto"/>
        <w:rPr>
          <w:rFonts w:hint="default" w:ascii="Times New Roman" w:hAnsi="Times New Roman" w:cs="Times New Roman"/>
          <w:color w:val="auto"/>
          <w:highlight w:val="none"/>
          <w:u w:val="none"/>
        </w:rPr>
      </w:pPr>
      <w:r>
        <w:rPr>
          <w:rFonts w:hint="default" w:ascii="Times New Roman" w:hAnsi="Times New Roman" w:cs="Times New Roman"/>
          <w:color w:val="auto"/>
          <w:highlight w:val="none"/>
          <w:u w:val="none"/>
        </w:rPr>
        <w:t>《中华人民共和国固体废物污染环境防治法》（2020年4月29日第二次修订，2020年9月1日施行）；</w:t>
      </w:r>
    </w:p>
    <w:p w14:paraId="35729BBB">
      <w:pPr>
        <w:pStyle w:val="30"/>
        <w:numPr>
          <w:ilvl w:val="0"/>
          <w:numId w:val="6"/>
        </w:numPr>
        <w:bidi w:val="0"/>
        <w:ind w:left="0" w:leftChars="0" w:firstLine="480" w:firstLineChars="200"/>
        <w:rPr>
          <w:rFonts w:hint="default" w:ascii="Times New Roman" w:hAnsi="Times New Roman" w:cs="Times New Roman"/>
          <w:color w:val="auto"/>
          <w:highlight w:val="none"/>
          <w:u w:val="none"/>
        </w:rPr>
      </w:pPr>
      <w:r>
        <w:rPr>
          <w:rFonts w:hint="default" w:ascii="Times New Roman" w:hAnsi="Times New Roman" w:cs="Times New Roman"/>
          <w:color w:val="auto"/>
          <w:highlight w:val="none"/>
          <w:u w:val="none"/>
        </w:rPr>
        <w:t>《中华人民共和国土壤污染防治法》（</w:t>
      </w:r>
      <w:r>
        <w:rPr>
          <w:rFonts w:hint="default" w:ascii="Times New Roman" w:hAnsi="Times New Roman" w:cs="Times New Roman"/>
          <w:color w:val="auto"/>
          <w:highlight w:val="none"/>
          <w:u w:val="none"/>
          <w:lang w:val="en-US" w:eastAsia="zh-CN"/>
        </w:rPr>
        <w:t>（2018年8月31日</w:t>
      </w:r>
      <w:r>
        <w:rPr>
          <w:rFonts w:hint="eastAsia" w:ascii="Times New Roman" w:hAnsi="Times New Roman" w:cs="Times New Roman"/>
          <w:color w:val="auto"/>
          <w:highlight w:val="none"/>
          <w:u w:val="none"/>
          <w:lang w:val="en-US" w:eastAsia="zh-CN"/>
        </w:rPr>
        <w:t>修正通过，</w:t>
      </w:r>
      <w:r>
        <w:rPr>
          <w:rFonts w:hint="default" w:ascii="Times New Roman" w:hAnsi="Times New Roman" w:cs="Times New Roman"/>
          <w:color w:val="auto"/>
          <w:highlight w:val="none"/>
          <w:u w:val="none"/>
        </w:rPr>
        <w:t>2019年1月1日实施）；</w:t>
      </w:r>
    </w:p>
    <w:p w14:paraId="5DDD5A91">
      <w:pPr>
        <w:pStyle w:val="30"/>
        <w:numPr>
          <w:ilvl w:val="0"/>
          <w:numId w:val="6"/>
        </w:numPr>
        <w:bidi w:val="0"/>
        <w:ind w:left="0" w:leftChars="0" w:firstLine="480" w:firstLineChars="200"/>
        <w:rPr>
          <w:rFonts w:hint="eastAsia"/>
          <w:color w:val="auto"/>
          <w:highlight w:val="none"/>
          <w:lang w:val="en-US" w:eastAsia="zh-CN"/>
        </w:rPr>
      </w:pPr>
      <w:r>
        <w:rPr>
          <w:rFonts w:hint="eastAsia"/>
          <w:color w:val="auto"/>
          <w:highlight w:val="none"/>
          <w:lang w:val="en-US" w:eastAsia="zh-CN"/>
        </w:rPr>
        <w:t>《中华人民共和国土地管理法》（2019年8月26日第三次修正通过并实施）；</w:t>
      </w:r>
    </w:p>
    <w:p w14:paraId="5D7DC8D0">
      <w:pPr>
        <w:pStyle w:val="30"/>
        <w:numPr>
          <w:ilvl w:val="0"/>
          <w:numId w:val="6"/>
        </w:numPr>
        <w:bidi w:val="0"/>
        <w:ind w:left="0" w:leftChars="0" w:firstLine="480" w:firstLineChars="200"/>
        <w:rPr>
          <w:rFonts w:hint="eastAsia"/>
          <w:color w:val="auto"/>
          <w:highlight w:val="none"/>
          <w:lang w:val="en-US" w:eastAsia="zh-CN"/>
        </w:rPr>
      </w:pPr>
      <w:r>
        <w:rPr>
          <w:rFonts w:hint="eastAsia"/>
          <w:color w:val="auto"/>
          <w:highlight w:val="none"/>
          <w:lang w:val="en-US" w:eastAsia="zh-CN"/>
        </w:rPr>
        <w:t>《中华人民共和国水土保持法》（2010年12月25日修订通过并实施）；</w:t>
      </w:r>
    </w:p>
    <w:p w14:paraId="66039EAB">
      <w:pPr>
        <w:pStyle w:val="30"/>
        <w:numPr>
          <w:ilvl w:val="0"/>
          <w:numId w:val="6"/>
        </w:numPr>
        <w:bidi w:val="0"/>
        <w:ind w:left="0" w:leftChars="0" w:firstLine="480" w:firstLineChars="200"/>
        <w:rPr>
          <w:rFonts w:hint="eastAsia"/>
          <w:color w:val="auto"/>
          <w:highlight w:val="none"/>
          <w:lang w:val="en-US" w:eastAsia="zh-CN"/>
        </w:rPr>
      </w:pPr>
      <w:r>
        <w:rPr>
          <w:rFonts w:hint="eastAsia"/>
          <w:color w:val="auto"/>
          <w:highlight w:val="none"/>
          <w:lang w:val="en-US" w:eastAsia="zh-CN"/>
        </w:rPr>
        <w:t>《</w:t>
      </w:r>
      <w:r>
        <w:rPr>
          <w:rFonts w:hint="default" w:ascii="Times New Roman" w:hAnsi="Times New Roman" w:eastAsia="宋体" w:cs="Times New Roman"/>
          <w:i w:val="0"/>
          <w:iCs w:val="0"/>
          <w:color w:val="auto"/>
          <w:spacing w:val="-2"/>
          <w:kern w:val="2"/>
          <w:sz w:val="24"/>
          <w:szCs w:val="24"/>
          <w:highlight w:val="none"/>
          <w:u w:val="none" w:color="auto"/>
        </w:rPr>
        <w:t>中华人民共和国野生植物保护条例</w:t>
      </w:r>
      <w:r>
        <w:rPr>
          <w:rFonts w:hint="eastAsia"/>
          <w:color w:val="auto"/>
          <w:highlight w:val="none"/>
          <w:lang w:val="en-US" w:eastAsia="zh-CN"/>
        </w:rPr>
        <w:t>》（2017年10月7日修订通过并实施）；</w:t>
      </w:r>
    </w:p>
    <w:p w14:paraId="7D2CCD46">
      <w:pPr>
        <w:pStyle w:val="30"/>
        <w:numPr>
          <w:ilvl w:val="0"/>
          <w:numId w:val="6"/>
        </w:numPr>
        <w:bidi w:val="0"/>
        <w:ind w:left="0" w:leftChars="0" w:firstLine="480" w:firstLineChars="200"/>
        <w:rPr>
          <w:rFonts w:hint="eastAsia"/>
          <w:color w:val="auto"/>
          <w:highlight w:val="none"/>
          <w:lang w:val="en-US" w:eastAsia="zh-CN"/>
        </w:rPr>
      </w:pPr>
      <w:r>
        <w:rPr>
          <w:rFonts w:hint="eastAsia"/>
          <w:color w:val="auto"/>
          <w:highlight w:val="none"/>
          <w:lang w:val="en-US" w:eastAsia="zh-CN"/>
        </w:rPr>
        <w:t>《中华人民共和国野生动物保护法》（2022年12月30日修订，2023 年5月1日起施行）；</w:t>
      </w:r>
    </w:p>
    <w:p w14:paraId="171EBA27">
      <w:pPr>
        <w:pStyle w:val="30"/>
        <w:numPr>
          <w:ilvl w:val="0"/>
          <w:numId w:val="6"/>
        </w:numPr>
        <w:bidi w:val="0"/>
        <w:ind w:left="0" w:leftChars="0" w:firstLine="480" w:firstLineChars="200"/>
        <w:rPr>
          <w:rFonts w:hint="eastAsia"/>
          <w:color w:val="auto"/>
          <w:highlight w:val="none"/>
          <w:lang w:val="en-US" w:eastAsia="zh-CN"/>
        </w:rPr>
      </w:pPr>
      <w:r>
        <w:rPr>
          <w:rFonts w:hint="eastAsia"/>
          <w:color w:val="auto"/>
          <w:highlight w:val="none"/>
          <w:lang w:val="en-US" w:eastAsia="zh-CN"/>
        </w:rPr>
        <w:t>《中华人民共和国森林法》（2019年12月28日修订，2020年7月1日起施行）；</w:t>
      </w:r>
    </w:p>
    <w:p w14:paraId="15D24CD4">
      <w:pPr>
        <w:pStyle w:val="30"/>
        <w:numPr>
          <w:ilvl w:val="0"/>
          <w:numId w:val="6"/>
        </w:numPr>
        <w:bidi w:val="0"/>
        <w:ind w:left="0" w:leftChars="0" w:firstLine="480" w:firstLineChars="200"/>
        <w:rPr>
          <w:rFonts w:hint="eastAsia"/>
          <w:color w:val="auto"/>
          <w:highlight w:val="none"/>
          <w:lang w:val="en-US" w:eastAsia="zh-CN"/>
        </w:rPr>
      </w:pPr>
      <w:r>
        <w:rPr>
          <w:rFonts w:hint="eastAsia"/>
          <w:color w:val="auto"/>
          <w:highlight w:val="none"/>
          <w:lang w:val="en-US" w:eastAsia="zh-CN"/>
        </w:rPr>
        <w:t>《中华人民共和国湿地保护法》（2021年12月24日通过，现予公布，自2022年6月1日起施行）；</w:t>
      </w:r>
    </w:p>
    <w:p w14:paraId="0266DAA6">
      <w:pPr>
        <w:pStyle w:val="30"/>
        <w:numPr>
          <w:ilvl w:val="0"/>
          <w:numId w:val="6"/>
        </w:numPr>
        <w:bidi w:val="0"/>
        <w:ind w:left="0" w:leftChars="0" w:firstLine="480" w:firstLineChars="200"/>
        <w:rPr>
          <w:rFonts w:hint="eastAsia"/>
          <w:color w:val="auto"/>
          <w:highlight w:val="none"/>
          <w:lang w:val="en-US" w:eastAsia="zh-CN"/>
        </w:rPr>
      </w:pPr>
      <w:r>
        <w:rPr>
          <w:rFonts w:hint="eastAsia"/>
          <w:color w:val="auto"/>
          <w:highlight w:val="none"/>
          <w:lang w:val="en-US" w:eastAsia="zh-CN"/>
        </w:rPr>
        <w:t>）《关于印发国家湿地公园管理办法的通知》（国家林业和草原局，林湿规〔2022〕3号；</w:t>
      </w:r>
    </w:p>
    <w:p w14:paraId="171DB9D0">
      <w:pPr>
        <w:pStyle w:val="30"/>
        <w:numPr>
          <w:ilvl w:val="0"/>
          <w:numId w:val="6"/>
        </w:numPr>
        <w:bidi w:val="0"/>
        <w:ind w:left="0" w:leftChars="0" w:firstLine="480" w:firstLineChars="200"/>
        <w:rPr>
          <w:rFonts w:hint="eastAsia"/>
          <w:color w:val="auto"/>
          <w:highlight w:val="none"/>
          <w:lang w:val="en-US" w:eastAsia="zh-CN"/>
        </w:rPr>
      </w:pPr>
      <w:r>
        <w:rPr>
          <w:rFonts w:hint="eastAsia"/>
          <w:color w:val="auto"/>
          <w:highlight w:val="none"/>
          <w:lang w:val="en-US" w:eastAsia="zh-CN"/>
        </w:rPr>
        <w:t>《基本农田保护条例》（2011年1月8日修订并实施）；</w:t>
      </w:r>
    </w:p>
    <w:p w14:paraId="6DCA88B5">
      <w:pPr>
        <w:pStyle w:val="30"/>
        <w:numPr>
          <w:ilvl w:val="0"/>
          <w:numId w:val="6"/>
        </w:numPr>
        <w:bidi w:val="0"/>
        <w:ind w:left="0" w:leftChars="0" w:firstLine="480" w:firstLineChars="200"/>
        <w:rPr>
          <w:rFonts w:hint="eastAsia"/>
          <w:color w:val="auto"/>
          <w:highlight w:val="none"/>
          <w:lang w:val="en-US" w:eastAsia="zh-CN"/>
        </w:rPr>
      </w:pPr>
      <w:r>
        <w:rPr>
          <w:rFonts w:hint="eastAsia"/>
          <w:color w:val="auto"/>
          <w:highlight w:val="none"/>
          <w:lang w:val="en-US" w:eastAsia="zh-CN"/>
        </w:rPr>
        <w:t>《关于进一步规范风电发展的通知》（湘发改能源〔2016〕822号）；</w:t>
      </w:r>
    </w:p>
    <w:p w14:paraId="7DEF4E1E">
      <w:pPr>
        <w:pStyle w:val="30"/>
        <w:numPr>
          <w:ilvl w:val="0"/>
          <w:numId w:val="6"/>
        </w:numPr>
        <w:bidi w:val="0"/>
        <w:ind w:left="0" w:leftChars="0" w:firstLine="480" w:firstLineChars="200"/>
        <w:rPr>
          <w:rFonts w:hint="eastAsia"/>
          <w:color w:val="auto"/>
          <w:highlight w:val="none"/>
          <w:lang w:val="en-US" w:eastAsia="zh-CN"/>
        </w:rPr>
      </w:pPr>
      <w:r>
        <w:rPr>
          <w:rFonts w:hint="eastAsia"/>
          <w:color w:val="auto"/>
          <w:highlight w:val="none"/>
          <w:lang w:val="en-US" w:eastAsia="zh-CN"/>
        </w:rPr>
        <w:t>《关于规范风电场项目建设使用林地的通知》（林资发[2019]17号）；</w:t>
      </w:r>
    </w:p>
    <w:p w14:paraId="21D025F8">
      <w:pPr>
        <w:pStyle w:val="30"/>
        <w:numPr>
          <w:ilvl w:val="0"/>
          <w:numId w:val="6"/>
        </w:numPr>
        <w:bidi w:val="0"/>
        <w:ind w:left="0" w:leftChars="0" w:firstLine="480" w:firstLineChars="200"/>
        <w:rPr>
          <w:rFonts w:hint="eastAsia"/>
          <w:color w:val="auto"/>
          <w:highlight w:val="none"/>
          <w:lang w:val="en-US" w:eastAsia="zh-CN"/>
        </w:rPr>
      </w:pPr>
      <w:r>
        <w:rPr>
          <w:rFonts w:hint="eastAsia"/>
          <w:color w:val="auto"/>
          <w:highlight w:val="none"/>
          <w:lang w:val="en-US" w:eastAsia="zh-CN"/>
        </w:rPr>
        <w:t>《国家重点保护野生植物名录》（国家林业和草原局农业农村部公告，2021年第15号）；</w:t>
      </w:r>
    </w:p>
    <w:p w14:paraId="189C0FC5">
      <w:pPr>
        <w:pStyle w:val="30"/>
        <w:numPr>
          <w:ilvl w:val="0"/>
          <w:numId w:val="6"/>
        </w:numPr>
        <w:bidi w:val="0"/>
        <w:ind w:left="0" w:leftChars="0" w:firstLine="480" w:firstLineChars="200"/>
        <w:rPr>
          <w:rFonts w:hint="eastAsia"/>
          <w:color w:val="auto"/>
          <w:highlight w:val="none"/>
          <w:lang w:val="en-US" w:eastAsia="zh-CN"/>
        </w:rPr>
      </w:pPr>
      <w:r>
        <w:rPr>
          <w:rFonts w:hint="eastAsia"/>
          <w:color w:val="auto"/>
          <w:highlight w:val="none"/>
          <w:lang w:val="en-US" w:eastAsia="zh-CN"/>
        </w:rPr>
        <w:t>《国家重点保护野生动物名录》（国家林业和草原局 农业农村部公告，2021年第3号）；</w:t>
      </w:r>
    </w:p>
    <w:p w14:paraId="28948076">
      <w:pPr>
        <w:pStyle w:val="30"/>
        <w:numPr>
          <w:ilvl w:val="0"/>
          <w:numId w:val="6"/>
        </w:numPr>
        <w:bidi w:val="0"/>
        <w:ind w:left="0" w:leftChars="0" w:firstLine="480" w:firstLineChars="200"/>
        <w:rPr>
          <w:rFonts w:hint="eastAsia"/>
          <w:color w:val="auto"/>
          <w:highlight w:val="none"/>
          <w:lang w:val="en-US" w:eastAsia="zh-CN"/>
        </w:rPr>
      </w:pPr>
      <w:r>
        <w:rPr>
          <w:rFonts w:hint="eastAsia"/>
          <w:color w:val="auto"/>
          <w:highlight w:val="none"/>
          <w:lang w:val="en-US" w:eastAsia="zh-CN"/>
        </w:rPr>
        <w:t>《建设项目环境影响评价分类管理名录》（2021年版）；</w:t>
      </w:r>
    </w:p>
    <w:p w14:paraId="39931DD2">
      <w:pPr>
        <w:pStyle w:val="30"/>
        <w:numPr>
          <w:ilvl w:val="0"/>
          <w:numId w:val="6"/>
        </w:numPr>
        <w:bidi w:val="0"/>
        <w:ind w:left="0" w:leftChars="0" w:firstLine="480" w:firstLineChars="200"/>
        <w:rPr>
          <w:rFonts w:hint="eastAsia"/>
          <w:color w:val="auto"/>
          <w:highlight w:val="none"/>
          <w:lang w:val="en-US" w:eastAsia="zh-CN"/>
        </w:rPr>
      </w:pPr>
      <w:r>
        <w:rPr>
          <w:rFonts w:hint="eastAsia"/>
          <w:color w:val="auto"/>
          <w:highlight w:val="none"/>
          <w:lang w:val="en-US" w:eastAsia="zh-CN"/>
        </w:rPr>
        <w:t>《全国主体功能区规划》（国发[2010]46号）；</w:t>
      </w:r>
    </w:p>
    <w:p w14:paraId="42F75288">
      <w:pPr>
        <w:pStyle w:val="30"/>
        <w:numPr>
          <w:ilvl w:val="0"/>
          <w:numId w:val="6"/>
        </w:numPr>
        <w:bidi w:val="0"/>
        <w:ind w:left="0" w:leftChars="0" w:firstLine="480" w:firstLineChars="200"/>
        <w:rPr>
          <w:color w:val="auto"/>
          <w:highlight w:val="none"/>
        </w:rPr>
      </w:pPr>
      <w:r>
        <w:rPr>
          <w:rFonts w:hint="eastAsia"/>
          <w:color w:val="auto"/>
          <w:highlight w:val="none"/>
          <w:lang w:val="en-US" w:eastAsia="zh-CN"/>
        </w:rPr>
        <w:t>《全国生态功能区划》（修编）（国家环保部、中国科学院公告，2015年11月）。</w:t>
      </w:r>
    </w:p>
    <w:p w14:paraId="2320E257">
      <w:pPr>
        <w:pStyle w:val="5"/>
        <w:rPr>
          <w:rFonts w:hint="default" w:ascii="Times New Roman" w:hAnsi="Times New Roman" w:cs="Times New Roman"/>
          <w:color w:val="auto"/>
          <w:highlight w:val="none"/>
          <w:u w:val="none"/>
        </w:rPr>
      </w:pPr>
      <w:r>
        <w:rPr>
          <w:rFonts w:hint="default" w:ascii="Times New Roman" w:hAnsi="Times New Roman" w:cs="Times New Roman"/>
          <w:color w:val="auto"/>
          <w:highlight w:val="none"/>
          <w:u w:val="none"/>
        </w:rPr>
        <w:t>地方性法规及规章</w:t>
      </w:r>
    </w:p>
    <w:p w14:paraId="1B769548">
      <w:pPr>
        <w:pStyle w:val="30"/>
        <w:ind w:firstLine="480"/>
        <w:rPr>
          <w:rFonts w:hint="eastAsia"/>
          <w:color w:val="auto"/>
          <w:highlight w:val="none"/>
        </w:rPr>
      </w:pPr>
      <w:r>
        <w:rPr>
          <w:rFonts w:hint="eastAsia"/>
          <w:color w:val="auto"/>
          <w:highlight w:val="none"/>
        </w:rPr>
        <w:t>（</w:t>
      </w:r>
      <w:r>
        <w:rPr>
          <w:rFonts w:hint="eastAsia"/>
          <w:color w:val="auto"/>
          <w:highlight w:val="none"/>
          <w:lang w:val="en-US" w:eastAsia="zh-CN"/>
        </w:rPr>
        <w:t>1</w:t>
      </w:r>
      <w:r>
        <w:rPr>
          <w:rFonts w:hint="eastAsia"/>
          <w:color w:val="auto"/>
          <w:highlight w:val="none"/>
        </w:rPr>
        <w:t>）《湖南省环境保护条例》（2019年9月28日湖南省第十三届人民代表大会常务委员会第十三次会议修订，2020年1月1日起施行）；</w:t>
      </w:r>
    </w:p>
    <w:p w14:paraId="28F1B0D5">
      <w:pPr>
        <w:pStyle w:val="30"/>
        <w:ind w:firstLine="480"/>
        <w:rPr>
          <w:rFonts w:hint="eastAsia" w:eastAsia="宋体"/>
          <w:color w:val="auto"/>
          <w:highlight w:val="none"/>
          <w:lang w:eastAsia="zh-CN"/>
        </w:rPr>
      </w:pPr>
      <w:r>
        <w:rPr>
          <w:rFonts w:hint="eastAsia"/>
          <w:color w:val="auto"/>
          <w:highlight w:val="none"/>
        </w:rPr>
        <w:t>（</w:t>
      </w:r>
      <w:r>
        <w:rPr>
          <w:rFonts w:hint="eastAsia"/>
          <w:color w:val="auto"/>
          <w:highlight w:val="none"/>
          <w:lang w:val="en-US" w:eastAsia="zh-CN"/>
        </w:rPr>
        <w:t>2</w:t>
      </w:r>
      <w:r>
        <w:rPr>
          <w:rFonts w:hint="eastAsia"/>
          <w:color w:val="auto"/>
          <w:highlight w:val="none"/>
        </w:rPr>
        <w:t>）</w:t>
      </w:r>
      <w:r>
        <w:rPr>
          <w:rFonts w:hint="eastAsia"/>
          <w:color w:val="auto"/>
          <w:highlight w:val="none"/>
          <w:lang w:eastAsia="zh-CN"/>
        </w:rPr>
        <w:t>《湖南省人民政府办公厅关于印发</w:t>
      </w:r>
      <w:r>
        <w:rPr>
          <w:rFonts w:hint="eastAsia"/>
          <w:color w:val="auto"/>
          <w:highlight w:val="none"/>
          <w:lang w:val="en-US" w:eastAsia="zh-CN"/>
        </w:rPr>
        <w:t>&lt;</w:t>
      </w:r>
      <w:r>
        <w:rPr>
          <w:rFonts w:hint="eastAsia"/>
          <w:color w:val="auto"/>
          <w:highlight w:val="none"/>
          <w:lang w:eastAsia="zh-CN"/>
        </w:rPr>
        <w:t>湖南省“十四五”生态环境保护规划</w:t>
      </w:r>
      <w:r>
        <w:rPr>
          <w:rFonts w:hint="eastAsia"/>
          <w:color w:val="auto"/>
          <w:highlight w:val="none"/>
          <w:lang w:val="en-US" w:eastAsia="zh-CN"/>
        </w:rPr>
        <w:t>&gt;</w:t>
      </w:r>
      <w:r>
        <w:rPr>
          <w:rFonts w:hint="eastAsia"/>
          <w:color w:val="auto"/>
          <w:highlight w:val="none"/>
          <w:lang w:eastAsia="zh-CN"/>
        </w:rPr>
        <w:t>的通知》（湘政办发〔2021〕61号）；</w:t>
      </w:r>
    </w:p>
    <w:p w14:paraId="067C61E4">
      <w:pPr>
        <w:pStyle w:val="30"/>
        <w:bidi w:val="0"/>
        <w:rPr>
          <w:rFonts w:hint="eastAsia"/>
          <w:color w:val="auto"/>
          <w:highlight w:val="none"/>
          <w:lang w:val="en-US" w:eastAsia="zh-CN"/>
        </w:rPr>
      </w:pPr>
      <w:r>
        <w:rPr>
          <w:rFonts w:hint="eastAsia"/>
          <w:color w:val="auto"/>
          <w:highlight w:val="none"/>
          <w:lang w:val="en-US" w:eastAsia="zh-CN"/>
        </w:rPr>
        <w:t>（3）《衡阳市“十四五”生态环境保护规划》（衡政办发〔2021〕37号）；</w:t>
      </w:r>
    </w:p>
    <w:p w14:paraId="305E9782">
      <w:pPr>
        <w:pStyle w:val="30"/>
        <w:bidi w:val="0"/>
        <w:rPr>
          <w:rFonts w:hint="default"/>
          <w:color w:val="auto"/>
          <w:highlight w:val="none"/>
          <w:lang w:val="en-US" w:eastAsia="zh-CN"/>
        </w:rPr>
      </w:pPr>
      <w:r>
        <w:rPr>
          <w:rFonts w:hint="eastAsia"/>
          <w:color w:val="auto"/>
          <w:highlight w:val="none"/>
          <w:lang w:val="en-US" w:eastAsia="zh-CN"/>
        </w:rPr>
        <w:t>（4）《</w:t>
      </w:r>
      <w:r>
        <w:rPr>
          <w:rFonts w:hint="default" w:ascii="Times New Roman" w:hAnsi="Times New Roman" w:cs="Times New Roman"/>
          <w:color w:val="auto"/>
          <w:highlight w:val="none"/>
          <w:lang w:val="en-US" w:eastAsia="zh-CN"/>
        </w:rPr>
        <w:t>湖南省自然资源厅关于印发&lt;湖南省建设用地指标（2021版）&gt;的通知》（湘自资发</w:t>
      </w:r>
      <w:r>
        <w:rPr>
          <w:rFonts w:hint="default" w:ascii="Times New Roman" w:hAnsi="Times New Roman" w:eastAsia="宋体" w:cs="Times New Roman"/>
          <w:color w:val="auto"/>
          <w:highlight w:val="none"/>
          <w:lang w:val="en-US" w:eastAsia="zh-CN"/>
        </w:rPr>
        <w:t>〔2021〕45号</w:t>
      </w:r>
      <w:r>
        <w:rPr>
          <w:rFonts w:hint="default" w:ascii="Times New Roman" w:hAnsi="Times New Roman" w:cs="Times New Roman"/>
          <w:color w:val="auto"/>
          <w:highlight w:val="none"/>
          <w:lang w:val="en-US" w:eastAsia="zh-CN"/>
        </w:rPr>
        <w:t>）；</w:t>
      </w:r>
    </w:p>
    <w:p w14:paraId="5FBF2067">
      <w:pPr>
        <w:pStyle w:val="30"/>
        <w:bidi w:val="0"/>
        <w:rPr>
          <w:rFonts w:hint="eastAsia"/>
          <w:color w:val="auto"/>
          <w:highlight w:val="none"/>
          <w:lang w:val="en-US" w:eastAsia="zh-CN"/>
        </w:rPr>
      </w:pPr>
      <w:r>
        <w:rPr>
          <w:rFonts w:hint="eastAsia"/>
          <w:color w:val="auto"/>
          <w:highlight w:val="none"/>
          <w:lang w:val="en-US" w:eastAsia="zh-CN"/>
        </w:rPr>
        <w:t>（5）《湖南省林业厅关于进一步加强风电建设项目使用林地管理的通知》（湘林政[2018]5号）；</w:t>
      </w:r>
    </w:p>
    <w:p w14:paraId="222EFBC8">
      <w:pPr>
        <w:pStyle w:val="30"/>
        <w:bidi w:val="0"/>
        <w:rPr>
          <w:rFonts w:hint="eastAsia"/>
          <w:color w:val="auto"/>
          <w:highlight w:val="none"/>
          <w:lang w:val="en-US" w:eastAsia="zh-CN"/>
        </w:rPr>
      </w:pPr>
      <w:r>
        <w:rPr>
          <w:rFonts w:hint="eastAsia"/>
          <w:color w:val="auto"/>
          <w:highlight w:val="none"/>
          <w:lang w:val="en-US" w:eastAsia="zh-CN"/>
        </w:rPr>
        <w:t>（6）《湖南省碳达峰实施方案》（湘政发〔2022〕19号）；</w:t>
      </w:r>
    </w:p>
    <w:p w14:paraId="652357C5">
      <w:pPr>
        <w:pStyle w:val="30"/>
        <w:bidi w:val="0"/>
        <w:rPr>
          <w:rFonts w:hint="eastAsia"/>
          <w:color w:val="auto"/>
          <w:highlight w:val="none"/>
          <w:lang w:val="en-US" w:eastAsia="zh-CN"/>
        </w:rPr>
      </w:pPr>
      <w:r>
        <w:rPr>
          <w:rFonts w:hint="eastAsia"/>
          <w:color w:val="auto"/>
          <w:highlight w:val="none"/>
          <w:lang w:val="en-US" w:eastAsia="zh-CN"/>
        </w:rPr>
        <w:t>（7）《湖南省“十四五”可再生能源发展规划》（湘发改能源规〔2022〕405号）；</w:t>
      </w:r>
    </w:p>
    <w:p w14:paraId="05922F50">
      <w:pPr>
        <w:rPr>
          <w:color w:val="auto"/>
          <w:highlight w:val="none"/>
        </w:rPr>
      </w:pPr>
      <w:r>
        <w:rPr>
          <w:rFonts w:hint="eastAsia" w:cs="Times New Roman"/>
          <w:color w:val="auto"/>
          <w:highlight w:val="none"/>
          <w:lang w:val="en-US" w:eastAsia="zh-CN"/>
        </w:rPr>
        <w:t>（8）《湖南省主体功能区规划》（湘政发[2012]39号）。</w:t>
      </w:r>
    </w:p>
    <w:p w14:paraId="18E6504D">
      <w:pPr>
        <w:pStyle w:val="5"/>
        <w:rPr>
          <w:rFonts w:hint="default" w:ascii="Times New Roman" w:hAnsi="Times New Roman" w:cs="Times New Roman"/>
          <w:strike w:val="0"/>
          <w:dstrike w:val="0"/>
          <w:color w:val="auto"/>
          <w:highlight w:val="none"/>
          <w:u w:val="none"/>
        </w:rPr>
      </w:pPr>
      <w:r>
        <w:rPr>
          <w:rFonts w:hint="default" w:ascii="Times New Roman" w:hAnsi="Times New Roman" w:cs="Times New Roman"/>
          <w:strike w:val="0"/>
          <w:dstrike w:val="0"/>
          <w:color w:val="auto"/>
          <w:highlight w:val="none"/>
          <w:u w:val="none"/>
        </w:rPr>
        <w:t>技术导则、规范</w:t>
      </w:r>
    </w:p>
    <w:p w14:paraId="0C1B2BE8">
      <w:pPr>
        <w:rPr>
          <w:rFonts w:hint="eastAsia"/>
          <w:color w:val="auto"/>
          <w:highlight w:val="none"/>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w:t>
      </w:r>
      <w:r>
        <w:rPr>
          <w:rFonts w:hint="eastAsia"/>
          <w:color w:val="auto"/>
          <w:highlight w:val="none"/>
        </w:rPr>
        <w:t>《建设项目环境影响评价技术导则总纲》（HJ 2.1-2016）；</w:t>
      </w:r>
    </w:p>
    <w:p w14:paraId="425CF1C1">
      <w:pPr>
        <w:rPr>
          <w:rFonts w:hint="eastAsia"/>
          <w:color w:val="auto"/>
          <w:highlight w:val="none"/>
        </w:rPr>
      </w:pPr>
      <w:r>
        <w:rPr>
          <w:rFonts w:hint="eastAsia"/>
          <w:color w:val="auto"/>
          <w:highlight w:val="none"/>
          <w:lang w:eastAsia="zh-CN"/>
        </w:rPr>
        <w:t>（</w:t>
      </w:r>
      <w:r>
        <w:rPr>
          <w:rFonts w:hint="eastAsia"/>
          <w:color w:val="auto"/>
          <w:highlight w:val="none"/>
          <w:lang w:val="en-US" w:eastAsia="zh-CN"/>
        </w:rPr>
        <w:t>2</w:t>
      </w:r>
      <w:r>
        <w:rPr>
          <w:rFonts w:hint="eastAsia"/>
          <w:color w:val="auto"/>
          <w:highlight w:val="none"/>
          <w:lang w:eastAsia="zh-CN"/>
        </w:rPr>
        <w:t>）</w:t>
      </w:r>
      <w:r>
        <w:rPr>
          <w:rFonts w:hint="eastAsia"/>
          <w:color w:val="auto"/>
          <w:highlight w:val="none"/>
        </w:rPr>
        <w:t>《环境影响评价技术导则大气环境》（HJ 2.2-2018）；</w:t>
      </w:r>
    </w:p>
    <w:p w14:paraId="49F14ED6">
      <w:pPr>
        <w:rPr>
          <w:rFonts w:hint="eastAsia"/>
          <w:color w:val="auto"/>
          <w:highlight w:val="none"/>
        </w:rPr>
      </w:pPr>
      <w:r>
        <w:rPr>
          <w:rFonts w:hint="eastAsia"/>
          <w:color w:val="auto"/>
          <w:highlight w:val="none"/>
          <w:lang w:eastAsia="zh-CN"/>
        </w:rPr>
        <w:t>（</w:t>
      </w:r>
      <w:r>
        <w:rPr>
          <w:rFonts w:hint="eastAsia"/>
          <w:color w:val="auto"/>
          <w:highlight w:val="none"/>
          <w:lang w:val="en-US" w:eastAsia="zh-CN"/>
        </w:rPr>
        <w:t>3</w:t>
      </w:r>
      <w:r>
        <w:rPr>
          <w:rFonts w:hint="eastAsia"/>
          <w:color w:val="auto"/>
          <w:highlight w:val="none"/>
          <w:lang w:eastAsia="zh-CN"/>
        </w:rPr>
        <w:t>）</w:t>
      </w:r>
      <w:r>
        <w:rPr>
          <w:rFonts w:hint="eastAsia"/>
          <w:color w:val="auto"/>
          <w:highlight w:val="none"/>
        </w:rPr>
        <w:t>《环境影响评价技术导则地表水环境》（HJ 2.3-2018）；</w:t>
      </w:r>
    </w:p>
    <w:p w14:paraId="37A9EEE4">
      <w:pPr>
        <w:rPr>
          <w:rFonts w:hint="eastAsia"/>
          <w:color w:val="auto"/>
          <w:highlight w:val="none"/>
        </w:rPr>
      </w:pPr>
      <w:r>
        <w:rPr>
          <w:rFonts w:hint="eastAsia"/>
          <w:color w:val="auto"/>
          <w:highlight w:val="none"/>
          <w:lang w:eastAsia="zh-CN"/>
        </w:rPr>
        <w:t>（</w:t>
      </w:r>
      <w:r>
        <w:rPr>
          <w:rFonts w:hint="eastAsia"/>
          <w:color w:val="auto"/>
          <w:highlight w:val="none"/>
          <w:lang w:val="en-US" w:eastAsia="zh-CN"/>
        </w:rPr>
        <w:t>4</w:t>
      </w:r>
      <w:r>
        <w:rPr>
          <w:rFonts w:hint="eastAsia"/>
          <w:color w:val="auto"/>
          <w:highlight w:val="none"/>
          <w:lang w:eastAsia="zh-CN"/>
        </w:rPr>
        <w:t>）</w:t>
      </w:r>
      <w:r>
        <w:rPr>
          <w:rFonts w:hint="eastAsia"/>
          <w:color w:val="auto"/>
          <w:highlight w:val="none"/>
        </w:rPr>
        <w:t>《环境影响评价技术导则声环境》（HJ 2.4-2021）；</w:t>
      </w:r>
    </w:p>
    <w:p w14:paraId="672A49E7">
      <w:pPr>
        <w:rPr>
          <w:rFonts w:hint="eastAsia"/>
          <w:color w:val="auto"/>
          <w:highlight w:val="none"/>
        </w:rPr>
      </w:pPr>
      <w:r>
        <w:rPr>
          <w:rFonts w:hint="eastAsia"/>
          <w:color w:val="auto"/>
          <w:highlight w:val="none"/>
          <w:lang w:eastAsia="zh-CN"/>
        </w:rPr>
        <w:t>（</w:t>
      </w:r>
      <w:r>
        <w:rPr>
          <w:rFonts w:hint="eastAsia"/>
          <w:color w:val="auto"/>
          <w:highlight w:val="none"/>
          <w:lang w:val="en-US" w:eastAsia="zh-CN"/>
        </w:rPr>
        <w:t>5</w:t>
      </w:r>
      <w:r>
        <w:rPr>
          <w:rFonts w:hint="eastAsia"/>
          <w:color w:val="auto"/>
          <w:highlight w:val="none"/>
          <w:lang w:eastAsia="zh-CN"/>
        </w:rPr>
        <w:t>）</w:t>
      </w:r>
      <w:r>
        <w:rPr>
          <w:rFonts w:hint="eastAsia"/>
          <w:color w:val="auto"/>
          <w:highlight w:val="none"/>
        </w:rPr>
        <w:t>《环境影响评价技术导则生态影响》（HJ 19-2022）；</w:t>
      </w:r>
    </w:p>
    <w:p w14:paraId="0309CD58">
      <w:pPr>
        <w:rPr>
          <w:rFonts w:hint="eastAsia"/>
          <w:color w:val="auto"/>
          <w:highlight w:val="none"/>
        </w:rPr>
      </w:pPr>
      <w:r>
        <w:rPr>
          <w:rFonts w:hint="eastAsia"/>
          <w:color w:val="auto"/>
          <w:highlight w:val="none"/>
          <w:lang w:eastAsia="zh-CN"/>
        </w:rPr>
        <w:t>（</w:t>
      </w:r>
      <w:r>
        <w:rPr>
          <w:rFonts w:hint="eastAsia"/>
          <w:color w:val="auto"/>
          <w:highlight w:val="none"/>
          <w:lang w:val="en-US" w:eastAsia="zh-CN"/>
        </w:rPr>
        <w:t>6</w:t>
      </w:r>
      <w:r>
        <w:rPr>
          <w:rFonts w:hint="eastAsia"/>
          <w:color w:val="auto"/>
          <w:highlight w:val="none"/>
          <w:lang w:eastAsia="zh-CN"/>
        </w:rPr>
        <w:t>）</w:t>
      </w:r>
      <w:r>
        <w:rPr>
          <w:rFonts w:hint="eastAsia"/>
          <w:color w:val="auto"/>
          <w:highlight w:val="none"/>
        </w:rPr>
        <w:t>《环境影响评价技术导则地下水环境》（HJ 610-2016）；</w:t>
      </w:r>
    </w:p>
    <w:p w14:paraId="0D06859F">
      <w:pPr>
        <w:rPr>
          <w:rFonts w:hint="eastAsia"/>
          <w:color w:val="auto"/>
          <w:highlight w:val="none"/>
        </w:rPr>
      </w:pPr>
      <w:r>
        <w:rPr>
          <w:rFonts w:hint="eastAsia"/>
          <w:color w:val="auto"/>
          <w:highlight w:val="none"/>
          <w:lang w:eastAsia="zh-CN"/>
        </w:rPr>
        <w:t>（</w:t>
      </w:r>
      <w:r>
        <w:rPr>
          <w:rFonts w:hint="eastAsia"/>
          <w:color w:val="auto"/>
          <w:highlight w:val="none"/>
          <w:lang w:val="en-US" w:eastAsia="zh-CN"/>
        </w:rPr>
        <w:t>7</w:t>
      </w:r>
      <w:r>
        <w:rPr>
          <w:rFonts w:hint="eastAsia"/>
          <w:color w:val="auto"/>
          <w:highlight w:val="none"/>
          <w:lang w:eastAsia="zh-CN"/>
        </w:rPr>
        <w:t>）</w:t>
      </w:r>
      <w:r>
        <w:rPr>
          <w:rFonts w:hint="eastAsia"/>
          <w:color w:val="auto"/>
          <w:highlight w:val="none"/>
        </w:rPr>
        <w:t>《环境影响评价技术导则土壤环境（试行）》（HJ 964-2018）；</w:t>
      </w:r>
    </w:p>
    <w:p w14:paraId="53EAE8EE">
      <w:pPr>
        <w:rPr>
          <w:color w:val="auto"/>
          <w:highlight w:val="none"/>
        </w:rPr>
      </w:pPr>
      <w:r>
        <w:rPr>
          <w:rFonts w:hint="eastAsia"/>
          <w:color w:val="auto"/>
          <w:highlight w:val="none"/>
          <w:lang w:eastAsia="zh-CN"/>
        </w:rPr>
        <w:t>（</w:t>
      </w:r>
      <w:r>
        <w:rPr>
          <w:rFonts w:hint="eastAsia"/>
          <w:color w:val="auto"/>
          <w:highlight w:val="none"/>
          <w:lang w:val="en-US" w:eastAsia="zh-CN"/>
        </w:rPr>
        <w:t>8</w:t>
      </w:r>
      <w:r>
        <w:rPr>
          <w:rFonts w:hint="eastAsia"/>
          <w:color w:val="auto"/>
          <w:highlight w:val="none"/>
          <w:lang w:eastAsia="zh-CN"/>
        </w:rPr>
        <w:t>）</w:t>
      </w:r>
      <w:r>
        <w:rPr>
          <w:rFonts w:hint="eastAsia"/>
          <w:color w:val="auto"/>
          <w:highlight w:val="none"/>
        </w:rPr>
        <w:t>《建设项目环境风险评价技术导则》（HJ 169-2018）；</w:t>
      </w:r>
    </w:p>
    <w:p w14:paraId="5A73B5B5">
      <w:pPr>
        <w:pStyle w:val="30"/>
        <w:bidi w:val="0"/>
        <w:rPr>
          <w:rFonts w:hint="eastAsia"/>
          <w:color w:val="auto"/>
          <w:highlight w:val="none"/>
          <w:lang w:val="en-US" w:eastAsia="zh-CN"/>
        </w:rPr>
      </w:pPr>
      <w:r>
        <w:rPr>
          <w:rFonts w:hint="eastAsia"/>
          <w:color w:val="auto"/>
          <w:highlight w:val="none"/>
          <w:lang w:val="en-US" w:eastAsia="zh-CN"/>
        </w:rPr>
        <w:t>（9）《生态环境状况评价技术规范》（HJ192-2015）；</w:t>
      </w:r>
    </w:p>
    <w:p w14:paraId="0AB34494">
      <w:pPr>
        <w:pStyle w:val="30"/>
        <w:bidi w:val="0"/>
        <w:rPr>
          <w:rFonts w:hint="eastAsia"/>
          <w:color w:val="auto"/>
          <w:highlight w:val="none"/>
          <w:lang w:val="en-US" w:eastAsia="zh-CN"/>
        </w:rPr>
      </w:pPr>
      <w:r>
        <w:rPr>
          <w:rFonts w:hint="eastAsia"/>
          <w:color w:val="auto"/>
          <w:highlight w:val="none"/>
          <w:lang w:val="en-US" w:eastAsia="zh-CN"/>
        </w:rPr>
        <w:t>（10）《生物多样性观测技术导则 陆生哺乳动物》（HJ710.3-2014）；</w:t>
      </w:r>
    </w:p>
    <w:p w14:paraId="444990AD">
      <w:pPr>
        <w:pStyle w:val="30"/>
        <w:bidi w:val="0"/>
        <w:rPr>
          <w:rFonts w:hint="eastAsia"/>
          <w:color w:val="auto"/>
          <w:highlight w:val="none"/>
          <w:lang w:val="en-US" w:eastAsia="zh-CN"/>
        </w:rPr>
      </w:pPr>
      <w:r>
        <w:rPr>
          <w:rFonts w:hint="eastAsia"/>
          <w:color w:val="auto"/>
          <w:highlight w:val="none"/>
          <w:lang w:val="en-US" w:eastAsia="zh-CN"/>
        </w:rPr>
        <w:t>（11）《生物多样性观测技术导则 鸟类》（HJ710.4-2014）；</w:t>
      </w:r>
    </w:p>
    <w:p w14:paraId="19A5757C">
      <w:pPr>
        <w:pStyle w:val="30"/>
        <w:bidi w:val="0"/>
        <w:rPr>
          <w:rFonts w:hint="eastAsia"/>
          <w:color w:val="auto"/>
          <w:highlight w:val="none"/>
          <w:lang w:val="en-US" w:eastAsia="zh-CN"/>
        </w:rPr>
      </w:pPr>
      <w:r>
        <w:rPr>
          <w:rFonts w:hint="eastAsia"/>
          <w:color w:val="auto"/>
          <w:highlight w:val="none"/>
          <w:lang w:val="en-US" w:eastAsia="zh-CN"/>
        </w:rPr>
        <w:t>（12）《生物多样性观测技术导则 爬行动物》（HJ710.5-2014）；</w:t>
      </w:r>
    </w:p>
    <w:p w14:paraId="6F74B622">
      <w:pPr>
        <w:pStyle w:val="30"/>
        <w:bidi w:val="0"/>
        <w:rPr>
          <w:rFonts w:hint="eastAsia"/>
          <w:color w:val="auto"/>
          <w:highlight w:val="none"/>
          <w:lang w:val="en-US" w:eastAsia="zh-CN"/>
        </w:rPr>
      </w:pPr>
      <w:r>
        <w:rPr>
          <w:rFonts w:hint="eastAsia"/>
          <w:color w:val="auto"/>
          <w:highlight w:val="none"/>
          <w:lang w:val="en-US" w:eastAsia="zh-CN"/>
        </w:rPr>
        <w:t>（13）《生物多样性观测技术导则 两栖动物》（HJ710.6-2014）；</w:t>
      </w:r>
    </w:p>
    <w:p w14:paraId="6DA9D021">
      <w:pPr>
        <w:pStyle w:val="30"/>
        <w:bidi w:val="0"/>
        <w:rPr>
          <w:rFonts w:hint="eastAsia"/>
          <w:color w:val="auto"/>
          <w:highlight w:val="none"/>
          <w:lang w:val="en-US" w:eastAsia="zh-CN"/>
        </w:rPr>
      </w:pPr>
      <w:r>
        <w:rPr>
          <w:rFonts w:hint="eastAsia"/>
          <w:color w:val="auto"/>
          <w:highlight w:val="none"/>
          <w:lang w:val="en-US" w:eastAsia="zh-CN"/>
        </w:rPr>
        <w:t>（14）《生物多样性观测技术导则 陆生维管动物》（HJ710.1-2014）；</w:t>
      </w:r>
    </w:p>
    <w:p w14:paraId="774F26BC">
      <w:pPr>
        <w:pStyle w:val="30"/>
        <w:bidi w:val="0"/>
        <w:rPr>
          <w:rFonts w:hint="eastAsia"/>
          <w:color w:val="auto"/>
          <w:highlight w:val="none"/>
          <w:lang w:val="en-US" w:eastAsia="zh-CN"/>
        </w:rPr>
      </w:pPr>
      <w:r>
        <w:rPr>
          <w:rFonts w:hint="eastAsia"/>
          <w:color w:val="auto"/>
          <w:highlight w:val="none"/>
          <w:lang w:val="en-US" w:eastAsia="zh-CN"/>
        </w:rPr>
        <w:t>（15）《生物多样性观测技术导则 水生维管动物》（HJ710.12-2016）；</w:t>
      </w:r>
    </w:p>
    <w:p w14:paraId="250190A0">
      <w:pPr>
        <w:pStyle w:val="30"/>
        <w:bidi w:val="0"/>
        <w:rPr>
          <w:rFonts w:hint="eastAsia"/>
          <w:color w:val="auto"/>
          <w:highlight w:val="none"/>
          <w:lang w:val="en-US" w:eastAsia="zh-CN"/>
        </w:rPr>
      </w:pPr>
      <w:r>
        <w:rPr>
          <w:rFonts w:hint="eastAsia"/>
          <w:color w:val="auto"/>
          <w:highlight w:val="none"/>
          <w:lang w:val="en-US" w:eastAsia="zh-CN"/>
        </w:rPr>
        <w:t>（16）《生物多样性观测技术导则 内陆水域鱼类》（HJ710.7-2014）；</w:t>
      </w:r>
    </w:p>
    <w:p w14:paraId="4950EEEA">
      <w:pPr>
        <w:rPr>
          <w:rFonts w:hint="eastAsia"/>
          <w:color w:val="auto"/>
          <w:highlight w:val="none"/>
          <w:lang w:val="en-US" w:eastAsia="zh-CN"/>
        </w:rPr>
      </w:pPr>
      <w:r>
        <w:rPr>
          <w:rFonts w:hint="eastAsia"/>
          <w:color w:val="auto"/>
          <w:highlight w:val="none"/>
          <w:lang w:val="en-US" w:eastAsia="zh-CN"/>
        </w:rPr>
        <w:t>（17）《生物多样性观测技术导则 淡水底栖大型无脊椎动物》（HJ710.8-2014）；</w:t>
      </w:r>
    </w:p>
    <w:p w14:paraId="5DE6A9DA">
      <w:pPr>
        <w:pStyle w:val="61"/>
        <w:keepNext w:val="0"/>
        <w:keepLines w:val="0"/>
        <w:pageBreakBefore w:val="0"/>
        <w:widowControl w:val="0"/>
        <w:numPr>
          <w:ilvl w:val="0"/>
          <w:numId w:val="0"/>
        </w:numPr>
        <w:kinsoku/>
        <w:wordWrap/>
        <w:overflowPunct/>
        <w:topLinePunct w:val="0"/>
        <w:autoSpaceDE/>
        <w:autoSpaceDN/>
        <w:bidi w:val="0"/>
        <w:adjustRightInd/>
        <w:snapToGrid/>
        <w:ind w:leftChars="200"/>
        <w:textAlignment w:val="auto"/>
        <w:rPr>
          <w:rFonts w:hint="default" w:ascii="Times New Roman" w:hAnsi="Times New Roman" w:cs="Times New Roman"/>
          <w:color w:val="auto"/>
          <w:highlight w:val="none"/>
          <w:u w:val="none"/>
        </w:rPr>
      </w:pPr>
      <w:r>
        <w:rPr>
          <w:rFonts w:hint="eastAsia" w:ascii="Times New Roman" w:hAnsi="Times New Roman" w:cs="Times New Roman"/>
          <w:color w:val="auto"/>
          <w:highlight w:val="none"/>
          <w:u w:val="none"/>
          <w:lang w:eastAsia="zh-CN"/>
        </w:rPr>
        <w:t>（</w:t>
      </w:r>
      <w:r>
        <w:rPr>
          <w:rFonts w:hint="eastAsia" w:ascii="Times New Roman" w:hAnsi="Times New Roman" w:cs="Times New Roman"/>
          <w:color w:val="auto"/>
          <w:highlight w:val="none"/>
          <w:u w:val="none"/>
          <w:lang w:val="en-US" w:eastAsia="zh-CN"/>
        </w:rPr>
        <w:t>18</w:t>
      </w:r>
      <w:r>
        <w:rPr>
          <w:rFonts w:hint="eastAsia" w:ascii="Times New Roman" w:hAnsi="Times New Roman" w:cs="Times New Roman"/>
          <w:color w:val="auto"/>
          <w:highlight w:val="none"/>
          <w:u w:val="none"/>
          <w:lang w:eastAsia="zh-CN"/>
        </w:rPr>
        <w:t>）</w:t>
      </w:r>
      <w:r>
        <w:rPr>
          <w:rFonts w:hint="default" w:ascii="Times New Roman" w:hAnsi="Times New Roman" w:cs="Times New Roman"/>
          <w:color w:val="auto"/>
          <w:highlight w:val="none"/>
          <w:u w:val="none"/>
        </w:rPr>
        <w:t>《环境影响评价技术导则 输变电》（HJ 24-2020）</w:t>
      </w:r>
      <w:r>
        <w:rPr>
          <w:rFonts w:hint="default" w:ascii="Times New Roman" w:hAnsi="Times New Roman" w:cs="Times New Roman"/>
          <w:color w:val="auto"/>
          <w:highlight w:val="none"/>
          <w:u w:val="none"/>
          <w:lang w:eastAsia="zh-CN"/>
        </w:rPr>
        <w:t>；</w:t>
      </w:r>
    </w:p>
    <w:p w14:paraId="5752F2ED">
      <w:pPr>
        <w:pStyle w:val="61"/>
        <w:keepNext w:val="0"/>
        <w:keepLines w:val="0"/>
        <w:pageBreakBefore w:val="0"/>
        <w:widowControl w:val="0"/>
        <w:numPr>
          <w:ilvl w:val="0"/>
          <w:numId w:val="0"/>
        </w:numPr>
        <w:kinsoku/>
        <w:wordWrap/>
        <w:overflowPunct/>
        <w:topLinePunct w:val="0"/>
        <w:autoSpaceDE/>
        <w:autoSpaceDN/>
        <w:bidi w:val="0"/>
        <w:adjustRightInd/>
        <w:snapToGrid/>
        <w:ind w:leftChars="200"/>
        <w:textAlignment w:val="auto"/>
        <w:rPr>
          <w:rFonts w:hint="default" w:ascii="Times New Roman" w:hAnsi="Times New Roman" w:cs="Times New Roman"/>
          <w:color w:val="auto"/>
          <w:highlight w:val="none"/>
          <w:u w:val="none"/>
        </w:rPr>
      </w:pPr>
      <w:r>
        <w:rPr>
          <w:rFonts w:hint="eastAsia" w:ascii="Times New Roman" w:hAnsi="Times New Roman" w:cs="Times New Roman"/>
          <w:color w:val="auto"/>
          <w:highlight w:val="none"/>
          <w:u w:val="none"/>
          <w:lang w:eastAsia="zh-CN"/>
        </w:rPr>
        <w:t>（</w:t>
      </w:r>
      <w:r>
        <w:rPr>
          <w:rFonts w:hint="eastAsia" w:ascii="Times New Roman" w:hAnsi="Times New Roman" w:cs="Times New Roman"/>
          <w:color w:val="auto"/>
          <w:highlight w:val="none"/>
          <w:u w:val="none"/>
          <w:lang w:val="en-US" w:eastAsia="zh-CN"/>
        </w:rPr>
        <w:t>19</w:t>
      </w:r>
      <w:r>
        <w:rPr>
          <w:rFonts w:hint="eastAsia" w:ascii="Times New Roman" w:hAnsi="Times New Roman" w:cs="Times New Roman"/>
          <w:color w:val="auto"/>
          <w:highlight w:val="none"/>
          <w:u w:val="none"/>
          <w:lang w:eastAsia="zh-CN"/>
        </w:rPr>
        <w:t>）</w:t>
      </w:r>
      <w:r>
        <w:rPr>
          <w:rFonts w:hint="default" w:ascii="Times New Roman" w:hAnsi="Times New Roman" w:cs="Times New Roman"/>
          <w:color w:val="auto"/>
          <w:highlight w:val="none"/>
          <w:u w:val="none"/>
        </w:rPr>
        <w:t>《电磁环境控制限值》（GB8702-2014）；</w:t>
      </w:r>
    </w:p>
    <w:p w14:paraId="5400E650">
      <w:pPr>
        <w:pStyle w:val="61"/>
        <w:keepNext w:val="0"/>
        <w:keepLines w:val="0"/>
        <w:pageBreakBefore w:val="0"/>
        <w:widowControl w:val="0"/>
        <w:numPr>
          <w:ilvl w:val="0"/>
          <w:numId w:val="0"/>
        </w:numPr>
        <w:kinsoku/>
        <w:wordWrap/>
        <w:overflowPunct/>
        <w:topLinePunct w:val="0"/>
        <w:autoSpaceDE/>
        <w:autoSpaceDN/>
        <w:bidi w:val="0"/>
        <w:adjustRightInd/>
        <w:snapToGrid/>
        <w:ind w:leftChars="200"/>
        <w:textAlignment w:val="auto"/>
        <w:rPr>
          <w:rFonts w:hint="default" w:ascii="Times New Roman" w:hAnsi="Times New Roman" w:cs="Times New Roman"/>
          <w:color w:val="auto"/>
          <w:highlight w:val="none"/>
          <w:u w:val="none"/>
        </w:rPr>
      </w:pPr>
      <w:r>
        <w:rPr>
          <w:rFonts w:hint="eastAsia" w:ascii="Times New Roman" w:hAnsi="Times New Roman" w:cs="Times New Roman"/>
          <w:color w:val="auto"/>
          <w:highlight w:val="none"/>
          <w:u w:val="none"/>
          <w:lang w:eastAsia="zh-CN"/>
        </w:rPr>
        <w:t>（</w:t>
      </w:r>
      <w:r>
        <w:rPr>
          <w:rFonts w:hint="eastAsia" w:ascii="Times New Roman" w:hAnsi="Times New Roman" w:cs="Times New Roman"/>
          <w:color w:val="auto"/>
          <w:highlight w:val="none"/>
          <w:u w:val="none"/>
          <w:lang w:val="en-US" w:eastAsia="zh-CN"/>
        </w:rPr>
        <w:t>20</w:t>
      </w:r>
      <w:r>
        <w:rPr>
          <w:rFonts w:hint="eastAsia" w:ascii="Times New Roman" w:hAnsi="Times New Roman" w:cs="Times New Roman"/>
          <w:color w:val="auto"/>
          <w:highlight w:val="none"/>
          <w:u w:val="none"/>
          <w:lang w:eastAsia="zh-CN"/>
        </w:rPr>
        <w:t>）</w:t>
      </w:r>
      <w:r>
        <w:rPr>
          <w:rFonts w:hint="default" w:ascii="Times New Roman" w:hAnsi="Times New Roman" w:cs="Times New Roman"/>
          <w:color w:val="auto"/>
          <w:highlight w:val="none"/>
          <w:u w:val="none"/>
        </w:rPr>
        <w:t>《交流输变电工程电磁环境监测方法（试行）》（HJ681-2013）</w:t>
      </w:r>
      <w:r>
        <w:rPr>
          <w:rFonts w:hint="default" w:ascii="Times New Roman" w:hAnsi="Times New Roman" w:cs="Times New Roman"/>
          <w:color w:val="auto"/>
          <w:highlight w:val="none"/>
          <w:u w:val="none"/>
          <w:lang w:eastAsia="zh-CN"/>
        </w:rPr>
        <w:t>；</w:t>
      </w:r>
    </w:p>
    <w:p w14:paraId="3A1ED592">
      <w:pPr>
        <w:pStyle w:val="61"/>
        <w:keepNext w:val="0"/>
        <w:keepLines w:val="0"/>
        <w:pageBreakBefore w:val="0"/>
        <w:widowControl w:val="0"/>
        <w:numPr>
          <w:ilvl w:val="0"/>
          <w:numId w:val="0"/>
        </w:numPr>
        <w:kinsoku/>
        <w:wordWrap/>
        <w:overflowPunct/>
        <w:topLinePunct w:val="0"/>
        <w:autoSpaceDE/>
        <w:autoSpaceDN/>
        <w:bidi w:val="0"/>
        <w:adjustRightInd/>
        <w:snapToGrid/>
        <w:ind w:leftChars="200"/>
        <w:textAlignment w:val="auto"/>
        <w:rPr>
          <w:color w:val="auto"/>
          <w:highlight w:val="none"/>
        </w:rPr>
      </w:pPr>
      <w:r>
        <w:rPr>
          <w:rFonts w:hint="eastAsia" w:ascii="Times New Roman" w:hAnsi="Times New Roman" w:cs="Times New Roman"/>
          <w:color w:val="auto"/>
          <w:highlight w:val="none"/>
          <w:u w:val="none"/>
          <w:lang w:eastAsia="zh-CN"/>
        </w:rPr>
        <w:t>（</w:t>
      </w:r>
      <w:r>
        <w:rPr>
          <w:rFonts w:hint="eastAsia" w:ascii="Times New Roman" w:hAnsi="Times New Roman" w:cs="Times New Roman"/>
          <w:color w:val="auto"/>
          <w:highlight w:val="none"/>
          <w:u w:val="none"/>
          <w:lang w:val="en-US" w:eastAsia="zh-CN"/>
        </w:rPr>
        <w:t>21</w:t>
      </w:r>
      <w:r>
        <w:rPr>
          <w:rFonts w:hint="eastAsia" w:ascii="Times New Roman" w:hAnsi="Times New Roman" w:cs="Times New Roman"/>
          <w:color w:val="auto"/>
          <w:highlight w:val="none"/>
          <w:u w:val="none"/>
          <w:lang w:eastAsia="zh-CN"/>
        </w:rPr>
        <w:t>）</w:t>
      </w:r>
      <w:r>
        <w:rPr>
          <w:rFonts w:hint="default" w:ascii="Times New Roman" w:hAnsi="Times New Roman" w:cs="Times New Roman"/>
          <w:color w:val="auto"/>
          <w:highlight w:val="none"/>
          <w:u w:val="none"/>
        </w:rPr>
        <w:t>《输变电建设项目环境保护技术要求》（HJ1113-2020）。</w:t>
      </w:r>
    </w:p>
    <w:p w14:paraId="1A934BB9">
      <w:pPr>
        <w:pStyle w:val="5"/>
        <w:rPr>
          <w:rFonts w:hint="default" w:ascii="Times New Roman" w:hAnsi="Times New Roman" w:cs="Times New Roman"/>
          <w:strike w:val="0"/>
          <w:dstrike w:val="0"/>
          <w:color w:val="auto"/>
          <w:highlight w:val="none"/>
          <w:u w:val="none"/>
        </w:rPr>
      </w:pPr>
      <w:r>
        <w:rPr>
          <w:rFonts w:hint="default" w:ascii="Times New Roman" w:hAnsi="Times New Roman" w:cs="Times New Roman"/>
          <w:strike w:val="0"/>
          <w:dstrike w:val="0"/>
          <w:color w:val="auto"/>
          <w:highlight w:val="none"/>
          <w:u w:val="none"/>
        </w:rPr>
        <w:t>项目文件、技术资料</w:t>
      </w:r>
    </w:p>
    <w:p w14:paraId="56FD97C7">
      <w:pPr>
        <w:pStyle w:val="30"/>
        <w:bidi w:val="0"/>
        <w:rPr>
          <w:rFonts w:hint="eastAsia"/>
          <w:color w:val="auto"/>
          <w:highlight w:val="none"/>
          <w:lang w:val="en-US" w:eastAsia="zh-CN"/>
        </w:rPr>
      </w:pPr>
      <w:r>
        <w:rPr>
          <w:rFonts w:hint="eastAsia"/>
          <w:color w:val="auto"/>
          <w:highlight w:val="none"/>
          <w:lang w:val="en-US" w:eastAsia="zh-CN"/>
        </w:rPr>
        <w:t>（1）</w:t>
      </w:r>
      <w:bookmarkStart w:id="48" w:name="_Hlk119073150"/>
      <w:r>
        <w:rPr>
          <w:rFonts w:hint="eastAsia"/>
          <w:color w:val="auto"/>
          <w:highlight w:val="none"/>
          <w:lang w:val="en-US" w:eastAsia="zh-CN"/>
        </w:rPr>
        <w:t>《</w:t>
      </w:r>
      <w:r>
        <w:rPr>
          <w:rFonts w:hint="eastAsia"/>
          <w:color w:val="auto"/>
          <w:highlight w:val="none"/>
          <w:lang w:val="en-US" w:eastAsia="zh-CN"/>
        </w:rPr>
        <w:fldChar w:fldCharType="begin"/>
      </w:r>
      <w:r>
        <w:rPr>
          <w:rFonts w:hint="eastAsia"/>
          <w:color w:val="auto"/>
          <w:highlight w:val="none"/>
          <w:lang w:val="en-US" w:eastAsia="zh-CN"/>
        </w:rPr>
        <w:instrText xml:space="preserve"> LINK Excel.Sheet.8 "D:\\2022风电场项目摸板\\风电项目算表（摸板）.xls" "基本情况!R4C3" \t \a  \* MERGEFORMAT </w:instrText>
      </w:r>
      <w:r>
        <w:rPr>
          <w:rFonts w:hint="eastAsia"/>
          <w:color w:val="auto"/>
          <w:highlight w:val="none"/>
          <w:lang w:val="en-US" w:eastAsia="zh-CN"/>
        </w:rPr>
        <w:fldChar w:fldCharType="separate"/>
      </w:r>
      <w:r>
        <w:rPr>
          <w:rFonts w:hint="eastAsia"/>
          <w:color w:val="auto"/>
          <w:highlight w:val="none"/>
          <w:lang w:val="en-US" w:eastAsia="zh-CN"/>
        </w:rPr>
        <w:t>祁东县南冲风电场（大马二期）工程</w:t>
      </w:r>
      <w:r>
        <w:rPr>
          <w:rFonts w:hint="eastAsia"/>
          <w:color w:val="auto"/>
          <w:highlight w:val="none"/>
          <w:lang w:val="en-US" w:eastAsia="zh-CN"/>
        </w:rPr>
        <w:fldChar w:fldCharType="end"/>
      </w:r>
      <w:r>
        <w:rPr>
          <w:rFonts w:hint="eastAsia"/>
          <w:color w:val="auto"/>
          <w:highlight w:val="none"/>
          <w:lang w:val="en-US" w:eastAsia="zh-CN"/>
        </w:rPr>
        <w:t>水土保持方案报告书》</w:t>
      </w:r>
      <w:bookmarkEnd w:id="48"/>
      <w:r>
        <w:rPr>
          <w:rFonts w:hint="eastAsia"/>
          <w:color w:val="auto"/>
          <w:highlight w:val="none"/>
          <w:lang w:val="en-US" w:eastAsia="zh-CN"/>
        </w:rPr>
        <w:t>（湖南湘资沅生态环境规划设计院有限公司，2023年7月）；</w:t>
      </w:r>
    </w:p>
    <w:p w14:paraId="05F1D81C">
      <w:pPr>
        <w:pStyle w:val="30"/>
        <w:bidi w:val="0"/>
        <w:rPr>
          <w:rFonts w:hint="eastAsia"/>
          <w:color w:val="auto"/>
          <w:highlight w:val="none"/>
          <w:lang w:val="en-US" w:eastAsia="zh-CN"/>
        </w:rPr>
      </w:pPr>
      <w:r>
        <w:rPr>
          <w:rFonts w:hint="eastAsia"/>
          <w:color w:val="auto"/>
          <w:highlight w:val="none"/>
          <w:lang w:val="en-US" w:eastAsia="zh-CN"/>
        </w:rPr>
        <w:t>（2）《</w:t>
      </w:r>
      <w:r>
        <w:rPr>
          <w:rFonts w:hint="eastAsia"/>
          <w:color w:val="auto"/>
          <w:highlight w:val="none"/>
          <w:lang w:val="en-US" w:eastAsia="zh-CN"/>
        </w:rPr>
        <w:fldChar w:fldCharType="begin"/>
      </w:r>
      <w:r>
        <w:rPr>
          <w:rFonts w:hint="eastAsia"/>
          <w:color w:val="auto"/>
          <w:highlight w:val="none"/>
          <w:lang w:val="en-US" w:eastAsia="zh-CN"/>
        </w:rPr>
        <w:instrText xml:space="preserve"> LINK Excel.Sheet.8 "D:\\2022风电场项目摸板\\风电项目算表（摸板）.xls" "基本情况!R4C3" \t \a  \* MERGEFORMAT </w:instrText>
      </w:r>
      <w:r>
        <w:rPr>
          <w:rFonts w:hint="eastAsia"/>
          <w:color w:val="auto"/>
          <w:highlight w:val="none"/>
          <w:lang w:val="en-US" w:eastAsia="zh-CN"/>
        </w:rPr>
        <w:fldChar w:fldCharType="separate"/>
      </w:r>
      <w:r>
        <w:rPr>
          <w:rFonts w:hint="eastAsia"/>
          <w:color w:val="auto"/>
          <w:highlight w:val="none"/>
          <w:lang w:val="en-US" w:eastAsia="zh-CN"/>
        </w:rPr>
        <w:t>祁东县南冲风电场（大马二期）工程</w:t>
      </w:r>
      <w:r>
        <w:rPr>
          <w:rFonts w:hint="eastAsia"/>
          <w:color w:val="auto"/>
          <w:highlight w:val="none"/>
          <w:lang w:val="en-US" w:eastAsia="zh-CN"/>
        </w:rPr>
        <w:fldChar w:fldCharType="end"/>
      </w:r>
      <w:r>
        <w:rPr>
          <w:rFonts w:hint="eastAsia"/>
          <w:color w:val="auto"/>
          <w:highlight w:val="none"/>
          <w:lang w:val="en-US" w:eastAsia="zh-CN"/>
        </w:rPr>
        <w:t>可行性研究报告》（中南勘测设计研究院有限公司，2023年5月）；</w:t>
      </w:r>
    </w:p>
    <w:p w14:paraId="1EB76ACC">
      <w:pPr>
        <w:pStyle w:val="30"/>
        <w:bidi w:val="0"/>
        <w:rPr>
          <w:rFonts w:hint="eastAsia"/>
          <w:color w:val="auto"/>
          <w:highlight w:val="none"/>
          <w:lang w:val="en-US" w:eastAsia="zh-CN"/>
        </w:rPr>
      </w:pPr>
      <w:r>
        <w:rPr>
          <w:rFonts w:hint="eastAsia"/>
          <w:color w:val="auto"/>
          <w:highlight w:val="none"/>
          <w:lang w:val="en-US" w:eastAsia="zh-CN"/>
        </w:rPr>
        <w:t>（3）《祁东县大马风电场环境影响评价生态专题报告》（武汉市伊美净科技发展有限公司，2019年5月）；</w:t>
      </w:r>
    </w:p>
    <w:p w14:paraId="502915A9">
      <w:pPr>
        <w:rPr>
          <w:rFonts w:hint="eastAsia"/>
          <w:color w:val="auto"/>
          <w:highlight w:val="none"/>
          <w:lang w:val="en-US" w:eastAsia="zh-CN"/>
        </w:rPr>
      </w:pPr>
      <w:r>
        <w:rPr>
          <w:rFonts w:hint="eastAsia"/>
          <w:color w:val="auto"/>
          <w:highlight w:val="none"/>
          <w:lang w:val="en-US" w:eastAsia="zh-CN"/>
        </w:rPr>
        <w:t>（4）《祁东县南冲风电场（大马二期）工程鸟类影响评价报告》（湖南林氏生态园林有限公司，2023年8月）。</w:t>
      </w:r>
    </w:p>
    <w:p w14:paraId="44757D43">
      <w:pPr>
        <w:pStyle w:val="30"/>
        <w:bidi w:val="0"/>
        <w:rPr>
          <w:rFonts w:hint="eastAsia"/>
          <w:color w:val="auto"/>
          <w:highlight w:val="none"/>
          <w:lang w:val="en-US" w:eastAsia="zh-CN"/>
        </w:rPr>
      </w:pPr>
      <w:r>
        <w:rPr>
          <w:rFonts w:hint="eastAsia"/>
          <w:color w:val="auto"/>
          <w:highlight w:val="none"/>
          <w:lang w:val="en-US" w:eastAsia="zh-CN"/>
        </w:rPr>
        <w:t>（5）《中国植被》（科学出版社，1980）；</w:t>
      </w:r>
    </w:p>
    <w:p w14:paraId="3620AECF">
      <w:pPr>
        <w:pStyle w:val="30"/>
        <w:bidi w:val="0"/>
        <w:rPr>
          <w:rFonts w:hint="eastAsia"/>
          <w:color w:val="auto"/>
          <w:highlight w:val="none"/>
          <w:lang w:val="en-US" w:eastAsia="zh-CN"/>
        </w:rPr>
      </w:pPr>
      <w:r>
        <w:rPr>
          <w:rFonts w:hint="eastAsia"/>
          <w:color w:val="auto"/>
          <w:highlight w:val="none"/>
          <w:lang w:val="en-US" w:eastAsia="zh-CN"/>
        </w:rPr>
        <w:t>（6）《中国植物志》（科学出版社，1959-2004）；</w:t>
      </w:r>
    </w:p>
    <w:p w14:paraId="2AC6C7A7">
      <w:pPr>
        <w:pStyle w:val="30"/>
        <w:bidi w:val="0"/>
        <w:rPr>
          <w:rFonts w:hint="eastAsia"/>
          <w:color w:val="auto"/>
          <w:highlight w:val="none"/>
          <w:lang w:val="en-US" w:eastAsia="zh-CN"/>
        </w:rPr>
      </w:pPr>
      <w:r>
        <w:rPr>
          <w:rFonts w:hint="eastAsia"/>
          <w:color w:val="auto"/>
          <w:highlight w:val="none"/>
          <w:lang w:val="en-US" w:eastAsia="zh-CN"/>
        </w:rPr>
        <w:t>（7）《中国高等植物图鉴》（科学出版社，1972-1983）；</w:t>
      </w:r>
    </w:p>
    <w:p w14:paraId="2A938949">
      <w:pPr>
        <w:pStyle w:val="30"/>
        <w:bidi w:val="0"/>
        <w:rPr>
          <w:rFonts w:hint="eastAsia"/>
          <w:color w:val="auto"/>
          <w:highlight w:val="none"/>
          <w:lang w:val="en-US" w:eastAsia="zh-CN"/>
        </w:rPr>
      </w:pPr>
      <w:r>
        <w:rPr>
          <w:rFonts w:hint="eastAsia"/>
          <w:color w:val="auto"/>
          <w:highlight w:val="none"/>
          <w:lang w:val="en-US" w:eastAsia="zh-CN"/>
        </w:rPr>
        <w:t xml:space="preserve">（8）《中国动物地理区划》（科学出版社，2011）； </w:t>
      </w:r>
    </w:p>
    <w:p w14:paraId="5C5348C3">
      <w:pPr>
        <w:pStyle w:val="30"/>
        <w:bidi w:val="0"/>
        <w:rPr>
          <w:rFonts w:hint="eastAsia"/>
          <w:color w:val="auto"/>
          <w:highlight w:val="none"/>
          <w:lang w:val="en-US" w:eastAsia="zh-CN"/>
        </w:rPr>
      </w:pPr>
      <w:r>
        <w:rPr>
          <w:rFonts w:hint="eastAsia"/>
          <w:color w:val="auto"/>
          <w:highlight w:val="none"/>
          <w:lang w:val="en-US" w:eastAsia="zh-CN"/>
        </w:rPr>
        <w:t>（9）《中国动物志》（两栖纲、爬行纲、鸟纲、哺乳纲）（科学出版社，1978-2009）；</w:t>
      </w:r>
    </w:p>
    <w:p w14:paraId="4D6BCA36">
      <w:pPr>
        <w:pStyle w:val="30"/>
        <w:bidi w:val="0"/>
        <w:rPr>
          <w:rFonts w:hint="eastAsia"/>
          <w:color w:val="auto"/>
          <w:highlight w:val="none"/>
          <w:lang w:val="en-US" w:eastAsia="zh-CN"/>
        </w:rPr>
      </w:pPr>
      <w:r>
        <w:rPr>
          <w:rFonts w:hint="eastAsia"/>
          <w:color w:val="auto"/>
          <w:highlight w:val="none"/>
          <w:lang w:val="en-US" w:eastAsia="zh-CN"/>
        </w:rPr>
        <w:t>（10）《中国两栖动物及其分布彩色图鉴》（四川科学技术出版社，2012）；</w:t>
      </w:r>
    </w:p>
    <w:p w14:paraId="624B905D">
      <w:pPr>
        <w:pStyle w:val="30"/>
        <w:bidi w:val="0"/>
        <w:rPr>
          <w:rFonts w:hint="eastAsia"/>
          <w:color w:val="auto"/>
          <w:highlight w:val="none"/>
          <w:lang w:val="en-US" w:eastAsia="zh-CN"/>
        </w:rPr>
      </w:pPr>
      <w:r>
        <w:rPr>
          <w:rFonts w:hint="eastAsia"/>
          <w:color w:val="auto"/>
          <w:highlight w:val="none"/>
          <w:lang w:val="en-US" w:eastAsia="zh-CN"/>
        </w:rPr>
        <w:t>（11）《中国爬行纲动物分类厘定》（蔡波等，2015）；</w:t>
      </w:r>
    </w:p>
    <w:p w14:paraId="6FDDC70B">
      <w:pPr>
        <w:pStyle w:val="30"/>
        <w:bidi w:val="0"/>
        <w:rPr>
          <w:rFonts w:hint="eastAsia"/>
          <w:color w:val="auto"/>
          <w:highlight w:val="none"/>
          <w:lang w:val="en-US" w:eastAsia="zh-CN"/>
        </w:rPr>
      </w:pPr>
      <w:r>
        <w:rPr>
          <w:rFonts w:hint="eastAsia"/>
          <w:color w:val="auto"/>
          <w:highlight w:val="none"/>
          <w:lang w:val="en-US" w:eastAsia="zh-CN"/>
        </w:rPr>
        <w:t>（12）《中国爬行动物图鉴》（河南科学技术出版社，2002）；</w:t>
      </w:r>
    </w:p>
    <w:p w14:paraId="291C9E06">
      <w:pPr>
        <w:pStyle w:val="30"/>
        <w:bidi w:val="0"/>
        <w:rPr>
          <w:rFonts w:hint="eastAsia"/>
          <w:color w:val="auto"/>
          <w:highlight w:val="none"/>
          <w:lang w:val="en-US" w:eastAsia="zh-CN"/>
        </w:rPr>
      </w:pPr>
      <w:r>
        <w:rPr>
          <w:rFonts w:hint="eastAsia"/>
          <w:color w:val="auto"/>
          <w:highlight w:val="none"/>
          <w:lang w:val="en-US" w:eastAsia="zh-CN"/>
        </w:rPr>
        <w:t>（13）《中国鸟类图鉴：便携版》（海峡书局，2014）；</w:t>
      </w:r>
    </w:p>
    <w:p w14:paraId="5842AEE3">
      <w:pPr>
        <w:pStyle w:val="30"/>
        <w:bidi w:val="0"/>
        <w:rPr>
          <w:rFonts w:hint="eastAsia"/>
          <w:color w:val="auto"/>
          <w:highlight w:val="none"/>
          <w:lang w:val="en-US" w:eastAsia="zh-CN"/>
        </w:rPr>
      </w:pPr>
      <w:r>
        <w:rPr>
          <w:rFonts w:hint="eastAsia"/>
          <w:color w:val="auto"/>
          <w:highlight w:val="none"/>
          <w:lang w:val="en-US" w:eastAsia="zh-CN"/>
        </w:rPr>
        <w:t>（14）《中国鸟类分类与分布名录（第二版）》（科学出版社，2011）；</w:t>
      </w:r>
    </w:p>
    <w:p w14:paraId="34100A06">
      <w:pPr>
        <w:pStyle w:val="30"/>
        <w:bidi w:val="0"/>
        <w:rPr>
          <w:rFonts w:hint="eastAsia"/>
          <w:color w:val="auto"/>
          <w:highlight w:val="none"/>
          <w:lang w:val="en-US" w:eastAsia="zh-CN"/>
        </w:rPr>
      </w:pPr>
      <w:r>
        <w:rPr>
          <w:rFonts w:hint="eastAsia"/>
          <w:color w:val="auto"/>
          <w:highlight w:val="none"/>
          <w:lang w:val="en-US" w:eastAsia="zh-CN"/>
        </w:rPr>
        <w:t>（15）《中国哺乳动物多样性(第 2 版)》（蒋志刚等，2017）；</w:t>
      </w:r>
    </w:p>
    <w:p w14:paraId="28BC6BC6">
      <w:pPr>
        <w:pStyle w:val="30"/>
        <w:bidi w:val="0"/>
        <w:rPr>
          <w:rFonts w:hint="eastAsia"/>
          <w:color w:val="auto"/>
          <w:highlight w:val="none"/>
          <w:lang w:val="en-US" w:eastAsia="zh-CN"/>
        </w:rPr>
      </w:pPr>
      <w:r>
        <w:rPr>
          <w:rFonts w:hint="eastAsia"/>
          <w:color w:val="auto"/>
          <w:highlight w:val="none"/>
          <w:lang w:val="en-US" w:eastAsia="zh-CN"/>
        </w:rPr>
        <w:t>（16）《中国哺乳动物多样性及地理分布》（科学出版社，2015）；</w:t>
      </w:r>
    </w:p>
    <w:p w14:paraId="1AA72C42">
      <w:pPr>
        <w:pStyle w:val="30"/>
        <w:bidi w:val="0"/>
        <w:rPr>
          <w:rFonts w:hint="eastAsia"/>
          <w:color w:val="auto"/>
          <w:highlight w:val="none"/>
          <w:lang w:val="en-US" w:eastAsia="zh-CN"/>
        </w:rPr>
      </w:pPr>
      <w:r>
        <w:rPr>
          <w:rFonts w:hint="eastAsia"/>
          <w:color w:val="auto"/>
          <w:highlight w:val="none"/>
          <w:lang w:val="en-US" w:eastAsia="zh-CN"/>
        </w:rPr>
        <w:t>（17）《中国哺乳动物种和亚种分类名录与分布大全》（中国林业出版社，2003）；</w:t>
      </w:r>
    </w:p>
    <w:p w14:paraId="68951844">
      <w:pPr>
        <w:pStyle w:val="30"/>
        <w:bidi w:val="0"/>
        <w:rPr>
          <w:rFonts w:hint="eastAsia"/>
          <w:color w:val="auto"/>
          <w:highlight w:val="none"/>
          <w:lang w:val="en-US" w:eastAsia="zh-CN"/>
        </w:rPr>
      </w:pPr>
      <w:r>
        <w:rPr>
          <w:rFonts w:hint="eastAsia"/>
          <w:color w:val="auto"/>
          <w:highlight w:val="none"/>
          <w:lang w:val="en-US" w:eastAsia="zh-CN"/>
        </w:rPr>
        <w:t>（18）《中国兽类野外手册》（湖南教育出版社，2009）；</w:t>
      </w:r>
    </w:p>
    <w:p w14:paraId="6BF9E701">
      <w:pPr>
        <w:pStyle w:val="30"/>
        <w:bidi w:val="0"/>
        <w:rPr>
          <w:rFonts w:hint="eastAsia"/>
          <w:color w:val="auto"/>
          <w:highlight w:val="none"/>
          <w:lang w:val="en-US" w:eastAsia="zh-CN"/>
        </w:rPr>
      </w:pPr>
      <w:r>
        <w:rPr>
          <w:rFonts w:hint="eastAsia"/>
          <w:color w:val="auto"/>
          <w:highlight w:val="none"/>
          <w:lang w:val="en-US" w:eastAsia="zh-CN"/>
        </w:rPr>
        <w:t>（19）《中国脊椎动物红色名录》（蒋志刚等，2016）；</w:t>
      </w:r>
    </w:p>
    <w:p w14:paraId="52527735">
      <w:pPr>
        <w:pStyle w:val="30"/>
        <w:bidi w:val="0"/>
        <w:rPr>
          <w:rFonts w:hint="eastAsia"/>
          <w:color w:val="auto"/>
          <w:highlight w:val="none"/>
          <w:lang w:val="en-US" w:eastAsia="zh-CN"/>
        </w:rPr>
      </w:pPr>
      <w:r>
        <w:rPr>
          <w:rFonts w:hint="eastAsia"/>
          <w:color w:val="auto"/>
          <w:highlight w:val="none"/>
          <w:lang w:val="en-US" w:eastAsia="zh-CN"/>
        </w:rPr>
        <w:t>（20）《湖南植被》（湖南科学技术出版社，1990）；</w:t>
      </w:r>
    </w:p>
    <w:p w14:paraId="7851FCFD">
      <w:pPr>
        <w:pStyle w:val="30"/>
        <w:bidi w:val="0"/>
        <w:rPr>
          <w:rFonts w:hint="eastAsia"/>
          <w:color w:val="auto"/>
          <w:highlight w:val="none"/>
          <w:lang w:val="en-US" w:eastAsia="zh-CN"/>
        </w:rPr>
      </w:pPr>
      <w:r>
        <w:rPr>
          <w:rFonts w:hint="eastAsia"/>
          <w:color w:val="auto"/>
          <w:highlight w:val="none"/>
          <w:lang w:val="en-US" w:eastAsia="zh-CN"/>
        </w:rPr>
        <w:t>（21）《湖南植物志》（湖南科学技术出版社，2000）；</w:t>
      </w:r>
    </w:p>
    <w:p w14:paraId="0FA0CD2E">
      <w:pPr>
        <w:pStyle w:val="30"/>
        <w:bidi w:val="0"/>
        <w:rPr>
          <w:rFonts w:hint="eastAsia"/>
          <w:color w:val="auto"/>
          <w:highlight w:val="none"/>
          <w:lang w:val="en-US" w:eastAsia="zh-CN"/>
        </w:rPr>
      </w:pPr>
      <w:r>
        <w:rPr>
          <w:rFonts w:hint="eastAsia"/>
          <w:color w:val="auto"/>
          <w:highlight w:val="none"/>
          <w:lang w:val="en-US" w:eastAsia="zh-CN"/>
        </w:rPr>
        <w:t xml:space="preserve">（22）《湖南树木志》（湖南科技出版社，2000）； </w:t>
      </w:r>
    </w:p>
    <w:p w14:paraId="5864A48A">
      <w:pPr>
        <w:pStyle w:val="30"/>
        <w:bidi w:val="0"/>
        <w:rPr>
          <w:rFonts w:hint="eastAsia"/>
          <w:color w:val="auto"/>
          <w:highlight w:val="none"/>
          <w:lang w:val="en-US" w:eastAsia="zh-CN"/>
        </w:rPr>
      </w:pPr>
      <w:r>
        <w:rPr>
          <w:rFonts w:hint="eastAsia"/>
          <w:color w:val="auto"/>
          <w:highlight w:val="none"/>
          <w:lang w:val="en-US" w:eastAsia="zh-CN"/>
        </w:rPr>
        <w:t>（23）《湖南种子植物总览》（湖南科学技术出版，2002）；</w:t>
      </w:r>
    </w:p>
    <w:p w14:paraId="746D5337">
      <w:pPr>
        <w:pStyle w:val="30"/>
        <w:bidi w:val="0"/>
        <w:rPr>
          <w:rFonts w:hint="eastAsia"/>
          <w:color w:val="auto"/>
          <w:highlight w:val="none"/>
          <w:lang w:val="en-US" w:eastAsia="zh-CN"/>
        </w:rPr>
      </w:pPr>
      <w:r>
        <w:rPr>
          <w:rFonts w:hint="eastAsia"/>
          <w:color w:val="auto"/>
          <w:highlight w:val="none"/>
          <w:lang w:val="en-US" w:eastAsia="zh-CN"/>
        </w:rPr>
        <w:t>（24）《湖南动物志·两栖纲》（湖南科学技术出版社，2014）；</w:t>
      </w:r>
    </w:p>
    <w:p w14:paraId="2EB85A90">
      <w:pPr>
        <w:pStyle w:val="30"/>
        <w:bidi w:val="0"/>
        <w:rPr>
          <w:rFonts w:hint="eastAsia"/>
          <w:color w:val="auto"/>
          <w:highlight w:val="none"/>
          <w:lang w:val="en-US" w:eastAsia="zh-CN"/>
        </w:rPr>
      </w:pPr>
      <w:r>
        <w:rPr>
          <w:rFonts w:hint="eastAsia"/>
          <w:color w:val="auto"/>
          <w:highlight w:val="none"/>
          <w:lang w:val="en-US" w:eastAsia="zh-CN"/>
        </w:rPr>
        <w:t>（25）《湖南动物志·爬行纲》（湖南科学技术出版社，2014年）；</w:t>
      </w:r>
    </w:p>
    <w:p w14:paraId="7A79A9D6">
      <w:pPr>
        <w:pStyle w:val="30"/>
        <w:bidi w:val="0"/>
        <w:rPr>
          <w:rFonts w:hint="eastAsia"/>
          <w:color w:val="auto"/>
          <w:highlight w:val="none"/>
          <w:lang w:val="en-US" w:eastAsia="zh-CN"/>
        </w:rPr>
      </w:pPr>
      <w:r>
        <w:rPr>
          <w:rFonts w:hint="eastAsia"/>
          <w:color w:val="auto"/>
          <w:highlight w:val="none"/>
          <w:lang w:val="en-US" w:eastAsia="zh-CN"/>
        </w:rPr>
        <w:t>（26）《湖南动物志·鸟纲[雀形目]》（湖南科学技术出版社，2013年）。</w:t>
      </w:r>
    </w:p>
    <w:p w14:paraId="0B21C91D">
      <w:pPr>
        <w:pStyle w:val="4"/>
        <w:rPr>
          <w:rFonts w:hint="default" w:ascii="Times New Roman" w:hAnsi="Times New Roman" w:cs="Times New Roman"/>
          <w:color w:val="auto"/>
          <w:highlight w:val="none"/>
        </w:rPr>
      </w:pPr>
      <w:bookmarkStart w:id="49" w:name="_Toc6030"/>
      <w:r>
        <w:rPr>
          <w:rFonts w:hint="default" w:ascii="Times New Roman" w:hAnsi="Times New Roman" w:cs="Times New Roman"/>
          <w:color w:val="auto"/>
          <w:highlight w:val="none"/>
          <w:lang w:val="en-US" w:eastAsia="zh-CN"/>
        </w:rPr>
        <w:t>评价因子、评价工作等级和评价范围</w:t>
      </w:r>
      <w:bookmarkEnd w:id="49"/>
    </w:p>
    <w:p w14:paraId="0E055829">
      <w:pPr>
        <w:pStyle w:val="5"/>
        <w:rPr>
          <w:rFonts w:hint="default" w:ascii="Times New Roman" w:hAnsi="Times New Roman" w:cs="Times New Roman"/>
          <w:color w:val="auto"/>
          <w:highlight w:val="none"/>
        </w:rPr>
      </w:pPr>
      <w:r>
        <w:rPr>
          <w:rFonts w:hint="default" w:ascii="Times New Roman" w:hAnsi="Times New Roman" w:cs="Times New Roman"/>
          <w:color w:val="auto"/>
          <w:highlight w:val="none"/>
        </w:rPr>
        <w:t>评价因子筛选</w:t>
      </w:r>
    </w:p>
    <w:p w14:paraId="27F2121F">
      <w:pPr>
        <w:pStyle w:val="30"/>
        <w:rPr>
          <w:rFonts w:hint="eastAsia"/>
          <w:color w:val="auto"/>
          <w:highlight w:val="none"/>
          <w:lang w:val="en-US" w:eastAsia="zh-CN"/>
        </w:rPr>
      </w:pPr>
      <w:r>
        <w:rPr>
          <w:rFonts w:hint="eastAsia"/>
          <w:color w:val="auto"/>
          <w:highlight w:val="none"/>
          <w:lang w:val="en-US" w:eastAsia="zh-CN"/>
        </w:rPr>
        <w:t>在对本项目沿线现场踏勘的基础上，根据项目沿线的环境状况和工程规模，对本项目的环境影响因素进行筛选。各阶段环境影响因素筛选见表2.2-1。</w:t>
      </w:r>
    </w:p>
    <w:p w14:paraId="7B46BAAD">
      <w:pPr>
        <w:pStyle w:val="30"/>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color w:val="auto"/>
          <w:highlight w:val="none"/>
          <w:lang w:val="en-US" w:eastAsia="zh-CN"/>
        </w:rPr>
      </w:pPr>
      <w:r>
        <w:rPr>
          <w:rFonts w:hint="eastAsia"/>
          <w:b/>
          <w:bCs/>
          <w:color w:val="auto"/>
          <w:highlight w:val="none"/>
          <w:lang w:val="en-US" w:eastAsia="zh-CN"/>
        </w:rPr>
        <w:t>表2.2-1  环境影响因素矩阵筛选表</w:t>
      </w:r>
    </w:p>
    <w:tbl>
      <w:tblPr>
        <w:tblStyle w:val="38"/>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262"/>
        <w:gridCol w:w="1277"/>
        <w:gridCol w:w="617"/>
        <w:gridCol w:w="617"/>
        <w:gridCol w:w="617"/>
        <w:gridCol w:w="617"/>
        <w:gridCol w:w="617"/>
        <w:gridCol w:w="617"/>
        <w:gridCol w:w="617"/>
        <w:gridCol w:w="617"/>
        <w:gridCol w:w="617"/>
        <w:gridCol w:w="617"/>
        <w:gridCol w:w="623"/>
        <w:gridCol w:w="4"/>
      </w:tblGrid>
      <w:tr w14:paraId="501DD61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556" w:type="dxa"/>
            <w:gridSpan w:val="2"/>
            <w:vMerge w:val="restart"/>
            <w:tcBorders>
              <w:tl2br w:val="nil"/>
              <w:tr2bl w:val="nil"/>
            </w:tcBorders>
            <w:vAlign w:val="center"/>
          </w:tcPr>
          <w:p w14:paraId="50C0A6CE">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施工行为</w:t>
            </w:r>
          </w:p>
          <w:p w14:paraId="061FDE71">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环境资源</w:t>
            </w:r>
          </w:p>
        </w:tc>
        <w:tc>
          <w:tcPr>
            <w:tcW w:w="623" w:type="dxa"/>
            <w:tcBorders>
              <w:tl2br w:val="nil"/>
              <w:tr2bl w:val="nil"/>
            </w:tcBorders>
            <w:vAlign w:val="center"/>
          </w:tcPr>
          <w:p w14:paraId="1F24E5E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前期</w:t>
            </w:r>
          </w:p>
        </w:tc>
        <w:tc>
          <w:tcPr>
            <w:tcW w:w="4984" w:type="dxa"/>
            <w:gridSpan w:val="8"/>
            <w:tcBorders>
              <w:tl2br w:val="nil"/>
              <w:tr2bl w:val="nil"/>
            </w:tcBorders>
            <w:vAlign w:val="center"/>
          </w:tcPr>
          <w:p w14:paraId="05D2F3AB">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施工期</w:t>
            </w:r>
          </w:p>
        </w:tc>
        <w:tc>
          <w:tcPr>
            <w:tcW w:w="1256" w:type="dxa"/>
            <w:gridSpan w:val="3"/>
            <w:tcBorders>
              <w:tl2br w:val="nil"/>
              <w:tr2bl w:val="nil"/>
            </w:tcBorders>
            <w:vAlign w:val="center"/>
          </w:tcPr>
          <w:p w14:paraId="02593FEC">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营运期</w:t>
            </w:r>
          </w:p>
        </w:tc>
      </w:tr>
      <w:tr w14:paraId="3C89599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4" w:type="dxa"/>
          <w:trHeight w:val="340" w:hRule="atLeast"/>
          <w:jc w:val="center"/>
        </w:trPr>
        <w:tc>
          <w:tcPr>
            <w:tcW w:w="1556" w:type="dxa"/>
            <w:gridSpan w:val="2"/>
            <w:vMerge w:val="continue"/>
            <w:tcBorders>
              <w:tl2br w:val="nil"/>
              <w:tr2bl w:val="nil"/>
            </w:tcBorders>
            <w:vAlign w:val="center"/>
          </w:tcPr>
          <w:p w14:paraId="64BB403B">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6DD7E8C1">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占地</w:t>
            </w:r>
          </w:p>
        </w:tc>
        <w:tc>
          <w:tcPr>
            <w:tcW w:w="623" w:type="dxa"/>
            <w:tcBorders>
              <w:tl2br w:val="nil"/>
              <w:tr2bl w:val="nil"/>
            </w:tcBorders>
            <w:vAlign w:val="center"/>
          </w:tcPr>
          <w:p w14:paraId="0942E845">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取土</w:t>
            </w:r>
          </w:p>
        </w:tc>
        <w:tc>
          <w:tcPr>
            <w:tcW w:w="623" w:type="dxa"/>
            <w:tcBorders>
              <w:tl2br w:val="nil"/>
              <w:tr2bl w:val="nil"/>
            </w:tcBorders>
            <w:vAlign w:val="center"/>
          </w:tcPr>
          <w:p w14:paraId="41DEC1F0">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弃渣</w:t>
            </w:r>
          </w:p>
        </w:tc>
        <w:tc>
          <w:tcPr>
            <w:tcW w:w="623" w:type="dxa"/>
            <w:tcBorders>
              <w:tl2br w:val="nil"/>
              <w:tr2bl w:val="nil"/>
            </w:tcBorders>
            <w:vAlign w:val="center"/>
          </w:tcPr>
          <w:p w14:paraId="3CFF08C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sz w:val="21"/>
                <w:szCs w:val="21"/>
                <w:highlight w:val="none"/>
                <w:lang w:eastAsia="zh-CN"/>
              </w:rPr>
            </w:pPr>
            <w:r>
              <w:rPr>
                <w:rFonts w:hint="eastAsia"/>
                <w:sz w:val="21"/>
                <w:szCs w:val="21"/>
                <w:highlight w:val="none"/>
                <w:lang w:eastAsia="zh-CN"/>
              </w:rPr>
              <w:t>道路</w:t>
            </w:r>
          </w:p>
        </w:tc>
        <w:tc>
          <w:tcPr>
            <w:tcW w:w="623" w:type="dxa"/>
            <w:tcBorders>
              <w:tl2br w:val="nil"/>
              <w:tr2bl w:val="nil"/>
            </w:tcBorders>
            <w:vAlign w:val="center"/>
          </w:tcPr>
          <w:p w14:paraId="3E6C7A2A">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sz w:val="21"/>
                <w:szCs w:val="21"/>
                <w:highlight w:val="none"/>
                <w:lang w:eastAsia="zh-CN"/>
              </w:rPr>
            </w:pPr>
            <w:r>
              <w:rPr>
                <w:rFonts w:hint="eastAsia"/>
                <w:sz w:val="21"/>
                <w:szCs w:val="21"/>
                <w:highlight w:val="none"/>
                <w:lang w:eastAsia="zh-CN"/>
              </w:rPr>
              <w:t>风机平台</w:t>
            </w:r>
          </w:p>
        </w:tc>
        <w:tc>
          <w:tcPr>
            <w:tcW w:w="623" w:type="dxa"/>
            <w:tcBorders>
              <w:tl2br w:val="nil"/>
              <w:tr2bl w:val="nil"/>
            </w:tcBorders>
            <w:vAlign w:val="center"/>
          </w:tcPr>
          <w:p w14:paraId="2E6BB302">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sz w:val="21"/>
                <w:szCs w:val="21"/>
                <w:highlight w:val="none"/>
                <w:lang w:eastAsia="zh-CN"/>
              </w:rPr>
            </w:pPr>
            <w:r>
              <w:rPr>
                <w:rFonts w:hint="eastAsia"/>
                <w:sz w:val="21"/>
                <w:szCs w:val="21"/>
                <w:highlight w:val="none"/>
                <w:lang w:eastAsia="zh-CN"/>
              </w:rPr>
              <w:t>升压站</w:t>
            </w:r>
          </w:p>
        </w:tc>
        <w:tc>
          <w:tcPr>
            <w:tcW w:w="623" w:type="dxa"/>
            <w:tcBorders>
              <w:tl2br w:val="nil"/>
              <w:tr2bl w:val="nil"/>
            </w:tcBorders>
            <w:vAlign w:val="center"/>
          </w:tcPr>
          <w:p w14:paraId="2BDDADE3">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sz w:val="21"/>
                <w:szCs w:val="21"/>
                <w:highlight w:val="none"/>
                <w:lang w:eastAsia="zh-CN"/>
              </w:rPr>
            </w:pPr>
            <w:r>
              <w:rPr>
                <w:rFonts w:hint="eastAsia"/>
                <w:sz w:val="21"/>
                <w:szCs w:val="21"/>
                <w:highlight w:val="none"/>
                <w:lang w:eastAsia="zh-CN"/>
              </w:rPr>
              <w:t>集电线路</w:t>
            </w:r>
          </w:p>
        </w:tc>
        <w:tc>
          <w:tcPr>
            <w:tcW w:w="623" w:type="dxa"/>
            <w:tcBorders>
              <w:tl2br w:val="nil"/>
              <w:tr2bl w:val="nil"/>
            </w:tcBorders>
            <w:vAlign w:val="center"/>
          </w:tcPr>
          <w:p w14:paraId="3D849D3D">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机械</w:t>
            </w:r>
          </w:p>
          <w:p w14:paraId="6AFB1511">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作业</w:t>
            </w:r>
          </w:p>
        </w:tc>
        <w:tc>
          <w:tcPr>
            <w:tcW w:w="623" w:type="dxa"/>
            <w:tcBorders>
              <w:tl2br w:val="nil"/>
              <w:tr2bl w:val="nil"/>
            </w:tcBorders>
            <w:vAlign w:val="center"/>
          </w:tcPr>
          <w:p w14:paraId="4D269496">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sz w:val="21"/>
                <w:szCs w:val="21"/>
                <w:highlight w:val="none"/>
                <w:lang w:eastAsia="zh-CN"/>
              </w:rPr>
            </w:pPr>
            <w:r>
              <w:rPr>
                <w:rFonts w:hint="eastAsia"/>
                <w:sz w:val="21"/>
                <w:szCs w:val="21"/>
                <w:highlight w:val="none"/>
                <w:lang w:eastAsia="zh-CN"/>
              </w:rPr>
              <w:t>材料运输</w:t>
            </w:r>
          </w:p>
        </w:tc>
        <w:tc>
          <w:tcPr>
            <w:tcW w:w="623" w:type="dxa"/>
            <w:tcBorders>
              <w:tl2br w:val="nil"/>
              <w:tr2bl w:val="nil"/>
            </w:tcBorders>
            <w:vAlign w:val="center"/>
          </w:tcPr>
          <w:p w14:paraId="5F0BB497">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sz w:val="21"/>
                <w:szCs w:val="21"/>
                <w:highlight w:val="none"/>
                <w:lang w:eastAsia="zh-CN"/>
              </w:rPr>
            </w:pPr>
            <w:r>
              <w:rPr>
                <w:rFonts w:hint="eastAsia"/>
                <w:sz w:val="21"/>
                <w:szCs w:val="21"/>
                <w:highlight w:val="none"/>
                <w:lang w:eastAsia="zh-CN"/>
              </w:rPr>
              <w:t>检修</w:t>
            </w:r>
          </w:p>
        </w:tc>
        <w:tc>
          <w:tcPr>
            <w:tcW w:w="629" w:type="dxa"/>
            <w:tcBorders>
              <w:tl2br w:val="nil"/>
              <w:tr2bl w:val="nil"/>
            </w:tcBorders>
            <w:vAlign w:val="center"/>
          </w:tcPr>
          <w:p w14:paraId="4B01FFC2">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绿化</w:t>
            </w:r>
          </w:p>
        </w:tc>
      </w:tr>
      <w:tr w14:paraId="16F05BA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4" w:type="dxa"/>
          <w:trHeight w:val="340" w:hRule="atLeast"/>
          <w:jc w:val="center"/>
        </w:trPr>
        <w:tc>
          <w:tcPr>
            <w:tcW w:w="265" w:type="dxa"/>
            <w:vMerge w:val="restart"/>
            <w:tcBorders>
              <w:tl2br w:val="nil"/>
              <w:tr2bl w:val="nil"/>
            </w:tcBorders>
            <w:vAlign w:val="center"/>
          </w:tcPr>
          <w:p w14:paraId="619A5B36">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sz w:val="21"/>
                <w:szCs w:val="21"/>
                <w:highlight w:val="none"/>
                <w:lang w:eastAsia="zh-CN"/>
              </w:rPr>
            </w:pPr>
            <w:r>
              <w:rPr>
                <w:rFonts w:hint="eastAsia"/>
                <w:sz w:val="21"/>
                <w:szCs w:val="21"/>
                <w:highlight w:val="none"/>
                <w:lang w:eastAsia="zh-CN"/>
              </w:rPr>
              <w:t>社会环境</w:t>
            </w:r>
          </w:p>
        </w:tc>
        <w:tc>
          <w:tcPr>
            <w:tcW w:w="1291" w:type="dxa"/>
            <w:tcBorders>
              <w:tl2br w:val="nil"/>
              <w:tr2bl w:val="nil"/>
            </w:tcBorders>
            <w:vAlign w:val="center"/>
          </w:tcPr>
          <w:p w14:paraId="0A65914D">
            <w:pPr>
              <w:pStyle w:val="23"/>
              <w:keepNext w:val="0"/>
              <w:keepLines w:val="0"/>
              <w:pageBreakBefore w:val="0"/>
              <w:widowControl w:val="0"/>
              <w:kinsoku/>
              <w:wordWrap/>
              <w:overflowPunct/>
              <w:topLinePunct w:val="0"/>
              <w:autoSpaceDE/>
              <w:autoSpaceDN/>
              <w:bidi w:val="0"/>
              <w:adjustRightInd w:val="0"/>
              <w:snapToGrid w:val="0"/>
              <w:spacing w:line="240" w:lineRule="auto"/>
              <w:ind w:right="0" w:rightChars="0" w:firstLine="0" w:firstLineChars="0"/>
              <w:jc w:val="center"/>
              <w:textAlignment w:val="auto"/>
              <w:rPr>
                <w:sz w:val="21"/>
                <w:szCs w:val="21"/>
                <w:highlight w:val="none"/>
              </w:rPr>
            </w:pPr>
            <w:r>
              <w:rPr>
                <w:sz w:val="21"/>
                <w:szCs w:val="21"/>
                <w:highlight w:val="none"/>
              </w:rPr>
              <w:t>就业、劳务</w:t>
            </w:r>
          </w:p>
        </w:tc>
        <w:tc>
          <w:tcPr>
            <w:tcW w:w="623" w:type="dxa"/>
            <w:tcBorders>
              <w:tl2br w:val="nil"/>
              <w:tr2bl w:val="nil"/>
            </w:tcBorders>
            <w:vAlign w:val="center"/>
          </w:tcPr>
          <w:p w14:paraId="768D0FC7">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0D2B84F1">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056E6A7F">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1312CB28">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2EBE5499">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552C9C0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7635A8AD">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4FA3087B">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0F1328C1">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37EEC469">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9" w:type="dxa"/>
            <w:tcBorders>
              <w:tl2br w:val="nil"/>
              <w:tr2bl w:val="nil"/>
            </w:tcBorders>
            <w:vAlign w:val="center"/>
          </w:tcPr>
          <w:p w14:paraId="03732305">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r>
      <w:tr w14:paraId="74FE738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4" w:type="dxa"/>
          <w:trHeight w:val="340" w:hRule="atLeast"/>
          <w:jc w:val="center"/>
        </w:trPr>
        <w:tc>
          <w:tcPr>
            <w:tcW w:w="265" w:type="dxa"/>
            <w:vMerge w:val="continue"/>
            <w:tcBorders>
              <w:tl2br w:val="nil"/>
              <w:tr2bl w:val="nil"/>
            </w:tcBorders>
            <w:vAlign w:val="center"/>
          </w:tcPr>
          <w:p w14:paraId="299AD317">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1291" w:type="dxa"/>
            <w:tcBorders>
              <w:tl2br w:val="nil"/>
              <w:tr2bl w:val="nil"/>
            </w:tcBorders>
            <w:vAlign w:val="center"/>
          </w:tcPr>
          <w:p w14:paraId="34318E76">
            <w:pPr>
              <w:pStyle w:val="23"/>
              <w:keepNext w:val="0"/>
              <w:keepLines w:val="0"/>
              <w:pageBreakBefore w:val="0"/>
              <w:widowControl w:val="0"/>
              <w:kinsoku/>
              <w:wordWrap/>
              <w:overflowPunct/>
              <w:topLinePunct w:val="0"/>
              <w:autoSpaceDE/>
              <w:autoSpaceDN/>
              <w:bidi w:val="0"/>
              <w:adjustRightInd w:val="0"/>
              <w:snapToGrid w:val="0"/>
              <w:spacing w:line="240" w:lineRule="auto"/>
              <w:ind w:right="0" w:rightChars="0" w:firstLine="0" w:firstLineChars="0"/>
              <w:jc w:val="center"/>
              <w:textAlignment w:val="auto"/>
              <w:rPr>
                <w:sz w:val="21"/>
                <w:szCs w:val="21"/>
                <w:highlight w:val="none"/>
              </w:rPr>
            </w:pPr>
            <w:r>
              <w:rPr>
                <w:sz w:val="21"/>
                <w:szCs w:val="21"/>
                <w:highlight w:val="none"/>
              </w:rPr>
              <w:t>经济</w:t>
            </w:r>
          </w:p>
        </w:tc>
        <w:tc>
          <w:tcPr>
            <w:tcW w:w="623" w:type="dxa"/>
            <w:tcBorders>
              <w:tl2br w:val="nil"/>
              <w:tr2bl w:val="nil"/>
            </w:tcBorders>
            <w:vAlign w:val="center"/>
          </w:tcPr>
          <w:p w14:paraId="0C01F5EF">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25F626DB">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0DD80648">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2995A69A">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56617EEA">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13D11741">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07922793">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1F0B2032">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538C49A3">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57081692">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9" w:type="dxa"/>
            <w:tcBorders>
              <w:tl2br w:val="nil"/>
              <w:tr2bl w:val="nil"/>
            </w:tcBorders>
            <w:vAlign w:val="center"/>
          </w:tcPr>
          <w:p w14:paraId="70A379B3">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r>
      <w:tr w14:paraId="3981FFF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4" w:type="dxa"/>
          <w:trHeight w:val="340" w:hRule="atLeast"/>
          <w:jc w:val="center"/>
        </w:trPr>
        <w:tc>
          <w:tcPr>
            <w:tcW w:w="265" w:type="dxa"/>
            <w:vMerge w:val="continue"/>
            <w:tcBorders>
              <w:tl2br w:val="nil"/>
              <w:tr2bl w:val="nil"/>
            </w:tcBorders>
            <w:vAlign w:val="center"/>
          </w:tcPr>
          <w:p w14:paraId="11AF3A73">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1291" w:type="dxa"/>
            <w:tcBorders>
              <w:tl2br w:val="nil"/>
              <w:tr2bl w:val="nil"/>
            </w:tcBorders>
            <w:vAlign w:val="center"/>
          </w:tcPr>
          <w:p w14:paraId="41929651">
            <w:pPr>
              <w:pStyle w:val="23"/>
              <w:keepNext w:val="0"/>
              <w:keepLines w:val="0"/>
              <w:pageBreakBefore w:val="0"/>
              <w:widowControl w:val="0"/>
              <w:kinsoku/>
              <w:wordWrap/>
              <w:overflowPunct/>
              <w:topLinePunct w:val="0"/>
              <w:autoSpaceDE/>
              <w:autoSpaceDN/>
              <w:bidi w:val="0"/>
              <w:adjustRightInd w:val="0"/>
              <w:snapToGrid w:val="0"/>
              <w:spacing w:line="240" w:lineRule="auto"/>
              <w:ind w:right="0" w:rightChars="0" w:firstLine="0" w:firstLineChars="0"/>
              <w:jc w:val="center"/>
              <w:textAlignment w:val="auto"/>
              <w:rPr>
                <w:sz w:val="21"/>
                <w:szCs w:val="21"/>
                <w:highlight w:val="none"/>
              </w:rPr>
            </w:pPr>
            <w:r>
              <w:rPr>
                <w:sz w:val="21"/>
                <w:szCs w:val="21"/>
                <w:highlight w:val="none"/>
              </w:rPr>
              <w:t>旅游</w:t>
            </w:r>
          </w:p>
        </w:tc>
        <w:tc>
          <w:tcPr>
            <w:tcW w:w="623" w:type="dxa"/>
            <w:tcBorders>
              <w:tl2br w:val="nil"/>
              <w:tr2bl w:val="nil"/>
            </w:tcBorders>
            <w:vAlign w:val="center"/>
          </w:tcPr>
          <w:p w14:paraId="0320FBF2">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014FDF7B">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72D5510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1B2F7C2D">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19774AA8">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1928143C">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7BBC03E2">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3897A2E6">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327B755C">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3072DA3C">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9" w:type="dxa"/>
            <w:tcBorders>
              <w:tl2br w:val="nil"/>
              <w:tr2bl w:val="nil"/>
            </w:tcBorders>
            <w:vAlign w:val="center"/>
          </w:tcPr>
          <w:p w14:paraId="2770C8A2">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r>
      <w:tr w14:paraId="53BFC31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4" w:type="dxa"/>
          <w:trHeight w:val="340" w:hRule="atLeast"/>
          <w:jc w:val="center"/>
        </w:trPr>
        <w:tc>
          <w:tcPr>
            <w:tcW w:w="265" w:type="dxa"/>
            <w:vMerge w:val="continue"/>
            <w:tcBorders>
              <w:tl2br w:val="nil"/>
              <w:tr2bl w:val="nil"/>
            </w:tcBorders>
            <w:vAlign w:val="center"/>
          </w:tcPr>
          <w:p w14:paraId="391F1A9B">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1291" w:type="dxa"/>
            <w:tcBorders>
              <w:tl2br w:val="nil"/>
              <w:tr2bl w:val="nil"/>
            </w:tcBorders>
            <w:vAlign w:val="center"/>
          </w:tcPr>
          <w:p w14:paraId="1BD0B994">
            <w:pPr>
              <w:pStyle w:val="23"/>
              <w:keepNext w:val="0"/>
              <w:keepLines w:val="0"/>
              <w:pageBreakBefore w:val="0"/>
              <w:widowControl w:val="0"/>
              <w:kinsoku/>
              <w:wordWrap/>
              <w:overflowPunct/>
              <w:topLinePunct w:val="0"/>
              <w:autoSpaceDE/>
              <w:autoSpaceDN/>
              <w:bidi w:val="0"/>
              <w:adjustRightInd w:val="0"/>
              <w:snapToGrid w:val="0"/>
              <w:spacing w:line="240" w:lineRule="auto"/>
              <w:ind w:right="0" w:rightChars="0" w:firstLine="0" w:firstLineChars="0"/>
              <w:jc w:val="center"/>
              <w:textAlignment w:val="auto"/>
              <w:rPr>
                <w:sz w:val="21"/>
                <w:szCs w:val="21"/>
                <w:highlight w:val="none"/>
              </w:rPr>
            </w:pPr>
            <w:r>
              <w:rPr>
                <w:sz w:val="21"/>
                <w:szCs w:val="21"/>
                <w:highlight w:val="none"/>
              </w:rPr>
              <w:t>土地开发利用</w:t>
            </w:r>
          </w:p>
        </w:tc>
        <w:tc>
          <w:tcPr>
            <w:tcW w:w="623" w:type="dxa"/>
            <w:tcBorders>
              <w:tl2br w:val="nil"/>
              <w:tr2bl w:val="nil"/>
            </w:tcBorders>
            <w:vAlign w:val="center"/>
          </w:tcPr>
          <w:p w14:paraId="27CCA817">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27F2A1E2">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15E4198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6F1DB3CF">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4CAFDE73">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76C571FE">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7D276EC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2E765023">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38C1C521">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4EBF3975">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9" w:type="dxa"/>
            <w:tcBorders>
              <w:tl2br w:val="nil"/>
              <w:tr2bl w:val="nil"/>
            </w:tcBorders>
            <w:vAlign w:val="center"/>
          </w:tcPr>
          <w:p w14:paraId="1B45E033">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r>
      <w:tr w14:paraId="2BA81F3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4" w:type="dxa"/>
          <w:trHeight w:val="340" w:hRule="atLeast"/>
          <w:jc w:val="center"/>
        </w:trPr>
        <w:tc>
          <w:tcPr>
            <w:tcW w:w="265" w:type="dxa"/>
            <w:vMerge w:val="continue"/>
            <w:tcBorders>
              <w:tl2br w:val="nil"/>
              <w:tr2bl w:val="nil"/>
            </w:tcBorders>
            <w:vAlign w:val="center"/>
          </w:tcPr>
          <w:p w14:paraId="4593D448">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1291" w:type="dxa"/>
            <w:tcBorders>
              <w:tl2br w:val="nil"/>
              <w:tr2bl w:val="nil"/>
            </w:tcBorders>
            <w:vAlign w:val="center"/>
          </w:tcPr>
          <w:p w14:paraId="7EC70CA2">
            <w:pPr>
              <w:pStyle w:val="23"/>
              <w:keepNext w:val="0"/>
              <w:keepLines w:val="0"/>
              <w:pageBreakBefore w:val="0"/>
              <w:widowControl w:val="0"/>
              <w:kinsoku/>
              <w:wordWrap/>
              <w:overflowPunct/>
              <w:topLinePunct w:val="0"/>
              <w:autoSpaceDE/>
              <w:autoSpaceDN/>
              <w:bidi w:val="0"/>
              <w:adjustRightInd w:val="0"/>
              <w:snapToGrid w:val="0"/>
              <w:spacing w:line="240" w:lineRule="auto"/>
              <w:ind w:right="0" w:rightChars="0" w:firstLine="0" w:firstLineChars="0"/>
              <w:jc w:val="center"/>
              <w:textAlignment w:val="auto"/>
              <w:rPr>
                <w:sz w:val="21"/>
                <w:szCs w:val="21"/>
                <w:highlight w:val="none"/>
              </w:rPr>
            </w:pPr>
            <w:r>
              <w:rPr>
                <w:sz w:val="21"/>
                <w:szCs w:val="21"/>
                <w:highlight w:val="none"/>
              </w:rPr>
              <w:t>居民出行、交往</w:t>
            </w:r>
          </w:p>
        </w:tc>
        <w:tc>
          <w:tcPr>
            <w:tcW w:w="623" w:type="dxa"/>
            <w:tcBorders>
              <w:tl2br w:val="nil"/>
              <w:tr2bl w:val="nil"/>
            </w:tcBorders>
            <w:vAlign w:val="center"/>
          </w:tcPr>
          <w:p w14:paraId="08A62CA0">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25C9E358">
            <w:pPr>
              <w:pStyle w:val="23"/>
              <w:keepNext w:val="0"/>
              <w:keepLines w:val="0"/>
              <w:pageBreakBefore w:val="0"/>
              <w:widowControl w:val="0"/>
              <w:kinsoku/>
              <w:wordWrap/>
              <w:overflowPunct/>
              <w:topLinePunct w:val="0"/>
              <w:autoSpaceDE/>
              <w:autoSpaceDN/>
              <w:bidi w:val="0"/>
              <w:adjustRightInd w:val="0"/>
              <w:snapToGrid w:val="0"/>
              <w:spacing w:line="240" w:lineRule="auto"/>
              <w:ind w:right="0" w:rightChars="0" w:firstLine="0" w:firstLineChars="0"/>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739276A9">
            <w:pPr>
              <w:pStyle w:val="23"/>
              <w:keepNext w:val="0"/>
              <w:keepLines w:val="0"/>
              <w:pageBreakBefore w:val="0"/>
              <w:widowControl w:val="0"/>
              <w:kinsoku/>
              <w:wordWrap/>
              <w:overflowPunct/>
              <w:topLinePunct w:val="0"/>
              <w:autoSpaceDE/>
              <w:autoSpaceDN/>
              <w:bidi w:val="0"/>
              <w:adjustRightInd w:val="0"/>
              <w:snapToGrid w:val="0"/>
              <w:spacing w:line="240" w:lineRule="auto"/>
              <w:ind w:right="0" w:rightChars="0" w:firstLine="0" w:firstLineChars="0"/>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08C961B5">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3280EDC2">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14F58A0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52D26F7F">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02B80C9D">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1DC81F26">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52C05ED7">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9" w:type="dxa"/>
            <w:tcBorders>
              <w:tl2br w:val="nil"/>
              <w:tr2bl w:val="nil"/>
            </w:tcBorders>
            <w:vAlign w:val="center"/>
          </w:tcPr>
          <w:p w14:paraId="2F88667B">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r>
      <w:tr w14:paraId="43F7FC4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4" w:type="dxa"/>
          <w:trHeight w:val="340" w:hRule="atLeast"/>
          <w:jc w:val="center"/>
        </w:trPr>
        <w:tc>
          <w:tcPr>
            <w:tcW w:w="265" w:type="dxa"/>
            <w:vMerge w:val="restart"/>
            <w:tcBorders>
              <w:tl2br w:val="nil"/>
              <w:tr2bl w:val="nil"/>
            </w:tcBorders>
            <w:vAlign w:val="center"/>
          </w:tcPr>
          <w:p w14:paraId="04F65BE1">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sz w:val="21"/>
                <w:szCs w:val="21"/>
                <w:highlight w:val="none"/>
                <w:lang w:eastAsia="zh-CN"/>
              </w:rPr>
            </w:pPr>
            <w:r>
              <w:rPr>
                <w:rFonts w:hint="eastAsia"/>
                <w:sz w:val="21"/>
                <w:szCs w:val="21"/>
                <w:highlight w:val="none"/>
                <w:lang w:eastAsia="zh-CN"/>
              </w:rPr>
              <w:t>生态环境</w:t>
            </w:r>
          </w:p>
        </w:tc>
        <w:tc>
          <w:tcPr>
            <w:tcW w:w="1291" w:type="dxa"/>
            <w:tcBorders>
              <w:tl2br w:val="nil"/>
              <w:tr2bl w:val="nil"/>
            </w:tcBorders>
            <w:vAlign w:val="center"/>
          </w:tcPr>
          <w:p w14:paraId="291B2491">
            <w:pPr>
              <w:pStyle w:val="23"/>
              <w:keepNext w:val="0"/>
              <w:keepLines w:val="0"/>
              <w:pageBreakBefore w:val="0"/>
              <w:widowControl w:val="0"/>
              <w:kinsoku/>
              <w:wordWrap/>
              <w:overflowPunct/>
              <w:topLinePunct w:val="0"/>
              <w:autoSpaceDE/>
              <w:autoSpaceDN/>
              <w:bidi w:val="0"/>
              <w:adjustRightInd w:val="0"/>
              <w:snapToGrid w:val="0"/>
              <w:spacing w:line="240" w:lineRule="auto"/>
              <w:ind w:right="0" w:rightChars="0" w:firstLine="0" w:firstLineChars="0"/>
              <w:jc w:val="center"/>
              <w:textAlignment w:val="auto"/>
              <w:rPr>
                <w:sz w:val="21"/>
                <w:szCs w:val="21"/>
                <w:highlight w:val="none"/>
              </w:rPr>
            </w:pPr>
            <w:r>
              <w:rPr>
                <w:sz w:val="21"/>
                <w:szCs w:val="21"/>
                <w:highlight w:val="none"/>
              </w:rPr>
              <w:t>陆地植被</w:t>
            </w:r>
          </w:p>
        </w:tc>
        <w:tc>
          <w:tcPr>
            <w:tcW w:w="623" w:type="dxa"/>
            <w:tcBorders>
              <w:tl2br w:val="nil"/>
              <w:tr2bl w:val="nil"/>
            </w:tcBorders>
            <w:vAlign w:val="center"/>
          </w:tcPr>
          <w:p w14:paraId="3336DB9E">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09F898EA">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40188D85">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7B7A132E">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2FFCEB51">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218D8FE5">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76B6AB71">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4238A6E0">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787A55DC">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458D5223">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9" w:type="dxa"/>
            <w:tcBorders>
              <w:tl2br w:val="nil"/>
              <w:tr2bl w:val="nil"/>
            </w:tcBorders>
            <w:vAlign w:val="center"/>
          </w:tcPr>
          <w:p w14:paraId="1631BB56">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r>
      <w:tr w14:paraId="4EF5461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4" w:type="dxa"/>
          <w:trHeight w:val="340" w:hRule="atLeast"/>
          <w:jc w:val="center"/>
        </w:trPr>
        <w:tc>
          <w:tcPr>
            <w:tcW w:w="265" w:type="dxa"/>
            <w:vMerge w:val="continue"/>
            <w:tcBorders>
              <w:tl2br w:val="nil"/>
              <w:tr2bl w:val="nil"/>
            </w:tcBorders>
            <w:vAlign w:val="center"/>
          </w:tcPr>
          <w:p w14:paraId="249520CD">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1291" w:type="dxa"/>
            <w:tcBorders>
              <w:tl2br w:val="nil"/>
              <w:tr2bl w:val="nil"/>
            </w:tcBorders>
            <w:vAlign w:val="center"/>
          </w:tcPr>
          <w:p w14:paraId="1D3701C5">
            <w:pPr>
              <w:pStyle w:val="23"/>
              <w:keepNext w:val="0"/>
              <w:keepLines w:val="0"/>
              <w:pageBreakBefore w:val="0"/>
              <w:widowControl w:val="0"/>
              <w:kinsoku/>
              <w:wordWrap/>
              <w:overflowPunct/>
              <w:topLinePunct w:val="0"/>
              <w:autoSpaceDE/>
              <w:autoSpaceDN/>
              <w:bidi w:val="0"/>
              <w:adjustRightInd w:val="0"/>
              <w:snapToGrid w:val="0"/>
              <w:spacing w:line="240" w:lineRule="auto"/>
              <w:ind w:right="0" w:rightChars="0" w:firstLine="0" w:firstLineChars="0"/>
              <w:jc w:val="center"/>
              <w:textAlignment w:val="auto"/>
              <w:rPr>
                <w:sz w:val="21"/>
                <w:szCs w:val="21"/>
                <w:highlight w:val="none"/>
              </w:rPr>
            </w:pPr>
            <w:r>
              <w:rPr>
                <w:sz w:val="21"/>
                <w:szCs w:val="21"/>
                <w:highlight w:val="none"/>
              </w:rPr>
              <w:t>野生动物</w:t>
            </w:r>
          </w:p>
        </w:tc>
        <w:tc>
          <w:tcPr>
            <w:tcW w:w="623" w:type="dxa"/>
            <w:tcBorders>
              <w:tl2br w:val="nil"/>
              <w:tr2bl w:val="nil"/>
            </w:tcBorders>
            <w:vAlign w:val="center"/>
          </w:tcPr>
          <w:p w14:paraId="2CED27FB">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1A9999BE">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6C8694EF">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5B219245">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2D639366">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6C4AD1E9">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0E81378D">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46675928">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12BB8CF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066E78EB">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9" w:type="dxa"/>
            <w:tcBorders>
              <w:tl2br w:val="nil"/>
              <w:tr2bl w:val="nil"/>
            </w:tcBorders>
            <w:vAlign w:val="center"/>
          </w:tcPr>
          <w:p w14:paraId="70AE3AA2">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r>
      <w:tr w14:paraId="147A9B8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4" w:type="dxa"/>
          <w:trHeight w:val="340" w:hRule="atLeast"/>
          <w:jc w:val="center"/>
        </w:trPr>
        <w:tc>
          <w:tcPr>
            <w:tcW w:w="265" w:type="dxa"/>
            <w:vMerge w:val="continue"/>
            <w:tcBorders>
              <w:tl2br w:val="nil"/>
              <w:tr2bl w:val="nil"/>
            </w:tcBorders>
            <w:vAlign w:val="center"/>
          </w:tcPr>
          <w:p w14:paraId="5E5724B7">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1291" w:type="dxa"/>
            <w:tcBorders>
              <w:tl2br w:val="nil"/>
              <w:tr2bl w:val="nil"/>
            </w:tcBorders>
            <w:vAlign w:val="center"/>
          </w:tcPr>
          <w:p w14:paraId="1911B702">
            <w:pPr>
              <w:pStyle w:val="23"/>
              <w:keepNext w:val="0"/>
              <w:keepLines w:val="0"/>
              <w:pageBreakBefore w:val="0"/>
              <w:widowControl w:val="0"/>
              <w:kinsoku/>
              <w:wordWrap/>
              <w:overflowPunct/>
              <w:topLinePunct w:val="0"/>
              <w:autoSpaceDE/>
              <w:autoSpaceDN/>
              <w:bidi w:val="0"/>
              <w:adjustRightInd w:val="0"/>
              <w:snapToGrid w:val="0"/>
              <w:spacing w:line="240" w:lineRule="auto"/>
              <w:ind w:right="0" w:rightChars="0" w:firstLine="0" w:firstLineChars="0"/>
              <w:jc w:val="center"/>
              <w:textAlignment w:val="auto"/>
              <w:rPr>
                <w:sz w:val="21"/>
                <w:szCs w:val="21"/>
                <w:highlight w:val="none"/>
              </w:rPr>
            </w:pPr>
            <w:r>
              <w:rPr>
                <w:sz w:val="21"/>
                <w:szCs w:val="21"/>
                <w:highlight w:val="none"/>
              </w:rPr>
              <w:t>水生生物</w:t>
            </w:r>
          </w:p>
        </w:tc>
        <w:tc>
          <w:tcPr>
            <w:tcW w:w="623" w:type="dxa"/>
            <w:tcBorders>
              <w:tl2br w:val="nil"/>
              <w:tr2bl w:val="nil"/>
            </w:tcBorders>
            <w:vAlign w:val="center"/>
          </w:tcPr>
          <w:p w14:paraId="06054932">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5A3B7845">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68B65EFF">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4BC69996">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674C4711">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4F26E6EC">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29A6DFA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4867BD95">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5178119D">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068D13BB">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9" w:type="dxa"/>
            <w:tcBorders>
              <w:tl2br w:val="nil"/>
              <w:tr2bl w:val="nil"/>
            </w:tcBorders>
            <w:vAlign w:val="center"/>
          </w:tcPr>
          <w:p w14:paraId="0544BAC3">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r>
      <w:tr w14:paraId="254B78B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4" w:type="dxa"/>
          <w:trHeight w:val="340" w:hRule="atLeast"/>
          <w:jc w:val="center"/>
        </w:trPr>
        <w:tc>
          <w:tcPr>
            <w:tcW w:w="265" w:type="dxa"/>
            <w:vMerge w:val="continue"/>
            <w:tcBorders>
              <w:tl2br w:val="nil"/>
              <w:tr2bl w:val="nil"/>
            </w:tcBorders>
            <w:vAlign w:val="center"/>
          </w:tcPr>
          <w:p w14:paraId="7F90F1B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1291" w:type="dxa"/>
            <w:tcBorders>
              <w:tl2br w:val="nil"/>
              <w:tr2bl w:val="nil"/>
            </w:tcBorders>
            <w:vAlign w:val="center"/>
          </w:tcPr>
          <w:p w14:paraId="643A953B">
            <w:pPr>
              <w:pStyle w:val="23"/>
              <w:keepNext w:val="0"/>
              <w:keepLines w:val="0"/>
              <w:pageBreakBefore w:val="0"/>
              <w:widowControl w:val="0"/>
              <w:kinsoku/>
              <w:wordWrap/>
              <w:overflowPunct/>
              <w:topLinePunct w:val="0"/>
              <w:autoSpaceDE/>
              <w:autoSpaceDN/>
              <w:bidi w:val="0"/>
              <w:adjustRightInd w:val="0"/>
              <w:snapToGrid w:val="0"/>
              <w:spacing w:line="240" w:lineRule="auto"/>
              <w:ind w:right="0" w:rightChars="0" w:firstLine="0" w:firstLineChars="0"/>
              <w:jc w:val="center"/>
              <w:textAlignment w:val="auto"/>
              <w:rPr>
                <w:highlight w:val="none"/>
              </w:rPr>
            </w:pPr>
            <w:r>
              <w:rPr>
                <w:sz w:val="21"/>
                <w:szCs w:val="21"/>
                <w:highlight w:val="none"/>
              </w:rPr>
              <w:t>农业生态</w:t>
            </w:r>
          </w:p>
        </w:tc>
        <w:tc>
          <w:tcPr>
            <w:tcW w:w="623" w:type="dxa"/>
            <w:tcBorders>
              <w:tl2br w:val="nil"/>
              <w:tr2bl w:val="nil"/>
            </w:tcBorders>
            <w:vAlign w:val="center"/>
          </w:tcPr>
          <w:p w14:paraId="55FA3BAF">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49A193F2">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6F94B0E1">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7334FD5C">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0AEFD1E1">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3E41B437">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22A1918F">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3FC6A99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3B3105F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5F1723FB">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9" w:type="dxa"/>
            <w:tcBorders>
              <w:tl2br w:val="nil"/>
              <w:tr2bl w:val="nil"/>
            </w:tcBorders>
            <w:vAlign w:val="center"/>
          </w:tcPr>
          <w:p w14:paraId="599A8BB7">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r>
      <w:tr w14:paraId="4A4E98E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4" w:type="dxa"/>
          <w:trHeight w:val="340" w:hRule="atLeast"/>
          <w:jc w:val="center"/>
        </w:trPr>
        <w:tc>
          <w:tcPr>
            <w:tcW w:w="265" w:type="dxa"/>
            <w:vMerge w:val="continue"/>
            <w:tcBorders>
              <w:tl2br w:val="nil"/>
              <w:tr2bl w:val="nil"/>
            </w:tcBorders>
            <w:vAlign w:val="center"/>
          </w:tcPr>
          <w:p w14:paraId="0F36A8C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1291" w:type="dxa"/>
            <w:tcBorders>
              <w:tl2br w:val="nil"/>
              <w:tr2bl w:val="nil"/>
            </w:tcBorders>
            <w:vAlign w:val="center"/>
          </w:tcPr>
          <w:p w14:paraId="6726F15D">
            <w:pPr>
              <w:pStyle w:val="23"/>
              <w:keepNext w:val="0"/>
              <w:keepLines w:val="0"/>
              <w:pageBreakBefore w:val="0"/>
              <w:widowControl w:val="0"/>
              <w:kinsoku/>
              <w:wordWrap/>
              <w:overflowPunct/>
              <w:topLinePunct w:val="0"/>
              <w:autoSpaceDE/>
              <w:autoSpaceDN/>
              <w:bidi w:val="0"/>
              <w:adjustRightInd w:val="0"/>
              <w:snapToGrid w:val="0"/>
              <w:spacing w:line="240" w:lineRule="auto"/>
              <w:ind w:right="0" w:rightChars="0" w:firstLine="0" w:firstLineChars="0"/>
              <w:jc w:val="center"/>
              <w:textAlignment w:val="auto"/>
              <w:rPr>
                <w:highlight w:val="none"/>
              </w:rPr>
            </w:pPr>
            <w:r>
              <w:rPr>
                <w:sz w:val="21"/>
                <w:szCs w:val="21"/>
                <w:highlight w:val="none"/>
              </w:rPr>
              <w:t>水土保持</w:t>
            </w:r>
          </w:p>
        </w:tc>
        <w:tc>
          <w:tcPr>
            <w:tcW w:w="623" w:type="dxa"/>
            <w:tcBorders>
              <w:tl2br w:val="nil"/>
              <w:tr2bl w:val="nil"/>
            </w:tcBorders>
            <w:vAlign w:val="center"/>
          </w:tcPr>
          <w:p w14:paraId="05585102">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1DB6B350">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2999664D">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426C7F9D">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1CCDFD5C">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0DDF03AB">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565002B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276274C1">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2A0D6E08">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4718CB15">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9" w:type="dxa"/>
            <w:tcBorders>
              <w:tl2br w:val="nil"/>
              <w:tr2bl w:val="nil"/>
            </w:tcBorders>
            <w:vAlign w:val="center"/>
          </w:tcPr>
          <w:p w14:paraId="7BB370DA">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r>
      <w:tr w14:paraId="39D737B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4" w:type="dxa"/>
          <w:trHeight w:val="340" w:hRule="atLeast"/>
          <w:jc w:val="center"/>
        </w:trPr>
        <w:tc>
          <w:tcPr>
            <w:tcW w:w="265" w:type="dxa"/>
            <w:vMerge w:val="continue"/>
            <w:tcBorders>
              <w:tl2br w:val="nil"/>
              <w:tr2bl w:val="nil"/>
            </w:tcBorders>
            <w:vAlign w:val="center"/>
          </w:tcPr>
          <w:p w14:paraId="43EF840D">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1291" w:type="dxa"/>
            <w:tcBorders>
              <w:tl2br w:val="nil"/>
              <w:tr2bl w:val="nil"/>
            </w:tcBorders>
            <w:vAlign w:val="center"/>
          </w:tcPr>
          <w:p w14:paraId="249BFE32">
            <w:pPr>
              <w:pStyle w:val="23"/>
              <w:keepNext w:val="0"/>
              <w:keepLines w:val="0"/>
              <w:pageBreakBefore w:val="0"/>
              <w:widowControl w:val="0"/>
              <w:kinsoku/>
              <w:wordWrap/>
              <w:overflowPunct/>
              <w:topLinePunct w:val="0"/>
              <w:autoSpaceDE/>
              <w:autoSpaceDN/>
              <w:bidi w:val="0"/>
              <w:adjustRightInd w:val="0"/>
              <w:snapToGrid w:val="0"/>
              <w:spacing w:line="240" w:lineRule="auto"/>
              <w:ind w:right="0" w:rightChars="0" w:firstLine="0" w:firstLineChars="0"/>
              <w:jc w:val="center"/>
              <w:textAlignment w:val="auto"/>
              <w:rPr>
                <w:highlight w:val="none"/>
              </w:rPr>
            </w:pPr>
            <w:r>
              <w:rPr>
                <w:sz w:val="21"/>
                <w:szCs w:val="21"/>
                <w:highlight w:val="none"/>
              </w:rPr>
              <w:t>地表水质</w:t>
            </w:r>
          </w:p>
        </w:tc>
        <w:tc>
          <w:tcPr>
            <w:tcW w:w="623" w:type="dxa"/>
            <w:tcBorders>
              <w:tl2br w:val="nil"/>
              <w:tr2bl w:val="nil"/>
            </w:tcBorders>
            <w:vAlign w:val="center"/>
          </w:tcPr>
          <w:p w14:paraId="7A7F7721">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412DE1C5">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193B0793">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455DA460">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783F50A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01943E25">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5DA5255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0D2DF5CD">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20A68191">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7B941B67">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9" w:type="dxa"/>
            <w:tcBorders>
              <w:tl2br w:val="nil"/>
              <w:tr2bl w:val="nil"/>
            </w:tcBorders>
            <w:vAlign w:val="center"/>
          </w:tcPr>
          <w:p w14:paraId="427ED022">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r>
      <w:tr w14:paraId="4EBD1DC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4" w:type="dxa"/>
          <w:trHeight w:val="340" w:hRule="atLeast"/>
          <w:jc w:val="center"/>
        </w:trPr>
        <w:tc>
          <w:tcPr>
            <w:tcW w:w="265" w:type="dxa"/>
            <w:vMerge w:val="continue"/>
            <w:tcBorders>
              <w:tl2br w:val="nil"/>
              <w:tr2bl w:val="nil"/>
            </w:tcBorders>
            <w:vAlign w:val="center"/>
          </w:tcPr>
          <w:p w14:paraId="7BBBAAC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1291" w:type="dxa"/>
            <w:tcBorders>
              <w:tl2br w:val="nil"/>
              <w:tr2bl w:val="nil"/>
            </w:tcBorders>
            <w:vAlign w:val="center"/>
          </w:tcPr>
          <w:p w14:paraId="63AE6400">
            <w:pPr>
              <w:pStyle w:val="23"/>
              <w:keepNext w:val="0"/>
              <w:keepLines w:val="0"/>
              <w:pageBreakBefore w:val="0"/>
              <w:widowControl w:val="0"/>
              <w:kinsoku/>
              <w:wordWrap/>
              <w:overflowPunct/>
              <w:topLinePunct w:val="0"/>
              <w:autoSpaceDE/>
              <w:autoSpaceDN/>
              <w:bidi w:val="0"/>
              <w:adjustRightInd w:val="0"/>
              <w:snapToGrid w:val="0"/>
              <w:spacing w:line="240" w:lineRule="auto"/>
              <w:ind w:right="0" w:rightChars="0" w:firstLine="0" w:firstLineChars="0"/>
              <w:jc w:val="center"/>
              <w:textAlignment w:val="auto"/>
              <w:rPr>
                <w:highlight w:val="none"/>
              </w:rPr>
            </w:pPr>
            <w:r>
              <w:rPr>
                <w:sz w:val="21"/>
                <w:szCs w:val="21"/>
                <w:highlight w:val="none"/>
              </w:rPr>
              <w:t>地下水质</w:t>
            </w:r>
          </w:p>
        </w:tc>
        <w:tc>
          <w:tcPr>
            <w:tcW w:w="623" w:type="dxa"/>
            <w:tcBorders>
              <w:tl2br w:val="nil"/>
              <w:tr2bl w:val="nil"/>
            </w:tcBorders>
            <w:vAlign w:val="center"/>
          </w:tcPr>
          <w:p w14:paraId="5E95D37D">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7A3AF9E7">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7672E941">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6DD1F7C6">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241F2DB3">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3ECF508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0A49D9C7">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4354A146">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743B88F3">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02702CFB">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9" w:type="dxa"/>
            <w:tcBorders>
              <w:tl2br w:val="nil"/>
              <w:tr2bl w:val="nil"/>
            </w:tcBorders>
            <w:vAlign w:val="center"/>
          </w:tcPr>
          <w:p w14:paraId="1FDC08E2">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r>
      <w:tr w14:paraId="15B71EF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gridAfter w:val="1"/>
          <w:wAfter w:w="4" w:type="dxa"/>
          <w:trHeight w:val="484" w:hRule="atLeast"/>
          <w:jc w:val="center"/>
        </w:trPr>
        <w:tc>
          <w:tcPr>
            <w:tcW w:w="265" w:type="dxa"/>
            <w:vMerge w:val="continue"/>
            <w:tcBorders>
              <w:tl2br w:val="nil"/>
              <w:tr2bl w:val="nil"/>
            </w:tcBorders>
            <w:vAlign w:val="center"/>
          </w:tcPr>
          <w:p w14:paraId="15F958C1">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1291" w:type="dxa"/>
            <w:tcBorders>
              <w:tl2br w:val="nil"/>
              <w:tr2bl w:val="nil"/>
            </w:tcBorders>
            <w:vAlign w:val="center"/>
          </w:tcPr>
          <w:p w14:paraId="6F54BA80">
            <w:pPr>
              <w:pStyle w:val="23"/>
              <w:keepNext w:val="0"/>
              <w:keepLines w:val="0"/>
              <w:pageBreakBefore w:val="0"/>
              <w:widowControl w:val="0"/>
              <w:kinsoku/>
              <w:wordWrap/>
              <w:overflowPunct/>
              <w:topLinePunct w:val="0"/>
              <w:autoSpaceDE/>
              <w:autoSpaceDN/>
              <w:bidi w:val="0"/>
              <w:adjustRightInd w:val="0"/>
              <w:snapToGrid w:val="0"/>
              <w:spacing w:line="240" w:lineRule="auto"/>
              <w:ind w:right="0" w:rightChars="0" w:firstLine="0" w:firstLineChars="0"/>
              <w:jc w:val="center"/>
              <w:textAlignment w:val="auto"/>
              <w:rPr>
                <w:highlight w:val="none"/>
              </w:rPr>
            </w:pPr>
            <w:r>
              <w:rPr>
                <w:sz w:val="21"/>
                <w:szCs w:val="21"/>
                <w:highlight w:val="none"/>
              </w:rPr>
              <w:t>土壤</w:t>
            </w:r>
          </w:p>
        </w:tc>
        <w:tc>
          <w:tcPr>
            <w:tcW w:w="623" w:type="dxa"/>
            <w:tcBorders>
              <w:tl2br w:val="nil"/>
              <w:tr2bl w:val="nil"/>
            </w:tcBorders>
            <w:vAlign w:val="center"/>
          </w:tcPr>
          <w:p w14:paraId="25C0075B">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06F275C3">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705477B6">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40F67860">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07C6092A">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40DF8DA3">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41FFBCB1">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0D4C2605">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1522B77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2BCEE803">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9" w:type="dxa"/>
            <w:tcBorders>
              <w:tl2br w:val="nil"/>
              <w:tr2bl w:val="nil"/>
            </w:tcBorders>
            <w:vAlign w:val="center"/>
          </w:tcPr>
          <w:p w14:paraId="3E9E592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r>
      <w:tr w14:paraId="79B5C01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4" w:type="dxa"/>
          <w:trHeight w:val="340" w:hRule="atLeast"/>
          <w:jc w:val="center"/>
        </w:trPr>
        <w:tc>
          <w:tcPr>
            <w:tcW w:w="265" w:type="dxa"/>
            <w:vMerge w:val="restart"/>
            <w:tcBorders>
              <w:tl2br w:val="nil"/>
              <w:tr2bl w:val="nil"/>
            </w:tcBorders>
            <w:vAlign w:val="center"/>
          </w:tcPr>
          <w:p w14:paraId="4029B182">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sz w:val="21"/>
                <w:szCs w:val="21"/>
                <w:highlight w:val="none"/>
                <w:lang w:eastAsia="zh-CN"/>
              </w:rPr>
            </w:pPr>
            <w:r>
              <w:rPr>
                <w:rFonts w:hint="eastAsia"/>
                <w:sz w:val="21"/>
                <w:szCs w:val="21"/>
                <w:highlight w:val="none"/>
                <w:lang w:eastAsia="zh-CN"/>
              </w:rPr>
              <w:t>生活质量</w:t>
            </w:r>
          </w:p>
        </w:tc>
        <w:tc>
          <w:tcPr>
            <w:tcW w:w="1291" w:type="dxa"/>
            <w:tcBorders>
              <w:tl2br w:val="nil"/>
              <w:tr2bl w:val="nil"/>
            </w:tcBorders>
            <w:vAlign w:val="center"/>
          </w:tcPr>
          <w:p w14:paraId="63501365">
            <w:pPr>
              <w:pStyle w:val="23"/>
              <w:keepNext w:val="0"/>
              <w:keepLines w:val="0"/>
              <w:pageBreakBefore w:val="0"/>
              <w:widowControl w:val="0"/>
              <w:kinsoku/>
              <w:wordWrap/>
              <w:overflowPunct/>
              <w:topLinePunct w:val="0"/>
              <w:autoSpaceDE/>
              <w:autoSpaceDN/>
              <w:bidi w:val="0"/>
              <w:adjustRightInd w:val="0"/>
              <w:snapToGrid w:val="0"/>
              <w:spacing w:line="240" w:lineRule="auto"/>
              <w:ind w:right="0" w:rightChars="0" w:firstLine="0" w:firstLineChars="0"/>
              <w:jc w:val="center"/>
              <w:textAlignment w:val="auto"/>
              <w:rPr>
                <w:highlight w:val="none"/>
              </w:rPr>
            </w:pPr>
            <w:r>
              <w:rPr>
                <w:sz w:val="21"/>
                <w:szCs w:val="21"/>
                <w:highlight w:val="none"/>
              </w:rPr>
              <w:t>声环境</w:t>
            </w:r>
          </w:p>
        </w:tc>
        <w:tc>
          <w:tcPr>
            <w:tcW w:w="623" w:type="dxa"/>
            <w:tcBorders>
              <w:tl2br w:val="nil"/>
              <w:tr2bl w:val="nil"/>
            </w:tcBorders>
            <w:vAlign w:val="center"/>
          </w:tcPr>
          <w:p w14:paraId="3036846B">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34EFD942">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3569D76B">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6344FE70">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1C50DDCB">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2248B2E6">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331AB50C">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0D0E8652">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4CF2AB66">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6B5EA61E">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9" w:type="dxa"/>
            <w:tcBorders>
              <w:tl2br w:val="nil"/>
              <w:tr2bl w:val="nil"/>
            </w:tcBorders>
            <w:vAlign w:val="center"/>
          </w:tcPr>
          <w:p w14:paraId="35F2589C">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r>
      <w:tr w14:paraId="3B5A012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4" w:type="dxa"/>
          <w:trHeight w:val="340" w:hRule="atLeast"/>
          <w:jc w:val="center"/>
        </w:trPr>
        <w:tc>
          <w:tcPr>
            <w:tcW w:w="265" w:type="dxa"/>
            <w:vMerge w:val="continue"/>
            <w:tcBorders>
              <w:tl2br w:val="nil"/>
              <w:tr2bl w:val="nil"/>
            </w:tcBorders>
            <w:vAlign w:val="center"/>
          </w:tcPr>
          <w:p w14:paraId="03B97AB3">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1291" w:type="dxa"/>
            <w:tcBorders>
              <w:tl2br w:val="nil"/>
              <w:tr2bl w:val="nil"/>
            </w:tcBorders>
            <w:vAlign w:val="center"/>
          </w:tcPr>
          <w:p w14:paraId="4FEED5D8">
            <w:pPr>
              <w:pStyle w:val="23"/>
              <w:keepNext w:val="0"/>
              <w:keepLines w:val="0"/>
              <w:pageBreakBefore w:val="0"/>
              <w:widowControl w:val="0"/>
              <w:kinsoku/>
              <w:wordWrap/>
              <w:overflowPunct/>
              <w:topLinePunct w:val="0"/>
              <w:autoSpaceDE/>
              <w:autoSpaceDN/>
              <w:bidi w:val="0"/>
              <w:adjustRightInd w:val="0"/>
              <w:snapToGrid w:val="0"/>
              <w:spacing w:line="240" w:lineRule="auto"/>
              <w:ind w:right="0" w:rightChars="0" w:firstLine="0" w:firstLineChars="0"/>
              <w:jc w:val="center"/>
              <w:textAlignment w:val="auto"/>
              <w:rPr>
                <w:highlight w:val="none"/>
              </w:rPr>
            </w:pPr>
            <w:r>
              <w:rPr>
                <w:sz w:val="21"/>
                <w:szCs w:val="21"/>
                <w:highlight w:val="none"/>
              </w:rPr>
              <w:t>环境空气</w:t>
            </w:r>
          </w:p>
        </w:tc>
        <w:tc>
          <w:tcPr>
            <w:tcW w:w="623" w:type="dxa"/>
            <w:tcBorders>
              <w:tl2br w:val="nil"/>
              <w:tr2bl w:val="nil"/>
            </w:tcBorders>
            <w:vAlign w:val="center"/>
          </w:tcPr>
          <w:p w14:paraId="31CDD271">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080BA288">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1BD964AD">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19E54EB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3CAFE380">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4F239123">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1967C741">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0475EABD">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3CCB6722">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605A68D3">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9" w:type="dxa"/>
            <w:tcBorders>
              <w:tl2br w:val="nil"/>
              <w:tr2bl w:val="nil"/>
            </w:tcBorders>
            <w:vAlign w:val="center"/>
          </w:tcPr>
          <w:p w14:paraId="1F4F557A">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r>
      <w:tr w14:paraId="2CC7163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4" w:type="dxa"/>
          <w:trHeight w:val="340" w:hRule="atLeast"/>
          <w:jc w:val="center"/>
        </w:trPr>
        <w:tc>
          <w:tcPr>
            <w:tcW w:w="265" w:type="dxa"/>
            <w:vMerge w:val="continue"/>
            <w:tcBorders>
              <w:tl2br w:val="nil"/>
              <w:tr2bl w:val="nil"/>
            </w:tcBorders>
            <w:vAlign w:val="center"/>
          </w:tcPr>
          <w:p w14:paraId="05476DD0">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1291" w:type="dxa"/>
            <w:tcBorders>
              <w:tl2br w:val="nil"/>
              <w:tr2bl w:val="nil"/>
            </w:tcBorders>
            <w:vAlign w:val="center"/>
          </w:tcPr>
          <w:p w14:paraId="083E2D9D">
            <w:pPr>
              <w:pStyle w:val="23"/>
              <w:keepNext w:val="0"/>
              <w:keepLines w:val="0"/>
              <w:pageBreakBefore w:val="0"/>
              <w:widowControl w:val="0"/>
              <w:kinsoku/>
              <w:wordWrap/>
              <w:overflowPunct/>
              <w:topLinePunct w:val="0"/>
              <w:autoSpaceDE/>
              <w:autoSpaceDN/>
              <w:bidi w:val="0"/>
              <w:adjustRightInd w:val="0"/>
              <w:snapToGrid w:val="0"/>
              <w:spacing w:line="240" w:lineRule="auto"/>
              <w:ind w:right="0" w:rightChars="0" w:firstLine="0" w:firstLineChars="0"/>
              <w:jc w:val="center"/>
              <w:textAlignment w:val="auto"/>
              <w:rPr>
                <w:highlight w:val="none"/>
              </w:rPr>
            </w:pPr>
            <w:r>
              <w:rPr>
                <w:sz w:val="21"/>
                <w:szCs w:val="21"/>
                <w:highlight w:val="none"/>
              </w:rPr>
              <w:t>居住</w:t>
            </w:r>
          </w:p>
        </w:tc>
        <w:tc>
          <w:tcPr>
            <w:tcW w:w="623" w:type="dxa"/>
            <w:tcBorders>
              <w:tl2br w:val="nil"/>
              <w:tr2bl w:val="nil"/>
            </w:tcBorders>
            <w:vAlign w:val="center"/>
          </w:tcPr>
          <w:p w14:paraId="1566ACEC">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1D7FED19">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3846132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6DFC6E0B">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3EB2783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359F6B05">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35095A16">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6211BB0B">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24973414">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2ACFA68A">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eastAsia="宋体"/>
                <w:sz w:val="21"/>
                <w:szCs w:val="21"/>
                <w:highlight w:val="none"/>
                <w:lang w:eastAsia="zh-CN"/>
              </w:rPr>
            </w:pPr>
          </w:p>
        </w:tc>
        <w:tc>
          <w:tcPr>
            <w:tcW w:w="629" w:type="dxa"/>
            <w:tcBorders>
              <w:tl2br w:val="nil"/>
              <w:tr2bl w:val="nil"/>
            </w:tcBorders>
            <w:vAlign w:val="center"/>
          </w:tcPr>
          <w:p w14:paraId="06FB6572">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r>
      <w:tr w14:paraId="62FA064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4" w:type="dxa"/>
          <w:trHeight w:val="340" w:hRule="atLeast"/>
          <w:jc w:val="center"/>
        </w:trPr>
        <w:tc>
          <w:tcPr>
            <w:tcW w:w="265" w:type="dxa"/>
            <w:vMerge w:val="continue"/>
            <w:tcBorders>
              <w:tl2br w:val="nil"/>
              <w:tr2bl w:val="nil"/>
            </w:tcBorders>
            <w:vAlign w:val="center"/>
          </w:tcPr>
          <w:p w14:paraId="6F97EA22">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1291" w:type="dxa"/>
            <w:tcBorders>
              <w:tl2br w:val="nil"/>
              <w:tr2bl w:val="nil"/>
            </w:tcBorders>
            <w:vAlign w:val="center"/>
          </w:tcPr>
          <w:p w14:paraId="59760D7E">
            <w:pPr>
              <w:pStyle w:val="23"/>
              <w:keepNext w:val="0"/>
              <w:keepLines w:val="0"/>
              <w:pageBreakBefore w:val="0"/>
              <w:widowControl w:val="0"/>
              <w:kinsoku/>
              <w:wordWrap/>
              <w:overflowPunct/>
              <w:topLinePunct w:val="0"/>
              <w:autoSpaceDE/>
              <w:autoSpaceDN/>
              <w:bidi w:val="0"/>
              <w:adjustRightInd w:val="0"/>
              <w:snapToGrid w:val="0"/>
              <w:spacing w:line="240" w:lineRule="auto"/>
              <w:ind w:right="0" w:rightChars="0" w:firstLine="0" w:firstLineChars="0"/>
              <w:jc w:val="center"/>
              <w:textAlignment w:val="auto"/>
              <w:rPr>
                <w:highlight w:val="none"/>
              </w:rPr>
            </w:pPr>
            <w:r>
              <w:rPr>
                <w:sz w:val="21"/>
                <w:szCs w:val="21"/>
                <w:highlight w:val="none"/>
              </w:rPr>
              <w:t>美学</w:t>
            </w:r>
          </w:p>
        </w:tc>
        <w:tc>
          <w:tcPr>
            <w:tcW w:w="623" w:type="dxa"/>
            <w:tcBorders>
              <w:tl2br w:val="nil"/>
              <w:tr2bl w:val="nil"/>
            </w:tcBorders>
            <w:vAlign w:val="center"/>
          </w:tcPr>
          <w:p w14:paraId="6D7F1DCF">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6A9CB7EA">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4968B9DD">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0C849480">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1F63B7CB">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6801E3BB">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c>
          <w:tcPr>
            <w:tcW w:w="623" w:type="dxa"/>
            <w:tcBorders>
              <w:tl2br w:val="nil"/>
              <w:tr2bl w:val="nil"/>
            </w:tcBorders>
            <w:vAlign w:val="center"/>
          </w:tcPr>
          <w:p w14:paraId="1D65E5AE">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044DBFC3">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45D9AA2E">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3" w:type="dxa"/>
            <w:tcBorders>
              <w:tl2br w:val="nil"/>
              <w:tr2bl w:val="nil"/>
            </w:tcBorders>
            <w:vAlign w:val="center"/>
          </w:tcPr>
          <w:p w14:paraId="4117FC2B">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p>
        </w:tc>
        <w:tc>
          <w:tcPr>
            <w:tcW w:w="629" w:type="dxa"/>
            <w:tcBorders>
              <w:tl2br w:val="nil"/>
              <w:tr2bl w:val="nil"/>
            </w:tcBorders>
            <w:vAlign w:val="center"/>
          </w:tcPr>
          <w:p w14:paraId="7386011D">
            <w:pPr>
              <w:pStyle w:val="23"/>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sz w:val="21"/>
                <w:szCs w:val="21"/>
                <w:highlight w:val="none"/>
              </w:rPr>
            </w:pPr>
            <w:r>
              <w:rPr>
                <w:sz w:val="21"/>
                <w:szCs w:val="21"/>
                <w:highlight w:val="none"/>
              </w:rPr>
              <w:t>□</w:t>
            </w:r>
          </w:p>
        </w:tc>
      </w:tr>
      <w:tr w14:paraId="1B23211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4" w:type="dxa"/>
          <w:trHeight w:val="340" w:hRule="atLeast"/>
          <w:jc w:val="center"/>
        </w:trPr>
        <w:tc>
          <w:tcPr>
            <w:tcW w:w="8415" w:type="dxa"/>
            <w:gridSpan w:val="13"/>
            <w:tcBorders>
              <w:tl2br w:val="nil"/>
              <w:tr2bl w:val="nil"/>
            </w:tcBorders>
            <w:vAlign w:val="center"/>
          </w:tcPr>
          <w:p w14:paraId="20A302A5">
            <w:pPr>
              <w:keepNext w:val="0"/>
              <w:keepLines w:val="0"/>
              <w:pageBreakBefore w:val="0"/>
              <w:widowControl/>
              <w:suppressLineNumbers w:val="0"/>
              <w:kinsoku/>
              <w:wordWrap/>
              <w:overflowPunct/>
              <w:topLinePunct w:val="0"/>
              <w:autoSpaceDE/>
              <w:autoSpaceDN/>
              <w:bidi w:val="0"/>
              <w:adjustRightInd w:val="0"/>
              <w:snapToGrid w:val="0"/>
              <w:spacing w:line="240" w:lineRule="auto"/>
              <w:ind w:left="0" w:leftChars="0" w:firstLine="0" w:firstLineChars="0"/>
              <w:jc w:val="left"/>
              <w:textAlignment w:val="auto"/>
              <w:rPr>
                <w:sz w:val="21"/>
                <w:szCs w:val="21"/>
                <w:highlight w:val="none"/>
              </w:rPr>
            </w:pPr>
            <w:r>
              <w:rPr>
                <w:rFonts w:hint="eastAsia" w:ascii="宋体" w:hAnsi="宋体" w:eastAsia="宋体" w:cs="宋体"/>
                <w:color w:val="000000"/>
                <w:kern w:val="0"/>
                <w:sz w:val="20"/>
                <w:szCs w:val="20"/>
                <w:highlight w:val="none"/>
                <w:lang w:val="en-US" w:eastAsia="zh-CN" w:bidi="ar"/>
              </w:rPr>
              <w:t>注：</w:t>
            </w:r>
            <w:r>
              <w:rPr>
                <w:rFonts w:hint="default" w:ascii="Times New Roman" w:hAnsi="Times New Roman" w:eastAsia="宋体" w:cs="Times New Roman"/>
                <w:color w:val="000000"/>
                <w:kern w:val="0"/>
                <w:sz w:val="20"/>
                <w:szCs w:val="20"/>
                <w:highlight w:val="none"/>
                <w:lang w:val="en-US" w:eastAsia="zh-CN" w:bidi="ar"/>
              </w:rPr>
              <w:t>□/○</w:t>
            </w:r>
            <w:r>
              <w:rPr>
                <w:rFonts w:hint="eastAsia" w:ascii="宋体" w:hAnsi="宋体" w:eastAsia="宋体" w:cs="宋体"/>
                <w:color w:val="000000"/>
                <w:kern w:val="0"/>
                <w:sz w:val="20"/>
                <w:szCs w:val="20"/>
                <w:highlight w:val="none"/>
                <w:lang w:val="en-US" w:eastAsia="zh-CN" w:bidi="ar"/>
              </w:rPr>
              <w:t>：长期</w:t>
            </w:r>
            <w:r>
              <w:rPr>
                <w:rFonts w:hint="default" w:ascii="Times New Roman" w:hAnsi="Times New Roman" w:eastAsia="宋体" w:cs="Times New Roman"/>
                <w:color w:val="000000"/>
                <w:kern w:val="0"/>
                <w:sz w:val="20"/>
                <w:szCs w:val="20"/>
                <w:highlight w:val="none"/>
                <w:lang w:val="en-US" w:eastAsia="zh-CN" w:bidi="ar"/>
              </w:rPr>
              <w:t>/</w:t>
            </w:r>
            <w:r>
              <w:rPr>
                <w:rFonts w:hint="eastAsia" w:ascii="宋体" w:hAnsi="宋体" w:eastAsia="宋体" w:cs="宋体"/>
                <w:color w:val="000000"/>
                <w:kern w:val="0"/>
                <w:sz w:val="20"/>
                <w:szCs w:val="20"/>
                <w:highlight w:val="none"/>
                <w:lang w:val="en-US" w:eastAsia="zh-CN" w:bidi="ar"/>
              </w:rPr>
              <w:t>短期影响；涂黑</w:t>
            </w:r>
            <w:r>
              <w:rPr>
                <w:rFonts w:hint="default" w:ascii="Times New Roman" w:hAnsi="Times New Roman" w:eastAsia="宋体" w:cs="Times New Roman"/>
                <w:color w:val="000000"/>
                <w:kern w:val="0"/>
                <w:sz w:val="20"/>
                <w:szCs w:val="20"/>
                <w:highlight w:val="none"/>
                <w:lang w:val="en-US" w:eastAsia="zh-CN" w:bidi="ar"/>
              </w:rPr>
              <w:t>/</w:t>
            </w:r>
            <w:r>
              <w:rPr>
                <w:rFonts w:hint="eastAsia" w:ascii="宋体" w:hAnsi="宋体" w:eastAsia="宋体" w:cs="宋体"/>
                <w:color w:val="000000"/>
                <w:kern w:val="0"/>
                <w:sz w:val="20"/>
                <w:szCs w:val="20"/>
                <w:highlight w:val="none"/>
                <w:lang w:val="en-US" w:eastAsia="zh-CN" w:bidi="ar"/>
              </w:rPr>
              <w:t>白：不利</w:t>
            </w:r>
            <w:r>
              <w:rPr>
                <w:rFonts w:hint="default" w:ascii="Times New Roman" w:hAnsi="Times New Roman" w:eastAsia="宋体" w:cs="Times New Roman"/>
                <w:color w:val="000000"/>
                <w:kern w:val="0"/>
                <w:sz w:val="20"/>
                <w:szCs w:val="20"/>
                <w:highlight w:val="none"/>
                <w:lang w:val="en-US" w:eastAsia="zh-CN" w:bidi="ar"/>
              </w:rPr>
              <w:t>/</w:t>
            </w:r>
            <w:r>
              <w:rPr>
                <w:rFonts w:hint="eastAsia" w:ascii="宋体" w:hAnsi="宋体" w:eastAsia="宋体" w:cs="宋体"/>
                <w:color w:val="000000"/>
                <w:kern w:val="0"/>
                <w:sz w:val="20"/>
                <w:szCs w:val="20"/>
                <w:highlight w:val="none"/>
                <w:lang w:val="en-US" w:eastAsia="zh-CN" w:bidi="ar"/>
              </w:rPr>
              <w:t>有利影响；空白：无相互作用。</w:t>
            </w:r>
          </w:p>
        </w:tc>
      </w:tr>
    </w:tbl>
    <w:p w14:paraId="5BAB5705">
      <w:pPr>
        <w:pStyle w:val="30"/>
        <w:rPr>
          <w:rFonts w:hint="default"/>
          <w:color w:val="auto"/>
          <w:highlight w:val="none"/>
          <w:lang w:val="en-US" w:eastAsia="zh-CN"/>
        </w:rPr>
      </w:pPr>
      <w:r>
        <w:rPr>
          <w:rFonts w:hint="eastAsia"/>
          <w:color w:val="auto"/>
          <w:highlight w:val="none"/>
          <w:lang w:val="en-US" w:eastAsia="zh-CN"/>
        </w:rPr>
        <w:t>根据本项目的建设性质、工程特点以及环境影响识别结果，确定本次评价因子，具体见下表。</w:t>
      </w:r>
    </w:p>
    <w:p w14:paraId="27E61FC4">
      <w:pPr>
        <w:pStyle w:val="46"/>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b/>
          <w:bCs/>
          <w:color w:val="auto"/>
          <w:highlight w:val="none"/>
          <w:lang w:val="en-US" w:eastAsia="zh-CN"/>
        </w:rPr>
      </w:pPr>
      <w:r>
        <w:rPr>
          <w:rFonts w:hint="default" w:ascii="Times New Roman" w:hAnsi="Times New Roman" w:eastAsia="宋体" w:cs="Times New Roman"/>
          <w:b/>
          <w:bCs/>
          <w:color w:val="auto"/>
          <w:highlight w:val="none"/>
          <w:lang w:val="en-US" w:eastAsia="zh-CN"/>
        </w:rPr>
        <w:t>表2.2-</w:t>
      </w:r>
      <w:r>
        <w:rPr>
          <w:rFonts w:hint="eastAsia" w:eastAsia="宋体" w:cs="Times New Roman"/>
          <w:b/>
          <w:bCs/>
          <w:color w:val="auto"/>
          <w:highlight w:val="none"/>
          <w:lang w:val="en-US" w:eastAsia="zh-CN"/>
        </w:rPr>
        <w:t>2</w:t>
      </w:r>
      <w:r>
        <w:rPr>
          <w:rFonts w:hint="default" w:ascii="Times New Roman" w:hAnsi="Times New Roman" w:eastAsia="宋体" w:cs="Times New Roman"/>
          <w:b/>
          <w:bCs/>
          <w:color w:val="auto"/>
          <w:highlight w:val="none"/>
          <w:lang w:val="en-US" w:eastAsia="zh-CN"/>
        </w:rPr>
        <w:t xml:space="preserve">  </w:t>
      </w:r>
      <w:r>
        <w:rPr>
          <w:rFonts w:hint="eastAsia" w:eastAsia="宋体" w:cs="Times New Roman"/>
          <w:b/>
          <w:bCs/>
          <w:color w:val="auto"/>
          <w:highlight w:val="none"/>
          <w:lang w:val="en-US" w:eastAsia="zh-CN"/>
        </w:rPr>
        <w:t>本项目生态影响评价因子筛选表</w:t>
      </w:r>
    </w:p>
    <w:tbl>
      <w:tblPr>
        <w:tblStyle w:val="38"/>
        <w:tblW w:w="5000" w:type="pct"/>
        <w:tblInd w:w="12"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596"/>
        <w:gridCol w:w="1100"/>
        <w:gridCol w:w="1510"/>
        <w:gridCol w:w="3160"/>
        <w:gridCol w:w="960"/>
        <w:gridCol w:w="1010"/>
      </w:tblGrid>
      <w:tr w14:paraId="3D118EA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08" w:type="dxa"/>
            <w:tcBorders>
              <w:tl2br w:val="nil"/>
              <w:tr2bl w:val="nil"/>
            </w:tcBorders>
            <w:vAlign w:val="center"/>
          </w:tcPr>
          <w:p w14:paraId="3F76A067">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5"/>
                <w:sz w:val="21"/>
                <w:szCs w:val="21"/>
                <w:highlight w:val="none"/>
                <w14:textOutline w14:w="3797" w14:cap="sq" w14:cmpd="sng">
                  <w14:solidFill>
                    <w14:srgbClr w14:val="000000"/>
                  </w14:solidFill>
                  <w14:prstDash w14:val="solid"/>
                  <w14:bevel/>
                </w14:textOutline>
              </w:rPr>
              <w:t>影响</w:t>
            </w:r>
            <w:r>
              <w:rPr>
                <w:spacing w:val="1"/>
                <w:sz w:val="21"/>
                <w:szCs w:val="21"/>
                <w:highlight w:val="none"/>
                <w14:textOutline w14:w="3797" w14:cap="sq" w14:cmpd="sng">
                  <w14:solidFill>
                    <w14:srgbClr w14:val="000000"/>
                  </w14:solidFill>
                  <w14:prstDash w14:val="solid"/>
                  <w14:bevel/>
                </w14:textOutline>
              </w:rPr>
              <w:t>时期</w:t>
            </w:r>
          </w:p>
        </w:tc>
        <w:tc>
          <w:tcPr>
            <w:tcW w:w="1123" w:type="dxa"/>
            <w:tcBorders>
              <w:tl2br w:val="nil"/>
              <w:tr2bl w:val="nil"/>
            </w:tcBorders>
            <w:vAlign w:val="center"/>
          </w:tcPr>
          <w:p w14:paraId="7478A595">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7"/>
                <w:sz w:val="21"/>
                <w:szCs w:val="21"/>
                <w:highlight w:val="none"/>
                <w14:textOutline w14:w="3797" w14:cap="sq" w14:cmpd="sng">
                  <w14:solidFill>
                    <w14:srgbClr w14:val="000000"/>
                  </w14:solidFill>
                  <w14:prstDash w14:val="solid"/>
                  <w14:bevel/>
                </w14:textOutline>
              </w:rPr>
              <w:t>受影响对象</w:t>
            </w:r>
          </w:p>
        </w:tc>
        <w:tc>
          <w:tcPr>
            <w:tcW w:w="1542" w:type="dxa"/>
            <w:tcBorders>
              <w:tl2br w:val="nil"/>
              <w:tr2bl w:val="nil"/>
            </w:tcBorders>
            <w:vAlign w:val="center"/>
          </w:tcPr>
          <w:p w14:paraId="36629ED0">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8"/>
                <w:sz w:val="21"/>
                <w:szCs w:val="21"/>
                <w:highlight w:val="none"/>
                <w14:textOutline w14:w="3797" w14:cap="sq" w14:cmpd="sng">
                  <w14:solidFill>
                    <w14:srgbClr w14:val="000000"/>
                  </w14:solidFill>
                  <w14:prstDash w14:val="solid"/>
                  <w14:bevel/>
                </w14:textOutline>
              </w:rPr>
              <w:t>评价因子</w:t>
            </w:r>
          </w:p>
        </w:tc>
        <w:tc>
          <w:tcPr>
            <w:tcW w:w="3227" w:type="dxa"/>
            <w:tcBorders>
              <w:tl2br w:val="nil"/>
              <w:tr2bl w:val="nil"/>
            </w:tcBorders>
            <w:vAlign w:val="center"/>
          </w:tcPr>
          <w:p w14:paraId="2438E4D2">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9"/>
                <w:sz w:val="21"/>
                <w:szCs w:val="21"/>
                <w:highlight w:val="none"/>
                <w14:textOutline w14:w="3797" w14:cap="sq" w14:cmpd="sng">
                  <w14:solidFill>
                    <w14:srgbClr w14:val="000000"/>
                  </w14:solidFill>
                  <w14:prstDash w14:val="solid"/>
                  <w14:bevel/>
                </w14:textOutline>
              </w:rPr>
              <w:t>工程内容及影响方式</w:t>
            </w:r>
          </w:p>
        </w:tc>
        <w:tc>
          <w:tcPr>
            <w:tcW w:w="980" w:type="dxa"/>
            <w:tcBorders>
              <w:tl2br w:val="nil"/>
              <w:tr2bl w:val="nil"/>
            </w:tcBorders>
            <w:vAlign w:val="center"/>
          </w:tcPr>
          <w:p w14:paraId="6266829C">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8"/>
                <w:sz w:val="21"/>
                <w:szCs w:val="21"/>
                <w:highlight w:val="none"/>
                <w14:textOutline w14:w="3797" w14:cap="sq" w14:cmpd="sng">
                  <w14:solidFill>
                    <w14:srgbClr w14:val="000000"/>
                  </w14:solidFill>
                  <w14:prstDash w14:val="solid"/>
                  <w14:bevel/>
                </w14:textOutline>
              </w:rPr>
              <w:t>影响性质</w:t>
            </w:r>
          </w:p>
        </w:tc>
        <w:tc>
          <w:tcPr>
            <w:tcW w:w="1030" w:type="dxa"/>
            <w:tcBorders>
              <w:tl2br w:val="nil"/>
              <w:tr2bl w:val="nil"/>
            </w:tcBorders>
            <w:vAlign w:val="center"/>
          </w:tcPr>
          <w:p w14:paraId="2BB914D7">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8"/>
                <w:sz w:val="21"/>
                <w:szCs w:val="21"/>
                <w:highlight w:val="none"/>
                <w14:textOutline w14:w="3797" w14:cap="sq" w14:cmpd="sng">
                  <w14:solidFill>
                    <w14:srgbClr w14:val="000000"/>
                  </w14:solidFill>
                  <w14:prstDash w14:val="solid"/>
                  <w14:bevel/>
                </w14:textOutline>
              </w:rPr>
              <w:t>影响程度</w:t>
            </w:r>
          </w:p>
        </w:tc>
      </w:tr>
      <w:tr w14:paraId="057B0F8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08" w:type="dxa"/>
            <w:vMerge w:val="restart"/>
            <w:tcBorders>
              <w:tl2br w:val="nil"/>
              <w:tr2bl w:val="nil"/>
            </w:tcBorders>
            <w:vAlign w:val="center"/>
          </w:tcPr>
          <w:p w14:paraId="16FA03F4">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5"/>
                <w:sz w:val="21"/>
                <w:szCs w:val="21"/>
                <w:highlight w:val="none"/>
              </w:rPr>
              <w:t>施工</w:t>
            </w:r>
            <w:r>
              <w:rPr>
                <w:sz w:val="21"/>
                <w:szCs w:val="21"/>
                <w:highlight w:val="none"/>
              </w:rPr>
              <w:t>期</w:t>
            </w:r>
          </w:p>
        </w:tc>
        <w:tc>
          <w:tcPr>
            <w:tcW w:w="1123" w:type="dxa"/>
            <w:tcBorders>
              <w:tl2br w:val="nil"/>
              <w:tr2bl w:val="nil"/>
            </w:tcBorders>
            <w:vAlign w:val="center"/>
          </w:tcPr>
          <w:p w14:paraId="08D7A0B8">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6"/>
                <w:sz w:val="21"/>
                <w:szCs w:val="21"/>
                <w:highlight w:val="none"/>
              </w:rPr>
              <w:t>生物群落</w:t>
            </w:r>
          </w:p>
        </w:tc>
        <w:tc>
          <w:tcPr>
            <w:tcW w:w="1542" w:type="dxa"/>
            <w:tcBorders>
              <w:tl2br w:val="nil"/>
              <w:tr2bl w:val="nil"/>
            </w:tcBorders>
            <w:vAlign w:val="center"/>
          </w:tcPr>
          <w:p w14:paraId="0213531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3"/>
                <w:sz w:val="21"/>
                <w:szCs w:val="21"/>
                <w:highlight w:val="none"/>
              </w:rPr>
              <w:t>物种组成、群落结</w:t>
            </w:r>
            <w:r>
              <w:rPr>
                <w:spacing w:val="3"/>
                <w:sz w:val="21"/>
                <w:szCs w:val="21"/>
                <w:highlight w:val="none"/>
              </w:rPr>
              <w:t>构等</w:t>
            </w:r>
          </w:p>
        </w:tc>
        <w:tc>
          <w:tcPr>
            <w:tcW w:w="3227" w:type="dxa"/>
            <w:tcBorders>
              <w:tl2br w:val="nil"/>
              <w:tr2bl w:val="nil"/>
            </w:tcBorders>
            <w:vAlign w:val="center"/>
          </w:tcPr>
          <w:p w14:paraId="64E809CC">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rFonts w:hint="eastAsia"/>
                <w:spacing w:val="5"/>
                <w:sz w:val="21"/>
                <w:szCs w:val="21"/>
                <w:highlight w:val="none"/>
                <w:lang w:eastAsia="zh-CN"/>
              </w:rPr>
              <w:t>工程</w:t>
            </w:r>
            <w:r>
              <w:rPr>
                <w:spacing w:val="5"/>
                <w:sz w:val="21"/>
                <w:szCs w:val="21"/>
                <w:highlight w:val="none"/>
              </w:rPr>
              <w:t>施工对土地占用造成的直</w:t>
            </w:r>
            <w:r>
              <w:rPr>
                <w:spacing w:val="6"/>
                <w:sz w:val="21"/>
                <w:szCs w:val="21"/>
                <w:highlight w:val="none"/>
              </w:rPr>
              <w:t>接生态影响：包括临时、永久占地导</w:t>
            </w:r>
            <w:r>
              <w:rPr>
                <w:spacing w:val="5"/>
                <w:sz w:val="21"/>
                <w:szCs w:val="21"/>
                <w:highlight w:val="none"/>
              </w:rPr>
              <w:t>致生境直接破坏或丧失；工程施工、</w:t>
            </w:r>
            <w:r>
              <w:rPr>
                <w:spacing w:val="6"/>
                <w:sz w:val="21"/>
                <w:szCs w:val="21"/>
                <w:highlight w:val="none"/>
              </w:rPr>
              <w:t>运行导致个体直接死亡；道路阻隔对</w:t>
            </w:r>
            <w:r>
              <w:rPr>
                <w:spacing w:val="-1"/>
                <w:sz w:val="21"/>
                <w:szCs w:val="21"/>
                <w:highlight w:val="none"/>
              </w:rPr>
              <w:t>物种迁徙、扩散、种群交流受到阻隔；</w:t>
            </w:r>
          </w:p>
          <w:p w14:paraId="70ADFD59">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9"/>
                <w:sz w:val="21"/>
                <w:szCs w:val="21"/>
                <w:highlight w:val="none"/>
              </w:rPr>
              <w:t>施工活动以及运行期噪声、振动、灯光等对野生动物行为产生干扰</w:t>
            </w:r>
          </w:p>
        </w:tc>
        <w:tc>
          <w:tcPr>
            <w:tcW w:w="980" w:type="dxa"/>
            <w:vMerge w:val="restart"/>
            <w:tcBorders>
              <w:tl2br w:val="nil"/>
              <w:tr2bl w:val="nil"/>
            </w:tcBorders>
            <w:vAlign w:val="center"/>
          </w:tcPr>
          <w:p w14:paraId="5B5F59AC">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3"/>
                <w:sz w:val="21"/>
                <w:szCs w:val="21"/>
                <w:highlight w:val="none"/>
              </w:rPr>
              <w:t>短期</w:t>
            </w:r>
          </w:p>
        </w:tc>
        <w:tc>
          <w:tcPr>
            <w:tcW w:w="1030" w:type="dxa"/>
            <w:vMerge w:val="restart"/>
            <w:tcBorders>
              <w:tl2br w:val="nil"/>
              <w:tr2bl w:val="nil"/>
            </w:tcBorders>
            <w:vAlign w:val="center"/>
          </w:tcPr>
          <w:p w14:paraId="1B9F7491">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z w:val="21"/>
                <w:szCs w:val="21"/>
                <w:highlight w:val="none"/>
              </w:rPr>
              <w:t>中</w:t>
            </w:r>
          </w:p>
        </w:tc>
      </w:tr>
      <w:tr w14:paraId="756B7CA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08" w:type="dxa"/>
            <w:vMerge w:val="continue"/>
            <w:tcBorders>
              <w:tl2br w:val="nil"/>
              <w:tr2bl w:val="nil"/>
            </w:tcBorders>
            <w:vAlign w:val="center"/>
          </w:tcPr>
          <w:p w14:paraId="352BC87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Arial"/>
                <w:sz w:val="21"/>
                <w:szCs w:val="21"/>
                <w:highlight w:val="none"/>
              </w:rPr>
            </w:pPr>
          </w:p>
        </w:tc>
        <w:tc>
          <w:tcPr>
            <w:tcW w:w="1123" w:type="dxa"/>
            <w:tcBorders>
              <w:tl2br w:val="nil"/>
              <w:tr2bl w:val="nil"/>
            </w:tcBorders>
            <w:vAlign w:val="center"/>
          </w:tcPr>
          <w:p w14:paraId="12128DB4">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6"/>
                <w:sz w:val="21"/>
                <w:szCs w:val="21"/>
                <w:highlight w:val="none"/>
              </w:rPr>
              <w:t>生态系统</w:t>
            </w:r>
          </w:p>
        </w:tc>
        <w:tc>
          <w:tcPr>
            <w:tcW w:w="1542" w:type="dxa"/>
            <w:tcBorders>
              <w:tl2br w:val="nil"/>
              <w:tr2bl w:val="nil"/>
            </w:tcBorders>
            <w:vAlign w:val="center"/>
          </w:tcPr>
          <w:p w14:paraId="0D6FEE9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3"/>
                <w:sz w:val="21"/>
                <w:szCs w:val="21"/>
                <w:highlight w:val="none"/>
              </w:rPr>
              <w:t>植被覆盖度、生产力、生物量、生态</w:t>
            </w:r>
            <w:r>
              <w:rPr>
                <w:spacing w:val="7"/>
                <w:sz w:val="21"/>
                <w:szCs w:val="21"/>
                <w:highlight w:val="none"/>
              </w:rPr>
              <w:t>系统功能等</w:t>
            </w:r>
          </w:p>
        </w:tc>
        <w:tc>
          <w:tcPr>
            <w:tcW w:w="3227" w:type="dxa"/>
            <w:tcBorders>
              <w:tl2br w:val="nil"/>
              <w:tr2bl w:val="nil"/>
            </w:tcBorders>
            <w:vAlign w:val="center"/>
          </w:tcPr>
          <w:p w14:paraId="504882A5">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9"/>
                <w:sz w:val="21"/>
                <w:szCs w:val="21"/>
                <w:highlight w:val="none"/>
              </w:rPr>
              <w:t>土地占用对林业生产、土壤及地貌</w:t>
            </w:r>
            <w:r>
              <w:rPr>
                <w:spacing w:val="1"/>
                <w:sz w:val="21"/>
                <w:szCs w:val="21"/>
                <w:highlight w:val="none"/>
              </w:rPr>
              <w:t>的影响</w:t>
            </w:r>
          </w:p>
        </w:tc>
        <w:tc>
          <w:tcPr>
            <w:tcW w:w="980" w:type="dxa"/>
            <w:vMerge w:val="continue"/>
            <w:tcBorders>
              <w:tl2br w:val="nil"/>
              <w:tr2bl w:val="nil"/>
            </w:tcBorders>
            <w:vAlign w:val="center"/>
          </w:tcPr>
          <w:p w14:paraId="3F9ACC0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Arial"/>
                <w:sz w:val="21"/>
                <w:szCs w:val="21"/>
                <w:highlight w:val="none"/>
              </w:rPr>
            </w:pPr>
          </w:p>
        </w:tc>
        <w:tc>
          <w:tcPr>
            <w:tcW w:w="1030" w:type="dxa"/>
            <w:vMerge w:val="continue"/>
            <w:tcBorders>
              <w:tl2br w:val="nil"/>
              <w:tr2bl w:val="nil"/>
            </w:tcBorders>
            <w:vAlign w:val="center"/>
          </w:tcPr>
          <w:p w14:paraId="7CC4C8D3">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Arial"/>
                <w:sz w:val="21"/>
                <w:szCs w:val="21"/>
                <w:highlight w:val="none"/>
              </w:rPr>
            </w:pPr>
          </w:p>
        </w:tc>
      </w:tr>
      <w:tr w14:paraId="040E9F1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08" w:type="dxa"/>
            <w:vMerge w:val="continue"/>
            <w:tcBorders>
              <w:tl2br w:val="nil"/>
              <w:tr2bl w:val="nil"/>
            </w:tcBorders>
            <w:vAlign w:val="center"/>
          </w:tcPr>
          <w:p w14:paraId="27678447">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Arial"/>
                <w:sz w:val="21"/>
                <w:szCs w:val="21"/>
                <w:highlight w:val="none"/>
              </w:rPr>
            </w:pPr>
          </w:p>
        </w:tc>
        <w:tc>
          <w:tcPr>
            <w:tcW w:w="1123" w:type="dxa"/>
            <w:tcBorders>
              <w:tl2br w:val="nil"/>
              <w:tr2bl w:val="nil"/>
            </w:tcBorders>
            <w:vAlign w:val="center"/>
          </w:tcPr>
          <w:p w14:paraId="69794353">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7"/>
                <w:sz w:val="21"/>
                <w:szCs w:val="21"/>
                <w:highlight w:val="none"/>
              </w:rPr>
              <w:t>生物多样性</w:t>
            </w:r>
          </w:p>
        </w:tc>
        <w:tc>
          <w:tcPr>
            <w:tcW w:w="1542" w:type="dxa"/>
            <w:tcBorders>
              <w:tl2br w:val="nil"/>
              <w:tr2bl w:val="nil"/>
            </w:tcBorders>
            <w:vAlign w:val="center"/>
          </w:tcPr>
          <w:p w14:paraId="63DD9B35">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3"/>
                <w:sz w:val="21"/>
                <w:szCs w:val="21"/>
                <w:highlight w:val="none"/>
              </w:rPr>
              <w:t>物种丰富度、均匀</w:t>
            </w:r>
            <w:r>
              <w:rPr>
                <w:spacing w:val="8"/>
                <w:sz w:val="21"/>
                <w:szCs w:val="21"/>
                <w:highlight w:val="none"/>
              </w:rPr>
              <w:t>度、优势度等</w:t>
            </w:r>
          </w:p>
        </w:tc>
        <w:tc>
          <w:tcPr>
            <w:tcW w:w="3227" w:type="dxa"/>
            <w:tcBorders>
              <w:tl2br w:val="nil"/>
              <w:tr2bl w:val="nil"/>
            </w:tcBorders>
            <w:vAlign w:val="center"/>
          </w:tcPr>
          <w:p w14:paraId="69412801">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4"/>
                <w:sz w:val="21"/>
                <w:szCs w:val="21"/>
                <w:highlight w:val="none"/>
              </w:rPr>
              <w:t>工程占地区开挖、</w:t>
            </w:r>
            <w:r>
              <w:rPr>
                <w:spacing w:val="6"/>
                <w:sz w:val="21"/>
                <w:szCs w:val="21"/>
                <w:highlight w:val="none"/>
              </w:rPr>
              <w:t>建设等会扰动地表，破坏地表植物及植被，弃渣场、料场、临时施工场地</w:t>
            </w:r>
            <w:r>
              <w:rPr>
                <w:spacing w:val="-1"/>
                <w:sz w:val="21"/>
                <w:szCs w:val="21"/>
                <w:highlight w:val="none"/>
              </w:rPr>
              <w:t>平整等工程行为，</w:t>
            </w:r>
            <w:r>
              <w:rPr>
                <w:spacing w:val="6"/>
                <w:sz w:val="21"/>
                <w:szCs w:val="21"/>
                <w:highlight w:val="none"/>
              </w:rPr>
              <w:t>使土壤裸露、地表扰动对生物多样性</w:t>
            </w:r>
            <w:r>
              <w:rPr>
                <w:spacing w:val="7"/>
                <w:sz w:val="21"/>
                <w:szCs w:val="21"/>
                <w:highlight w:val="none"/>
              </w:rPr>
              <w:t>的影响</w:t>
            </w:r>
          </w:p>
        </w:tc>
        <w:tc>
          <w:tcPr>
            <w:tcW w:w="980" w:type="dxa"/>
            <w:vMerge w:val="continue"/>
            <w:tcBorders>
              <w:tl2br w:val="nil"/>
              <w:tr2bl w:val="nil"/>
            </w:tcBorders>
            <w:vAlign w:val="center"/>
          </w:tcPr>
          <w:p w14:paraId="70A2325E">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Arial"/>
                <w:sz w:val="21"/>
                <w:szCs w:val="21"/>
                <w:highlight w:val="none"/>
              </w:rPr>
            </w:pPr>
          </w:p>
        </w:tc>
        <w:tc>
          <w:tcPr>
            <w:tcW w:w="1030" w:type="dxa"/>
            <w:vMerge w:val="continue"/>
            <w:tcBorders>
              <w:tl2br w:val="nil"/>
              <w:tr2bl w:val="nil"/>
            </w:tcBorders>
            <w:vAlign w:val="center"/>
          </w:tcPr>
          <w:p w14:paraId="5E82FAB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Arial"/>
                <w:sz w:val="21"/>
                <w:szCs w:val="21"/>
                <w:highlight w:val="none"/>
              </w:rPr>
            </w:pPr>
          </w:p>
        </w:tc>
      </w:tr>
      <w:tr w14:paraId="4F79F6A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08" w:type="dxa"/>
            <w:vMerge w:val="continue"/>
            <w:tcBorders>
              <w:tl2br w:val="nil"/>
              <w:tr2bl w:val="nil"/>
            </w:tcBorders>
            <w:vAlign w:val="center"/>
          </w:tcPr>
          <w:p w14:paraId="71DAC145">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Arial"/>
                <w:sz w:val="21"/>
                <w:szCs w:val="21"/>
                <w:highlight w:val="none"/>
              </w:rPr>
            </w:pPr>
          </w:p>
        </w:tc>
        <w:tc>
          <w:tcPr>
            <w:tcW w:w="1123" w:type="dxa"/>
            <w:tcBorders>
              <w:tl2br w:val="nil"/>
              <w:tr2bl w:val="nil"/>
            </w:tcBorders>
            <w:vAlign w:val="center"/>
          </w:tcPr>
          <w:p w14:paraId="3FEDA71A">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7"/>
                <w:sz w:val="21"/>
                <w:szCs w:val="21"/>
                <w:highlight w:val="none"/>
              </w:rPr>
              <w:t>生态敏感区</w:t>
            </w:r>
          </w:p>
        </w:tc>
        <w:tc>
          <w:tcPr>
            <w:tcW w:w="1542" w:type="dxa"/>
            <w:tcBorders>
              <w:tl2br w:val="nil"/>
              <w:tr2bl w:val="nil"/>
            </w:tcBorders>
            <w:vAlign w:val="center"/>
          </w:tcPr>
          <w:p w14:paraId="62D8C09E">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3"/>
                <w:sz w:val="21"/>
                <w:szCs w:val="21"/>
                <w:highlight w:val="none"/>
              </w:rPr>
              <w:t>主要保护对象、生</w:t>
            </w:r>
            <w:r>
              <w:rPr>
                <w:spacing w:val="7"/>
                <w:sz w:val="21"/>
                <w:szCs w:val="21"/>
                <w:highlight w:val="none"/>
              </w:rPr>
              <w:t>态功能等</w:t>
            </w:r>
          </w:p>
        </w:tc>
        <w:tc>
          <w:tcPr>
            <w:tcW w:w="3227" w:type="dxa"/>
            <w:tcBorders>
              <w:tl2br w:val="nil"/>
              <w:tr2bl w:val="nil"/>
            </w:tcBorders>
            <w:vAlign w:val="center"/>
          </w:tcPr>
          <w:p w14:paraId="65D15073">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rFonts w:hint="eastAsia"/>
                <w:spacing w:val="9"/>
                <w:sz w:val="21"/>
                <w:szCs w:val="21"/>
                <w:highlight w:val="none"/>
                <w:lang w:eastAsia="zh-CN"/>
              </w:rPr>
              <w:t>工程施工对衡阳县三阳自然保护区的影响</w:t>
            </w:r>
          </w:p>
        </w:tc>
        <w:tc>
          <w:tcPr>
            <w:tcW w:w="980" w:type="dxa"/>
            <w:vMerge w:val="continue"/>
            <w:tcBorders>
              <w:tl2br w:val="nil"/>
              <w:tr2bl w:val="nil"/>
            </w:tcBorders>
            <w:vAlign w:val="center"/>
          </w:tcPr>
          <w:p w14:paraId="595AEC9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Arial"/>
                <w:sz w:val="21"/>
                <w:szCs w:val="21"/>
                <w:highlight w:val="none"/>
              </w:rPr>
            </w:pPr>
          </w:p>
        </w:tc>
        <w:tc>
          <w:tcPr>
            <w:tcW w:w="1030" w:type="dxa"/>
            <w:vMerge w:val="continue"/>
            <w:tcBorders>
              <w:tl2br w:val="nil"/>
              <w:tr2bl w:val="nil"/>
            </w:tcBorders>
            <w:vAlign w:val="center"/>
          </w:tcPr>
          <w:p w14:paraId="6B76D625">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Arial"/>
                <w:sz w:val="21"/>
                <w:szCs w:val="21"/>
                <w:highlight w:val="none"/>
              </w:rPr>
            </w:pPr>
          </w:p>
        </w:tc>
      </w:tr>
      <w:tr w14:paraId="1D67A1C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08" w:type="dxa"/>
            <w:vMerge w:val="continue"/>
            <w:tcBorders>
              <w:tl2br w:val="nil"/>
              <w:tr2bl w:val="nil"/>
            </w:tcBorders>
            <w:vAlign w:val="center"/>
          </w:tcPr>
          <w:p w14:paraId="4B9969F2">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Arial"/>
                <w:sz w:val="21"/>
                <w:szCs w:val="21"/>
                <w:highlight w:val="none"/>
              </w:rPr>
            </w:pPr>
          </w:p>
        </w:tc>
        <w:tc>
          <w:tcPr>
            <w:tcW w:w="1123" w:type="dxa"/>
            <w:tcBorders>
              <w:tl2br w:val="nil"/>
              <w:tr2bl w:val="nil"/>
            </w:tcBorders>
            <w:vAlign w:val="center"/>
          </w:tcPr>
          <w:p w14:paraId="07F48008">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2"/>
                <w:sz w:val="21"/>
                <w:szCs w:val="21"/>
                <w:highlight w:val="none"/>
              </w:rPr>
              <w:t>自然景观</w:t>
            </w:r>
          </w:p>
        </w:tc>
        <w:tc>
          <w:tcPr>
            <w:tcW w:w="1542" w:type="dxa"/>
            <w:tcBorders>
              <w:tl2br w:val="nil"/>
              <w:tr2bl w:val="nil"/>
            </w:tcBorders>
            <w:vAlign w:val="center"/>
          </w:tcPr>
          <w:p w14:paraId="5EA0BAA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3"/>
                <w:sz w:val="21"/>
                <w:szCs w:val="21"/>
                <w:highlight w:val="none"/>
              </w:rPr>
              <w:t>景观多样性、完整</w:t>
            </w:r>
            <w:r>
              <w:rPr>
                <w:spacing w:val="4"/>
                <w:sz w:val="21"/>
                <w:szCs w:val="21"/>
                <w:highlight w:val="none"/>
              </w:rPr>
              <w:t>性等</w:t>
            </w:r>
          </w:p>
        </w:tc>
        <w:tc>
          <w:tcPr>
            <w:tcW w:w="3227" w:type="dxa"/>
            <w:tcBorders>
              <w:tl2br w:val="nil"/>
              <w:tr2bl w:val="nil"/>
            </w:tcBorders>
            <w:vAlign w:val="center"/>
          </w:tcPr>
          <w:p w14:paraId="7689F910">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rFonts w:hint="eastAsia"/>
                <w:spacing w:val="9"/>
                <w:sz w:val="21"/>
                <w:szCs w:val="21"/>
                <w:highlight w:val="none"/>
                <w:lang w:eastAsia="zh-CN"/>
              </w:rPr>
              <w:t>工程</w:t>
            </w:r>
            <w:r>
              <w:rPr>
                <w:spacing w:val="9"/>
                <w:sz w:val="21"/>
                <w:szCs w:val="21"/>
                <w:highlight w:val="none"/>
              </w:rPr>
              <w:t>开挖施工等对自然景观的破坏</w:t>
            </w:r>
          </w:p>
        </w:tc>
        <w:tc>
          <w:tcPr>
            <w:tcW w:w="980" w:type="dxa"/>
            <w:vMerge w:val="continue"/>
            <w:tcBorders>
              <w:tl2br w:val="nil"/>
              <w:tr2bl w:val="nil"/>
            </w:tcBorders>
            <w:vAlign w:val="center"/>
          </w:tcPr>
          <w:p w14:paraId="11DEFEC0">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Arial"/>
                <w:sz w:val="21"/>
                <w:szCs w:val="21"/>
                <w:highlight w:val="none"/>
              </w:rPr>
            </w:pPr>
          </w:p>
        </w:tc>
        <w:tc>
          <w:tcPr>
            <w:tcW w:w="1030" w:type="dxa"/>
            <w:vMerge w:val="continue"/>
            <w:tcBorders>
              <w:tl2br w:val="nil"/>
              <w:tr2bl w:val="nil"/>
            </w:tcBorders>
            <w:vAlign w:val="center"/>
          </w:tcPr>
          <w:p w14:paraId="61E7A78A">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Arial"/>
                <w:sz w:val="21"/>
                <w:szCs w:val="21"/>
                <w:highlight w:val="none"/>
              </w:rPr>
            </w:pPr>
          </w:p>
        </w:tc>
      </w:tr>
      <w:tr w14:paraId="030D235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08" w:type="dxa"/>
            <w:vMerge w:val="restart"/>
            <w:tcBorders>
              <w:tl2br w:val="nil"/>
              <w:tr2bl w:val="nil"/>
            </w:tcBorders>
            <w:vAlign w:val="center"/>
          </w:tcPr>
          <w:p w14:paraId="55768F7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4"/>
                <w:sz w:val="21"/>
                <w:szCs w:val="21"/>
                <w:highlight w:val="none"/>
              </w:rPr>
              <w:t>运营</w:t>
            </w:r>
          </w:p>
          <w:p w14:paraId="2F05E2D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z w:val="21"/>
                <w:szCs w:val="21"/>
                <w:highlight w:val="none"/>
              </w:rPr>
              <w:t>期</w:t>
            </w:r>
          </w:p>
        </w:tc>
        <w:tc>
          <w:tcPr>
            <w:tcW w:w="1123" w:type="dxa"/>
            <w:tcBorders>
              <w:tl2br w:val="nil"/>
              <w:tr2bl w:val="nil"/>
            </w:tcBorders>
            <w:vAlign w:val="center"/>
          </w:tcPr>
          <w:p w14:paraId="65BB8D11">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6"/>
                <w:sz w:val="21"/>
                <w:szCs w:val="21"/>
                <w:highlight w:val="none"/>
              </w:rPr>
              <w:t>生态系统</w:t>
            </w:r>
          </w:p>
        </w:tc>
        <w:tc>
          <w:tcPr>
            <w:tcW w:w="1542" w:type="dxa"/>
            <w:tcBorders>
              <w:tl2br w:val="nil"/>
              <w:tr2bl w:val="nil"/>
            </w:tcBorders>
            <w:vAlign w:val="center"/>
          </w:tcPr>
          <w:p w14:paraId="3A0D508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3"/>
                <w:sz w:val="21"/>
                <w:szCs w:val="21"/>
                <w:highlight w:val="none"/>
              </w:rPr>
              <w:t>植被覆盖度、生产力、生物量、生态</w:t>
            </w:r>
            <w:r>
              <w:rPr>
                <w:spacing w:val="7"/>
                <w:sz w:val="21"/>
                <w:szCs w:val="21"/>
                <w:highlight w:val="none"/>
              </w:rPr>
              <w:t>系统功能等</w:t>
            </w:r>
          </w:p>
        </w:tc>
        <w:tc>
          <w:tcPr>
            <w:tcW w:w="3227" w:type="dxa"/>
            <w:tcBorders>
              <w:tl2br w:val="nil"/>
              <w:tr2bl w:val="nil"/>
            </w:tcBorders>
            <w:vAlign w:val="center"/>
          </w:tcPr>
          <w:p w14:paraId="384BAB03">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eastAsia="宋体"/>
                <w:sz w:val="21"/>
                <w:szCs w:val="21"/>
                <w:highlight w:val="none"/>
                <w:lang w:eastAsia="zh-CN"/>
              </w:rPr>
            </w:pPr>
            <w:r>
              <w:rPr>
                <w:spacing w:val="8"/>
                <w:sz w:val="21"/>
                <w:szCs w:val="21"/>
                <w:highlight w:val="none"/>
              </w:rPr>
              <w:t>营运期对陆生动物的影响主要为</w:t>
            </w:r>
            <w:r>
              <w:rPr>
                <w:rFonts w:hint="eastAsia"/>
                <w:spacing w:val="8"/>
                <w:sz w:val="21"/>
                <w:szCs w:val="21"/>
                <w:highlight w:val="none"/>
                <w:lang w:eastAsia="zh-CN"/>
              </w:rPr>
              <w:t>风机</w:t>
            </w:r>
            <w:r>
              <w:rPr>
                <w:spacing w:val="8"/>
                <w:sz w:val="21"/>
                <w:szCs w:val="21"/>
                <w:highlight w:val="none"/>
              </w:rPr>
              <w:t>噪声对动物的</w:t>
            </w:r>
            <w:r>
              <w:rPr>
                <w:spacing w:val="9"/>
                <w:sz w:val="21"/>
                <w:szCs w:val="21"/>
                <w:highlight w:val="none"/>
              </w:rPr>
              <w:t>栖息和繁殖有一定的不利影响。</w:t>
            </w:r>
            <w:r>
              <w:rPr>
                <w:rFonts w:hint="eastAsia"/>
                <w:spacing w:val="9"/>
                <w:sz w:val="21"/>
                <w:szCs w:val="21"/>
                <w:highlight w:val="none"/>
                <w:lang w:eastAsia="zh-CN"/>
              </w:rPr>
              <w:t>项目</w:t>
            </w:r>
            <w:r>
              <w:rPr>
                <w:spacing w:val="9"/>
                <w:sz w:val="21"/>
                <w:szCs w:val="21"/>
                <w:highlight w:val="none"/>
              </w:rPr>
              <w:t>建成后，永久占地内的林地植被将完全被破坏，取而代之的是</w:t>
            </w:r>
            <w:r>
              <w:rPr>
                <w:rFonts w:hint="eastAsia"/>
                <w:spacing w:val="9"/>
                <w:sz w:val="21"/>
                <w:szCs w:val="21"/>
                <w:highlight w:val="none"/>
                <w:lang w:eastAsia="zh-CN"/>
              </w:rPr>
              <w:t>风机基座</w:t>
            </w:r>
            <w:r>
              <w:rPr>
                <w:spacing w:val="9"/>
                <w:sz w:val="21"/>
                <w:szCs w:val="21"/>
                <w:highlight w:val="none"/>
              </w:rPr>
              <w:t>及其辅助设施，对林地的群落结构产生</w:t>
            </w:r>
            <w:r>
              <w:rPr>
                <w:rFonts w:hint="eastAsia"/>
                <w:spacing w:val="9"/>
                <w:sz w:val="21"/>
                <w:szCs w:val="21"/>
                <w:highlight w:val="none"/>
                <w:lang w:eastAsia="zh-CN"/>
              </w:rPr>
              <w:t>影响</w:t>
            </w:r>
          </w:p>
        </w:tc>
        <w:tc>
          <w:tcPr>
            <w:tcW w:w="980" w:type="dxa"/>
            <w:vMerge w:val="restart"/>
            <w:tcBorders>
              <w:tl2br w:val="nil"/>
              <w:tr2bl w:val="nil"/>
            </w:tcBorders>
            <w:vAlign w:val="center"/>
          </w:tcPr>
          <w:p w14:paraId="28B5FD1E">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4"/>
                <w:sz w:val="21"/>
                <w:szCs w:val="21"/>
                <w:highlight w:val="none"/>
              </w:rPr>
              <w:t>长期</w:t>
            </w:r>
          </w:p>
        </w:tc>
        <w:tc>
          <w:tcPr>
            <w:tcW w:w="1030" w:type="dxa"/>
            <w:vMerge w:val="restart"/>
            <w:tcBorders>
              <w:tl2br w:val="nil"/>
              <w:tr2bl w:val="nil"/>
            </w:tcBorders>
            <w:vAlign w:val="center"/>
          </w:tcPr>
          <w:p w14:paraId="377869C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z w:val="21"/>
                <w:szCs w:val="21"/>
                <w:highlight w:val="none"/>
              </w:rPr>
              <w:t>弱</w:t>
            </w:r>
          </w:p>
        </w:tc>
      </w:tr>
      <w:tr w14:paraId="4A7B3DD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08" w:type="dxa"/>
            <w:vMerge w:val="continue"/>
            <w:tcBorders>
              <w:tl2br w:val="nil"/>
              <w:tr2bl w:val="nil"/>
            </w:tcBorders>
            <w:vAlign w:val="center"/>
          </w:tcPr>
          <w:p w14:paraId="232D79F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Arial"/>
                <w:sz w:val="21"/>
                <w:szCs w:val="21"/>
                <w:highlight w:val="none"/>
              </w:rPr>
            </w:pPr>
          </w:p>
        </w:tc>
        <w:tc>
          <w:tcPr>
            <w:tcW w:w="1123" w:type="dxa"/>
            <w:tcBorders>
              <w:tl2br w:val="nil"/>
              <w:tr2bl w:val="nil"/>
            </w:tcBorders>
            <w:vAlign w:val="center"/>
          </w:tcPr>
          <w:p w14:paraId="36A4D663">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7"/>
                <w:sz w:val="21"/>
                <w:szCs w:val="21"/>
                <w:highlight w:val="none"/>
              </w:rPr>
              <w:t>生态敏感区</w:t>
            </w:r>
          </w:p>
        </w:tc>
        <w:tc>
          <w:tcPr>
            <w:tcW w:w="1542" w:type="dxa"/>
            <w:tcBorders>
              <w:tl2br w:val="nil"/>
              <w:tr2bl w:val="nil"/>
            </w:tcBorders>
            <w:vAlign w:val="center"/>
          </w:tcPr>
          <w:p w14:paraId="41A2F2C2">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3"/>
                <w:sz w:val="21"/>
                <w:szCs w:val="21"/>
                <w:highlight w:val="none"/>
              </w:rPr>
              <w:t>主要保护对象、生</w:t>
            </w:r>
            <w:r>
              <w:rPr>
                <w:spacing w:val="7"/>
                <w:sz w:val="21"/>
                <w:szCs w:val="21"/>
                <w:highlight w:val="none"/>
              </w:rPr>
              <w:t>态功能等</w:t>
            </w:r>
          </w:p>
        </w:tc>
        <w:tc>
          <w:tcPr>
            <w:tcW w:w="3227" w:type="dxa"/>
            <w:tcBorders>
              <w:tl2br w:val="nil"/>
              <w:tr2bl w:val="nil"/>
            </w:tcBorders>
            <w:vAlign w:val="center"/>
          </w:tcPr>
          <w:p w14:paraId="5668EAE5">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eastAsia="宋体"/>
                <w:sz w:val="21"/>
                <w:szCs w:val="21"/>
                <w:highlight w:val="none"/>
                <w:lang w:eastAsia="zh-CN"/>
              </w:rPr>
            </w:pPr>
            <w:r>
              <w:rPr>
                <w:rFonts w:hint="eastAsia"/>
                <w:sz w:val="21"/>
                <w:szCs w:val="21"/>
                <w:highlight w:val="none"/>
                <w:lang w:eastAsia="zh-CN"/>
              </w:rPr>
              <w:t>营运期风机噪声对</w:t>
            </w:r>
            <w:r>
              <w:rPr>
                <w:rFonts w:hint="eastAsia"/>
                <w:spacing w:val="9"/>
                <w:sz w:val="21"/>
                <w:szCs w:val="21"/>
                <w:highlight w:val="none"/>
                <w:lang w:eastAsia="zh-CN"/>
              </w:rPr>
              <w:t>衡阳三阳自然保护区内</w:t>
            </w:r>
            <w:r>
              <w:rPr>
                <w:rFonts w:hint="eastAsia"/>
                <w:sz w:val="21"/>
                <w:szCs w:val="21"/>
                <w:highlight w:val="none"/>
                <w:lang w:eastAsia="zh-CN"/>
              </w:rPr>
              <w:t>野生动物的影响</w:t>
            </w:r>
          </w:p>
        </w:tc>
        <w:tc>
          <w:tcPr>
            <w:tcW w:w="980" w:type="dxa"/>
            <w:vMerge w:val="continue"/>
            <w:tcBorders>
              <w:tl2br w:val="nil"/>
              <w:tr2bl w:val="nil"/>
            </w:tcBorders>
            <w:vAlign w:val="center"/>
          </w:tcPr>
          <w:p w14:paraId="0B30B0F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Arial"/>
                <w:sz w:val="21"/>
                <w:szCs w:val="21"/>
                <w:highlight w:val="none"/>
              </w:rPr>
            </w:pPr>
          </w:p>
        </w:tc>
        <w:tc>
          <w:tcPr>
            <w:tcW w:w="1030" w:type="dxa"/>
            <w:vMerge w:val="continue"/>
            <w:tcBorders>
              <w:tl2br w:val="nil"/>
              <w:tr2bl w:val="nil"/>
            </w:tcBorders>
            <w:vAlign w:val="center"/>
          </w:tcPr>
          <w:p w14:paraId="7260A977">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Arial"/>
                <w:sz w:val="21"/>
                <w:szCs w:val="21"/>
                <w:highlight w:val="none"/>
              </w:rPr>
            </w:pPr>
          </w:p>
        </w:tc>
      </w:tr>
      <w:tr w14:paraId="788BDCD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08" w:type="dxa"/>
            <w:vMerge w:val="continue"/>
            <w:tcBorders>
              <w:tl2br w:val="nil"/>
              <w:tr2bl w:val="nil"/>
            </w:tcBorders>
            <w:vAlign w:val="center"/>
          </w:tcPr>
          <w:p w14:paraId="7F7D66A3">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Arial"/>
                <w:sz w:val="21"/>
                <w:szCs w:val="21"/>
                <w:highlight w:val="none"/>
              </w:rPr>
            </w:pPr>
          </w:p>
        </w:tc>
        <w:tc>
          <w:tcPr>
            <w:tcW w:w="1123" w:type="dxa"/>
            <w:tcBorders>
              <w:tl2br w:val="nil"/>
              <w:tr2bl w:val="nil"/>
            </w:tcBorders>
            <w:vAlign w:val="center"/>
          </w:tcPr>
          <w:p w14:paraId="43C605E4">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2"/>
                <w:sz w:val="21"/>
                <w:szCs w:val="21"/>
                <w:highlight w:val="none"/>
              </w:rPr>
              <w:t>自然景观</w:t>
            </w:r>
          </w:p>
        </w:tc>
        <w:tc>
          <w:tcPr>
            <w:tcW w:w="1542" w:type="dxa"/>
            <w:tcBorders>
              <w:tl2br w:val="nil"/>
              <w:tr2bl w:val="nil"/>
            </w:tcBorders>
            <w:vAlign w:val="center"/>
          </w:tcPr>
          <w:p w14:paraId="7BD583F9">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eastAsia="宋体"/>
                <w:sz w:val="21"/>
                <w:szCs w:val="21"/>
                <w:highlight w:val="none"/>
                <w:lang w:eastAsia="zh-CN"/>
              </w:rPr>
            </w:pPr>
            <w:r>
              <w:rPr>
                <w:spacing w:val="8"/>
                <w:sz w:val="21"/>
                <w:szCs w:val="21"/>
                <w:highlight w:val="none"/>
              </w:rPr>
              <w:t>永久占地会使占地区</w:t>
            </w:r>
            <w:r>
              <w:rPr>
                <w:rFonts w:hint="eastAsia"/>
                <w:spacing w:val="8"/>
                <w:sz w:val="21"/>
                <w:szCs w:val="21"/>
                <w:highlight w:val="none"/>
                <w:lang w:eastAsia="zh-CN"/>
              </w:rPr>
              <w:t>原貌发生改变</w:t>
            </w:r>
          </w:p>
        </w:tc>
        <w:tc>
          <w:tcPr>
            <w:tcW w:w="3227" w:type="dxa"/>
            <w:tcBorders>
              <w:tl2br w:val="nil"/>
              <w:tr2bl w:val="nil"/>
            </w:tcBorders>
            <w:vAlign w:val="center"/>
          </w:tcPr>
          <w:p w14:paraId="0BD0965E">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sz w:val="21"/>
                <w:szCs w:val="21"/>
                <w:highlight w:val="none"/>
              </w:rPr>
            </w:pPr>
            <w:r>
              <w:rPr>
                <w:spacing w:val="9"/>
                <w:sz w:val="21"/>
                <w:szCs w:val="21"/>
                <w:highlight w:val="none"/>
              </w:rPr>
              <w:t>永久占地会使占地区原有景观</w:t>
            </w:r>
            <w:r>
              <w:rPr>
                <w:spacing w:val="8"/>
                <w:sz w:val="21"/>
                <w:szCs w:val="21"/>
                <w:highlight w:val="none"/>
              </w:rPr>
              <w:t>改变，代之以人为景观，对自然景观</w:t>
            </w:r>
            <w:r>
              <w:rPr>
                <w:spacing w:val="7"/>
                <w:sz w:val="21"/>
                <w:szCs w:val="21"/>
                <w:highlight w:val="none"/>
              </w:rPr>
              <w:t>产生影响</w:t>
            </w:r>
          </w:p>
        </w:tc>
        <w:tc>
          <w:tcPr>
            <w:tcW w:w="980" w:type="dxa"/>
            <w:vMerge w:val="continue"/>
            <w:tcBorders>
              <w:tl2br w:val="nil"/>
              <w:tr2bl w:val="nil"/>
            </w:tcBorders>
            <w:vAlign w:val="center"/>
          </w:tcPr>
          <w:p w14:paraId="17AE365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Arial"/>
                <w:sz w:val="21"/>
                <w:szCs w:val="21"/>
                <w:highlight w:val="none"/>
              </w:rPr>
            </w:pPr>
          </w:p>
        </w:tc>
        <w:tc>
          <w:tcPr>
            <w:tcW w:w="1030" w:type="dxa"/>
            <w:vMerge w:val="continue"/>
            <w:tcBorders>
              <w:tl2br w:val="nil"/>
              <w:tr2bl w:val="nil"/>
            </w:tcBorders>
            <w:vAlign w:val="center"/>
          </w:tcPr>
          <w:p w14:paraId="61D8732C">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Arial"/>
                <w:sz w:val="21"/>
                <w:szCs w:val="21"/>
                <w:highlight w:val="none"/>
              </w:rPr>
            </w:pPr>
          </w:p>
        </w:tc>
      </w:tr>
      <w:tr w14:paraId="0041515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820" w:hRule="atLeast"/>
        </w:trPr>
        <w:tc>
          <w:tcPr>
            <w:tcW w:w="8510" w:type="dxa"/>
            <w:gridSpan w:val="6"/>
            <w:tcBorders>
              <w:tl2br w:val="nil"/>
              <w:tr2bl w:val="nil"/>
            </w:tcBorders>
            <w:vAlign w:val="center"/>
          </w:tcPr>
          <w:p w14:paraId="285B4BE3">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left"/>
              <w:textAlignment w:val="auto"/>
              <w:rPr>
                <w:sz w:val="21"/>
                <w:szCs w:val="21"/>
                <w:highlight w:val="none"/>
              </w:rPr>
            </w:pPr>
            <w:r>
              <w:rPr>
                <w:spacing w:val="11"/>
                <w:sz w:val="21"/>
                <w:szCs w:val="21"/>
                <w:highlight w:val="none"/>
              </w:rPr>
              <w:t>注</w:t>
            </w:r>
            <w:r>
              <w:rPr>
                <w:rFonts w:ascii="Times New Roman" w:hAnsi="Times New Roman" w:eastAsia="Times New Roman" w:cs="Times New Roman"/>
                <w:spacing w:val="11"/>
                <w:sz w:val="21"/>
                <w:szCs w:val="21"/>
                <w:highlight w:val="none"/>
              </w:rPr>
              <w:t>1</w:t>
            </w:r>
            <w:r>
              <w:rPr>
                <w:spacing w:val="11"/>
                <w:sz w:val="21"/>
                <w:szCs w:val="21"/>
                <w:highlight w:val="none"/>
              </w:rPr>
              <w:t>：应按施工期、运行期以及服务期满后（可根据项目情况选择</w:t>
            </w:r>
            <w:r>
              <w:rPr>
                <w:spacing w:val="10"/>
                <w:sz w:val="21"/>
                <w:szCs w:val="21"/>
                <w:highlight w:val="none"/>
              </w:rPr>
              <w:t>）等不同阶段进行工程分析和评</w:t>
            </w:r>
            <w:r>
              <w:rPr>
                <w:spacing w:val="6"/>
                <w:sz w:val="21"/>
                <w:szCs w:val="21"/>
                <w:highlight w:val="none"/>
              </w:rPr>
              <w:t>价因子筛选。</w:t>
            </w:r>
          </w:p>
          <w:p w14:paraId="744E40CC">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left"/>
              <w:textAlignment w:val="auto"/>
              <w:rPr>
                <w:sz w:val="21"/>
                <w:szCs w:val="21"/>
                <w:highlight w:val="none"/>
              </w:rPr>
            </w:pPr>
            <w:r>
              <w:rPr>
                <w:spacing w:val="9"/>
                <w:sz w:val="21"/>
                <w:szCs w:val="21"/>
                <w:highlight w:val="none"/>
              </w:rPr>
              <w:t>注</w:t>
            </w:r>
            <w:r>
              <w:rPr>
                <w:rFonts w:ascii="Times New Roman" w:hAnsi="Times New Roman" w:eastAsia="Times New Roman" w:cs="Times New Roman"/>
                <w:spacing w:val="9"/>
                <w:sz w:val="21"/>
                <w:szCs w:val="21"/>
                <w:highlight w:val="none"/>
              </w:rPr>
              <w:t>2</w:t>
            </w:r>
            <w:r>
              <w:rPr>
                <w:spacing w:val="9"/>
                <w:sz w:val="21"/>
                <w:szCs w:val="21"/>
                <w:highlight w:val="none"/>
              </w:rPr>
              <w:t>：影响性质主要包括长期与短期、可逆与不可逆生态影响。</w:t>
            </w:r>
          </w:p>
          <w:p w14:paraId="205C9CB2">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left"/>
              <w:textAlignment w:val="auto"/>
              <w:rPr>
                <w:sz w:val="21"/>
                <w:szCs w:val="21"/>
                <w:highlight w:val="none"/>
              </w:rPr>
            </w:pPr>
            <w:r>
              <w:rPr>
                <w:spacing w:val="9"/>
                <w:sz w:val="21"/>
                <w:szCs w:val="21"/>
                <w:highlight w:val="none"/>
              </w:rPr>
              <w:t>注</w:t>
            </w:r>
            <w:r>
              <w:rPr>
                <w:rFonts w:ascii="Times New Roman" w:hAnsi="Times New Roman" w:eastAsia="Times New Roman" w:cs="Times New Roman"/>
                <w:spacing w:val="9"/>
                <w:sz w:val="21"/>
                <w:szCs w:val="21"/>
                <w:highlight w:val="none"/>
              </w:rPr>
              <w:t>3</w:t>
            </w:r>
            <w:r>
              <w:rPr>
                <w:spacing w:val="9"/>
                <w:sz w:val="21"/>
                <w:szCs w:val="21"/>
                <w:highlight w:val="none"/>
              </w:rPr>
              <w:t>：影响方式可分为直接、间接、累积生态影响，可依据以下内容进行判断：</w:t>
            </w:r>
          </w:p>
          <w:p w14:paraId="6A7ABEF0">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left"/>
              <w:textAlignment w:val="auto"/>
              <w:rPr>
                <w:sz w:val="21"/>
                <w:szCs w:val="21"/>
                <w:highlight w:val="none"/>
              </w:rPr>
            </w:pPr>
            <w:r>
              <w:rPr>
                <w:rFonts w:ascii="Times New Roman" w:hAnsi="Times New Roman" w:eastAsia="Times New Roman" w:cs="Times New Roman"/>
                <w:spacing w:val="6"/>
                <w:sz w:val="21"/>
                <w:szCs w:val="21"/>
                <w:highlight w:val="none"/>
              </w:rPr>
              <w:t>a</w:t>
            </w:r>
            <w:r>
              <w:rPr>
                <w:spacing w:val="6"/>
                <w:sz w:val="21"/>
                <w:szCs w:val="21"/>
                <w:highlight w:val="none"/>
              </w:rPr>
              <w:t>）直接生态影响：临时、永久占地导致生境直接破坏或丧失；工程施工、运行导致个体直接死亡；</w:t>
            </w:r>
            <w:r>
              <w:rPr>
                <w:spacing w:val="8"/>
                <w:sz w:val="21"/>
                <w:szCs w:val="21"/>
                <w:highlight w:val="none"/>
              </w:rPr>
              <w:t>物种迁徙（或洄游）、扩散、种群交流受到阻隔；施工活动以及运行期噪声、振动、灯光等</w:t>
            </w:r>
            <w:r>
              <w:rPr>
                <w:spacing w:val="7"/>
                <w:sz w:val="21"/>
                <w:szCs w:val="21"/>
                <w:highlight w:val="none"/>
              </w:rPr>
              <w:t>对野生</w:t>
            </w:r>
            <w:r>
              <w:rPr>
                <w:spacing w:val="8"/>
                <w:sz w:val="21"/>
                <w:szCs w:val="21"/>
                <w:highlight w:val="none"/>
              </w:rPr>
              <w:t>动物行为产生干扰；工程建设改变河流、湖泊等水体天然状态等；</w:t>
            </w:r>
          </w:p>
          <w:p w14:paraId="6CD10520">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left"/>
              <w:textAlignment w:val="auto"/>
              <w:rPr>
                <w:sz w:val="21"/>
                <w:szCs w:val="21"/>
                <w:highlight w:val="none"/>
              </w:rPr>
            </w:pPr>
            <w:r>
              <w:rPr>
                <w:rFonts w:ascii="Times New Roman" w:hAnsi="Times New Roman" w:eastAsia="Times New Roman" w:cs="Times New Roman"/>
                <w:spacing w:val="11"/>
                <w:sz w:val="21"/>
                <w:szCs w:val="21"/>
                <w:highlight w:val="none"/>
              </w:rPr>
              <w:t>b</w:t>
            </w:r>
            <w:r>
              <w:rPr>
                <w:spacing w:val="11"/>
                <w:sz w:val="21"/>
                <w:szCs w:val="21"/>
                <w:highlight w:val="none"/>
              </w:rPr>
              <w:t>）间接生态影响：水文情势变化导致生境条件、水生生态系统发生变化；地下水水位、土壤理化</w:t>
            </w:r>
            <w:r>
              <w:rPr>
                <w:spacing w:val="9"/>
                <w:sz w:val="21"/>
                <w:szCs w:val="21"/>
                <w:highlight w:val="none"/>
              </w:rPr>
              <w:t>特性变化导致动植物群落发生变化；生境面积和质量下降导致个</w:t>
            </w:r>
            <w:r>
              <w:rPr>
                <w:spacing w:val="8"/>
                <w:sz w:val="21"/>
                <w:szCs w:val="21"/>
                <w:highlight w:val="none"/>
              </w:rPr>
              <w:t>体死亡、种群数量下降或种群生存</w:t>
            </w:r>
            <w:r>
              <w:rPr>
                <w:sz w:val="21"/>
                <w:szCs w:val="21"/>
                <w:highlight w:val="none"/>
              </w:rPr>
              <w:t xml:space="preserve"> </w:t>
            </w:r>
            <w:r>
              <w:rPr>
                <w:spacing w:val="9"/>
                <w:sz w:val="21"/>
                <w:szCs w:val="21"/>
                <w:highlight w:val="none"/>
              </w:rPr>
              <w:t>能力降低；资源减少及分布变化导致种群结构或种群动态发生变</w:t>
            </w:r>
            <w:r>
              <w:rPr>
                <w:spacing w:val="8"/>
                <w:sz w:val="21"/>
                <w:szCs w:val="21"/>
                <w:highlight w:val="none"/>
              </w:rPr>
              <w:t>化；因阻隔影响造成种群间基因交</w:t>
            </w:r>
            <w:r>
              <w:rPr>
                <w:spacing w:val="9"/>
                <w:sz w:val="21"/>
                <w:szCs w:val="21"/>
                <w:highlight w:val="none"/>
              </w:rPr>
              <w:t>流减少，导致小种群灭绝风险增加；滞后效应（例如，由于关键</w:t>
            </w:r>
            <w:r>
              <w:rPr>
                <w:spacing w:val="8"/>
                <w:sz w:val="21"/>
                <w:szCs w:val="21"/>
                <w:highlight w:val="none"/>
              </w:rPr>
              <w:t>种的消失使捕食者和被捕食者的关</w:t>
            </w:r>
            <w:r>
              <w:rPr>
                <w:spacing w:val="7"/>
                <w:sz w:val="21"/>
                <w:szCs w:val="21"/>
                <w:highlight w:val="none"/>
              </w:rPr>
              <w:t>系发生变化）等；</w:t>
            </w:r>
          </w:p>
          <w:p w14:paraId="69D123E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left"/>
              <w:textAlignment w:val="auto"/>
              <w:rPr>
                <w:sz w:val="21"/>
                <w:szCs w:val="21"/>
                <w:highlight w:val="none"/>
              </w:rPr>
            </w:pPr>
            <w:r>
              <w:rPr>
                <w:rFonts w:ascii="Times New Roman" w:hAnsi="Times New Roman" w:eastAsia="Times New Roman" w:cs="Times New Roman"/>
                <w:spacing w:val="10"/>
                <w:sz w:val="21"/>
                <w:szCs w:val="21"/>
                <w:highlight w:val="none"/>
              </w:rPr>
              <w:t>c</w:t>
            </w:r>
            <w:r>
              <w:rPr>
                <w:spacing w:val="10"/>
                <w:sz w:val="21"/>
                <w:szCs w:val="21"/>
                <w:highlight w:val="none"/>
              </w:rPr>
              <w:t>）累积生态影响：整个区域生境的逐渐丧失和破碎化；在景观尺度上生境的多样性减少；不可逆</w:t>
            </w:r>
            <w:r>
              <w:rPr>
                <w:spacing w:val="8"/>
                <w:sz w:val="21"/>
                <w:szCs w:val="21"/>
                <w:highlight w:val="none"/>
              </w:rPr>
              <w:t>转的生物多样性下降；生态系统持续退化等。</w:t>
            </w:r>
          </w:p>
          <w:p w14:paraId="3FE1B584">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left"/>
              <w:textAlignment w:val="auto"/>
              <w:rPr>
                <w:sz w:val="21"/>
                <w:szCs w:val="21"/>
                <w:highlight w:val="none"/>
              </w:rPr>
            </w:pPr>
            <w:r>
              <w:rPr>
                <w:spacing w:val="9"/>
                <w:sz w:val="21"/>
                <w:szCs w:val="21"/>
                <w:highlight w:val="none"/>
              </w:rPr>
              <w:t>注</w:t>
            </w:r>
            <w:r>
              <w:rPr>
                <w:rFonts w:ascii="Times New Roman" w:hAnsi="Times New Roman" w:eastAsia="Times New Roman" w:cs="Times New Roman"/>
                <w:spacing w:val="9"/>
                <w:sz w:val="21"/>
                <w:szCs w:val="21"/>
                <w:highlight w:val="none"/>
              </w:rPr>
              <w:t>4</w:t>
            </w:r>
            <w:r>
              <w:rPr>
                <w:spacing w:val="9"/>
                <w:sz w:val="21"/>
                <w:szCs w:val="21"/>
                <w:highlight w:val="none"/>
              </w:rPr>
              <w:t>：影响程度可分为强、中、弱、无四个等级，可依据以下原则进行初步判断：</w:t>
            </w:r>
          </w:p>
          <w:p w14:paraId="0C495BF3">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left"/>
              <w:textAlignment w:val="auto"/>
              <w:rPr>
                <w:sz w:val="21"/>
                <w:szCs w:val="21"/>
                <w:highlight w:val="none"/>
              </w:rPr>
            </w:pPr>
            <w:r>
              <w:rPr>
                <w:rFonts w:ascii="Times New Roman" w:hAnsi="Times New Roman" w:eastAsia="Times New Roman" w:cs="Times New Roman"/>
                <w:spacing w:val="10"/>
                <w:sz w:val="21"/>
                <w:szCs w:val="21"/>
                <w:highlight w:val="none"/>
              </w:rPr>
              <w:t>a</w:t>
            </w:r>
            <w:r>
              <w:rPr>
                <w:spacing w:val="10"/>
                <w:sz w:val="21"/>
                <w:szCs w:val="21"/>
                <w:highlight w:val="none"/>
              </w:rPr>
              <w:t>）强：生境受到严重破坏，水系开放连通性受到显著影响；野生动植物难以栖息繁衍（或生长繁</w:t>
            </w:r>
            <w:r>
              <w:rPr>
                <w:spacing w:val="9"/>
                <w:sz w:val="21"/>
                <w:szCs w:val="21"/>
                <w:highlight w:val="none"/>
              </w:rPr>
              <w:t>殖</w:t>
            </w:r>
            <w:r>
              <w:rPr>
                <w:spacing w:val="6"/>
                <w:sz w:val="21"/>
                <w:szCs w:val="21"/>
                <w:highlight w:val="none"/>
              </w:rPr>
              <w:t>），</w:t>
            </w:r>
            <w:r>
              <w:rPr>
                <w:spacing w:val="9"/>
                <w:sz w:val="21"/>
                <w:szCs w:val="21"/>
                <w:highlight w:val="none"/>
              </w:rPr>
              <w:t>物种种类明显减少，种群数量显著下降，种群结构明显改变；生物多</w:t>
            </w:r>
            <w:r>
              <w:rPr>
                <w:spacing w:val="8"/>
                <w:sz w:val="21"/>
                <w:szCs w:val="21"/>
                <w:highlight w:val="none"/>
              </w:rPr>
              <w:t>样性显著下降，生态系统结构和功能受到严重损害，生态系统稳定性难以维持；</w:t>
            </w:r>
            <w:r>
              <w:rPr>
                <w:spacing w:val="-58"/>
                <w:sz w:val="21"/>
                <w:szCs w:val="21"/>
                <w:highlight w:val="none"/>
              </w:rPr>
              <w:t xml:space="preserve"> </w:t>
            </w:r>
            <w:r>
              <w:rPr>
                <w:spacing w:val="8"/>
                <w:sz w:val="21"/>
                <w:szCs w:val="21"/>
                <w:highlight w:val="none"/>
              </w:rPr>
              <w:t>自然景观</w:t>
            </w:r>
            <w:r>
              <w:rPr>
                <w:spacing w:val="7"/>
                <w:sz w:val="21"/>
                <w:szCs w:val="21"/>
                <w:highlight w:val="none"/>
              </w:rPr>
              <w:t>、自然遗迹受到永久性破坏；生</w:t>
            </w:r>
            <w:r>
              <w:rPr>
                <w:sz w:val="21"/>
                <w:szCs w:val="21"/>
                <w:highlight w:val="none"/>
              </w:rPr>
              <w:t xml:space="preserve"> </w:t>
            </w:r>
            <w:r>
              <w:rPr>
                <w:spacing w:val="7"/>
                <w:sz w:val="21"/>
                <w:szCs w:val="21"/>
                <w:highlight w:val="none"/>
              </w:rPr>
              <w:t>态修复难度较大；</w:t>
            </w:r>
          </w:p>
          <w:p w14:paraId="33809051">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left"/>
              <w:textAlignment w:val="auto"/>
              <w:rPr>
                <w:sz w:val="21"/>
                <w:szCs w:val="21"/>
                <w:highlight w:val="none"/>
              </w:rPr>
            </w:pPr>
            <w:r>
              <w:rPr>
                <w:rFonts w:ascii="Times New Roman" w:hAnsi="Times New Roman" w:eastAsia="Times New Roman" w:cs="Times New Roman"/>
                <w:spacing w:val="10"/>
                <w:sz w:val="21"/>
                <w:szCs w:val="21"/>
                <w:highlight w:val="none"/>
              </w:rPr>
              <w:t>b</w:t>
            </w:r>
            <w:r>
              <w:rPr>
                <w:spacing w:val="10"/>
                <w:sz w:val="21"/>
                <w:szCs w:val="21"/>
                <w:highlight w:val="none"/>
              </w:rPr>
              <w:t>）中：生境受到一定程度破坏，水系开放连通性受到一定程度影响；野生动植物栖息繁衍（或生</w:t>
            </w:r>
            <w:r>
              <w:rPr>
                <w:spacing w:val="4"/>
                <w:sz w:val="21"/>
                <w:szCs w:val="21"/>
                <w:highlight w:val="none"/>
              </w:rPr>
              <w:t>长繁殖）受到一定程度干扰，物种种类减少，种群数量下降，种群结构改变；生物多样性有所下降，生态系统结构和功能受到一定程度破坏，</w:t>
            </w:r>
            <w:r>
              <w:rPr>
                <w:spacing w:val="-20"/>
                <w:sz w:val="21"/>
                <w:szCs w:val="21"/>
                <w:highlight w:val="none"/>
              </w:rPr>
              <w:t xml:space="preserve"> </w:t>
            </w:r>
            <w:r>
              <w:rPr>
                <w:spacing w:val="4"/>
                <w:sz w:val="21"/>
                <w:szCs w:val="21"/>
                <w:highlight w:val="none"/>
              </w:rPr>
              <w:t>生态系统</w:t>
            </w:r>
            <w:r>
              <w:rPr>
                <w:spacing w:val="3"/>
                <w:sz w:val="21"/>
                <w:szCs w:val="21"/>
                <w:highlight w:val="none"/>
              </w:rPr>
              <w:t>稳定性受到一定程度干扰； 自然景观、自然遗迹</w:t>
            </w:r>
            <w:r>
              <w:rPr>
                <w:spacing w:val="9"/>
                <w:sz w:val="21"/>
                <w:szCs w:val="21"/>
                <w:highlight w:val="none"/>
              </w:rPr>
              <w:t>受到暂时性影响；通过采取一定措施上述不利</w:t>
            </w:r>
            <w:r>
              <w:rPr>
                <w:spacing w:val="8"/>
                <w:sz w:val="21"/>
                <w:szCs w:val="21"/>
                <w:highlight w:val="none"/>
              </w:rPr>
              <w:t>影响可以得到减缓和控制，生态修复难度一般；</w:t>
            </w:r>
          </w:p>
          <w:p w14:paraId="07550505">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left"/>
              <w:textAlignment w:val="auto"/>
              <w:rPr>
                <w:rFonts w:ascii="Times New Roman" w:hAnsi="Times New Roman" w:eastAsia="Times New Roman" w:cs="Times New Roman"/>
                <w:spacing w:val="11"/>
                <w:sz w:val="21"/>
                <w:szCs w:val="21"/>
                <w:highlight w:val="none"/>
              </w:rPr>
            </w:pPr>
            <w:r>
              <w:rPr>
                <w:rFonts w:ascii="Times New Roman" w:hAnsi="Times New Roman" w:eastAsia="Times New Roman" w:cs="Times New Roman"/>
                <w:spacing w:val="11"/>
                <w:sz w:val="21"/>
                <w:szCs w:val="21"/>
                <w:highlight w:val="none"/>
              </w:rPr>
              <w:t>c</w:t>
            </w:r>
            <w:r>
              <w:rPr>
                <w:spacing w:val="11"/>
                <w:sz w:val="21"/>
                <w:szCs w:val="21"/>
                <w:highlight w:val="none"/>
              </w:rPr>
              <w:t>）弱：生境受到暂时性破坏，水系开放连</w:t>
            </w:r>
            <w:r>
              <w:rPr>
                <w:spacing w:val="10"/>
                <w:sz w:val="21"/>
                <w:szCs w:val="21"/>
                <w:highlight w:val="none"/>
              </w:rPr>
              <w:t>通性变化不大；野生动植物栖息繁衍（或生长繁殖）受</w:t>
            </w:r>
            <w:r>
              <w:rPr>
                <w:spacing w:val="9"/>
                <w:sz w:val="21"/>
                <w:szCs w:val="21"/>
                <w:highlight w:val="none"/>
              </w:rPr>
              <w:t>到暂时性干扰，物种种类、种群数量、种群结构变化不大；生物多</w:t>
            </w:r>
            <w:r>
              <w:rPr>
                <w:spacing w:val="8"/>
                <w:sz w:val="21"/>
                <w:szCs w:val="21"/>
                <w:highlight w:val="none"/>
              </w:rPr>
              <w:t>样性、生态系统结构、功能以及</w:t>
            </w:r>
            <w:r>
              <w:rPr>
                <w:spacing w:val="9"/>
                <w:sz w:val="21"/>
                <w:szCs w:val="21"/>
                <w:highlight w:val="none"/>
              </w:rPr>
              <w:t>生态系统稳定性基本维持现状；自然景观、自然遗迹基本未受到破</w:t>
            </w:r>
            <w:r>
              <w:rPr>
                <w:spacing w:val="8"/>
                <w:sz w:val="21"/>
                <w:szCs w:val="21"/>
                <w:highlight w:val="none"/>
              </w:rPr>
              <w:t>坏；在干扰消失后可以修复或自</w:t>
            </w:r>
            <w:r>
              <w:rPr>
                <w:spacing w:val="4"/>
                <w:sz w:val="21"/>
                <w:szCs w:val="21"/>
                <w:highlight w:val="none"/>
              </w:rPr>
              <w:t>然恢复；</w:t>
            </w:r>
          </w:p>
          <w:p w14:paraId="0A7AD5B2">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left"/>
              <w:textAlignment w:val="auto"/>
              <w:rPr>
                <w:sz w:val="21"/>
                <w:szCs w:val="21"/>
                <w:highlight w:val="none"/>
              </w:rPr>
            </w:pPr>
            <w:r>
              <w:rPr>
                <w:rFonts w:ascii="Times New Roman" w:hAnsi="Times New Roman" w:eastAsia="Times New Roman" w:cs="Times New Roman"/>
                <w:spacing w:val="10"/>
                <w:sz w:val="21"/>
                <w:szCs w:val="21"/>
                <w:highlight w:val="none"/>
              </w:rPr>
              <w:t>d</w:t>
            </w:r>
            <w:r>
              <w:rPr>
                <w:spacing w:val="10"/>
                <w:sz w:val="21"/>
                <w:szCs w:val="21"/>
                <w:highlight w:val="none"/>
              </w:rPr>
              <w:t>）无：生境未受到破坏，水系开放连通性未受到影响；野</w:t>
            </w:r>
            <w:r>
              <w:rPr>
                <w:spacing w:val="9"/>
                <w:sz w:val="21"/>
                <w:szCs w:val="21"/>
                <w:highlight w:val="none"/>
              </w:rPr>
              <w:t>生动植物栖息繁衍（或生长繁殖）未受</w:t>
            </w:r>
            <w:r>
              <w:rPr>
                <w:spacing w:val="6"/>
                <w:sz w:val="21"/>
                <w:szCs w:val="21"/>
                <w:highlight w:val="none"/>
              </w:rPr>
              <w:t>到影响；生物多样性、生态系统结构、功能以及生态系统稳定性维持现状；自然景观、自然遗迹未</w:t>
            </w:r>
            <w:r>
              <w:rPr>
                <w:spacing w:val="5"/>
                <w:sz w:val="21"/>
                <w:szCs w:val="21"/>
                <w:highlight w:val="none"/>
              </w:rPr>
              <w:t>受到破坏。</w:t>
            </w:r>
          </w:p>
        </w:tc>
      </w:tr>
    </w:tbl>
    <w:p w14:paraId="3DE7B3B3">
      <w:pPr>
        <w:pStyle w:val="46"/>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ascii="Times New Roman" w:hAnsi="Times New Roman" w:eastAsia="宋体" w:cs="Times New Roman"/>
          <w:b/>
          <w:bCs/>
          <w:color w:val="auto"/>
          <w:highlight w:val="none"/>
          <w:lang w:val="en-US" w:eastAsia="zh-CN"/>
        </w:rPr>
      </w:pPr>
      <w:r>
        <w:rPr>
          <w:rFonts w:hint="default" w:ascii="Times New Roman" w:hAnsi="Times New Roman" w:eastAsia="宋体" w:cs="Times New Roman"/>
          <w:b/>
          <w:bCs/>
          <w:color w:val="auto"/>
          <w:highlight w:val="none"/>
          <w:lang w:val="en-US" w:eastAsia="zh-CN"/>
        </w:rPr>
        <w:t>表2.2-</w:t>
      </w:r>
      <w:r>
        <w:rPr>
          <w:rFonts w:hint="eastAsia" w:eastAsia="宋体" w:cs="Times New Roman"/>
          <w:b/>
          <w:bCs/>
          <w:color w:val="auto"/>
          <w:highlight w:val="none"/>
          <w:lang w:val="en-US" w:eastAsia="zh-CN"/>
        </w:rPr>
        <w:t>3</w:t>
      </w:r>
      <w:r>
        <w:rPr>
          <w:rFonts w:hint="default" w:ascii="Times New Roman" w:hAnsi="Times New Roman" w:eastAsia="宋体" w:cs="Times New Roman"/>
          <w:b/>
          <w:bCs/>
          <w:color w:val="auto"/>
          <w:highlight w:val="none"/>
          <w:lang w:val="en-US" w:eastAsia="zh-CN"/>
        </w:rPr>
        <w:t xml:space="preserve">  其他环境影响评价因子筛选表</w:t>
      </w:r>
    </w:p>
    <w:tbl>
      <w:tblPr>
        <w:tblStyle w:val="38"/>
        <w:tblW w:w="5015" w:type="pct"/>
        <w:tblInd w:w="23"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570"/>
        <w:gridCol w:w="769"/>
        <w:gridCol w:w="2060"/>
        <w:gridCol w:w="2481"/>
        <w:gridCol w:w="2481"/>
      </w:tblGrid>
      <w:tr w14:paraId="7F1BBDE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68" w:type="dxa"/>
            <w:tcBorders>
              <w:tl2br w:val="nil"/>
              <w:tr2bl w:val="nil"/>
            </w:tcBorders>
            <w:vAlign w:val="center"/>
          </w:tcPr>
          <w:p w14:paraId="7940731F">
            <w:pPr>
              <w:pStyle w:val="45"/>
              <w:bidi w:val="0"/>
              <w:jc w:val="center"/>
              <w:rPr>
                <w:b w:val="0"/>
                <w:bCs/>
                <w:sz w:val="21"/>
                <w:szCs w:val="21"/>
                <w:highlight w:val="none"/>
              </w:rPr>
            </w:pPr>
            <w:r>
              <w:rPr>
                <w:b w:val="0"/>
                <w:bCs/>
                <w:sz w:val="21"/>
                <w:szCs w:val="21"/>
                <w:highlight w:val="none"/>
              </w:rPr>
              <w:t>序号</w:t>
            </w:r>
          </w:p>
        </w:tc>
        <w:tc>
          <w:tcPr>
            <w:tcW w:w="767" w:type="dxa"/>
            <w:tcBorders>
              <w:tl2br w:val="nil"/>
              <w:tr2bl w:val="nil"/>
            </w:tcBorders>
            <w:vAlign w:val="center"/>
          </w:tcPr>
          <w:p w14:paraId="393EC89B">
            <w:pPr>
              <w:pStyle w:val="45"/>
              <w:bidi w:val="0"/>
              <w:jc w:val="center"/>
              <w:rPr>
                <w:b w:val="0"/>
                <w:bCs/>
                <w:sz w:val="21"/>
                <w:szCs w:val="21"/>
                <w:highlight w:val="none"/>
              </w:rPr>
            </w:pPr>
            <w:r>
              <w:rPr>
                <w:b w:val="0"/>
                <w:bCs/>
                <w:sz w:val="21"/>
                <w:szCs w:val="21"/>
                <w:highlight w:val="none"/>
              </w:rPr>
              <w:t>环境</w:t>
            </w:r>
          </w:p>
          <w:p w14:paraId="1D8B5D7D">
            <w:pPr>
              <w:pStyle w:val="45"/>
              <w:bidi w:val="0"/>
              <w:jc w:val="center"/>
              <w:rPr>
                <w:b w:val="0"/>
                <w:bCs/>
                <w:sz w:val="21"/>
                <w:szCs w:val="21"/>
                <w:highlight w:val="none"/>
              </w:rPr>
            </w:pPr>
            <w:r>
              <w:rPr>
                <w:b w:val="0"/>
                <w:bCs/>
                <w:sz w:val="21"/>
                <w:szCs w:val="21"/>
                <w:highlight w:val="none"/>
              </w:rPr>
              <w:t>要素</w:t>
            </w:r>
          </w:p>
        </w:tc>
        <w:tc>
          <w:tcPr>
            <w:tcW w:w="2053" w:type="dxa"/>
            <w:tcBorders>
              <w:tl2br w:val="nil"/>
              <w:tr2bl w:val="nil"/>
            </w:tcBorders>
            <w:vAlign w:val="center"/>
          </w:tcPr>
          <w:p w14:paraId="49CF97CD">
            <w:pPr>
              <w:pStyle w:val="45"/>
              <w:bidi w:val="0"/>
              <w:jc w:val="center"/>
              <w:rPr>
                <w:b w:val="0"/>
                <w:bCs/>
                <w:sz w:val="21"/>
                <w:szCs w:val="21"/>
                <w:highlight w:val="none"/>
              </w:rPr>
            </w:pPr>
            <w:r>
              <w:rPr>
                <w:b w:val="0"/>
                <w:bCs/>
                <w:sz w:val="21"/>
                <w:szCs w:val="21"/>
                <w:highlight w:val="none"/>
              </w:rPr>
              <w:t>现状评价因子</w:t>
            </w:r>
          </w:p>
        </w:tc>
        <w:tc>
          <w:tcPr>
            <w:tcW w:w="2472" w:type="dxa"/>
            <w:tcBorders>
              <w:tl2br w:val="nil"/>
              <w:tr2bl w:val="nil"/>
            </w:tcBorders>
            <w:vAlign w:val="center"/>
          </w:tcPr>
          <w:p w14:paraId="5442F94F">
            <w:pPr>
              <w:pStyle w:val="45"/>
              <w:bidi w:val="0"/>
              <w:jc w:val="center"/>
              <w:rPr>
                <w:b w:val="0"/>
                <w:bCs/>
                <w:sz w:val="21"/>
                <w:szCs w:val="21"/>
                <w:highlight w:val="none"/>
              </w:rPr>
            </w:pPr>
            <w:r>
              <w:rPr>
                <w:b w:val="0"/>
                <w:bCs/>
                <w:sz w:val="21"/>
                <w:szCs w:val="21"/>
                <w:highlight w:val="none"/>
              </w:rPr>
              <w:t>建设期影响评价因子</w:t>
            </w:r>
          </w:p>
        </w:tc>
        <w:tc>
          <w:tcPr>
            <w:tcW w:w="2472" w:type="dxa"/>
            <w:tcBorders>
              <w:tl2br w:val="nil"/>
              <w:tr2bl w:val="nil"/>
            </w:tcBorders>
            <w:vAlign w:val="center"/>
          </w:tcPr>
          <w:p w14:paraId="3B95CE21">
            <w:pPr>
              <w:pStyle w:val="45"/>
              <w:bidi w:val="0"/>
              <w:jc w:val="center"/>
              <w:rPr>
                <w:b w:val="0"/>
                <w:bCs/>
                <w:sz w:val="21"/>
                <w:szCs w:val="21"/>
                <w:highlight w:val="none"/>
              </w:rPr>
            </w:pPr>
            <w:r>
              <w:rPr>
                <w:b w:val="0"/>
                <w:bCs/>
                <w:sz w:val="21"/>
                <w:szCs w:val="21"/>
                <w:highlight w:val="none"/>
              </w:rPr>
              <w:t>营运期影响评价因子</w:t>
            </w:r>
          </w:p>
        </w:tc>
      </w:tr>
      <w:tr w14:paraId="7C1280F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68" w:type="dxa"/>
            <w:tcBorders>
              <w:tl2br w:val="nil"/>
              <w:tr2bl w:val="nil"/>
            </w:tcBorders>
            <w:vAlign w:val="center"/>
          </w:tcPr>
          <w:p w14:paraId="49A8AF7C">
            <w:pPr>
              <w:pStyle w:val="45"/>
              <w:bidi w:val="0"/>
              <w:jc w:val="center"/>
              <w:rPr>
                <w:b w:val="0"/>
                <w:bCs/>
                <w:sz w:val="21"/>
                <w:szCs w:val="21"/>
                <w:highlight w:val="none"/>
              </w:rPr>
            </w:pPr>
            <w:r>
              <w:rPr>
                <w:b w:val="0"/>
                <w:bCs/>
                <w:sz w:val="21"/>
                <w:szCs w:val="21"/>
                <w:highlight w:val="none"/>
              </w:rPr>
              <w:t>1</w:t>
            </w:r>
          </w:p>
        </w:tc>
        <w:tc>
          <w:tcPr>
            <w:tcW w:w="767" w:type="dxa"/>
            <w:tcBorders>
              <w:tl2br w:val="nil"/>
              <w:tr2bl w:val="nil"/>
            </w:tcBorders>
            <w:vAlign w:val="center"/>
          </w:tcPr>
          <w:p w14:paraId="7CCB780D">
            <w:pPr>
              <w:pStyle w:val="45"/>
              <w:bidi w:val="0"/>
              <w:jc w:val="center"/>
              <w:rPr>
                <w:b w:val="0"/>
                <w:bCs/>
                <w:sz w:val="21"/>
                <w:szCs w:val="21"/>
                <w:highlight w:val="none"/>
              </w:rPr>
            </w:pPr>
            <w:r>
              <w:rPr>
                <w:b w:val="0"/>
                <w:bCs/>
                <w:sz w:val="21"/>
                <w:szCs w:val="21"/>
                <w:highlight w:val="none"/>
              </w:rPr>
              <w:t>地表水</w:t>
            </w:r>
          </w:p>
          <w:p w14:paraId="2C2EB0BE">
            <w:pPr>
              <w:pStyle w:val="45"/>
              <w:bidi w:val="0"/>
              <w:jc w:val="center"/>
              <w:rPr>
                <w:b w:val="0"/>
                <w:bCs/>
                <w:sz w:val="21"/>
                <w:szCs w:val="21"/>
                <w:highlight w:val="none"/>
              </w:rPr>
            </w:pPr>
            <w:r>
              <w:rPr>
                <w:b w:val="0"/>
                <w:bCs/>
                <w:sz w:val="21"/>
                <w:szCs w:val="21"/>
                <w:highlight w:val="none"/>
              </w:rPr>
              <w:t>环境</w:t>
            </w:r>
          </w:p>
        </w:tc>
        <w:tc>
          <w:tcPr>
            <w:tcW w:w="2053" w:type="dxa"/>
            <w:tcBorders>
              <w:tl2br w:val="nil"/>
              <w:tr2bl w:val="nil"/>
            </w:tcBorders>
            <w:vAlign w:val="center"/>
          </w:tcPr>
          <w:p w14:paraId="726151F7">
            <w:pPr>
              <w:pStyle w:val="45"/>
              <w:bidi w:val="0"/>
              <w:jc w:val="center"/>
              <w:rPr>
                <w:rFonts w:hint="default" w:eastAsia="宋体"/>
                <w:b w:val="0"/>
                <w:bCs/>
                <w:sz w:val="21"/>
                <w:szCs w:val="21"/>
                <w:highlight w:val="none"/>
                <w:lang w:val="en-US" w:eastAsia="zh-CN"/>
              </w:rPr>
            </w:pPr>
            <w:r>
              <w:rPr>
                <w:b w:val="0"/>
                <w:bCs/>
                <w:sz w:val="21"/>
                <w:szCs w:val="21"/>
                <w:highlight w:val="none"/>
              </w:rPr>
              <w:t>pH值、悬浮物、化学需氧量、五日生物需氧量、高锰酸盐指数、氨氮、</w:t>
            </w:r>
            <w:r>
              <w:rPr>
                <w:rFonts w:hint="eastAsia"/>
                <w:b w:val="0"/>
                <w:bCs/>
                <w:sz w:val="21"/>
                <w:szCs w:val="21"/>
                <w:highlight w:val="none"/>
                <w:lang w:eastAsia="zh-CN"/>
              </w:rPr>
              <w:t>总氮、</w:t>
            </w:r>
            <w:r>
              <w:rPr>
                <w:b w:val="0"/>
                <w:bCs/>
                <w:sz w:val="21"/>
                <w:szCs w:val="21"/>
                <w:highlight w:val="none"/>
              </w:rPr>
              <w:t>总磷、</w:t>
            </w:r>
            <w:r>
              <w:rPr>
                <w:rFonts w:hint="eastAsia"/>
                <w:b w:val="0"/>
                <w:bCs/>
                <w:sz w:val="21"/>
                <w:szCs w:val="21"/>
                <w:highlight w:val="none"/>
                <w:lang w:eastAsia="zh-CN"/>
              </w:rPr>
              <w:t>叶绿素</w:t>
            </w:r>
            <w:r>
              <w:rPr>
                <w:rFonts w:hint="eastAsia"/>
                <w:b w:val="0"/>
                <w:bCs/>
                <w:sz w:val="21"/>
                <w:szCs w:val="21"/>
                <w:highlight w:val="none"/>
                <w:lang w:val="en-US" w:eastAsia="zh-CN"/>
              </w:rPr>
              <w:t>a、透明度</w:t>
            </w:r>
          </w:p>
        </w:tc>
        <w:tc>
          <w:tcPr>
            <w:tcW w:w="2472" w:type="dxa"/>
            <w:tcBorders>
              <w:tl2br w:val="nil"/>
              <w:tr2bl w:val="nil"/>
            </w:tcBorders>
            <w:vAlign w:val="center"/>
          </w:tcPr>
          <w:p w14:paraId="2F28E923">
            <w:pPr>
              <w:pStyle w:val="45"/>
              <w:bidi w:val="0"/>
              <w:jc w:val="center"/>
              <w:rPr>
                <w:b w:val="0"/>
                <w:bCs/>
                <w:sz w:val="21"/>
                <w:szCs w:val="21"/>
                <w:highlight w:val="none"/>
              </w:rPr>
            </w:pPr>
            <w:r>
              <w:rPr>
                <w:b w:val="0"/>
                <w:bCs/>
                <w:sz w:val="21"/>
                <w:szCs w:val="21"/>
                <w:highlight w:val="none"/>
              </w:rPr>
              <w:t>施工现场及营地的生产生活污水：五日生物需氧量、化学需氧量、氨氮、悬浮物、石油类、动植物油</w:t>
            </w:r>
          </w:p>
        </w:tc>
        <w:tc>
          <w:tcPr>
            <w:tcW w:w="2472" w:type="dxa"/>
            <w:tcBorders>
              <w:tl2br w:val="nil"/>
              <w:tr2bl w:val="nil"/>
            </w:tcBorders>
            <w:vAlign w:val="center"/>
          </w:tcPr>
          <w:p w14:paraId="7A9C73E7">
            <w:pPr>
              <w:pStyle w:val="45"/>
              <w:bidi w:val="0"/>
              <w:jc w:val="center"/>
              <w:rPr>
                <w:rFonts w:hint="eastAsia" w:eastAsia="宋体"/>
                <w:b w:val="0"/>
                <w:bCs/>
                <w:sz w:val="21"/>
                <w:szCs w:val="21"/>
                <w:highlight w:val="none"/>
                <w:lang w:eastAsia="zh-CN"/>
              </w:rPr>
            </w:pPr>
            <w:r>
              <w:rPr>
                <w:rFonts w:hint="eastAsia"/>
                <w:b w:val="0"/>
                <w:bCs/>
                <w:sz w:val="21"/>
                <w:szCs w:val="21"/>
                <w:highlight w:val="none"/>
                <w:lang w:eastAsia="zh-CN"/>
              </w:rPr>
              <w:t>员工生活污水：</w:t>
            </w:r>
            <w:r>
              <w:rPr>
                <w:b w:val="0"/>
                <w:bCs/>
                <w:sz w:val="21"/>
                <w:szCs w:val="21"/>
                <w:highlight w:val="none"/>
              </w:rPr>
              <w:t>五日生物需氧量、化学需氧量、氨氮、悬浮物、动植物油</w:t>
            </w:r>
          </w:p>
        </w:tc>
      </w:tr>
      <w:tr w14:paraId="1200A32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68" w:type="dxa"/>
            <w:tcBorders>
              <w:tl2br w:val="nil"/>
              <w:tr2bl w:val="nil"/>
            </w:tcBorders>
            <w:vAlign w:val="center"/>
          </w:tcPr>
          <w:p w14:paraId="2BE5D0DC">
            <w:pPr>
              <w:pStyle w:val="45"/>
              <w:bidi w:val="0"/>
              <w:jc w:val="center"/>
              <w:rPr>
                <w:b w:val="0"/>
                <w:bCs/>
                <w:sz w:val="21"/>
                <w:szCs w:val="21"/>
                <w:highlight w:val="none"/>
              </w:rPr>
            </w:pPr>
            <w:r>
              <w:rPr>
                <w:b w:val="0"/>
                <w:bCs/>
                <w:sz w:val="21"/>
                <w:szCs w:val="21"/>
                <w:highlight w:val="none"/>
              </w:rPr>
              <w:t>2</w:t>
            </w:r>
          </w:p>
        </w:tc>
        <w:tc>
          <w:tcPr>
            <w:tcW w:w="767" w:type="dxa"/>
            <w:tcBorders>
              <w:tl2br w:val="nil"/>
              <w:tr2bl w:val="nil"/>
            </w:tcBorders>
            <w:vAlign w:val="center"/>
          </w:tcPr>
          <w:p w14:paraId="3FA7806B">
            <w:pPr>
              <w:pStyle w:val="45"/>
              <w:bidi w:val="0"/>
              <w:jc w:val="center"/>
              <w:rPr>
                <w:b w:val="0"/>
                <w:bCs/>
                <w:sz w:val="21"/>
                <w:szCs w:val="21"/>
                <w:highlight w:val="none"/>
              </w:rPr>
            </w:pPr>
            <w:r>
              <w:rPr>
                <w:b w:val="0"/>
                <w:bCs/>
                <w:sz w:val="21"/>
                <w:szCs w:val="21"/>
                <w:highlight w:val="none"/>
              </w:rPr>
              <w:t>大气</w:t>
            </w:r>
          </w:p>
          <w:p w14:paraId="4E6C7E88">
            <w:pPr>
              <w:pStyle w:val="45"/>
              <w:bidi w:val="0"/>
              <w:jc w:val="center"/>
              <w:rPr>
                <w:b w:val="0"/>
                <w:bCs/>
                <w:sz w:val="21"/>
                <w:szCs w:val="21"/>
                <w:highlight w:val="none"/>
              </w:rPr>
            </w:pPr>
            <w:r>
              <w:rPr>
                <w:b w:val="0"/>
                <w:bCs/>
                <w:sz w:val="21"/>
                <w:szCs w:val="21"/>
                <w:highlight w:val="none"/>
              </w:rPr>
              <w:t>环境</w:t>
            </w:r>
          </w:p>
        </w:tc>
        <w:tc>
          <w:tcPr>
            <w:tcW w:w="2053" w:type="dxa"/>
            <w:tcBorders>
              <w:tl2br w:val="nil"/>
              <w:tr2bl w:val="nil"/>
            </w:tcBorders>
            <w:vAlign w:val="center"/>
          </w:tcPr>
          <w:p w14:paraId="7B2B31B8">
            <w:pPr>
              <w:pStyle w:val="45"/>
              <w:bidi w:val="0"/>
              <w:jc w:val="center"/>
              <w:rPr>
                <w:rFonts w:hint="default" w:eastAsia="宋体"/>
                <w:b w:val="0"/>
                <w:bCs/>
                <w:sz w:val="21"/>
                <w:szCs w:val="21"/>
                <w:highlight w:val="none"/>
                <w:lang w:val="en-US" w:eastAsia="zh-CN"/>
              </w:rPr>
            </w:pPr>
            <w:r>
              <w:rPr>
                <w:b w:val="0"/>
                <w:bCs/>
                <w:sz w:val="21"/>
                <w:szCs w:val="21"/>
                <w:highlight w:val="none"/>
              </w:rPr>
              <w:t>SO</w:t>
            </w:r>
            <w:r>
              <w:rPr>
                <w:b w:val="0"/>
                <w:bCs/>
                <w:sz w:val="21"/>
                <w:szCs w:val="21"/>
                <w:highlight w:val="none"/>
                <w:vertAlign w:val="subscript"/>
              </w:rPr>
              <w:t>2</w:t>
            </w:r>
            <w:r>
              <w:rPr>
                <w:b w:val="0"/>
                <w:bCs/>
                <w:sz w:val="21"/>
                <w:szCs w:val="21"/>
                <w:highlight w:val="none"/>
              </w:rPr>
              <w:t>、NO</w:t>
            </w:r>
            <w:r>
              <w:rPr>
                <w:b w:val="0"/>
                <w:bCs/>
                <w:sz w:val="21"/>
                <w:szCs w:val="21"/>
                <w:highlight w:val="none"/>
                <w:vertAlign w:val="subscript"/>
              </w:rPr>
              <w:t>2</w:t>
            </w:r>
            <w:r>
              <w:rPr>
                <w:b w:val="0"/>
                <w:bCs/>
                <w:sz w:val="21"/>
                <w:szCs w:val="21"/>
                <w:highlight w:val="none"/>
              </w:rPr>
              <w:t>、PM</w:t>
            </w:r>
            <w:r>
              <w:rPr>
                <w:b w:val="0"/>
                <w:bCs/>
                <w:sz w:val="21"/>
                <w:szCs w:val="21"/>
                <w:highlight w:val="none"/>
                <w:vertAlign w:val="subscript"/>
              </w:rPr>
              <w:t>10</w:t>
            </w:r>
            <w:r>
              <w:rPr>
                <w:b w:val="0"/>
                <w:bCs/>
                <w:sz w:val="21"/>
                <w:szCs w:val="21"/>
                <w:highlight w:val="none"/>
              </w:rPr>
              <w:t>、PM</w:t>
            </w:r>
            <w:r>
              <w:rPr>
                <w:b w:val="0"/>
                <w:bCs/>
                <w:sz w:val="21"/>
                <w:szCs w:val="21"/>
                <w:highlight w:val="none"/>
                <w:vertAlign w:val="subscript"/>
              </w:rPr>
              <w:t>2.5</w:t>
            </w:r>
            <w:r>
              <w:rPr>
                <w:b w:val="0"/>
                <w:bCs/>
                <w:sz w:val="21"/>
                <w:szCs w:val="21"/>
                <w:highlight w:val="none"/>
              </w:rPr>
              <w:t>、 CO、O</w:t>
            </w:r>
            <w:r>
              <w:rPr>
                <w:b w:val="0"/>
                <w:bCs/>
                <w:sz w:val="21"/>
                <w:szCs w:val="21"/>
                <w:highlight w:val="none"/>
                <w:vertAlign w:val="subscript"/>
              </w:rPr>
              <w:t>3</w:t>
            </w:r>
            <w:r>
              <w:rPr>
                <w:b w:val="0"/>
                <w:bCs/>
                <w:sz w:val="21"/>
                <w:szCs w:val="21"/>
                <w:highlight w:val="none"/>
              </w:rPr>
              <w:t>、TSP</w:t>
            </w:r>
            <w:r>
              <w:rPr>
                <w:rFonts w:hint="eastAsia"/>
                <w:b w:val="0"/>
                <w:bCs/>
                <w:sz w:val="21"/>
                <w:szCs w:val="21"/>
                <w:highlight w:val="none"/>
                <w:lang w:eastAsia="zh-CN"/>
              </w:rPr>
              <w:t>、</w:t>
            </w:r>
            <w:r>
              <w:rPr>
                <w:rFonts w:hint="eastAsia"/>
                <w:b w:val="0"/>
                <w:bCs/>
                <w:sz w:val="21"/>
                <w:szCs w:val="21"/>
                <w:highlight w:val="none"/>
                <w:lang w:val="en-US" w:eastAsia="zh-CN"/>
              </w:rPr>
              <w:t>NOx</w:t>
            </w:r>
          </w:p>
        </w:tc>
        <w:tc>
          <w:tcPr>
            <w:tcW w:w="2472" w:type="dxa"/>
            <w:tcBorders>
              <w:tl2br w:val="nil"/>
              <w:tr2bl w:val="nil"/>
            </w:tcBorders>
            <w:vAlign w:val="center"/>
          </w:tcPr>
          <w:p w14:paraId="6188213E">
            <w:pPr>
              <w:pStyle w:val="45"/>
              <w:bidi w:val="0"/>
              <w:jc w:val="center"/>
              <w:rPr>
                <w:b w:val="0"/>
                <w:bCs/>
                <w:sz w:val="21"/>
                <w:szCs w:val="21"/>
                <w:highlight w:val="none"/>
              </w:rPr>
            </w:pPr>
            <w:r>
              <w:rPr>
                <w:b w:val="0"/>
                <w:bCs/>
                <w:sz w:val="21"/>
                <w:szCs w:val="21"/>
                <w:highlight w:val="none"/>
              </w:rPr>
              <w:t>TSP</w:t>
            </w:r>
          </w:p>
        </w:tc>
        <w:tc>
          <w:tcPr>
            <w:tcW w:w="2472" w:type="dxa"/>
            <w:tcBorders>
              <w:tl2br w:val="nil"/>
              <w:tr2bl w:val="nil"/>
            </w:tcBorders>
            <w:vAlign w:val="center"/>
          </w:tcPr>
          <w:p w14:paraId="5C607121">
            <w:pPr>
              <w:pStyle w:val="45"/>
              <w:bidi w:val="0"/>
              <w:jc w:val="center"/>
              <w:rPr>
                <w:rFonts w:hint="eastAsia" w:eastAsia="宋体"/>
                <w:b w:val="0"/>
                <w:bCs/>
                <w:sz w:val="21"/>
                <w:szCs w:val="21"/>
                <w:highlight w:val="none"/>
                <w:lang w:val="en-US" w:eastAsia="zh-CN"/>
              </w:rPr>
            </w:pPr>
            <w:r>
              <w:rPr>
                <w:rFonts w:hint="eastAsia"/>
                <w:b w:val="0"/>
                <w:bCs/>
                <w:sz w:val="21"/>
                <w:szCs w:val="21"/>
                <w:highlight w:val="none"/>
                <w:lang w:val="en-US" w:eastAsia="zh-CN"/>
              </w:rPr>
              <w:t>食堂油烟</w:t>
            </w:r>
          </w:p>
        </w:tc>
      </w:tr>
      <w:tr w14:paraId="0CC38F6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68" w:type="dxa"/>
            <w:tcBorders>
              <w:tl2br w:val="nil"/>
              <w:tr2bl w:val="nil"/>
            </w:tcBorders>
            <w:vAlign w:val="center"/>
          </w:tcPr>
          <w:p w14:paraId="081463CB">
            <w:pPr>
              <w:pStyle w:val="45"/>
              <w:bidi w:val="0"/>
              <w:jc w:val="center"/>
              <w:rPr>
                <w:b w:val="0"/>
                <w:bCs/>
                <w:sz w:val="21"/>
                <w:szCs w:val="21"/>
                <w:highlight w:val="none"/>
              </w:rPr>
            </w:pPr>
            <w:r>
              <w:rPr>
                <w:b w:val="0"/>
                <w:bCs/>
                <w:sz w:val="21"/>
                <w:szCs w:val="21"/>
                <w:highlight w:val="none"/>
              </w:rPr>
              <w:t>3</w:t>
            </w:r>
          </w:p>
        </w:tc>
        <w:tc>
          <w:tcPr>
            <w:tcW w:w="767" w:type="dxa"/>
            <w:tcBorders>
              <w:tl2br w:val="nil"/>
              <w:tr2bl w:val="nil"/>
            </w:tcBorders>
            <w:vAlign w:val="center"/>
          </w:tcPr>
          <w:p w14:paraId="189348D5">
            <w:pPr>
              <w:pStyle w:val="45"/>
              <w:bidi w:val="0"/>
              <w:jc w:val="center"/>
              <w:rPr>
                <w:b w:val="0"/>
                <w:bCs/>
                <w:sz w:val="21"/>
                <w:szCs w:val="21"/>
                <w:highlight w:val="none"/>
              </w:rPr>
            </w:pPr>
            <w:r>
              <w:rPr>
                <w:b w:val="0"/>
                <w:bCs/>
                <w:sz w:val="21"/>
                <w:szCs w:val="21"/>
                <w:highlight w:val="none"/>
              </w:rPr>
              <w:t>声环境</w:t>
            </w:r>
          </w:p>
        </w:tc>
        <w:tc>
          <w:tcPr>
            <w:tcW w:w="2053" w:type="dxa"/>
            <w:tcBorders>
              <w:tl2br w:val="nil"/>
              <w:tr2bl w:val="nil"/>
            </w:tcBorders>
            <w:vAlign w:val="center"/>
          </w:tcPr>
          <w:p w14:paraId="271A8F27">
            <w:pPr>
              <w:pStyle w:val="45"/>
              <w:bidi w:val="0"/>
              <w:jc w:val="center"/>
              <w:rPr>
                <w:b w:val="0"/>
                <w:bCs/>
                <w:sz w:val="21"/>
                <w:szCs w:val="21"/>
                <w:highlight w:val="none"/>
              </w:rPr>
            </w:pPr>
            <w:r>
              <w:rPr>
                <w:b w:val="0"/>
                <w:bCs/>
                <w:sz w:val="21"/>
                <w:szCs w:val="21"/>
                <w:highlight w:val="none"/>
              </w:rPr>
              <w:t>等效连续A声级LAeq</w:t>
            </w:r>
          </w:p>
        </w:tc>
        <w:tc>
          <w:tcPr>
            <w:tcW w:w="2472" w:type="dxa"/>
            <w:tcBorders>
              <w:tl2br w:val="nil"/>
              <w:tr2bl w:val="nil"/>
            </w:tcBorders>
            <w:vAlign w:val="center"/>
          </w:tcPr>
          <w:p w14:paraId="7CC5AD90">
            <w:pPr>
              <w:pStyle w:val="45"/>
              <w:bidi w:val="0"/>
              <w:jc w:val="center"/>
              <w:rPr>
                <w:b w:val="0"/>
                <w:bCs/>
                <w:sz w:val="21"/>
                <w:szCs w:val="21"/>
                <w:highlight w:val="none"/>
              </w:rPr>
            </w:pPr>
            <w:r>
              <w:rPr>
                <w:b w:val="0"/>
                <w:bCs/>
                <w:sz w:val="21"/>
                <w:szCs w:val="21"/>
                <w:highlight w:val="none"/>
              </w:rPr>
              <w:t>施工噪声</w:t>
            </w:r>
            <w:r>
              <w:rPr>
                <w:rFonts w:hint="eastAsia"/>
                <w:b w:val="0"/>
                <w:bCs/>
                <w:sz w:val="21"/>
                <w:szCs w:val="21"/>
                <w:highlight w:val="none"/>
                <w:lang w:eastAsia="zh-CN"/>
              </w:rPr>
              <w:t>：</w:t>
            </w:r>
            <w:r>
              <w:rPr>
                <w:b w:val="0"/>
                <w:bCs/>
                <w:sz w:val="21"/>
                <w:szCs w:val="21"/>
                <w:highlight w:val="none"/>
              </w:rPr>
              <w:t>等效连续A声级 LAeq</w:t>
            </w:r>
          </w:p>
        </w:tc>
        <w:tc>
          <w:tcPr>
            <w:tcW w:w="2472" w:type="dxa"/>
            <w:tcBorders>
              <w:tl2br w:val="nil"/>
              <w:tr2bl w:val="nil"/>
            </w:tcBorders>
            <w:vAlign w:val="center"/>
          </w:tcPr>
          <w:p w14:paraId="4DF20C65">
            <w:pPr>
              <w:pStyle w:val="45"/>
              <w:bidi w:val="0"/>
              <w:jc w:val="center"/>
              <w:rPr>
                <w:b w:val="0"/>
                <w:bCs/>
                <w:sz w:val="21"/>
                <w:szCs w:val="21"/>
                <w:highlight w:val="none"/>
              </w:rPr>
            </w:pPr>
            <w:r>
              <w:rPr>
                <w:rFonts w:hint="eastAsia"/>
                <w:b w:val="0"/>
                <w:bCs/>
                <w:sz w:val="21"/>
                <w:szCs w:val="21"/>
                <w:highlight w:val="none"/>
                <w:lang w:eastAsia="zh-CN"/>
              </w:rPr>
              <w:t>风机</w:t>
            </w:r>
            <w:r>
              <w:rPr>
                <w:b w:val="0"/>
                <w:bCs/>
                <w:sz w:val="21"/>
                <w:szCs w:val="21"/>
                <w:highlight w:val="none"/>
              </w:rPr>
              <w:t>噪声</w:t>
            </w:r>
            <w:r>
              <w:rPr>
                <w:rFonts w:hint="eastAsia"/>
                <w:b w:val="0"/>
                <w:bCs/>
                <w:sz w:val="21"/>
                <w:szCs w:val="21"/>
                <w:highlight w:val="none"/>
                <w:lang w:eastAsia="zh-CN"/>
              </w:rPr>
              <w:t>：</w:t>
            </w:r>
            <w:r>
              <w:rPr>
                <w:b w:val="0"/>
                <w:bCs/>
                <w:sz w:val="21"/>
                <w:szCs w:val="21"/>
                <w:highlight w:val="none"/>
              </w:rPr>
              <w:t>等效连续A声级LAeq</w:t>
            </w:r>
          </w:p>
        </w:tc>
      </w:tr>
      <w:tr w14:paraId="557563E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68" w:type="dxa"/>
            <w:tcBorders>
              <w:tl2br w:val="nil"/>
              <w:tr2bl w:val="nil"/>
            </w:tcBorders>
            <w:vAlign w:val="center"/>
          </w:tcPr>
          <w:p w14:paraId="03950E4D">
            <w:pPr>
              <w:pStyle w:val="45"/>
              <w:bidi w:val="0"/>
              <w:jc w:val="center"/>
              <w:rPr>
                <w:rFonts w:hint="eastAsia" w:eastAsia="宋体"/>
                <w:b w:val="0"/>
                <w:bCs/>
                <w:sz w:val="21"/>
                <w:szCs w:val="21"/>
                <w:highlight w:val="none"/>
                <w:lang w:val="en-US" w:eastAsia="zh-CN"/>
              </w:rPr>
            </w:pPr>
            <w:r>
              <w:rPr>
                <w:rFonts w:hint="eastAsia"/>
                <w:b w:val="0"/>
                <w:bCs/>
                <w:sz w:val="21"/>
                <w:szCs w:val="21"/>
                <w:highlight w:val="none"/>
                <w:lang w:val="en-US" w:eastAsia="zh-CN"/>
              </w:rPr>
              <w:t>4</w:t>
            </w:r>
          </w:p>
        </w:tc>
        <w:tc>
          <w:tcPr>
            <w:tcW w:w="767" w:type="dxa"/>
            <w:tcBorders>
              <w:tl2br w:val="nil"/>
              <w:tr2bl w:val="nil"/>
            </w:tcBorders>
            <w:vAlign w:val="center"/>
          </w:tcPr>
          <w:p w14:paraId="5C4B675F">
            <w:pPr>
              <w:pStyle w:val="45"/>
              <w:bidi w:val="0"/>
              <w:jc w:val="center"/>
              <w:rPr>
                <w:rFonts w:hint="eastAsia" w:eastAsia="宋体"/>
                <w:b w:val="0"/>
                <w:bCs/>
                <w:sz w:val="21"/>
                <w:szCs w:val="21"/>
                <w:highlight w:val="none"/>
                <w:lang w:eastAsia="zh-CN"/>
              </w:rPr>
            </w:pPr>
            <w:r>
              <w:rPr>
                <w:rFonts w:hint="eastAsia"/>
                <w:b w:val="0"/>
                <w:bCs/>
                <w:sz w:val="21"/>
                <w:szCs w:val="21"/>
                <w:highlight w:val="none"/>
                <w:lang w:eastAsia="zh-CN"/>
              </w:rPr>
              <w:t>电磁环境</w:t>
            </w:r>
          </w:p>
        </w:tc>
        <w:tc>
          <w:tcPr>
            <w:tcW w:w="2053" w:type="dxa"/>
            <w:tcBorders>
              <w:tl2br w:val="nil"/>
              <w:tr2bl w:val="nil"/>
            </w:tcBorders>
            <w:vAlign w:val="center"/>
          </w:tcPr>
          <w:p w14:paraId="37ACFFC1">
            <w:pPr>
              <w:pStyle w:val="45"/>
              <w:bidi w:val="0"/>
              <w:jc w:val="center"/>
              <w:rPr>
                <w:b w:val="0"/>
                <w:bCs/>
                <w:sz w:val="21"/>
                <w:szCs w:val="21"/>
                <w:highlight w:val="none"/>
              </w:rPr>
            </w:pPr>
            <w:r>
              <w:rPr>
                <w:rFonts w:hint="default"/>
                <w:b w:val="0"/>
                <w:bCs/>
                <w:sz w:val="21"/>
                <w:szCs w:val="21"/>
                <w:highlight w:val="none"/>
                <w:lang w:val="en-US" w:eastAsia="zh-CN"/>
              </w:rPr>
              <w:t>工频电场、工频磁场</w:t>
            </w:r>
          </w:p>
        </w:tc>
        <w:tc>
          <w:tcPr>
            <w:tcW w:w="2472" w:type="dxa"/>
            <w:tcBorders>
              <w:tl2br w:val="nil"/>
              <w:tr2bl w:val="nil"/>
            </w:tcBorders>
            <w:vAlign w:val="center"/>
          </w:tcPr>
          <w:p w14:paraId="5608C339">
            <w:pPr>
              <w:pStyle w:val="45"/>
              <w:bidi w:val="0"/>
              <w:jc w:val="center"/>
              <w:rPr>
                <w:b w:val="0"/>
                <w:bCs/>
                <w:sz w:val="21"/>
                <w:szCs w:val="21"/>
                <w:highlight w:val="none"/>
              </w:rPr>
            </w:pPr>
            <w:r>
              <w:rPr>
                <w:rFonts w:hint="eastAsia"/>
                <w:b w:val="0"/>
                <w:bCs/>
                <w:sz w:val="21"/>
                <w:szCs w:val="21"/>
                <w:highlight w:val="none"/>
                <w:lang w:val="en-US" w:eastAsia="zh-CN"/>
              </w:rPr>
              <w:t>/</w:t>
            </w:r>
          </w:p>
        </w:tc>
        <w:tc>
          <w:tcPr>
            <w:tcW w:w="2472" w:type="dxa"/>
            <w:tcBorders>
              <w:tl2br w:val="nil"/>
              <w:tr2bl w:val="nil"/>
            </w:tcBorders>
            <w:vAlign w:val="center"/>
          </w:tcPr>
          <w:p w14:paraId="2F595A2E">
            <w:pPr>
              <w:pStyle w:val="45"/>
              <w:bidi w:val="0"/>
              <w:jc w:val="center"/>
              <w:rPr>
                <w:rFonts w:hint="eastAsia"/>
                <w:b w:val="0"/>
                <w:bCs/>
                <w:sz w:val="21"/>
                <w:szCs w:val="21"/>
                <w:highlight w:val="none"/>
                <w:lang w:eastAsia="zh-CN"/>
              </w:rPr>
            </w:pPr>
            <w:r>
              <w:rPr>
                <w:rFonts w:hint="eastAsia"/>
                <w:b w:val="0"/>
                <w:bCs/>
                <w:sz w:val="21"/>
                <w:szCs w:val="21"/>
                <w:highlight w:val="none"/>
                <w:lang w:val="en-US" w:eastAsia="zh-CN"/>
              </w:rPr>
              <w:t>工频电场、工频磁场</w:t>
            </w:r>
          </w:p>
        </w:tc>
      </w:tr>
      <w:tr w14:paraId="12F1C4C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68" w:type="dxa"/>
            <w:tcBorders>
              <w:tl2br w:val="nil"/>
              <w:tr2bl w:val="nil"/>
            </w:tcBorders>
            <w:vAlign w:val="center"/>
          </w:tcPr>
          <w:p w14:paraId="70870789">
            <w:pPr>
              <w:pStyle w:val="45"/>
              <w:bidi w:val="0"/>
              <w:jc w:val="center"/>
              <w:rPr>
                <w:rFonts w:hint="eastAsia" w:eastAsia="宋体"/>
                <w:b w:val="0"/>
                <w:bCs/>
                <w:sz w:val="21"/>
                <w:szCs w:val="21"/>
                <w:highlight w:val="none"/>
                <w:lang w:val="en-US" w:eastAsia="zh-CN"/>
              </w:rPr>
            </w:pPr>
            <w:r>
              <w:rPr>
                <w:rFonts w:hint="eastAsia"/>
                <w:b w:val="0"/>
                <w:bCs/>
                <w:sz w:val="21"/>
                <w:szCs w:val="21"/>
                <w:highlight w:val="none"/>
                <w:lang w:val="en-US" w:eastAsia="zh-CN"/>
              </w:rPr>
              <w:t>5</w:t>
            </w:r>
          </w:p>
        </w:tc>
        <w:tc>
          <w:tcPr>
            <w:tcW w:w="767" w:type="dxa"/>
            <w:tcBorders>
              <w:tl2br w:val="nil"/>
              <w:tr2bl w:val="nil"/>
            </w:tcBorders>
            <w:vAlign w:val="center"/>
          </w:tcPr>
          <w:p w14:paraId="54C263F8">
            <w:pPr>
              <w:pStyle w:val="45"/>
              <w:bidi w:val="0"/>
              <w:jc w:val="center"/>
              <w:rPr>
                <w:b w:val="0"/>
                <w:bCs/>
                <w:sz w:val="21"/>
                <w:szCs w:val="21"/>
                <w:highlight w:val="none"/>
              </w:rPr>
            </w:pPr>
            <w:r>
              <w:rPr>
                <w:b w:val="0"/>
                <w:bCs/>
                <w:sz w:val="21"/>
                <w:szCs w:val="21"/>
                <w:highlight w:val="none"/>
              </w:rPr>
              <w:t>生态</w:t>
            </w:r>
          </w:p>
          <w:p w14:paraId="415ADA14">
            <w:pPr>
              <w:pStyle w:val="45"/>
              <w:bidi w:val="0"/>
              <w:jc w:val="center"/>
              <w:rPr>
                <w:b w:val="0"/>
                <w:bCs/>
                <w:sz w:val="21"/>
                <w:szCs w:val="21"/>
                <w:highlight w:val="none"/>
              </w:rPr>
            </w:pPr>
            <w:r>
              <w:rPr>
                <w:b w:val="0"/>
                <w:bCs/>
                <w:sz w:val="21"/>
                <w:szCs w:val="21"/>
                <w:highlight w:val="none"/>
              </w:rPr>
              <w:t>环境</w:t>
            </w:r>
          </w:p>
        </w:tc>
        <w:tc>
          <w:tcPr>
            <w:tcW w:w="2053" w:type="dxa"/>
            <w:tcBorders>
              <w:tl2br w:val="nil"/>
              <w:tr2bl w:val="nil"/>
            </w:tcBorders>
            <w:vAlign w:val="center"/>
          </w:tcPr>
          <w:p w14:paraId="6774AD65">
            <w:pPr>
              <w:pStyle w:val="45"/>
              <w:bidi w:val="0"/>
              <w:jc w:val="center"/>
              <w:rPr>
                <w:b w:val="0"/>
                <w:bCs/>
                <w:sz w:val="21"/>
                <w:szCs w:val="21"/>
                <w:highlight w:val="none"/>
              </w:rPr>
            </w:pPr>
            <w:r>
              <w:rPr>
                <w:b w:val="0"/>
                <w:bCs/>
                <w:sz w:val="21"/>
                <w:szCs w:val="21"/>
                <w:highlight w:val="none"/>
              </w:rPr>
              <w:t>野生动植物、植被、水土流失</w:t>
            </w:r>
          </w:p>
        </w:tc>
        <w:tc>
          <w:tcPr>
            <w:tcW w:w="2472" w:type="dxa"/>
            <w:tcBorders>
              <w:tl2br w:val="nil"/>
              <w:tr2bl w:val="nil"/>
            </w:tcBorders>
            <w:vAlign w:val="center"/>
          </w:tcPr>
          <w:p w14:paraId="683A3AF1">
            <w:pPr>
              <w:pStyle w:val="45"/>
              <w:bidi w:val="0"/>
              <w:jc w:val="center"/>
              <w:rPr>
                <w:b w:val="0"/>
                <w:bCs/>
                <w:sz w:val="21"/>
                <w:szCs w:val="21"/>
                <w:highlight w:val="none"/>
              </w:rPr>
            </w:pPr>
            <w:r>
              <w:rPr>
                <w:b w:val="0"/>
                <w:bCs/>
                <w:sz w:val="21"/>
                <w:szCs w:val="21"/>
                <w:highlight w:val="none"/>
              </w:rPr>
              <w:t>野生动物、植被、水土流失、景观、林地、交通阻隔</w:t>
            </w:r>
          </w:p>
        </w:tc>
        <w:tc>
          <w:tcPr>
            <w:tcW w:w="2472" w:type="dxa"/>
            <w:tcBorders>
              <w:tl2br w:val="nil"/>
              <w:tr2bl w:val="nil"/>
            </w:tcBorders>
            <w:vAlign w:val="center"/>
          </w:tcPr>
          <w:p w14:paraId="1BF7DCAD">
            <w:pPr>
              <w:pStyle w:val="45"/>
              <w:bidi w:val="0"/>
              <w:jc w:val="center"/>
              <w:rPr>
                <w:b w:val="0"/>
                <w:bCs/>
                <w:sz w:val="21"/>
                <w:szCs w:val="21"/>
                <w:highlight w:val="none"/>
              </w:rPr>
            </w:pPr>
            <w:r>
              <w:rPr>
                <w:b w:val="0"/>
                <w:bCs/>
                <w:sz w:val="21"/>
                <w:szCs w:val="21"/>
                <w:highlight w:val="none"/>
              </w:rPr>
              <w:t>植被、野生动物、绿化工程</w:t>
            </w:r>
          </w:p>
        </w:tc>
      </w:tr>
      <w:tr w14:paraId="5CBD491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68" w:type="dxa"/>
            <w:tcBorders>
              <w:tl2br w:val="nil"/>
              <w:tr2bl w:val="nil"/>
            </w:tcBorders>
            <w:vAlign w:val="center"/>
          </w:tcPr>
          <w:p w14:paraId="49825AF8">
            <w:pPr>
              <w:pStyle w:val="45"/>
              <w:bidi w:val="0"/>
              <w:jc w:val="center"/>
              <w:rPr>
                <w:rFonts w:hint="default" w:eastAsia="宋体"/>
                <w:b w:val="0"/>
                <w:bCs/>
                <w:sz w:val="21"/>
                <w:szCs w:val="21"/>
                <w:highlight w:val="none"/>
                <w:lang w:val="en-US" w:eastAsia="zh-CN"/>
              </w:rPr>
            </w:pPr>
            <w:r>
              <w:rPr>
                <w:rFonts w:hint="eastAsia"/>
                <w:b w:val="0"/>
                <w:bCs/>
                <w:sz w:val="21"/>
                <w:szCs w:val="21"/>
                <w:highlight w:val="none"/>
                <w:lang w:val="en-US" w:eastAsia="zh-CN"/>
              </w:rPr>
              <w:t>6</w:t>
            </w:r>
          </w:p>
        </w:tc>
        <w:tc>
          <w:tcPr>
            <w:tcW w:w="767" w:type="dxa"/>
            <w:tcBorders>
              <w:tl2br w:val="nil"/>
              <w:tr2bl w:val="nil"/>
            </w:tcBorders>
            <w:vAlign w:val="center"/>
          </w:tcPr>
          <w:p w14:paraId="3AE962C2">
            <w:pPr>
              <w:pStyle w:val="45"/>
              <w:bidi w:val="0"/>
              <w:jc w:val="center"/>
              <w:rPr>
                <w:b w:val="0"/>
                <w:bCs/>
                <w:sz w:val="21"/>
                <w:szCs w:val="21"/>
                <w:highlight w:val="none"/>
              </w:rPr>
            </w:pPr>
            <w:r>
              <w:rPr>
                <w:b w:val="0"/>
                <w:bCs/>
                <w:sz w:val="21"/>
                <w:szCs w:val="21"/>
                <w:highlight w:val="none"/>
              </w:rPr>
              <w:t>社会</w:t>
            </w:r>
          </w:p>
          <w:p w14:paraId="595905A1">
            <w:pPr>
              <w:pStyle w:val="45"/>
              <w:bidi w:val="0"/>
              <w:jc w:val="center"/>
              <w:rPr>
                <w:b w:val="0"/>
                <w:bCs/>
                <w:sz w:val="21"/>
                <w:szCs w:val="21"/>
                <w:highlight w:val="none"/>
              </w:rPr>
            </w:pPr>
            <w:r>
              <w:rPr>
                <w:b w:val="0"/>
                <w:bCs/>
                <w:sz w:val="21"/>
                <w:szCs w:val="21"/>
                <w:highlight w:val="none"/>
              </w:rPr>
              <w:t>环境</w:t>
            </w:r>
          </w:p>
        </w:tc>
        <w:tc>
          <w:tcPr>
            <w:tcW w:w="2053" w:type="dxa"/>
            <w:tcBorders>
              <w:tl2br w:val="nil"/>
              <w:tr2bl w:val="nil"/>
            </w:tcBorders>
            <w:vAlign w:val="center"/>
          </w:tcPr>
          <w:p w14:paraId="1AEA6199">
            <w:pPr>
              <w:pStyle w:val="45"/>
              <w:bidi w:val="0"/>
              <w:jc w:val="center"/>
              <w:rPr>
                <w:b w:val="0"/>
                <w:bCs/>
                <w:sz w:val="21"/>
                <w:szCs w:val="21"/>
                <w:highlight w:val="none"/>
              </w:rPr>
            </w:pPr>
            <w:r>
              <w:rPr>
                <w:b w:val="0"/>
                <w:bCs/>
                <w:sz w:val="21"/>
                <w:szCs w:val="21"/>
                <w:highlight w:val="none"/>
              </w:rPr>
              <w:t>社会经济、人口数量、生活质量、基础设施</w:t>
            </w:r>
          </w:p>
        </w:tc>
        <w:tc>
          <w:tcPr>
            <w:tcW w:w="2472" w:type="dxa"/>
            <w:tcBorders>
              <w:tl2br w:val="nil"/>
              <w:tr2bl w:val="nil"/>
            </w:tcBorders>
            <w:vAlign w:val="center"/>
          </w:tcPr>
          <w:p w14:paraId="29DDB250">
            <w:pPr>
              <w:pStyle w:val="45"/>
              <w:bidi w:val="0"/>
              <w:jc w:val="center"/>
              <w:rPr>
                <w:b w:val="0"/>
                <w:bCs/>
                <w:sz w:val="21"/>
                <w:szCs w:val="21"/>
                <w:highlight w:val="none"/>
              </w:rPr>
            </w:pPr>
            <w:r>
              <w:rPr>
                <w:b w:val="0"/>
                <w:bCs/>
                <w:sz w:val="21"/>
                <w:szCs w:val="21"/>
                <w:highlight w:val="none"/>
              </w:rPr>
              <w:t>社会经济、基础设施、交通运输、经济发展、土地利用</w:t>
            </w:r>
          </w:p>
        </w:tc>
        <w:tc>
          <w:tcPr>
            <w:tcW w:w="2472" w:type="dxa"/>
            <w:tcBorders>
              <w:tl2br w:val="nil"/>
              <w:tr2bl w:val="nil"/>
            </w:tcBorders>
            <w:vAlign w:val="center"/>
          </w:tcPr>
          <w:p w14:paraId="411AE2BB">
            <w:pPr>
              <w:pStyle w:val="45"/>
              <w:bidi w:val="0"/>
              <w:jc w:val="center"/>
              <w:rPr>
                <w:b w:val="0"/>
                <w:bCs/>
                <w:sz w:val="21"/>
                <w:szCs w:val="21"/>
                <w:highlight w:val="none"/>
              </w:rPr>
            </w:pPr>
            <w:r>
              <w:rPr>
                <w:b w:val="0"/>
                <w:bCs/>
                <w:sz w:val="21"/>
                <w:szCs w:val="21"/>
                <w:highlight w:val="none"/>
              </w:rPr>
              <w:t>社会经济发展、土地占用、土地利用等</w:t>
            </w:r>
          </w:p>
        </w:tc>
      </w:tr>
    </w:tbl>
    <w:p w14:paraId="0666910A">
      <w:pPr>
        <w:pStyle w:val="5"/>
        <w:rPr>
          <w:rFonts w:hint="default" w:ascii="Times New Roman" w:hAnsi="Times New Roman" w:cs="Times New Roman"/>
          <w:color w:val="auto"/>
          <w:highlight w:val="none"/>
        </w:rPr>
      </w:pPr>
      <w:r>
        <w:rPr>
          <w:rFonts w:hint="default" w:ascii="Times New Roman" w:hAnsi="Times New Roman" w:cs="Times New Roman"/>
          <w:color w:val="auto"/>
          <w:highlight w:val="none"/>
        </w:rPr>
        <w:t>评价</w:t>
      </w:r>
      <w:r>
        <w:rPr>
          <w:rFonts w:hint="eastAsia" w:cs="Times New Roman"/>
          <w:color w:val="auto"/>
          <w:highlight w:val="none"/>
          <w:lang w:eastAsia="zh-CN"/>
        </w:rPr>
        <w:t>工作等级</w:t>
      </w:r>
    </w:p>
    <w:p w14:paraId="177766AC">
      <w:pPr>
        <w:pStyle w:val="6"/>
        <w:rPr>
          <w:rFonts w:hint="default" w:ascii="Times New Roman" w:hAnsi="Times New Roman" w:cs="Times New Roman"/>
          <w:color w:val="auto"/>
          <w:highlight w:val="none"/>
        </w:rPr>
      </w:pPr>
      <w:r>
        <w:rPr>
          <w:rFonts w:hint="eastAsia" w:cs="Times New Roman"/>
          <w:color w:val="auto"/>
          <w:highlight w:val="none"/>
          <w:lang w:eastAsia="zh-CN"/>
        </w:rPr>
        <w:t>生态环境评价等级判定</w:t>
      </w:r>
    </w:p>
    <w:p w14:paraId="6F15006E">
      <w:pPr>
        <w:keepNext w:val="0"/>
        <w:keepLines w:val="0"/>
        <w:pageBreakBefore w:val="0"/>
        <w:widowControl w:val="0"/>
        <w:kinsoku/>
        <w:wordWrap/>
        <w:overflowPunct/>
        <w:topLinePunct w:val="0"/>
        <w:autoSpaceDE/>
        <w:autoSpaceDN/>
        <w:bidi w:val="0"/>
        <w:adjustRightInd w:val="0"/>
        <w:snapToGrid w:val="0"/>
        <w:spacing w:line="360" w:lineRule="auto"/>
        <w:ind w:firstLine="482"/>
        <w:textAlignment w:val="auto"/>
        <w:rPr>
          <w:rFonts w:hint="eastAsia" w:ascii="Times New Roman" w:hAnsi="Times New Roman" w:eastAsia="宋体" w:cs="Times New Roman"/>
          <w:color w:val="auto"/>
          <w:kern w:val="0"/>
          <w:sz w:val="24"/>
          <w:szCs w:val="24"/>
          <w:highlight w:val="none"/>
          <w:lang w:val="en-US" w:eastAsia="zh-CN"/>
        </w:rPr>
      </w:pPr>
      <w:r>
        <w:rPr>
          <w:rFonts w:hint="default" w:ascii="Times New Roman" w:hAnsi="Times New Roman" w:cs="Times New Roman"/>
          <w:color w:val="auto"/>
          <w:sz w:val="24"/>
          <w:szCs w:val="24"/>
          <w:highlight w:val="none"/>
          <w:lang w:eastAsia="zh-CN"/>
        </w:rPr>
        <w:t>本工程位于</w:t>
      </w:r>
      <w:r>
        <w:rPr>
          <w:rFonts w:hint="eastAsia" w:ascii="Times New Roman" w:hAnsi="Times New Roman" w:eastAsia="宋体" w:cs="Times New Roman"/>
          <w:color w:val="auto"/>
          <w:kern w:val="0"/>
          <w:sz w:val="24"/>
          <w:szCs w:val="24"/>
          <w:highlight w:val="none"/>
          <w:lang w:val="en-US" w:eastAsia="zh-CN"/>
        </w:rPr>
        <w:t>衡阳市祁东县黄土铺镇和马杜桥乡境内，项目不位于“三区三线”划定成果中生态保护红线和各级自然保护区，不占用耕地和永久基本农田，不占用世界文化与自然遗产地、风景名胜区、森林公园、Ⅰ级保护林、天然林、国家公益林、湿地公园、地质公园，项目不与祁东县的鸟类迁徙通道重叠。</w:t>
      </w:r>
    </w:p>
    <w:p w14:paraId="75E8E69F">
      <w:pPr>
        <w:keepNext w:val="0"/>
        <w:keepLines w:val="0"/>
        <w:pageBreakBefore w:val="0"/>
        <w:widowControl w:val="0"/>
        <w:kinsoku/>
        <w:wordWrap/>
        <w:overflowPunct/>
        <w:topLinePunct w:val="0"/>
        <w:autoSpaceDE/>
        <w:autoSpaceDN/>
        <w:bidi w:val="0"/>
        <w:adjustRightInd w:val="0"/>
        <w:snapToGrid w:val="0"/>
        <w:spacing w:line="360" w:lineRule="auto"/>
        <w:ind w:firstLine="482"/>
        <w:textAlignment w:val="auto"/>
        <w:rPr>
          <w:rFonts w:hint="eastAsia" w:ascii="Times New Roman" w:hAnsi="Times New Roman" w:cs="Times New Roman"/>
          <w:color w:val="auto"/>
          <w:sz w:val="24"/>
          <w:szCs w:val="24"/>
          <w:highlight w:val="none"/>
          <w:u w:val="none"/>
          <w:lang w:val="en-US" w:eastAsia="zh-CN"/>
        </w:rPr>
      </w:pPr>
      <w:r>
        <w:rPr>
          <w:rFonts w:hint="eastAsia" w:ascii="Times New Roman" w:hAnsi="Times New Roman" w:cs="Times New Roman"/>
          <w:color w:val="auto"/>
          <w:sz w:val="24"/>
          <w:szCs w:val="24"/>
          <w:highlight w:val="none"/>
          <w:u w:val="none"/>
          <w:lang w:val="en-US" w:eastAsia="zh-CN"/>
        </w:rPr>
        <w:t>评价区内</w:t>
      </w:r>
      <w:r>
        <w:rPr>
          <w:rFonts w:hint="default" w:ascii="Times New Roman" w:hAnsi="Times New Roman" w:cs="Times New Roman"/>
          <w:color w:val="auto"/>
          <w:sz w:val="24"/>
          <w:szCs w:val="24"/>
          <w:highlight w:val="none"/>
          <w:u w:val="none"/>
          <w:lang w:val="en-US" w:eastAsia="zh-CN"/>
        </w:rPr>
        <w:t>有国家Ⅱ级保护动物虎纹蛙、红隼、松雀鹰、普通鵟、蛇雕、领角鸮、斑头鸺鹠、小鸦鹃</w:t>
      </w:r>
      <w:r>
        <w:rPr>
          <w:rFonts w:hint="eastAsia" w:ascii="Times New Roman" w:hAnsi="Times New Roman" w:cs="Times New Roman"/>
          <w:color w:val="auto"/>
          <w:sz w:val="24"/>
          <w:szCs w:val="24"/>
          <w:highlight w:val="none"/>
          <w:u w:val="none"/>
          <w:lang w:val="en-US" w:eastAsia="zh-CN"/>
        </w:rPr>
        <w:t>、</w:t>
      </w:r>
      <w:r>
        <w:rPr>
          <w:rFonts w:hint="default" w:ascii="Times New Roman" w:hAnsi="Times New Roman" w:cs="Times New Roman"/>
          <w:color w:val="auto"/>
          <w:sz w:val="24"/>
          <w:szCs w:val="24"/>
          <w:highlight w:val="none"/>
          <w:u w:val="none"/>
          <w:lang w:val="en-US" w:eastAsia="zh-CN"/>
        </w:rPr>
        <w:t>画眉共9种，有湖南省级保护野生动物中华蟾蜍、沼蛙、黑斑侧褶蛙、泽陆蛙、饰纹姬蛙、中国石龙子、铜蜓蜥、王锦蛇、滑鼠蛇、乌梢蛇、银环蛇、灰胸竹鸡、环颈雉、山斑鸠、普通翠鸟、领雀嘴鹎、棕背伯劳、隐纹花松鼠、野猪、小麂、华南兔等86种。</w:t>
      </w:r>
      <w:r>
        <w:rPr>
          <w:rFonts w:hint="eastAsia" w:ascii="Times New Roman" w:hAnsi="Times New Roman" w:cs="Times New Roman"/>
          <w:color w:val="auto"/>
          <w:sz w:val="24"/>
          <w:szCs w:val="24"/>
          <w:highlight w:val="none"/>
          <w:u w:val="none"/>
          <w:lang w:val="en-US" w:eastAsia="zh-CN"/>
        </w:rPr>
        <w:t>以上物种均未列入《中国生物多样性红色名录》中极危（CriticallyEndangered）、濒危（Endangered）和易危（Vulnerable）物种，不属于国家和地方政府列入拯救保护的极小种群物种，也不属于特有种。因此，本项目评价区内的保护动物不属于HJ19-2022所定义的重要物种，不涉及重要生境。</w:t>
      </w:r>
    </w:p>
    <w:p w14:paraId="580731E3">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ascii="Times New Roman" w:hAnsi="Times New Roman" w:eastAsia="宋体" w:cs="Times New Roman"/>
          <w:b/>
          <w:bCs/>
          <w:color w:val="auto"/>
          <w:sz w:val="15"/>
          <w:szCs w:val="15"/>
          <w:highlight w:val="none"/>
          <w:u w:val="none"/>
          <w:lang w:val="en-US" w:eastAsia="zh-CN"/>
        </w:rPr>
      </w:pPr>
      <w:r>
        <w:rPr>
          <w:rFonts w:hint="eastAsia" w:ascii="Times New Roman" w:hAnsi="Times New Roman" w:eastAsia="宋体" w:cs="Times New Roman"/>
          <w:b/>
          <w:bCs/>
          <w:color w:val="auto"/>
          <w:sz w:val="15"/>
          <w:szCs w:val="15"/>
          <w:highlight w:val="none"/>
          <w:u w:val="none"/>
          <w:lang w:val="en-US" w:eastAsia="zh-CN"/>
        </w:rPr>
        <w:t>注：重要物种是指在生态影响评价中需要重点关注、具有较高保护价值或保护要求的物种，包括国家及地方重点保护野生动植物名录所列的物种，《中国生物多样性红色名录》中列为极危（Critically Endangered）、濒危（Endangered）和易危（Vulnerable）的物种，国家和地方政府列入拯救保护的极小种群物种，特有种以及古树名木等。</w:t>
      </w:r>
    </w:p>
    <w:p w14:paraId="7FD40580">
      <w:pPr>
        <w:keepNext w:val="0"/>
        <w:keepLines w:val="0"/>
        <w:pageBreakBefore w:val="0"/>
        <w:widowControl w:val="0"/>
        <w:kinsoku/>
        <w:wordWrap/>
        <w:overflowPunct/>
        <w:topLinePunct w:val="0"/>
        <w:autoSpaceDE/>
        <w:autoSpaceDN/>
        <w:bidi w:val="0"/>
        <w:adjustRightInd w:val="0"/>
        <w:snapToGrid w:val="0"/>
        <w:textAlignment w:val="auto"/>
        <w:rPr>
          <w:color w:val="auto"/>
          <w:highlight w:val="none"/>
        </w:rPr>
      </w:pPr>
      <w:r>
        <w:rPr>
          <w:rFonts w:hint="default" w:ascii="Times New Roman" w:hAnsi="Times New Roman" w:cs="Times New Roman"/>
          <w:color w:val="auto"/>
          <w:sz w:val="24"/>
          <w:szCs w:val="24"/>
          <w:highlight w:val="none"/>
          <w:u w:val="none"/>
          <w:lang w:val="en-US" w:eastAsia="zh-CN"/>
        </w:rPr>
        <w:t>根据《环境影响评价技术导则  生态影响》（HJ19-2022），依据建设项目影响区域的生态敏感性和影响程度，评价等级划分为一级、二级和三级。按以下原则确定评价等级：</w:t>
      </w:r>
    </w:p>
    <w:p w14:paraId="4C76085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b/>
          <w:bCs/>
          <w:color w:val="auto"/>
          <w:sz w:val="24"/>
          <w:szCs w:val="24"/>
          <w:highlight w:val="none"/>
          <w:u w:val="none"/>
          <w:lang w:val="en-US" w:eastAsia="zh-CN"/>
        </w:rPr>
      </w:pPr>
    </w:p>
    <w:p w14:paraId="42E529C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b/>
          <w:bCs/>
          <w:color w:val="auto"/>
          <w:sz w:val="24"/>
          <w:szCs w:val="24"/>
          <w:highlight w:val="none"/>
          <w:u w:val="none"/>
          <w:lang w:val="en-US" w:eastAsia="zh-CN"/>
        </w:rPr>
      </w:pPr>
    </w:p>
    <w:p w14:paraId="06E9FEA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b/>
          <w:bCs/>
          <w:color w:val="auto"/>
          <w:sz w:val="24"/>
          <w:szCs w:val="24"/>
          <w:highlight w:val="none"/>
          <w:u w:val="none"/>
          <w:lang w:val="en-US" w:eastAsia="zh-CN"/>
        </w:rPr>
      </w:pPr>
      <w:r>
        <w:rPr>
          <w:rFonts w:hint="default" w:ascii="Times New Roman" w:hAnsi="Times New Roman" w:cs="Times New Roman"/>
          <w:b/>
          <w:bCs/>
          <w:color w:val="auto"/>
          <w:sz w:val="24"/>
          <w:szCs w:val="24"/>
          <w:highlight w:val="none"/>
          <w:u w:val="none"/>
          <w:lang w:val="en-US" w:eastAsia="zh-CN"/>
        </w:rPr>
        <w:t>表</w:t>
      </w:r>
      <w:r>
        <w:rPr>
          <w:rFonts w:hint="eastAsia" w:ascii="Times New Roman" w:hAnsi="Times New Roman" w:cs="Times New Roman"/>
          <w:b/>
          <w:bCs/>
          <w:color w:val="auto"/>
          <w:sz w:val="24"/>
          <w:szCs w:val="24"/>
          <w:highlight w:val="none"/>
          <w:u w:val="none"/>
          <w:lang w:val="en-US" w:eastAsia="zh-CN"/>
        </w:rPr>
        <w:t>2.2-</w:t>
      </w:r>
      <w:r>
        <w:rPr>
          <w:rFonts w:hint="eastAsia" w:cs="Times New Roman"/>
          <w:b/>
          <w:bCs/>
          <w:color w:val="auto"/>
          <w:sz w:val="24"/>
          <w:szCs w:val="24"/>
          <w:highlight w:val="none"/>
          <w:u w:val="none"/>
          <w:lang w:val="en-US" w:eastAsia="zh-CN"/>
        </w:rPr>
        <w:t>4</w:t>
      </w:r>
      <w:r>
        <w:rPr>
          <w:rFonts w:hint="default" w:ascii="Times New Roman" w:hAnsi="Times New Roman" w:cs="Times New Roman"/>
          <w:b/>
          <w:bCs/>
          <w:color w:val="auto"/>
          <w:sz w:val="24"/>
          <w:szCs w:val="24"/>
          <w:highlight w:val="none"/>
          <w:u w:val="none"/>
          <w:lang w:val="en-US" w:eastAsia="zh-CN"/>
        </w:rPr>
        <w:t xml:space="preserve">  项目生态影响评价等级判定表</w:t>
      </w:r>
    </w:p>
    <w:tbl>
      <w:tblPr>
        <w:tblStyle w:val="20"/>
        <w:tblW w:w="4997"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12"/>
        <w:gridCol w:w="642"/>
        <w:gridCol w:w="3305"/>
        <w:gridCol w:w="2822"/>
        <w:gridCol w:w="1036"/>
      </w:tblGrid>
      <w:tr w14:paraId="5480DF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54" w:type="dxa"/>
            <w:gridSpan w:val="2"/>
            <w:tcBorders>
              <w:tl2br w:val="nil"/>
              <w:tr2bl w:val="nil"/>
            </w:tcBorders>
            <w:noWrap w:val="0"/>
            <w:vAlign w:val="center"/>
          </w:tcPr>
          <w:p w14:paraId="51DBC84F">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z w:val="21"/>
                <w:szCs w:val="21"/>
                <w:highlight w:val="none"/>
                <w:u w:val="none"/>
                <w:vertAlign w:val="baseline"/>
                <w:lang w:val="en-US" w:eastAsia="zh-CN"/>
              </w:rPr>
              <w:t>序号</w:t>
            </w:r>
          </w:p>
        </w:tc>
        <w:tc>
          <w:tcPr>
            <w:tcW w:w="3305" w:type="dxa"/>
            <w:tcBorders>
              <w:tl2br w:val="nil"/>
              <w:tr2bl w:val="nil"/>
            </w:tcBorders>
            <w:noWrap w:val="0"/>
            <w:vAlign w:val="center"/>
          </w:tcPr>
          <w:p w14:paraId="7F0F6A5A">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z w:val="21"/>
                <w:szCs w:val="21"/>
                <w:highlight w:val="none"/>
                <w:u w:val="none"/>
                <w:vertAlign w:val="baseline"/>
                <w:lang w:val="en-US" w:eastAsia="zh-CN"/>
              </w:rPr>
              <w:t>评价等级确定原则</w:t>
            </w:r>
          </w:p>
        </w:tc>
        <w:tc>
          <w:tcPr>
            <w:tcW w:w="2822" w:type="dxa"/>
            <w:tcBorders>
              <w:tl2br w:val="nil"/>
              <w:tr2bl w:val="nil"/>
            </w:tcBorders>
            <w:noWrap w:val="0"/>
            <w:vAlign w:val="center"/>
          </w:tcPr>
          <w:p w14:paraId="15F8C824">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z w:val="21"/>
                <w:szCs w:val="21"/>
                <w:highlight w:val="none"/>
                <w:u w:val="none"/>
                <w:vertAlign w:val="baseline"/>
                <w:lang w:val="en-US" w:eastAsia="zh-CN"/>
              </w:rPr>
              <w:t>本项目情况</w:t>
            </w:r>
          </w:p>
        </w:tc>
        <w:tc>
          <w:tcPr>
            <w:tcW w:w="1036" w:type="dxa"/>
            <w:tcBorders>
              <w:tl2br w:val="nil"/>
              <w:tr2bl w:val="nil"/>
            </w:tcBorders>
            <w:noWrap w:val="0"/>
            <w:vAlign w:val="center"/>
          </w:tcPr>
          <w:p w14:paraId="1EA9DB16">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z w:val="21"/>
                <w:szCs w:val="21"/>
                <w:highlight w:val="none"/>
                <w:u w:val="none"/>
                <w:vertAlign w:val="baseline"/>
                <w:lang w:val="en-US" w:eastAsia="zh-CN"/>
              </w:rPr>
              <w:t>本项目评价等级</w:t>
            </w:r>
          </w:p>
        </w:tc>
      </w:tr>
      <w:tr w14:paraId="2A16DC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12" w:type="dxa"/>
            <w:vMerge w:val="restart"/>
            <w:tcBorders>
              <w:tl2br w:val="nil"/>
              <w:tr2bl w:val="nil"/>
            </w:tcBorders>
            <w:noWrap w:val="0"/>
            <w:vAlign w:val="center"/>
          </w:tcPr>
          <w:p w14:paraId="58794318">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eastAsia="宋体" w:cs="Times New Roman"/>
                <w:color w:val="auto"/>
                <w:spacing w:val="-3"/>
                <w:sz w:val="21"/>
                <w:szCs w:val="21"/>
                <w:highlight w:val="none"/>
                <w:u w:val="none"/>
                <w:lang w:val="en-US" w:eastAsia="zh-CN"/>
              </w:rPr>
            </w:pPr>
            <w:r>
              <w:rPr>
                <w:rFonts w:hint="default" w:ascii="Times New Roman" w:hAnsi="Times New Roman" w:cs="Times New Roman"/>
                <w:color w:val="auto"/>
                <w:spacing w:val="-3"/>
                <w:sz w:val="21"/>
                <w:szCs w:val="21"/>
                <w:highlight w:val="none"/>
                <w:u w:val="none"/>
                <w:lang w:val="en-US" w:eastAsia="zh-CN"/>
              </w:rPr>
              <w:t>导则6.1.2</w:t>
            </w:r>
          </w:p>
        </w:tc>
        <w:tc>
          <w:tcPr>
            <w:tcW w:w="642" w:type="dxa"/>
            <w:tcBorders>
              <w:tl2br w:val="nil"/>
              <w:tr2bl w:val="nil"/>
            </w:tcBorders>
            <w:noWrap w:val="0"/>
            <w:vAlign w:val="center"/>
          </w:tcPr>
          <w:p w14:paraId="2B69EFAA">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eastAsia="宋体" w:cs="Times New Roman"/>
                <w:color w:val="auto"/>
                <w:spacing w:val="-3"/>
                <w:sz w:val="21"/>
                <w:szCs w:val="21"/>
                <w:highlight w:val="none"/>
                <w:u w:val="none"/>
                <w:lang w:val="en-US" w:eastAsia="zh-CN"/>
              </w:rPr>
            </w:pPr>
            <w:r>
              <w:rPr>
                <w:rFonts w:hint="default" w:ascii="Times New Roman" w:hAnsi="Times New Roman" w:cs="Times New Roman"/>
                <w:color w:val="auto"/>
                <w:spacing w:val="-3"/>
                <w:sz w:val="21"/>
                <w:szCs w:val="21"/>
                <w:highlight w:val="none"/>
                <w:u w:val="none"/>
                <w:lang w:val="en-US" w:eastAsia="zh-CN"/>
              </w:rPr>
              <w:t>a）</w:t>
            </w:r>
          </w:p>
        </w:tc>
        <w:tc>
          <w:tcPr>
            <w:tcW w:w="3305" w:type="dxa"/>
            <w:tcBorders>
              <w:tl2br w:val="nil"/>
              <w:tr2bl w:val="nil"/>
            </w:tcBorders>
            <w:noWrap w:val="0"/>
            <w:vAlign w:val="center"/>
          </w:tcPr>
          <w:p w14:paraId="39FF1B4D">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left"/>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pacing w:val="-3"/>
                <w:sz w:val="21"/>
                <w:szCs w:val="21"/>
                <w:highlight w:val="none"/>
                <w:u w:val="none"/>
              </w:rPr>
              <w:t>涉及国家公园、自然保护区、世界自然遗产、重要生境时，评价等级为一级；</w:t>
            </w:r>
          </w:p>
        </w:tc>
        <w:tc>
          <w:tcPr>
            <w:tcW w:w="2822" w:type="dxa"/>
            <w:tcBorders>
              <w:tl2br w:val="nil"/>
              <w:tr2bl w:val="nil"/>
            </w:tcBorders>
            <w:noWrap w:val="0"/>
            <w:vAlign w:val="center"/>
          </w:tcPr>
          <w:p w14:paraId="27DAF3A7">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eastAsia" w:cs="Times New Roman"/>
                <w:color w:val="auto"/>
                <w:sz w:val="21"/>
                <w:szCs w:val="21"/>
                <w:highlight w:val="none"/>
                <w:u w:val="none"/>
                <w:vertAlign w:val="baseline"/>
                <w:lang w:val="en-US" w:eastAsia="zh-CN"/>
              </w:rPr>
              <w:t>本项目临近衡阳三阳自然保护区，与衡阳三阳自然保护区核心区最近的为19#机位，最近直线距离为3.8km；与缓冲区最近的为19#机位，最近直线距离为3.6km；17#、18#、19#机位与胡井实验区较近，最近直线距离分别为125m、455m、142m，但地形关系上均不在衡阳三阳自然保护区的上游区域。本项目生态评价范围覆盖部分实验区，主要为间接影响。</w:t>
            </w:r>
          </w:p>
        </w:tc>
        <w:tc>
          <w:tcPr>
            <w:tcW w:w="1036" w:type="dxa"/>
            <w:tcBorders>
              <w:tl2br w:val="nil"/>
              <w:tr2bl w:val="nil"/>
            </w:tcBorders>
            <w:noWrap w:val="0"/>
            <w:vAlign w:val="center"/>
          </w:tcPr>
          <w:p w14:paraId="7369E0A9">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eastAsia" w:cs="Times New Roman"/>
                <w:color w:val="auto"/>
                <w:sz w:val="21"/>
                <w:szCs w:val="21"/>
                <w:highlight w:val="none"/>
                <w:u w:val="none"/>
                <w:vertAlign w:val="baseline"/>
                <w:lang w:val="en-US" w:eastAsia="zh-CN"/>
              </w:rPr>
              <w:t>一级</w:t>
            </w:r>
          </w:p>
        </w:tc>
      </w:tr>
      <w:tr w14:paraId="1172B3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12" w:type="dxa"/>
            <w:vMerge w:val="continue"/>
            <w:tcBorders>
              <w:tl2br w:val="nil"/>
              <w:tr2bl w:val="nil"/>
            </w:tcBorders>
            <w:noWrap w:val="0"/>
            <w:vAlign w:val="center"/>
          </w:tcPr>
          <w:p w14:paraId="37CF752F">
            <w:pPr>
              <w:pStyle w:val="34"/>
              <w:keepNext w:val="0"/>
              <w:keepLines w:val="0"/>
              <w:pageBreakBefore w:val="0"/>
              <w:widowControl w:val="0"/>
              <w:numPr>
                <w:ilvl w:val="0"/>
                <w:numId w:val="0"/>
              </w:numPr>
              <w:tabs>
                <w:tab w:val="left" w:pos="1120"/>
              </w:tabs>
              <w:kinsoku/>
              <w:wordWrap/>
              <w:overflowPunct/>
              <w:topLinePunct w:val="0"/>
              <w:autoSpaceDE/>
              <w:autoSpaceDN/>
              <w:bidi w:val="0"/>
              <w:adjustRightInd w:val="0"/>
              <w:snapToGrid w:val="0"/>
              <w:spacing w:after="0" w:line="240" w:lineRule="auto"/>
              <w:ind w:right="0" w:rightChars="0" w:firstLine="0" w:firstLineChars="0"/>
              <w:jc w:val="center"/>
              <w:textAlignment w:val="auto"/>
              <w:rPr>
                <w:rFonts w:hint="default" w:ascii="Times New Roman" w:hAnsi="Times New Roman" w:cs="Times New Roman"/>
                <w:color w:val="auto"/>
                <w:spacing w:val="-3"/>
                <w:sz w:val="21"/>
                <w:szCs w:val="21"/>
                <w:highlight w:val="none"/>
                <w:u w:val="none"/>
              </w:rPr>
            </w:pPr>
          </w:p>
        </w:tc>
        <w:tc>
          <w:tcPr>
            <w:tcW w:w="642" w:type="dxa"/>
            <w:tcBorders>
              <w:tl2br w:val="nil"/>
              <w:tr2bl w:val="nil"/>
            </w:tcBorders>
            <w:noWrap w:val="0"/>
            <w:vAlign w:val="center"/>
          </w:tcPr>
          <w:p w14:paraId="61E3798D">
            <w:pPr>
              <w:pStyle w:val="34"/>
              <w:keepNext w:val="0"/>
              <w:keepLines w:val="0"/>
              <w:pageBreakBefore w:val="0"/>
              <w:widowControl w:val="0"/>
              <w:numPr>
                <w:ilvl w:val="0"/>
                <w:numId w:val="0"/>
              </w:numPr>
              <w:tabs>
                <w:tab w:val="left" w:pos="1120"/>
              </w:tabs>
              <w:kinsoku/>
              <w:wordWrap/>
              <w:overflowPunct/>
              <w:topLinePunct w:val="0"/>
              <w:autoSpaceDE/>
              <w:autoSpaceDN/>
              <w:bidi w:val="0"/>
              <w:adjustRightInd w:val="0"/>
              <w:snapToGrid w:val="0"/>
              <w:spacing w:after="0" w:line="240" w:lineRule="auto"/>
              <w:ind w:right="0" w:rightChars="0" w:firstLine="0" w:firstLineChars="0"/>
              <w:jc w:val="center"/>
              <w:textAlignment w:val="auto"/>
              <w:rPr>
                <w:rFonts w:hint="default" w:ascii="Times New Roman" w:hAnsi="Times New Roman" w:eastAsia="宋体" w:cs="Times New Roman"/>
                <w:color w:val="auto"/>
                <w:spacing w:val="-3"/>
                <w:sz w:val="21"/>
                <w:szCs w:val="21"/>
                <w:highlight w:val="none"/>
                <w:u w:val="none"/>
                <w:lang w:val="en-US" w:eastAsia="zh-CN"/>
              </w:rPr>
            </w:pPr>
            <w:r>
              <w:rPr>
                <w:rFonts w:hint="default" w:ascii="Times New Roman" w:hAnsi="Times New Roman" w:cs="Times New Roman"/>
                <w:color w:val="auto"/>
                <w:spacing w:val="-3"/>
                <w:sz w:val="21"/>
                <w:szCs w:val="21"/>
                <w:highlight w:val="none"/>
                <w:u w:val="none"/>
                <w:lang w:val="en-US" w:eastAsia="zh-CN"/>
              </w:rPr>
              <w:t>b）</w:t>
            </w:r>
          </w:p>
        </w:tc>
        <w:tc>
          <w:tcPr>
            <w:tcW w:w="3305" w:type="dxa"/>
            <w:tcBorders>
              <w:tl2br w:val="nil"/>
              <w:tr2bl w:val="nil"/>
            </w:tcBorders>
            <w:noWrap w:val="0"/>
            <w:vAlign w:val="center"/>
          </w:tcPr>
          <w:p w14:paraId="0F435B6D">
            <w:pPr>
              <w:pStyle w:val="34"/>
              <w:keepNext w:val="0"/>
              <w:keepLines w:val="0"/>
              <w:pageBreakBefore w:val="0"/>
              <w:widowControl w:val="0"/>
              <w:numPr>
                <w:ilvl w:val="0"/>
                <w:numId w:val="0"/>
              </w:numPr>
              <w:tabs>
                <w:tab w:val="left" w:pos="1120"/>
              </w:tabs>
              <w:kinsoku/>
              <w:wordWrap/>
              <w:overflowPunct/>
              <w:topLinePunct w:val="0"/>
              <w:autoSpaceDE/>
              <w:autoSpaceDN/>
              <w:bidi w:val="0"/>
              <w:adjustRightInd w:val="0"/>
              <w:snapToGrid w:val="0"/>
              <w:spacing w:after="0" w:line="240" w:lineRule="auto"/>
              <w:ind w:right="0" w:rightChars="0" w:firstLine="0" w:firstLineChars="0"/>
              <w:jc w:val="left"/>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pacing w:val="-3"/>
                <w:sz w:val="21"/>
                <w:szCs w:val="21"/>
                <w:highlight w:val="none"/>
                <w:u w:val="none"/>
              </w:rPr>
              <w:t>涉及自然公园时，评价等级为二级；</w:t>
            </w:r>
          </w:p>
        </w:tc>
        <w:tc>
          <w:tcPr>
            <w:tcW w:w="2822" w:type="dxa"/>
            <w:tcBorders>
              <w:tl2br w:val="nil"/>
              <w:tr2bl w:val="nil"/>
            </w:tcBorders>
            <w:noWrap w:val="0"/>
            <w:vAlign w:val="center"/>
          </w:tcPr>
          <w:p w14:paraId="2D512E0D">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eastAsia" w:ascii="Times New Roman" w:hAnsi="Times New Roman" w:cs="Times New Roman"/>
                <w:color w:val="auto"/>
                <w:sz w:val="21"/>
                <w:szCs w:val="21"/>
                <w:highlight w:val="none"/>
                <w:u w:val="none"/>
                <w:vertAlign w:val="baseline"/>
                <w:lang w:val="en-US" w:eastAsia="zh-CN"/>
              </w:rPr>
              <w:t>不涉及</w:t>
            </w:r>
          </w:p>
        </w:tc>
        <w:tc>
          <w:tcPr>
            <w:tcW w:w="1036" w:type="dxa"/>
            <w:tcBorders>
              <w:tl2br w:val="nil"/>
              <w:tr2bl w:val="nil"/>
            </w:tcBorders>
            <w:noWrap w:val="0"/>
            <w:vAlign w:val="center"/>
          </w:tcPr>
          <w:p w14:paraId="02505C3A">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z w:val="21"/>
                <w:szCs w:val="21"/>
                <w:highlight w:val="none"/>
                <w:u w:val="none"/>
                <w:vertAlign w:val="baseline"/>
                <w:lang w:val="en-US" w:eastAsia="zh-CN"/>
              </w:rPr>
              <w:t>/</w:t>
            </w:r>
          </w:p>
        </w:tc>
      </w:tr>
      <w:tr w14:paraId="43D6CD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12" w:type="dxa"/>
            <w:vMerge w:val="continue"/>
            <w:tcBorders>
              <w:tl2br w:val="nil"/>
              <w:tr2bl w:val="nil"/>
            </w:tcBorders>
            <w:noWrap w:val="0"/>
            <w:vAlign w:val="center"/>
          </w:tcPr>
          <w:p w14:paraId="6D5E6AA8">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pacing w:val="-3"/>
                <w:sz w:val="21"/>
                <w:szCs w:val="21"/>
                <w:highlight w:val="none"/>
                <w:u w:val="none"/>
              </w:rPr>
            </w:pPr>
          </w:p>
        </w:tc>
        <w:tc>
          <w:tcPr>
            <w:tcW w:w="642" w:type="dxa"/>
            <w:tcBorders>
              <w:tl2br w:val="nil"/>
              <w:tr2bl w:val="nil"/>
            </w:tcBorders>
            <w:noWrap w:val="0"/>
            <w:vAlign w:val="center"/>
          </w:tcPr>
          <w:p w14:paraId="7738FFA9">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eastAsia="宋体" w:cs="Times New Roman"/>
                <w:color w:val="auto"/>
                <w:spacing w:val="-3"/>
                <w:sz w:val="21"/>
                <w:szCs w:val="21"/>
                <w:highlight w:val="none"/>
                <w:u w:val="none"/>
                <w:lang w:eastAsia="zh-CN"/>
              </w:rPr>
            </w:pPr>
            <w:r>
              <w:rPr>
                <w:rFonts w:hint="default" w:ascii="Times New Roman" w:hAnsi="Times New Roman" w:cs="Times New Roman"/>
                <w:color w:val="auto"/>
                <w:spacing w:val="-3"/>
                <w:sz w:val="21"/>
                <w:szCs w:val="21"/>
                <w:highlight w:val="none"/>
                <w:u w:val="none"/>
                <w:lang w:val="en-US" w:eastAsia="zh-CN"/>
              </w:rPr>
              <w:t>c</w:t>
            </w:r>
            <w:r>
              <w:rPr>
                <w:rFonts w:hint="default" w:ascii="Times New Roman" w:hAnsi="Times New Roman" w:cs="Times New Roman"/>
                <w:color w:val="auto"/>
                <w:spacing w:val="-3"/>
                <w:sz w:val="21"/>
                <w:szCs w:val="21"/>
                <w:highlight w:val="none"/>
                <w:u w:val="none"/>
                <w:lang w:eastAsia="zh-CN"/>
              </w:rPr>
              <w:t>）</w:t>
            </w:r>
          </w:p>
        </w:tc>
        <w:tc>
          <w:tcPr>
            <w:tcW w:w="3305" w:type="dxa"/>
            <w:tcBorders>
              <w:tl2br w:val="nil"/>
              <w:tr2bl w:val="nil"/>
            </w:tcBorders>
            <w:noWrap w:val="0"/>
            <w:vAlign w:val="center"/>
          </w:tcPr>
          <w:p w14:paraId="75A10649">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left"/>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pacing w:val="-3"/>
                <w:sz w:val="21"/>
                <w:szCs w:val="21"/>
                <w:highlight w:val="none"/>
                <w:u w:val="none"/>
              </w:rPr>
              <w:t>涉及生态保护红线时，评价等级不低于二级；</w:t>
            </w:r>
          </w:p>
        </w:tc>
        <w:tc>
          <w:tcPr>
            <w:tcW w:w="2822" w:type="dxa"/>
            <w:tcBorders>
              <w:tl2br w:val="nil"/>
              <w:tr2bl w:val="nil"/>
            </w:tcBorders>
            <w:noWrap w:val="0"/>
            <w:vAlign w:val="center"/>
          </w:tcPr>
          <w:p w14:paraId="69FEF35E">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eastAsia" w:cs="Times New Roman"/>
                <w:color w:val="auto"/>
                <w:sz w:val="21"/>
                <w:szCs w:val="21"/>
                <w:highlight w:val="none"/>
                <w:u w:val="none"/>
                <w:vertAlign w:val="baseline"/>
                <w:lang w:val="en-US" w:eastAsia="zh-CN"/>
              </w:rPr>
              <w:t>衡阳三阳自然保护区同时被划为生态保护红线，本项目临近衡阳三阳自然保护区。</w:t>
            </w:r>
          </w:p>
        </w:tc>
        <w:tc>
          <w:tcPr>
            <w:tcW w:w="1036" w:type="dxa"/>
            <w:tcBorders>
              <w:tl2br w:val="nil"/>
              <w:tr2bl w:val="nil"/>
            </w:tcBorders>
            <w:noWrap w:val="0"/>
            <w:vAlign w:val="center"/>
          </w:tcPr>
          <w:p w14:paraId="0E9CA435">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eastAsia" w:cs="Times New Roman"/>
                <w:color w:val="auto"/>
                <w:sz w:val="21"/>
                <w:szCs w:val="21"/>
                <w:highlight w:val="none"/>
                <w:u w:val="none"/>
                <w:vertAlign w:val="baseline"/>
                <w:lang w:val="en-US" w:eastAsia="zh-CN"/>
              </w:rPr>
              <w:t>不低于二级</w:t>
            </w:r>
          </w:p>
        </w:tc>
      </w:tr>
      <w:tr w14:paraId="76F3C4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12" w:type="dxa"/>
            <w:vMerge w:val="continue"/>
            <w:tcBorders>
              <w:tl2br w:val="nil"/>
              <w:tr2bl w:val="nil"/>
            </w:tcBorders>
            <w:noWrap w:val="0"/>
            <w:vAlign w:val="center"/>
          </w:tcPr>
          <w:p w14:paraId="20419980">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pacing w:val="-10"/>
                <w:sz w:val="21"/>
                <w:szCs w:val="21"/>
                <w:highlight w:val="none"/>
                <w:u w:val="none"/>
              </w:rPr>
            </w:pPr>
          </w:p>
        </w:tc>
        <w:tc>
          <w:tcPr>
            <w:tcW w:w="642" w:type="dxa"/>
            <w:tcBorders>
              <w:tl2br w:val="nil"/>
              <w:tr2bl w:val="nil"/>
            </w:tcBorders>
            <w:noWrap w:val="0"/>
            <w:vAlign w:val="center"/>
          </w:tcPr>
          <w:p w14:paraId="168EE5CF">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eastAsia="宋体" w:cs="Times New Roman"/>
                <w:color w:val="auto"/>
                <w:spacing w:val="-10"/>
                <w:sz w:val="21"/>
                <w:szCs w:val="21"/>
                <w:highlight w:val="none"/>
                <w:u w:val="none"/>
                <w:lang w:eastAsia="zh-CN"/>
              </w:rPr>
            </w:pPr>
            <w:r>
              <w:rPr>
                <w:rFonts w:hint="default" w:ascii="Times New Roman" w:hAnsi="Times New Roman" w:cs="Times New Roman"/>
                <w:color w:val="auto"/>
                <w:spacing w:val="-10"/>
                <w:sz w:val="21"/>
                <w:szCs w:val="21"/>
                <w:highlight w:val="none"/>
                <w:u w:val="none"/>
                <w:lang w:val="en-US" w:eastAsia="zh-CN"/>
              </w:rPr>
              <w:t>d</w:t>
            </w:r>
            <w:r>
              <w:rPr>
                <w:rFonts w:hint="default" w:ascii="Times New Roman" w:hAnsi="Times New Roman" w:cs="Times New Roman"/>
                <w:color w:val="auto"/>
                <w:spacing w:val="-10"/>
                <w:sz w:val="21"/>
                <w:szCs w:val="21"/>
                <w:highlight w:val="none"/>
                <w:u w:val="none"/>
                <w:lang w:eastAsia="zh-CN"/>
              </w:rPr>
              <w:t>）</w:t>
            </w:r>
          </w:p>
        </w:tc>
        <w:tc>
          <w:tcPr>
            <w:tcW w:w="3305" w:type="dxa"/>
            <w:tcBorders>
              <w:tl2br w:val="nil"/>
              <w:tr2bl w:val="nil"/>
            </w:tcBorders>
            <w:noWrap w:val="0"/>
            <w:vAlign w:val="center"/>
          </w:tcPr>
          <w:p w14:paraId="502A5719">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left"/>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pacing w:val="-10"/>
                <w:sz w:val="21"/>
                <w:szCs w:val="21"/>
                <w:highlight w:val="none"/>
                <w:u w:val="none"/>
              </w:rPr>
              <w:t>根据</w:t>
            </w:r>
            <w:r>
              <w:rPr>
                <w:rFonts w:hint="default" w:ascii="Times New Roman" w:hAnsi="Times New Roman" w:eastAsia="Times New Roman" w:cs="Times New Roman"/>
                <w:color w:val="auto"/>
                <w:sz w:val="21"/>
                <w:szCs w:val="21"/>
                <w:highlight w:val="none"/>
                <w:u w:val="none"/>
              </w:rPr>
              <w:t>HJ2.3</w:t>
            </w:r>
            <w:r>
              <w:rPr>
                <w:rFonts w:hint="default" w:ascii="Times New Roman" w:hAnsi="Times New Roman" w:cs="Times New Roman"/>
                <w:color w:val="auto"/>
                <w:spacing w:val="-3"/>
                <w:sz w:val="21"/>
                <w:szCs w:val="21"/>
                <w:highlight w:val="none"/>
                <w:u w:val="none"/>
              </w:rPr>
              <w:t>判断属于水文要素影响型且地表水评价等级不低于二级的建设项目，生态影响评价等级不低于二级；</w:t>
            </w:r>
          </w:p>
        </w:tc>
        <w:tc>
          <w:tcPr>
            <w:tcW w:w="2822" w:type="dxa"/>
            <w:tcBorders>
              <w:tl2br w:val="nil"/>
              <w:tr2bl w:val="nil"/>
            </w:tcBorders>
            <w:noWrap w:val="0"/>
            <w:vAlign w:val="center"/>
          </w:tcPr>
          <w:p w14:paraId="1CF023C1">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z w:val="21"/>
                <w:szCs w:val="21"/>
                <w:highlight w:val="none"/>
                <w:u w:val="none"/>
                <w:vertAlign w:val="baseline"/>
                <w:lang w:val="en-US" w:eastAsia="zh-CN"/>
              </w:rPr>
              <w:t>本项目不属于水文要素影响型项目</w:t>
            </w:r>
          </w:p>
        </w:tc>
        <w:tc>
          <w:tcPr>
            <w:tcW w:w="1036" w:type="dxa"/>
            <w:tcBorders>
              <w:tl2br w:val="nil"/>
              <w:tr2bl w:val="nil"/>
            </w:tcBorders>
            <w:noWrap w:val="0"/>
            <w:vAlign w:val="center"/>
          </w:tcPr>
          <w:p w14:paraId="735C60F4">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z w:val="21"/>
                <w:szCs w:val="21"/>
                <w:highlight w:val="none"/>
                <w:u w:val="none"/>
                <w:vertAlign w:val="baseline"/>
                <w:lang w:val="en-US" w:eastAsia="zh-CN"/>
              </w:rPr>
              <w:t>/</w:t>
            </w:r>
          </w:p>
        </w:tc>
      </w:tr>
      <w:tr w14:paraId="4AF522E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12" w:type="dxa"/>
            <w:vMerge w:val="continue"/>
            <w:tcBorders>
              <w:tl2br w:val="nil"/>
              <w:tr2bl w:val="nil"/>
            </w:tcBorders>
            <w:noWrap w:val="0"/>
            <w:vAlign w:val="center"/>
          </w:tcPr>
          <w:p w14:paraId="4470DECF">
            <w:pPr>
              <w:pStyle w:val="34"/>
              <w:keepNext w:val="0"/>
              <w:keepLines w:val="0"/>
              <w:pageBreakBefore w:val="0"/>
              <w:widowControl w:val="0"/>
              <w:numPr>
                <w:ilvl w:val="0"/>
                <w:numId w:val="0"/>
              </w:numPr>
              <w:tabs>
                <w:tab w:val="left" w:pos="1108"/>
              </w:tabs>
              <w:kinsoku/>
              <w:wordWrap/>
              <w:overflowPunct/>
              <w:topLinePunct w:val="0"/>
              <w:autoSpaceDE/>
              <w:autoSpaceDN/>
              <w:bidi w:val="0"/>
              <w:adjustRightInd w:val="0"/>
              <w:snapToGrid w:val="0"/>
              <w:spacing w:after="0" w:line="240" w:lineRule="auto"/>
              <w:ind w:right="0" w:rightChars="0" w:firstLine="0" w:firstLineChars="0"/>
              <w:jc w:val="center"/>
              <w:textAlignment w:val="auto"/>
              <w:rPr>
                <w:rFonts w:hint="default" w:ascii="Times New Roman" w:hAnsi="Times New Roman" w:cs="Times New Roman"/>
                <w:color w:val="auto"/>
                <w:spacing w:val="-18"/>
                <w:sz w:val="21"/>
                <w:szCs w:val="21"/>
                <w:highlight w:val="none"/>
                <w:u w:val="none"/>
              </w:rPr>
            </w:pPr>
          </w:p>
        </w:tc>
        <w:tc>
          <w:tcPr>
            <w:tcW w:w="642" w:type="dxa"/>
            <w:tcBorders>
              <w:tl2br w:val="nil"/>
              <w:tr2bl w:val="nil"/>
            </w:tcBorders>
            <w:noWrap w:val="0"/>
            <w:vAlign w:val="center"/>
          </w:tcPr>
          <w:p w14:paraId="41B3EC89">
            <w:pPr>
              <w:pStyle w:val="34"/>
              <w:keepNext w:val="0"/>
              <w:keepLines w:val="0"/>
              <w:pageBreakBefore w:val="0"/>
              <w:widowControl w:val="0"/>
              <w:numPr>
                <w:ilvl w:val="0"/>
                <w:numId w:val="0"/>
              </w:numPr>
              <w:tabs>
                <w:tab w:val="left" w:pos="1120"/>
              </w:tabs>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color w:val="auto"/>
                <w:spacing w:val="-3"/>
                <w:kern w:val="2"/>
                <w:sz w:val="21"/>
                <w:szCs w:val="21"/>
                <w:highlight w:val="none"/>
                <w:u w:val="none"/>
                <w:lang w:val="en-US" w:eastAsia="zh-CN" w:bidi="ar-SA"/>
              </w:rPr>
            </w:pPr>
            <w:r>
              <w:rPr>
                <w:rFonts w:hint="default" w:ascii="Times New Roman" w:hAnsi="Times New Roman" w:cs="Times New Roman"/>
                <w:color w:val="auto"/>
                <w:spacing w:val="-3"/>
                <w:sz w:val="21"/>
                <w:szCs w:val="21"/>
                <w:highlight w:val="none"/>
                <w:u w:val="none"/>
                <w:lang w:val="en-US" w:eastAsia="zh-CN"/>
              </w:rPr>
              <w:t>e）</w:t>
            </w:r>
          </w:p>
        </w:tc>
        <w:tc>
          <w:tcPr>
            <w:tcW w:w="3305" w:type="dxa"/>
            <w:tcBorders>
              <w:tl2br w:val="nil"/>
              <w:tr2bl w:val="nil"/>
            </w:tcBorders>
            <w:noWrap w:val="0"/>
            <w:vAlign w:val="center"/>
          </w:tcPr>
          <w:p w14:paraId="44274E54">
            <w:pPr>
              <w:pStyle w:val="34"/>
              <w:keepNext w:val="0"/>
              <w:keepLines w:val="0"/>
              <w:pageBreakBefore w:val="0"/>
              <w:widowControl w:val="0"/>
              <w:numPr>
                <w:ilvl w:val="0"/>
                <w:numId w:val="0"/>
              </w:numPr>
              <w:tabs>
                <w:tab w:val="left" w:pos="1108"/>
              </w:tabs>
              <w:kinsoku/>
              <w:wordWrap/>
              <w:overflowPunct/>
              <w:topLinePunct w:val="0"/>
              <w:autoSpaceDE/>
              <w:autoSpaceDN/>
              <w:bidi w:val="0"/>
              <w:adjustRightInd w:val="0"/>
              <w:snapToGrid w:val="0"/>
              <w:spacing w:after="0" w:line="240" w:lineRule="auto"/>
              <w:ind w:right="0" w:rightChars="0" w:firstLine="0" w:firstLineChars="0"/>
              <w:jc w:val="left"/>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pacing w:val="-18"/>
                <w:sz w:val="21"/>
                <w:szCs w:val="21"/>
                <w:highlight w:val="none"/>
                <w:u w:val="none"/>
              </w:rPr>
              <w:t>根据</w:t>
            </w:r>
            <w:r>
              <w:rPr>
                <w:rFonts w:hint="default" w:ascii="Times New Roman" w:hAnsi="Times New Roman" w:eastAsia="Times New Roman" w:cs="Times New Roman"/>
                <w:color w:val="auto"/>
                <w:sz w:val="21"/>
                <w:szCs w:val="21"/>
                <w:highlight w:val="none"/>
                <w:u w:val="none"/>
              </w:rPr>
              <w:t>HJ610</w:t>
            </w:r>
            <w:r>
              <w:rPr>
                <w:rFonts w:hint="default" w:ascii="Times New Roman" w:hAnsi="Times New Roman" w:cs="Times New Roman"/>
                <w:color w:val="auto"/>
                <w:sz w:val="21"/>
                <w:szCs w:val="21"/>
                <w:highlight w:val="none"/>
                <w:u w:val="none"/>
              </w:rPr>
              <w:t>、</w:t>
            </w:r>
            <w:r>
              <w:rPr>
                <w:rFonts w:hint="default" w:ascii="Times New Roman" w:hAnsi="Times New Roman" w:eastAsia="Times New Roman" w:cs="Times New Roman"/>
                <w:color w:val="auto"/>
                <w:sz w:val="21"/>
                <w:szCs w:val="21"/>
                <w:highlight w:val="none"/>
                <w:u w:val="none"/>
              </w:rPr>
              <w:t>HJ964</w:t>
            </w:r>
            <w:r>
              <w:rPr>
                <w:rFonts w:hint="default" w:ascii="Times New Roman" w:hAnsi="Times New Roman" w:cs="Times New Roman"/>
                <w:color w:val="auto"/>
                <w:spacing w:val="-3"/>
                <w:sz w:val="21"/>
                <w:szCs w:val="21"/>
                <w:highlight w:val="none"/>
                <w:u w:val="none"/>
              </w:rPr>
              <w:t>判断地下水水位或土壤影响范围内分布有天然林、公益林、湿地等生态保护目标的建设项目，生态影响评价等级不低于二级；</w:t>
            </w:r>
          </w:p>
        </w:tc>
        <w:tc>
          <w:tcPr>
            <w:tcW w:w="2822" w:type="dxa"/>
            <w:tcBorders>
              <w:tl2br w:val="nil"/>
              <w:tr2bl w:val="nil"/>
            </w:tcBorders>
            <w:noWrap w:val="0"/>
            <w:vAlign w:val="center"/>
          </w:tcPr>
          <w:p w14:paraId="2D213878">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eastAsia" w:ascii="Times New Roman" w:hAnsi="Times New Roman" w:cs="Times New Roman"/>
                <w:color w:val="auto"/>
                <w:sz w:val="21"/>
                <w:szCs w:val="21"/>
                <w:highlight w:val="none"/>
                <w:u w:val="none"/>
                <w:vertAlign w:val="baseline"/>
                <w:lang w:val="en-US" w:eastAsia="zh-CN"/>
              </w:rPr>
              <w:t>本项目工程建设内容主要为为风电机组、道路工程、集电线路及升压站，工程地下水、土壤影响范围主要为项目占地范围，项目占地范围内无天然林、公益林、湿地等生态保护目标。</w:t>
            </w:r>
          </w:p>
        </w:tc>
        <w:tc>
          <w:tcPr>
            <w:tcW w:w="1036" w:type="dxa"/>
            <w:tcBorders>
              <w:tl2br w:val="nil"/>
              <w:tr2bl w:val="nil"/>
            </w:tcBorders>
            <w:noWrap w:val="0"/>
            <w:vAlign w:val="center"/>
          </w:tcPr>
          <w:p w14:paraId="061B717F">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eastAsia" w:ascii="Times New Roman" w:hAnsi="Times New Roman" w:cs="Times New Roman"/>
                <w:color w:val="auto"/>
                <w:sz w:val="21"/>
                <w:szCs w:val="21"/>
                <w:highlight w:val="none"/>
                <w:u w:val="none"/>
                <w:vertAlign w:val="baseline"/>
                <w:lang w:val="en-US" w:eastAsia="zh-CN"/>
              </w:rPr>
              <w:t>/</w:t>
            </w:r>
          </w:p>
        </w:tc>
      </w:tr>
      <w:tr w14:paraId="4F4A55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12" w:type="dxa"/>
            <w:vMerge w:val="continue"/>
            <w:tcBorders>
              <w:tl2br w:val="nil"/>
              <w:tr2bl w:val="nil"/>
            </w:tcBorders>
            <w:noWrap w:val="0"/>
            <w:vAlign w:val="center"/>
          </w:tcPr>
          <w:p w14:paraId="3F64C513">
            <w:pPr>
              <w:pStyle w:val="34"/>
              <w:keepNext w:val="0"/>
              <w:keepLines w:val="0"/>
              <w:pageBreakBefore w:val="0"/>
              <w:widowControl w:val="0"/>
              <w:numPr>
                <w:ilvl w:val="0"/>
                <w:numId w:val="0"/>
              </w:numPr>
              <w:tabs>
                <w:tab w:val="left" w:pos="1079"/>
              </w:tabs>
              <w:kinsoku/>
              <w:wordWrap/>
              <w:overflowPunct/>
              <w:topLinePunct w:val="0"/>
              <w:autoSpaceDE/>
              <w:autoSpaceDN/>
              <w:bidi w:val="0"/>
              <w:adjustRightInd w:val="0"/>
              <w:snapToGrid w:val="0"/>
              <w:spacing w:after="0" w:line="240" w:lineRule="auto"/>
              <w:ind w:right="0" w:rightChars="0" w:firstLine="0" w:firstLineChars="0"/>
              <w:jc w:val="center"/>
              <w:textAlignment w:val="auto"/>
              <w:rPr>
                <w:rFonts w:hint="default" w:ascii="Times New Roman" w:hAnsi="Times New Roman" w:cs="Times New Roman"/>
                <w:color w:val="auto"/>
                <w:spacing w:val="-3"/>
                <w:w w:val="100"/>
                <w:sz w:val="21"/>
                <w:szCs w:val="21"/>
                <w:highlight w:val="none"/>
                <w:u w:val="none"/>
              </w:rPr>
            </w:pPr>
          </w:p>
        </w:tc>
        <w:tc>
          <w:tcPr>
            <w:tcW w:w="642" w:type="dxa"/>
            <w:tcBorders>
              <w:tl2br w:val="nil"/>
              <w:tr2bl w:val="nil"/>
            </w:tcBorders>
            <w:noWrap w:val="0"/>
            <w:vAlign w:val="center"/>
          </w:tcPr>
          <w:p w14:paraId="5B2ADB44">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eastAsia="宋体" w:cs="Times New Roman"/>
                <w:color w:val="auto"/>
                <w:spacing w:val="-3"/>
                <w:kern w:val="2"/>
                <w:sz w:val="21"/>
                <w:szCs w:val="21"/>
                <w:highlight w:val="none"/>
                <w:u w:val="none"/>
                <w:lang w:val="en-US" w:eastAsia="zh-CN" w:bidi="ar-SA"/>
              </w:rPr>
            </w:pPr>
            <w:r>
              <w:rPr>
                <w:rFonts w:hint="default" w:ascii="Times New Roman" w:hAnsi="Times New Roman" w:cs="Times New Roman"/>
                <w:color w:val="auto"/>
                <w:spacing w:val="-3"/>
                <w:sz w:val="21"/>
                <w:szCs w:val="21"/>
                <w:highlight w:val="none"/>
                <w:u w:val="none"/>
                <w:lang w:val="en-US" w:eastAsia="zh-CN"/>
              </w:rPr>
              <w:t>f</w:t>
            </w:r>
            <w:r>
              <w:rPr>
                <w:rFonts w:hint="default" w:ascii="Times New Roman" w:hAnsi="Times New Roman" w:cs="Times New Roman"/>
                <w:color w:val="auto"/>
                <w:spacing w:val="-3"/>
                <w:sz w:val="21"/>
                <w:szCs w:val="21"/>
                <w:highlight w:val="none"/>
                <w:u w:val="none"/>
                <w:lang w:eastAsia="zh-CN"/>
              </w:rPr>
              <w:t>）</w:t>
            </w:r>
          </w:p>
        </w:tc>
        <w:tc>
          <w:tcPr>
            <w:tcW w:w="3305" w:type="dxa"/>
            <w:tcBorders>
              <w:tl2br w:val="nil"/>
              <w:tr2bl w:val="nil"/>
            </w:tcBorders>
            <w:noWrap w:val="0"/>
            <w:vAlign w:val="center"/>
          </w:tcPr>
          <w:p w14:paraId="01E2493B">
            <w:pPr>
              <w:pStyle w:val="34"/>
              <w:keepNext w:val="0"/>
              <w:keepLines w:val="0"/>
              <w:pageBreakBefore w:val="0"/>
              <w:widowControl w:val="0"/>
              <w:numPr>
                <w:ilvl w:val="0"/>
                <w:numId w:val="0"/>
              </w:numPr>
              <w:tabs>
                <w:tab w:val="left" w:pos="1079"/>
              </w:tabs>
              <w:kinsoku/>
              <w:wordWrap/>
              <w:overflowPunct/>
              <w:topLinePunct w:val="0"/>
              <w:autoSpaceDE/>
              <w:autoSpaceDN/>
              <w:bidi w:val="0"/>
              <w:adjustRightInd w:val="0"/>
              <w:snapToGrid w:val="0"/>
              <w:spacing w:after="0" w:line="240" w:lineRule="auto"/>
              <w:ind w:right="0" w:rightChars="0" w:firstLine="0" w:firstLineChars="0"/>
              <w:jc w:val="left"/>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pacing w:val="-3"/>
                <w:w w:val="100"/>
                <w:sz w:val="21"/>
                <w:szCs w:val="21"/>
                <w:highlight w:val="none"/>
                <w:u w:val="none"/>
              </w:rPr>
              <w:t>当工程占地规模大于</w:t>
            </w:r>
            <w:r>
              <w:rPr>
                <w:rFonts w:hint="default" w:ascii="Times New Roman" w:hAnsi="Times New Roman" w:cs="Times New Roman"/>
                <w:color w:val="auto"/>
                <w:spacing w:val="-52"/>
                <w:sz w:val="21"/>
                <w:szCs w:val="21"/>
                <w:highlight w:val="none"/>
                <w:u w:val="none"/>
              </w:rPr>
              <w:t xml:space="preserve"> </w:t>
            </w:r>
            <w:r>
              <w:rPr>
                <w:rFonts w:hint="default" w:ascii="Times New Roman" w:hAnsi="Times New Roman" w:eastAsia="Times New Roman" w:cs="Times New Roman"/>
                <w:color w:val="auto"/>
                <w:spacing w:val="-3"/>
                <w:w w:val="100"/>
                <w:sz w:val="21"/>
                <w:szCs w:val="21"/>
                <w:highlight w:val="none"/>
                <w:u w:val="none"/>
              </w:rPr>
              <w:t>2</w:t>
            </w:r>
            <w:r>
              <w:rPr>
                <w:rFonts w:hint="default" w:ascii="Times New Roman" w:hAnsi="Times New Roman" w:eastAsia="Times New Roman" w:cs="Times New Roman"/>
                <w:color w:val="auto"/>
                <w:w w:val="100"/>
                <w:sz w:val="21"/>
                <w:szCs w:val="21"/>
                <w:highlight w:val="none"/>
                <w:u w:val="none"/>
              </w:rPr>
              <w:t>0k</w:t>
            </w:r>
            <w:r>
              <w:rPr>
                <w:rFonts w:hint="default" w:ascii="Times New Roman" w:hAnsi="Times New Roman" w:eastAsia="Times New Roman" w:cs="Times New Roman"/>
                <w:color w:val="auto"/>
                <w:spacing w:val="-4"/>
                <w:w w:val="100"/>
                <w:sz w:val="21"/>
                <w:szCs w:val="21"/>
                <w:highlight w:val="none"/>
                <w:u w:val="none"/>
              </w:rPr>
              <w:t>m</w:t>
            </w:r>
            <w:r>
              <w:rPr>
                <w:rFonts w:hint="eastAsia" w:ascii="Times New Roman" w:hAnsi="Times New Roman" w:eastAsia="宋体" w:cs="Times New Roman"/>
                <w:color w:val="auto"/>
                <w:spacing w:val="-4"/>
                <w:w w:val="100"/>
                <w:sz w:val="21"/>
                <w:szCs w:val="21"/>
                <w:highlight w:val="none"/>
                <w:u w:val="none"/>
                <w:vertAlign w:val="superscript"/>
                <w:lang w:val="en-US" w:eastAsia="zh-CN"/>
              </w:rPr>
              <w:t>2</w:t>
            </w:r>
            <w:r>
              <w:rPr>
                <w:rFonts w:hint="default" w:ascii="Times New Roman" w:hAnsi="Times New Roman" w:cs="Times New Roman"/>
                <w:color w:val="auto"/>
                <w:spacing w:val="-3"/>
                <w:w w:val="100"/>
                <w:sz w:val="21"/>
                <w:szCs w:val="21"/>
                <w:highlight w:val="none"/>
                <w:u w:val="none"/>
                <w:vertAlign w:val="baseline"/>
              </w:rPr>
              <w:t>时（包括永久和临时占用陆域和水域</w:t>
            </w:r>
            <w:r>
              <w:rPr>
                <w:rFonts w:hint="default" w:ascii="Times New Roman" w:hAnsi="Times New Roman" w:cs="Times New Roman"/>
                <w:color w:val="auto"/>
                <w:spacing w:val="-108"/>
                <w:w w:val="100"/>
                <w:sz w:val="21"/>
                <w:szCs w:val="21"/>
                <w:highlight w:val="none"/>
                <w:u w:val="none"/>
                <w:vertAlign w:val="baseline"/>
              </w:rPr>
              <w:t>）</w:t>
            </w:r>
            <w:r>
              <w:rPr>
                <w:rFonts w:hint="default" w:ascii="Times New Roman" w:hAnsi="Times New Roman" w:cs="Times New Roman"/>
                <w:color w:val="auto"/>
                <w:spacing w:val="-3"/>
                <w:w w:val="100"/>
                <w:sz w:val="21"/>
                <w:szCs w:val="21"/>
                <w:highlight w:val="none"/>
                <w:u w:val="none"/>
                <w:vertAlign w:val="baseline"/>
              </w:rPr>
              <w:t>，评价等级不低于二级；改</w:t>
            </w:r>
            <w:r>
              <w:rPr>
                <w:rFonts w:hint="default" w:ascii="Times New Roman" w:hAnsi="Times New Roman" w:cs="Times New Roman"/>
                <w:color w:val="auto"/>
                <w:spacing w:val="-3"/>
                <w:sz w:val="21"/>
                <w:szCs w:val="21"/>
                <w:highlight w:val="none"/>
                <w:u w:val="none"/>
                <w:vertAlign w:val="baseline"/>
              </w:rPr>
              <w:t>扩建项目的占地范围以新增占地</w:t>
            </w:r>
            <w:r>
              <w:rPr>
                <w:rFonts w:hint="default" w:ascii="Times New Roman" w:hAnsi="Times New Roman" w:cs="Times New Roman"/>
                <w:color w:val="auto"/>
                <w:sz w:val="21"/>
                <w:szCs w:val="21"/>
                <w:highlight w:val="none"/>
                <w:u w:val="none"/>
                <w:vertAlign w:val="baseline"/>
              </w:rPr>
              <w:t>（</w:t>
            </w:r>
            <w:r>
              <w:rPr>
                <w:rFonts w:hint="default" w:ascii="Times New Roman" w:hAnsi="Times New Roman" w:cs="Times New Roman"/>
                <w:color w:val="auto"/>
                <w:spacing w:val="-3"/>
                <w:sz w:val="21"/>
                <w:szCs w:val="21"/>
                <w:highlight w:val="none"/>
                <w:u w:val="none"/>
                <w:vertAlign w:val="baseline"/>
              </w:rPr>
              <w:t>包括陆域和水域</w:t>
            </w:r>
            <w:r>
              <w:rPr>
                <w:rFonts w:hint="default" w:ascii="Times New Roman" w:hAnsi="Times New Roman" w:cs="Times New Roman"/>
                <w:color w:val="auto"/>
                <w:sz w:val="21"/>
                <w:szCs w:val="21"/>
                <w:highlight w:val="none"/>
                <w:u w:val="none"/>
                <w:vertAlign w:val="baseline"/>
              </w:rPr>
              <w:t>）</w:t>
            </w:r>
            <w:r>
              <w:rPr>
                <w:rFonts w:hint="default" w:ascii="Times New Roman" w:hAnsi="Times New Roman" w:cs="Times New Roman"/>
                <w:color w:val="auto"/>
                <w:spacing w:val="-2"/>
                <w:sz w:val="21"/>
                <w:szCs w:val="21"/>
                <w:highlight w:val="none"/>
                <w:u w:val="none"/>
                <w:vertAlign w:val="baseline"/>
              </w:rPr>
              <w:t>确定；</w:t>
            </w:r>
          </w:p>
        </w:tc>
        <w:tc>
          <w:tcPr>
            <w:tcW w:w="2822" w:type="dxa"/>
            <w:tcBorders>
              <w:tl2br w:val="nil"/>
              <w:tr2bl w:val="nil"/>
            </w:tcBorders>
            <w:noWrap w:val="0"/>
            <w:vAlign w:val="center"/>
          </w:tcPr>
          <w:p w14:paraId="2BC9ACF5">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z w:val="21"/>
                <w:szCs w:val="21"/>
                <w:highlight w:val="none"/>
                <w:u w:val="none"/>
                <w:vertAlign w:val="baseline"/>
                <w:lang w:val="en-US" w:eastAsia="zh-CN"/>
              </w:rPr>
              <w:t>本项目占地规模</w:t>
            </w:r>
            <w:r>
              <w:rPr>
                <w:rFonts w:hint="eastAsia" w:ascii="Times New Roman" w:hAnsi="Times New Roman" w:cs="Times New Roman"/>
                <w:color w:val="auto"/>
                <w:sz w:val="21"/>
                <w:szCs w:val="21"/>
                <w:highlight w:val="none"/>
                <w:u w:val="none"/>
                <w:vertAlign w:val="baseline"/>
                <w:lang w:val="en-US" w:eastAsia="zh-CN"/>
              </w:rPr>
              <w:t>49.38</w:t>
            </w:r>
            <w:r>
              <w:rPr>
                <w:rFonts w:hint="eastAsia" w:ascii="Times New Roman" w:hAnsi="Times New Roman" w:eastAsia="宋体" w:cs="Times New Roman"/>
                <w:color w:val="auto"/>
                <w:w w:val="100"/>
                <w:sz w:val="21"/>
                <w:szCs w:val="21"/>
                <w:highlight w:val="none"/>
                <w:u w:val="none"/>
                <w:lang w:val="en-US" w:eastAsia="zh-CN"/>
              </w:rPr>
              <w:t>h</w:t>
            </w:r>
            <w:r>
              <w:rPr>
                <w:rFonts w:hint="default" w:ascii="Times New Roman" w:hAnsi="Times New Roman" w:eastAsia="Times New Roman" w:cs="Times New Roman"/>
                <w:color w:val="auto"/>
                <w:spacing w:val="-4"/>
                <w:w w:val="100"/>
                <w:sz w:val="21"/>
                <w:szCs w:val="21"/>
                <w:highlight w:val="none"/>
                <w:u w:val="none"/>
              </w:rPr>
              <w:t>m</w:t>
            </w:r>
            <w:r>
              <w:rPr>
                <w:rFonts w:hint="eastAsia" w:ascii="Times New Roman" w:hAnsi="Times New Roman" w:eastAsia="宋体" w:cs="Times New Roman"/>
                <w:color w:val="auto"/>
                <w:spacing w:val="-4"/>
                <w:w w:val="100"/>
                <w:sz w:val="21"/>
                <w:szCs w:val="21"/>
                <w:highlight w:val="none"/>
                <w:u w:val="none"/>
                <w:vertAlign w:val="superscript"/>
                <w:lang w:val="en-US" w:eastAsia="zh-CN"/>
              </w:rPr>
              <w:t>2</w:t>
            </w:r>
            <w:r>
              <w:rPr>
                <w:rFonts w:hint="eastAsia" w:ascii="Times New Roman" w:hAnsi="Times New Roman" w:cs="Times New Roman"/>
                <w:color w:val="auto"/>
                <w:sz w:val="21"/>
                <w:szCs w:val="21"/>
                <w:highlight w:val="none"/>
                <w:u w:val="none"/>
                <w:vertAlign w:val="baseline"/>
                <w:lang w:val="en-US" w:eastAsia="zh-CN"/>
              </w:rPr>
              <w:t>=0.4938km</w:t>
            </w:r>
            <w:r>
              <w:rPr>
                <w:rFonts w:hint="eastAsia" w:ascii="Times New Roman" w:hAnsi="Times New Roman" w:cs="Times New Roman"/>
                <w:color w:val="auto"/>
                <w:sz w:val="21"/>
                <w:szCs w:val="21"/>
                <w:highlight w:val="none"/>
                <w:u w:val="none"/>
                <w:vertAlign w:val="superscript"/>
                <w:lang w:val="en-US" w:eastAsia="zh-CN"/>
              </w:rPr>
              <w:t>2</w:t>
            </w:r>
            <w:r>
              <w:rPr>
                <w:rFonts w:hint="default" w:ascii="Times New Roman" w:hAnsi="Times New Roman" w:cs="Times New Roman"/>
                <w:color w:val="auto"/>
                <w:sz w:val="21"/>
                <w:szCs w:val="21"/>
                <w:highlight w:val="none"/>
                <w:u w:val="none"/>
                <w:vertAlign w:val="baseline"/>
                <w:lang w:val="en-US" w:eastAsia="zh-CN"/>
              </w:rPr>
              <w:t>＜20</w:t>
            </w:r>
            <w:r>
              <w:rPr>
                <w:rFonts w:hint="default" w:ascii="Times New Roman" w:hAnsi="Times New Roman" w:eastAsia="Times New Roman" w:cs="Times New Roman"/>
                <w:color w:val="auto"/>
                <w:w w:val="100"/>
                <w:sz w:val="21"/>
                <w:szCs w:val="21"/>
                <w:highlight w:val="none"/>
                <w:u w:val="none"/>
              </w:rPr>
              <w:t>k</w:t>
            </w:r>
            <w:r>
              <w:rPr>
                <w:rFonts w:hint="default" w:ascii="Times New Roman" w:hAnsi="Times New Roman" w:eastAsia="Times New Roman" w:cs="Times New Roman"/>
                <w:color w:val="auto"/>
                <w:spacing w:val="-4"/>
                <w:w w:val="100"/>
                <w:sz w:val="21"/>
                <w:szCs w:val="21"/>
                <w:highlight w:val="none"/>
                <w:u w:val="none"/>
              </w:rPr>
              <w:t>m</w:t>
            </w:r>
            <w:r>
              <w:rPr>
                <w:rFonts w:hint="eastAsia" w:ascii="Times New Roman" w:hAnsi="Times New Roman" w:cs="Times New Roman"/>
                <w:color w:val="auto"/>
                <w:sz w:val="21"/>
                <w:szCs w:val="21"/>
                <w:highlight w:val="none"/>
                <w:u w:val="none"/>
                <w:vertAlign w:val="superscript"/>
                <w:lang w:val="en-US" w:eastAsia="zh-CN"/>
              </w:rPr>
              <w:t>2</w:t>
            </w:r>
          </w:p>
        </w:tc>
        <w:tc>
          <w:tcPr>
            <w:tcW w:w="1036" w:type="dxa"/>
            <w:tcBorders>
              <w:tl2br w:val="nil"/>
              <w:tr2bl w:val="nil"/>
            </w:tcBorders>
            <w:noWrap w:val="0"/>
            <w:vAlign w:val="center"/>
          </w:tcPr>
          <w:p w14:paraId="0038B6DD">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z w:val="21"/>
                <w:szCs w:val="21"/>
                <w:highlight w:val="none"/>
                <w:u w:val="none"/>
                <w:vertAlign w:val="baseline"/>
                <w:lang w:val="en-US" w:eastAsia="zh-CN"/>
              </w:rPr>
              <w:t>三级</w:t>
            </w:r>
          </w:p>
        </w:tc>
      </w:tr>
      <w:tr w14:paraId="6F7D9C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12" w:type="dxa"/>
            <w:vMerge w:val="continue"/>
            <w:tcBorders>
              <w:tl2br w:val="nil"/>
              <w:tr2bl w:val="nil"/>
            </w:tcBorders>
            <w:noWrap w:val="0"/>
            <w:vAlign w:val="center"/>
          </w:tcPr>
          <w:p w14:paraId="279B2320">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pacing w:val="-2"/>
                <w:w w:val="100"/>
                <w:sz w:val="21"/>
                <w:szCs w:val="21"/>
                <w:highlight w:val="none"/>
                <w:u w:val="none"/>
              </w:rPr>
            </w:pPr>
          </w:p>
        </w:tc>
        <w:tc>
          <w:tcPr>
            <w:tcW w:w="642" w:type="dxa"/>
            <w:tcBorders>
              <w:tl2br w:val="nil"/>
              <w:tr2bl w:val="nil"/>
            </w:tcBorders>
            <w:noWrap w:val="0"/>
            <w:vAlign w:val="center"/>
          </w:tcPr>
          <w:p w14:paraId="0CCC76A4">
            <w:pPr>
              <w:keepNext w:val="0"/>
              <w:keepLines w:val="0"/>
              <w:pageBreakBefore w:val="0"/>
              <w:widowControl w:val="0"/>
              <w:kinsoku/>
              <w:wordWrap/>
              <w:overflowPunct/>
              <w:topLinePunct w:val="0"/>
              <w:autoSpaceDE/>
              <w:autoSpaceDN/>
              <w:bidi w:val="0"/>
              <w:adjustRightInd w:val="0"/>
              <w:snapToGrid w:val="0"/>
              <w:spacing w:line="240" w:lineRule="auto"/>
              <w:ind w:right="0" w:rightChars="0" w:firstLine="0" w:firstLineChars="0"/>
              <w:jc w:val="center"/>
              <w:textAlignment w:val="auto"/>
              <w:rPr>
                <w:rFonts w:hint="default" w:ascii="Times New Roman" w:hAnsi="Times New Roman" w:eastAsia="宋体" w:cs="Times New Roman"/>
                <w:color w:val="auto"/>
                <w:spacing w:val="-10"/>
                <w:kern w:val="2"/>
                <w:sz w:val="21"/>
                <w:szCs w:val="21"/>
                <w:highlight w:val="none"/>
                <w:u w:val="none"/>
                <w:lang w:val="en-US" w:eastAsia="zh-CN" w:bidi="ar-SA"/>
              </w:rPr>
            </w:pPr>
            <w:r>
              <w:rPr>
                <w:rFonts w:hint="default" w:ascii="Times New Roman" w:hAnsi="Times New Roman" w:cs="Times New Roman"/>
                <w:color w:val="auto"/>
                <w:spacing w:val="-10"/>
                <w:sz w:val="21"/>
                <w:szCs w:val="21"/>
                <w:highlight w:val="none"/>
                <w:u w:val="none"/>
                <w:lang w:val="en-US" w:eastAsia="zh-CN"/>
              </w:rPr>
              <w:t>g</w:t>
            </w:r>
            <w:r>
              <w:rPr>
                <w:rFonts w:hint="default" w:ascii="Times New Roman" w:hAnsi="Times New Roman" w:cs="Times New Roman"/>
                <w:color w:val="auto"/>
                <w:spacing w:val="-10"/>
                <w:sz w:val="21"/>
                <w:szCs w:val="21"/>
                <w:highlight w:val="none"/>
                <w:u w:val="none"/>
                <w:lang w:eastAsia="zh-CN"/>
              </w:rPr>
              <w:t>）</w:t>
            </w:r>
          </w:p>
        </w:tc>
        <w:tc>
          <w:tcPr>
            <w:tcW w:w="3305" w:type="dxa"/>
            <w:tcBorders>
              <w:tl2br w:val="nil"/>
              <w:tr2bl w:val="nil"/>
            </w:tcBorders>
            <w:noWrap w:val="0"/>
            <w:vAlign w:val="center"/>
          </w:tcPr>
          <w:p w14:paraId="2CD91E02">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left"/>
              <w:textAlignment w:val="auto"/>
              <w:rPr>
                <w:rFonts w:hint="default" w:ascii="Times New Roman" w:hAnsi="Times New Roman" w:eastAsia="宋体" w:cs="Times New Roman"/>
                <w:color w:val="auto"/>
                <w:sz w:val="21"/>
                <w:szCs w:val="21"/>
                <w:highlight w:val="none"/>
                <w:u w:val="none"/>
                <w:vertAlign w:val="baseline"/>
                <w:lang w:val="en-US" w:eastAsia="zh-CN"/>
              </w:rPr>
            </w:pPr>
            <w:r>
              <w:rPr>
                <w:rFonts w:hint="default" w:ascii="Times New Roman" w:hAnsi="Times New Roman" w:cs="Times New Roman"/>
                <w:color w:val="auto"/>
                <w:spacing w:val="-2"/>
                <w:w w:val="100"/>
                <w:sz w:val="21"/>
                <w:szCs w:val="21"/>
                <w:highlight w:val="none"/>
                <w:u w:val="none"/>
              </w:rPr>
              <w:t>除本条</w:t>
            </w:r>
            <w:r>
              <w:rPr>
                <w:rFonts w:hint="default" w:ascii="Times New Roman" w:hAnsi="Times New Roman" w:eastAsia="Times New Roman" w:cs="Times New Roman"/>
                <w:color w:val="auto"/>
                <w:spacing w:val="0"/>
                <w:w w:val="100"/>
                <w:sz w:val="21"/>
                <w:szCs w:val="21"/>
                <w:highlight w:val="none"/>
                <w:u w:val="none"/>
              </w:rPr>
              <w:t>a</w:t>
            </w:r>
            <w:r>
              <w:rPr>
                <w:rFonts w:hint="default" w:ascii="Times New Roman" w:hAnsi="Times New Roman" w:cs="Times New Roman"/>
                <w:color w:val="auto"/>
                <w:spacing w:val="0"/>
                <w:w w:val="100"/>
                <w:sz w:val="21"/>
                <w:szCs w:val="21"/>
                <w:highlight w:val="none"/>
                <w:u w:val="none"/>
              </w:rPr>
              <w:t>）、</w:t>
            </w:r>
            <w:r>
              <w:rPr>
                <w:rFonts w:hint="default" w:ascii="Times New Roman" w:hAnsi="Times New Roman" w:eastAsia="Times New Roman" w:cs="Times New Roman"/>
                <w:color w:val="auto"/>
                <w:spacing w:val="0"/>
                <w:w w:val="100"/>
                <w:sz w:val="21"/>
                <w:szCs w:val="21"/>
                <w:highlight w:val="none"/>
                <w:u w:val="none"/>
              </w:rPr>
              <w:t>b</w:t>
            </w:r>
            <w:r>
              <w:rPr>
                <w:rFonts w:hint="default" w:ascii="Times New Roman" w:hAnsi="Times New Roman" w:cs="Times New Roman"/>
                <w:color w:val="auto"/>
                <w:spacing w:val="0"/>
                <w:w w:val="100"/>
                <w:sz w:val="21"/>
                <w:szCs w:val="21"/>
                <w:highlight w:val="none"/>
                <w:u w:val="none"/>
              </w:rPr>
              <w:t>）、</w:t>
            </w:r>
            <w:r>
              <w:rPr>
                <w:rFonts w:hint="default" w:ascii="Times New Roman" w:hAnsi="Times New Roman" w:eastAsia="Times New Roman" w:cs="Times New Roman"/>
                <w:color w:val="auto"/>
                <w:spacing w:val="0"/>
                <w:w w:val="100"/>
                <w:sz w:val="21"/>
                <w:szCs w:val="21"/>
                <w:highlight w:val="none"/>
                <w:u w:val="none"/>
              </w:rPr>
              <w:t>c</w:t>
            </w:r>
            <w:r>
              <w:rPr>
                <w:rFonts w:hint="default" w:ascii="Times New Roman" w:hAnsi="Times New Roman" w:cs="Times New Roman"/>
                <w:color w:val="auto"/>
                <w:spacing w:val="0"/>
                <w:w w:val="100"/>
                <w:sz w:val="21"/>
                <w:szCs w:val="21"/>
                <w:highlight w:val="none"/>
                <w:u w:val="none"/>
              </w:rPr>
              <w:t>）、</w:t>
            </w:r>
            <w:r>
              <w:rPr>
                <w:rFonts w:hint="default" w:ascii="Times New Roman" w:hAnsi="Times New Roman" w:eastAsia="Times New Roman" w:cs="Times New Roman"/>
                <w:color w:val="auto"/>
                <w:spacing w:val="0"/>
                <w:w w:val="100"/>
                <w:sz w:val="21"/>
                <w:szCs w:val="21"/>
                <w:highlight w:val="none"/>
                <w:u w:val="none"/>
              </w:rPr>
              <w:t>d</w:t>
            </w:r>
            <w:r>
              <w:rPr>
                <w:rFonts w:hint="default" w:ascii="Times New Roman" w:hAnsi="Times New Roman" w:cs="Times New Roman"/>
                <w:color w:val="auto"/>
                <w:spacing w:val="0"/>
                <w:w w:val="100"/>
                <w:sz w:val="21"/>
                <w:szCs w:val="21"/>
                <w:highlight w:val="none"/>
                <w:u w:val="none"/>
              </w:rPr>
              <w:t>）、</w:t>
            </w:r>
            <w:r>
              <w:rPr>
                <w:rFonts w:hint="default" w:ascii="Times New Roman" w:hAnsi="Times New Roman" w:eastAsia="Times New Roman" w:cs="Times New Roman"/>
                <w:color w:val="auto"/>
                <w:spacing w:val="0"/>
                <w:w w:val="100"/>
                <w:sz w:val="21"/>
                <w:szCs w:val="21"/>
                <w:highlight w:val="none"/>
                <w:u w:val="none"/>
              </w:rPr>
              <w:t>e</w:t>
            </w:r>
            <w:r>
              <w:rPr>
                <w:rFonts w:hint="default" w:ascii="Times New Roman" w:hAnsi="Times New Roman" w:cs="Times New Roman"/>
                <w:color w:val="auto"/>
                <w:spacing w:val="0"/>
                <w:w w:val="100"/>
                <w:sz w:val="21"/>
                <w:szCs w:val="21"/>
                <w:highlight w:val="none"/>
                <w:u w:val="none"/>
              </w:rPr>
              <w:t>）、</w:t>
            </w:r>
            <w:r>
              <w:rPr>
                <w:rFonts w:hint="default" w:ascii="Times New Roman" w:hAnsi="Times New Roman" w:eastAsia="Times New Roman" w:cs="Times New Roman"/>
                <w:color w:val="auto"/>
                <w:spacing w:val="0"/>
                <w:w w:val="100"/>
                <w:sz w:val="21"/>
                <w:szCs w:val="21"/>
                <w:highlight w:val="none"/>
                <w:u w:val="none"/>
              </w:rPr>
              <w:t>f</w:t>
            </w:r>
            <w:r>
              <w:rPr>
                <w:rFonts w:hint="default" w:ascii="Times New Roman" w:hAnsi="Times New Roman" w:cs="Times New Roman"/>
                <w:color w:val="auto"/>
                <w:spacing w:val="0"/>
                <w:w w:val="100"/>
                <w:sz w:val="21"/>
                <w:szCs w:val="21"/>
                <w:highlight w:val="none"/>
                <w:u w:val="none"/>
              </w:rPr>
              <w:t>）以外的情况，评价等级为三级</w:t>
            </w:r>
            <w:r>
              <w:rPr>
                <w:rFonts w:hint="default" w:ascii="Times New Roman" w:hAnsi="Times New Roman" w:cs="Times New Roman"/>
                <w:color w:val="auto"/>
                <w:spacing w:val="0"/>
                <w:w w:val="100"/>
                <w:sz w:val="21"/>
                <w:szCs w:val="21"/>
                <w:highlight w:val="none"/>
                <w:u w:val="none"/>
                <w:lang w:eastAsia="zh-CN"/>
              </w:rPr>
              <w:t>；</w:t>
            </w:r>
          </w:p>
        </w:tc>
        <w:tc>
          <w:tcPr>
            <w:tcW w:w="2822" w:type="dxa"/>
            <w:tcBorders>
              <w:tl2br w:val="nil"/>
              <w:tr2bl w:val="nil"/>
            </w:tcBorders>
            <w:noWrap w:val="0"/>
            <w:vAlign w:val="center"/>
          </w:tcPr>
          <w:p w14:paraId="63659FE6">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z w:val="21"/>
                <w:szCs w:val="21"/>
                <w:highlight w:val="none"/>
                <w:u w:val="none"/>
                <w:vertAlign w:val="baseline"/>
                <w:lang w:val="en-US" w:eastAsia="zh-CN"/>
              </w:rPr>
              <w:t>/</w:t>
            </w:r>
          </w:p>
        </w:tc>
        <w:tc>
          <w:tcPr>
            <w:tcW w:w="1036" w:type="dxa"/>
            <w:tcBorders>
              <w:tl2br w:val="nil"/>
              <w:tr2bl w:val="nil"/>
            </w:tcBorders>
            <w:noWrap w:val="0"/>
            <w:vAlign w:val="center"/>
          </w:tcPr>
          <w:p w14:paraId="4C114657">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z w:val="21"/>
                <w:szCs w:val="21"/>
                <w:highlight w:val="none"/>
                <w:u w:val="none"/>
                <w:vertAlign w:val="baseline"/>
                <w:lang w:val="en-US" w:eastAsia="zh-CN"/>
              </w:rPr>
              <w:t>/</w:t>
            </w:r>
          </w:p>
        </w:tc>
      </w:tr>
      <w:tr w14:paraId="23F52B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12" w:type="dxa"/>
            <w:vMerge w:val="continue"/>
            <w:tcBorders>
              <w:tl2br w:val="nil"/>
              <w:tr2bl w:val="nil"/>
            </w:tcBorders>
            <w:noWrap w:val="0"/>
            <w:vAlign w:val="center"/>
          </w:tcPr>
          <w:p w14:paraId="739B5AFA">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p>
        </w:tc>
        <w:tc>
          <w:tcPr>
            <w:tcW w:w="642" w:type="dxa"/>
            <w:tcBorders>
              <w:tl2br w:val="nil"/>
              <w:tr2bl w:val="nil"/>
            </w:tcBorders>
            <w:noWrap w:val="0"/>
            <w:vAlign w:val="center"/>
          </w:tcPr>
          <w:p w14:paraId="53092908">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pacing w:val="-10"/>
                <w:sz w:val="21"/>
                <w:szCs w:val="21"/>
                <w:highlight w:val="none"/>
                <w:u w:val="none"/>
                <w:lang w:val="en-US" w:eastAsia="zh-CN"/>
              </w:rPr>
              <w:t>h</w:t>
            </w:r>
            <w:r>
              <w:rPr>
                <w:rFonts w:hint="default" w:ascii="Times New Roman" w:hAnsi="Times New Roman" w:cs="Times New Roman"/>
                <w:color w:val="auto"/>
                <w:spacing w:val="-10"/>
                <w:sz w:val="21"/>
                <w:szCs w:val="21"/>
                <w:highlight w:val="none"/>
                <w:u w:val="none"/>
                <w:lang w:eastAsia="zh-CN"/>
              </w:rPr>
              <w:t>）</w:t>
            </w:r>
          </w:p>
        </w:tc>
        <w:tc>
          <w:tcPr>
            <w:tcW w:w="3305" w:type="dxa"/>
            <w:tcBorders>
              <w:tl2br w:val="nil"/>
              <w:tr2bl w:val="nil"/>
            </w:tcBorders>
            <w:noWrap w:val="0"/>
            <w:vAlign w:val="center"/>
          </w:tcPr>
          <w:p w14:paraId="5EFC6589">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left"/>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z w:val="21"/>
                <w:szCs w:val="21"/>
                <w:highlight w:val="none"/>
                <w:u w:val="none"/>
                <w:vertAlign w:val="baseline"/>
                <w:lang w:val="en-US" w:eastAsia="zh-CN"/>
              </w:rPr>
              <w:t>当评价等级判定同时符合上述多种情况时，应采用其中最高的评价等级。</w:t>
            </w:r>
          </w:p>
        </w:tc>
        <w:tc>
          <w:tcPr>
            <w:tcW w:w="2822" w:type="dxa"/>
            <w:tcBorders>
              <w:tl2br w:val="nil"/>
              <w:tr2bl w:val="nil"/>
            </w:tcBorders>
            <w:noWrap w:val="0"/>
            <w:vAlign w:val="center"/>
          </w:tcPr>
          <w:p w14:paraId="0BEDDC87">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z w:val="21"/>
                <w:szCs w:val="21"/>
                <w:highlight w:val="none"/>
                <w:u w:val="none"/>
                <w:vertAlign w:val="baseline"/>
                <w:lang w:val="en-US" w:eastAsia="zh-CN"/>
              </w:rPr>
              <w:t>本项目按最高评价等级确定</w:t>
            </w:r>
          </w:p>
        </w:tc>
        <w:tc>
          <w:tcPr>
            <w:tcW w:w="1036" w:type="dxa"/>
            <w:tcBorders>
              <w:tl2br w:val="nil"/>
              <w:tr2bl w:val="nil"/>
            </w:tcBorders>
            <w:noWrap w:val="0"/>
            <w:vAlign w:val="center"/>
          </w:tcPr>
          <w:p w14:paraId="55AEEBBD">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eastAsia" w:cs="Times New Roman"/>
                <w:color w:val="auto"/>
                <w:sz w:val="21"/>
                <w:szCs w:val="21"/>
                <w:highlight w:val="none"/>
                <w:u w:val="none"/>
                <w:vertAlign w:val="baseline"/>
                <w:lang w:val="en-US" w:eastAsia="zh-CN"/>
              </w:rPr>
              <w:t>一</w:t>
            </w:r>
            <w:r>
              <w:rPr>
                <w:rFonts w:hint="default" w:ascii="Times New Roman" w:hAnsi="Times New Roman" w:cs="Times New Roman"/>
                <w:color w:val="auto"/>
                <w:sz w:val="21"/>
                <w:szCs w:val="21"/>
                <w:highlight w:val="none"/>
                <w:u w:val="none"/>
                <w:vertAlign w:val="baseline"/>
                <w:lang w:val="en-US" w:eastAsia="zh-CN"/>
              </w:rPr>
              <w:t>级</w:t>
            </w:r>
          </w:p>
        </w:tc>
      </w:tr>
      <w:tr w14:paraId="0E0F7E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54" w:type="dxa"/>
            <w:gridSpan w:val="2"/>
            <w:tcBorders>
              <w:tl2br w:val="nil"/>
              <w:tr2bl w:val="nil"/>
            </w:tcBorders>
            <w:noWrap w:val="0"/>
            <w:vAlign w:val="center"/>
          </w:tcPr>
          <w:p w14:paraId="7B604F57">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pacing w:val="-3"/>
                <w:sz w:val="21"/>
                <w:szCs w:val="21"/>
                <w:highlight w:val="none"/>
                <w:u w:val="none"/>
                <w:lang w:val="en-US" w:eastAsia="zh-CN"/>
              </w:rPr>
              <w:t>导则</w:t>
            </w:r>
            <w:r>
              <w:rPr>
                <w:rFonts w:hint="default" w:ascii="Times New Roman" w:hAnsi="Times New Roman" w:cs="Times New Roman"/>
                <w:color w:val="auto"/>
                <w:sz w:val="21"/>
                <w:szCs w:val="21"/>
                <w:highlight w:val="none"/>
                <w:u w:val="none"/>
                <w:vertAlign w:val="baseline"/>
                <w:lang w:val="en-US" w:eastAsia="zh-CN"/>
              </w:rPr>
              <w:t>6.1.3</w:t>
            </w:r>
          </w:p>
        </w:tc>
        <w:tc>
          <w:tcPr>
            <w:tcW w:w="3305" w:type="dxa"/>
            <w:tcBorders>
              <w:tl2br w:val="nil"/>
              <w:tr2bl w:val="nil"/>
            </w:tcBorders>
            <w:noWrap w:val="0"/>
            <w:vAlign w:val="center"/>
          </w:tcPr>
          <w:p w14:paraId="3565FF10">
            <w:pPr>
              <w:pStyle w:val="34"/>
              <w:keepNext w:val="0"/>
              <w:keepLines w:val="0"/>
              <w:pageBreakBefore w:val="0"/>
              <w:widowControl w:val="0"/>
              <w:numPr>
                <w:ilvl w:val="0"/>
                <w:numId w:val="0"/>
              </w:numPr>
              <w:tabs>
                <w:tab w:val="left" w:pos="1013"/>
                <w:tab w:val="left" w:pos="1014"/>
              </w:tabs>
              <w:kinsoku/>
              <w:wordWrap/>
              <w:overflowPunct/>
              <w:topLinePunct w:val="0"/>
              <w:autoSpaceDE/>
              <w:autoSpaceDN/>
              <w:bidi w:val="0"/>
              <w:adjustRightInd w:val="0"/>
              <w:snapToGrid w:val="0"/>
              <w:spacing w:after="0" w:line="240" w:lineRule="auto"/>
              <w:ind w:right="0" w:rightChars="0" w:firstLine="0" w:firstLineChars="0"/>
              <w:jc w:val="left"/>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pacing w:val="-3"/>
                <w:sz w:val="21"/>
                <w:szCs w:val="21"/>
                <w:highlight w:val="none"/>
                <w:u w:val="none"/>
              </w:rPr>
              <w:t>建设项目涉及经论证对保护生物多样性具有重要意义的区域时，可适当上调评价等级。</w:t>
            </w:r>
          </w:p>
        </w:tc>
        <w:tc>
          <w:tcPr>
            <w:tcW w:w="2822" w:type="dxa"/>
            <w:tcBorders>
              <w:tl2br w:val="nil"/>
              <w:tr2bl w:val="nil"/>
            </w:tcBorders>
            <w:noWrap w:val="0"/>
            <w:vAlign w:val="center"/>
          </w:tcPr>
          <w:p w14:paraId="211C917E">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eastAsia" w:ascii="Times New Roman" w:hAnsi="Times New Roman" w:cs="Times New Roman"/>
                <w:color w:val="auto"/>
                <w:sz w:val="21"/>
                <w:szCs w:val="21"/>
                <w:highlight w:val="none"/>
                <w:u w:val="none"/>
                <w:vertAlign w:val="baseline"/>
                <w:lang w:val="en-US" w:eastAsia="zh-CN"/>
              </w:rPr>
              <w:t>不涉及</w:t>
            </w:r>
          </w:p>
        </w:tc>
        <w:tc>
          <w:tcPr>
            <w:tcW w:w="1036" w:type="dxa"/>
            <w:tcBorders>
              <w:tl2br w:val="nil"/>
              <w:tr2bl w:val="nil"/>
            </w:tcBorders>
            <w:noWrap w:val="0"/>
            <w:vAlign w:val="center"/>
          </w:tcPr>
          <w:p w14:paraId="3B058DC0">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z w:val="21"/>
                <w:szCs w:val="21"/>
                <w:highlight w:val="none"/>
                <w:u w:val="none"/>
                <w:vertAlign w:val="baseline"/>
                <w:lang w:val="en-US" w:eastAsia="zh-CN"/>
              </w:rPr>
              <w:t>不上调评价等级</w:t>
            </w:r>
          </w:p>
        </w:tc>
      </w:tr>
      <w:tr w14:paraId="39E4C9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54" w:type="dxa"/>
            <w:gridSpan w:val="2"/>
            <w:tcBorders>
              <w:tl2br w:val="nil"/>
              <w:tr2bl w:val="nil"/>
            </w:tcBorders>
            <w:noWrap w:val="0"/>
            <w:vAlign w:val="center"/>
          </w:tcPr>
          <w:p w14:paraId="560E7590">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pacing w:val="-3"/>
                <w:sz w:val="21"/>
                <w:szCs w:val="21"/>
                <w:highlight w:val="none"/>
                <w:u w:val="none"/>
                <w:lang w:val="en-US" w:eastAsia="zh-CN"/>
              </w:rPr>
              <w:t>导则</w:t>
            </w:r>
            <w:r>
              <w:rPr>
                <w:rFonts w:hint="default" w:ascii="Times New Roman" w:hAnsi="Times New Roman" w:cs="Times New Roman"/>
                <w:color w:val="auto"/>
                <w:sz w:val="21"/>
                <w:szCs w:val="21"/>
                <w:highlight w:val="none"/>
                <w:u w:val="none"/>
                <w:vertAlign w:val="baseline"/>
                <w:lang w:val="en-US" w:eastAsia="zh-CN"/>
              </w:rPr>
              <w:t>6.1.4</w:t>
            </w:r>
          </w:p>
        </w:tc>
        <w:tc>
          <w:tcPr>
            <w:tcW w:w="3305" w:type="dxa"/>
            <w:tcBorders>
              <w:tl2br w:val="nil"/>
              <w:tr2bl w:val="nil"/>
            </w:tcBorders>
            <w:noWrap w:val="0"/>
            <w:vAlign w:val="center"/>
          </w:tcPr>
          <w:p w14:paraId="4CF99CCE">
            <w:pPr>
              <w:pStyle w:val="34"/>
              <w:keepNext w:val="0"/>
              <w:keepLines w:val="0"/>
              <w:pageBreakBefore w:val="0"/>
              <w:widowControl w:val="0"/>
              <w:numPr>
                <w:ilvl w:val="0"/>
                <w:numId w:val="0"/>
              </w:numPr>
              <w:tabs>
                <w:tab w:val="left" w:pos="1013"/>
                <w:tab w:val="left" w:pos="1014"/>
              </w:tabs>
              <w:kinsoku/>
              <w:wordWrap/>
              <w:overflowPunct/>
              <w:topLinePunct w:val="0"/>
              <w:autoSpaceDE/>
              <w:autoSpaceDN/>
              <w:bidi w:val="0"/>
              <w:adjustRightInd w:val="0"/>
              <w:snapToGrid w:val="0"/>
              <w:spacing w:after="0" w:line="240" w:lineRule="auto"/>
              <w:ind w:right="0" w:rightChars="0" w:firstLine="0" w:firstLineChars="0"/>
              <w:jc w:val="left"/>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pacing w:val="-3"/>
                <w:sz w:val="21"/>
                <w:szCs w:val="21"/>
                <w:highlight w:val="none"/>
                <w:u w:val="none"/>
              </w:rPr>
              <w:t>建设项目同时涉及陆生、水生生态影响时，可针对陆生生态、水生生态分别判定评价等级。</w:t>
            </w:r>
          </w:p>
        </w:tc>
        <w:tc>
          <w:tcPr>
            <w:tcW w:w="2822" w:type="dxa"/>
            <w:tcBorders>
              <w:tl2br w:val="nil"/>
              <w:tr2bl w:val="nil"/>
            </w:tcBorders>
            <w:noWrap w:val="0"/>
            <w:vAlign w:val="center"/>
          </w:tcPr>
          <w:p w14:paraId="7FB00369">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z w:val="21"/>
                <w:szCs w:val="21"/>
                <w:highlight w:val="none"/>
                <w:u w:val="none"/>
                <w:vertAlign w:val="baseline"/>
                <w:lang w:val="en-US" w:eastAsia="zh-CN"/>
              </w:rPr>
              <w:t>本项目</w:t>
            </w:r>
            <w:r>
              <w:rPr>
                <w:rFonts w:hint="eastAsia" w:ascii="Times New Roman" w:hAnsi="Times New Roman" w:cs="Times New Roman"/>
                <w:color w:val="auto"/>
                <w:sz w:val="21"/>
                <w:szCs w:val="21"/>
                <w:highlight w:val="none"/>
                <w:u w:val="none"/>
                <w:vertAlign w:val="baseline"/>
                <w:lang w:val="en-US" w:eastAsia="zh-CN"/>
              </w:rPr>
              <w:t>无涉水工程，不涉及水生生态</w:t>
            </w:r>
            <w:r>
              <w:rPr>
                <w:rFonts w:hint="default" w:ascii="Times New Roman" w:hAnsi="Times New Roman" w:cs="Times New Roman"/>
                <w:color w:val="auto"/>
                <w:sz w:val="21"/>
                <w:szCs w:val="21"/>
                <w:highlight w:val="none"/>
                <w:u w:val="none"/>
                <w:vertAlign w:val="baseline"/>
                <w:lang w:val="en-US" w:eastAsia="zh-CN"/>
              </w:rPr>
              <w:t>。</w:t>
            </w:r>
          </w:p>
        </w:tc>
        <w:tc>
          <w:tcPr>
            <w:tcW w:w="1036" w:type="dxa"/>
            <w:tcBorders>
              <w:tl2br w:val="nil"/>
              <w:tr2bl w:val="nil"/>
            </w:tcBorders>
            <w:noWrap w:val="0"/>
            <w:vAlign w:val="center"/>
          </w:tcPr>
          <w:p w14:paraId="3DD654BA">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eastAsia" w:ascii="Times New Roman" w:hAnsi="Times New Roman" w:cs="Times New Roman"/>
                <w:color w:val="auto"/>
                <w:sz w:val="21"/>
                <w:szCs w:val="21"/>
                <w:highlight w:val="none"/>
                <w:u w:val="none"/>
                <w:vertAlign w:val="baseline"/>
                <w:lang w:val="en-US" w:eastAsia="zh-CN"/>
              </w:rPr>
              <w:t>/</w:t>
            </w:r>
          </w:p>
        </w:tc>
      </w:tr>
      <w:tr w14:paraId="6EBAB63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54" w:type="dxa"/>
            <w:gridSpan w:val="2"/>
            <w:tcBorders>
              <w:tl2br w:val="nil"/>
              <w:tr2bl w:val="nil"/>
            </w:tcBorders>
            <w:noWrap w:val="0"/>
            <w:vAlign w:val="center"/>
          </w:tcPr>
          <w:p w14:paraId="32419D00">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pacing w:val="-3"/>
                <w:sz w:val="21"/>
                <w:szCs w:val="21"/>
                <w:highlight w:val="none"/>
                <w:u w:val="none"/>
                <w:lang w:val="en-US" w:eastAsia="zh-CN"/>
              </w:rPr>
              <w:t>导则</w:t>
            </w:r>
            <w:r>
              <w:rPr>
                <w:rFonts w:hint="default" w:ascii="Times New Roman" w:hAnsi="Times New Roman" w:cs="Times New Roman"/>
                <w:color w:val="auto"/>
                <w:sz w:val="21"/>
                <w:szCs w:val="21"/>
                <w:highlight w:val="none"/>
                <w:u w:val="none"/>
                <w:vertAlign w:val="baseline"/>
                <w:lang w:val="en-US" w:eastAsia="zh-CN"/>
              </w:rPr>
              <w:t>6.1.5</w:t>
            </w:r>
          </w:p>
        </w:tc>
        <w:tc>
          <w:tcPr>
            <w:tcW w:w="3305" w:type="dxa"/>
            <w:tcBorders>
              <w:tl2br w:val="nil"/>
              <w:tr2bl w:val="nil"/>
            </w:tcBorders>
            <w:noWrap w:val="0"/>
            <w:vAlign w:val="center"/>
          </w:tcPr>
          <w:p w14:paraId="459C2C0E">
            <w:pPr>
              <w:pStyle w:val="34"/>
              <w:keepNext w:val="0"/>
              <w:keepLines w:val="0"/>
              <w:pageBreakBefore w:val="0"/>
              <w:widowControl w:val="0"/>
              <w:numPr>
                <w:ilvl w:val="0"/>
                <w:numId w:val="0"/>
              </w:numPr>
              <w:tabs>
                <w:tab w:val="left" w:pos="1013"/>
                <w:tab w:val="left" w:pos="1014"/>
              </w:tabs>
              <w:kinsoku/>
              <w:wordWrap/>
              <w:overflowPunct/>
              <w:topLinePunct w:val="0"/>
              <w:autoSpaceDE/>
              <w:autoSpaceDN/>
              <w:bidi w:val="0"/>
              <w:adjustRightInd w:val="0"/>
              <w:snapToGrid w:val="0"/>
              <w:spacing w:after="0" w:line="240" w:lineRule="auto"/>
              <w:ind w:right="0" w:rightChars="0" w:firstLine="0" w:firstLineChars="0"/>
              <w:jc w:val="left"/>
              <w:textAlignment w:val="auto"/>
              <w:rPr>
                <w:rFonts w:hint="default" w:ascii="Times New Roman" w:hAnsi="Times New Roman" w:cs="Times New Roman"/>
                <w:color w:val="auto"/>
                <w:spacing w:val="-3"/>
                <w:sz w:val="21"/>
                <w:szCs w:val="21"/>
                <w:highlight w:val="none"/>
                <w:u w:val="none"/>
              </w:rPr>
            </w:pPr>
            <w:r>
              <w:rPr>
                <w:rFonts w:hint="default" w:ascii="Times New Roman" w:hAnsi="Times New Roman" w:cs="Times New Roman"/>
                <w:color w:val="auto"/>
                <w:spacing w:val="-3"/>
                <w:sz w:val="21"/>
                <w:szCs w:val="21"/>
                <w:highlight w:val="none"/>
                <w:u w:val="none"/>
              </w:rPr>
              <w:t>在矿山开采可能导致矿区土地利用类型明显改变，或拦河闸坝建设可能明显改变水文情势等情况下，评价等级应上调一级。</w:t>
            </w:r>
          </w:p>
        </w:tc>
        <w:tc>
          <w:tcPr>
            <w:tcW w:w="2822" w:type="dxa"/>
            <w:tcBorders>
              <w:tl2br w:val="nil"/>
              <w:tr2bl w:val="nil"/>
            </w:tcBorders>
            <w:noWrap w:val="0"/>
            <w:vAlign w:val="center"/>
          </w:tcPr>
          <w:p w14:paraId="30120C47">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eastAsia="宋体" w:cs="Times New Roman"/>
                <w:color w:val="auto"/>
                <w:kern w:val="2"/>
                <w:sz w:val="21"/>
                <w:szCs w:val="21"/>
                <w:highlight w:val="none"/>
                <w:u w:val="none"/>
                <w:vertAlign w:val="baseline"/>
                <w:lang w:val="en-US" w:eastAsia="zh-CN" w:bidi="ar-SA"/>
              </w:rPr>
            </w:pPr>
            <w:r>
              <w:rPr>
                <w:rFonts w:hint="default" w:ascii="Times New Roman" w:hAnsi="Times New Roman" w:cs="Times New Roman"/>
                <w:color w:val="auto"/>
                <w:sz w:val="21"/>
                <w:szCs w:val="21"/>
                <w:highlight w:val="none"/>
                <w:u w:val="none"/>
                <w:vertAlign w:val="baseline"/>
                <w:lang w:val="en-US" w:eastAsia="zh-CN"/>
              </w:rPr>
              <w:t>不涉及</w:t>
            </w:r>
          </w:p>
        </w:tc>
        <w:tc>
          <w:tcPr>
            <w:tcW w:w="1036" w:type="dxa"/>
            <w:tcBorders>
              <w:tl2br w:val="nil"/>
              <w:tr2bl w:val="nil"/>
            </w:tcBorders>
            <w:noWrap w:val="0"/>
            <w:vAlign w:val="center"/>
          </w:tcPr>
          <w:p w14:paraId="4E4E5A3B">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eastAsia="宋体" w:cs="Times New Roman"/>
                <w:color w:val="auto"/>
                <w:kern w:val="2"/>
                <w:sz w:val="21"/>
                <w:szCs w:val="21"/>
                <w:highlight w:val="none"/>
                <w:u w:val="none"/>
                <w:vertAlign w:val="baseline"/>
                <w:lang w:val="en-US" w:eastAsia="zh-CN" w:bidi="ar-SA"/>
              </w:rPr>
            </w:pPr>
            <w:r>
              <w:rPr>
                <w:rFonts w:hint="default" w:ascii="Times New Roman" w:hAnsi="Times New Roman" w:cs="Times New Roman"/>
                <w:color w:val="auto"/>
                <w:sz w:val="21"/>
                <w:szCs w:val="21"/>
                <w:highlight w:val="none"/>
                <w:u w:val="none"/>
                <w:vertAlign w:val="baseline"/>
                <w:lang w:val="en-US" w:eastAsia="zh-CN"/>
              </w:rPr>
              <w:t>/</w:t>
            </w:r>
          </w:p>
        </w:tc>
      </w:tr>
      <w:tr w14:paraId="0EDCB0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90" w:hRule="atLeast"/>
        </w:trPr>
        <w:tc>
          <w:tcPr>
            <w:tcW w:w="1354" w:type="dxa"/>
            <w:gridSpan w:val="2"/>
            <w:tcBorders>
              <w:tl2br w:val="nil"/>
              <w:tr2bl w:val="nil"/>
            </w:tcBorders>
            <w:noWrap w:val="0"/>
            <w:vAlign w:val="center"/>
          </w:tcPr>
          <w:p w14:paraId="1EE9590B">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pacing w:val="-3"/>
                <w:sz w:val="21"/>
                <w:szCs w:val="21"/>
                <w:highlight w:val="none"/>
                <w:u w:val="none"/>
                <w:lang w:val="en-US" w:eastAsia="zh-CN"/>
              </w:rPr>
              <w:t>导则</w:t>
            </w:r>
            <w:r>
              <w:rPr>
                <w:rFonts w:hint="default" w:ascii="Times New Roman" w:hAnsi="Times New Roman" w:cs="Times New Roman"/>
                <w:color w:val="auto"/>
                <w:sz w:val="21"/>
                <w:szCs w:val="21"/>
                <w:highlight w:val="none"/>
                <w:u w:val="none"/>
                <w:vertAlign w:val="baseline"/>
                <w:lang w:val="en-US" w:eastAsia="zh-CN"/>
              </w:rPr>
              <w:t>6.1.6</w:t>
            </w:r>
          </w:p>
        </w:tc>
        <w:tc>
          <w:tcPr>
            <w:tcW w:w="3305" w:type="dxa"/>
            <w:tcBorders>
              <w:tl2br w:val="nil"/>
              <w:tr2bl w:val="nil"/>
            </w:tcBorders>
            <w:noWrap w:val="0"/>
            <w:vAlign w:val="center"/>
          </w:tcPr>
          <w:p w14:paraId="39CC4792">
            <w:pPr>
              <w:pStyle w:val="34"/>
              <w:keepNext w:val="0"/>
              <w:keepLines w:val="0"/>
              <w:pageBreakBefore w:val="0"/>
              <w:widowControl w:val="0"/>
              <w:numPr>
                <w:ilvl w:val="0"/>
                <w:numId w:val="0"/>
              </w:numPr>
              <w:tabs>
                <w:tab w:val="left" w:pos="1013"/>
                <w:tab w:val="left" w:pos="1014"/>
              </w:tabs>
              <w:kinsoku/>
              <w:wordWrap/>
              <w:overflowPunct/>
              <w:topLinePunct w:val="0"/>
              <w:autoSpaceDE/>
              <w:autoSpaceDN/>
              <w:bidi w:val="0"/>
              <w:adjustRightInd w:val="0"/>
              <w:snapToGrid w:val="0"/>
              <w:spacing w:after="0" w:line="240" w:lineRule="auto"/>
              <w:ind w:right="0" w:rightChars="0" w:firstLine="0" w:firstLineChars="0"/>
              <w:jc w:val="left"/>
              <w:textAlignment w:val="auto"/>
              <w:rPr>
                <w:rFonts w:hint="default" w:ascii="Times New Roman" w:hAnsi="Times New Roman" w:cs="Times New Roman"/>
                <w:color w:val="auto"/>
                <w:spacing w:val="-3"/>
                <w:sz w:val="21"/>
                <w:szCs w:val="21"/>
                <w:highlight w:val="none"/>
                <w:u w:val="none"/>
              </w:rPr>
            </w:pPr>
            <w:r>
              <w:rPr>
                <w:rFonts w:hint="default" w:ascii="Times New Roman" w:hAnsi="Times New Roman" w:cs="Times New Roman"/>
                <w:color w:val="auto"/>
                <w:spacing w:val="-3"/>
                <w:sz w:val="21"/>
                <w:szCs w:val="21"/>
                <w:highlight w:val="none"/>
                <w:u w:val="none"/>
              </w:rPr>
              <w:t>线性工程可分段确定评价等级。线性工程地下穿越或地表跨越生态敏感区，在生态敏感区范围内无永久、临时占地时，评价等级可下调一级。</w:t>
            </w:r>
          </w:p>
        </w:tc>
        <w:tc>
          <w:tcPr>
            <w:tcW w:w="2822" w:type="dxa"/>
            <w:tcBorders>
              <w:tl2br w:val="nil"/>
              <w:tr2bl w:val="nil"/>
            </w:tcBorders>
            <w:noWrap w:val="0"/>
            <w:vAlign w:val="center"/>
          </w:tcPr>
          <w:p w14:paraId="15775F20">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eastAsia" w:ascii="Times New Roman" w:hAnsi="Times New Roman" w:cs="Times New Roman"/>
                <w:color w:val="auto"/>
                <w:sz w:val="21"/>
                <w:szCs w:val="21"/>
                <w:highlight w:val="none"/>
                <w:u w:val="none"/>
                <w:vertAlign w:val="baseline"/>
                <w:lang w:val="en-US" w:eastAsia="zh-CN"/>
              </w:rPr>
              <w:t>不涉及</w:t>
            </w:r>
          </w:p>
        </w:tc>
        <w:tc>
          <w:tcPr>
            <w:tcW w:w="1036" w:type="dxa"/>
            <w:tcBorders>
              <w:tl2br w:val="nil"/>
              <w:tr2bl w:val="nil"/>
            </w:tcBorders>
            <w:noWrap w:val="0"/>
            <w:vAlign w:val="center"/>
          </w:tcPr>
          <w:p w14:paraId="519ABA89">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z w:val="21"/>
                <w:szCs w:val="21"/>
                <w:highlight w:val="none"/>
                <w:u w:val="none"/>
                <w:vertAlign w:val="baseline"/>
                <w:lang w:val="en-US" w:eastAsia="zh-CN"/>
              </w:rPr>
              <w:t>不下调评价等级</w:t>
            </w:r>
          </w:p>
        </w:tc>
      </w:tr>
      <w:tr w14:paraId="2380A3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54" w:type="dxa"/>
            <w:gridSpan w:val="2"/>
            <w:tcBorders>
              <w:tl2br w:val="nil"/>
              <w:tr2bl w:val="nil"/>
            </w:tcBorders>
            <w:noWrap w:val="0"/>
            <w:vAlign w:val="center"/>
          </w:tcPr>
          <w:p w14:paraId="5C3BB1D3">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pacing w:val="-3"/>
                <w:sz w:val="21"/>
                <w:szCs w:val="21"/>
                <w:highlight w:val="none"/>
                <w:u w:val="none"/>
                <w:lang w:val="en-US" w:eastAsia="zh-CN"/>
              </w:rPr>
              <w:t>导则</w:t>
            </w:r>
            <w:r>
              <w:rPr>
                <w:rFonts w:hint="default" w:ascii="Times New Roman" w:hAnsi="Times New Roman" w:cs="Times New Roman"/>
                <w:color w:val="auto"/>
                <w:sz w:val="21"/>
                <w:szCs w:val="21"/>
                <w:highlight w:val="none"/>
                <w:u w:val="none"/>
                <w:vertAlign w:val="baseline"/>
                <w:lang w:val="en-US" w:eastAsia="zh-CN"/>
              </w:rPr>
              <w:t>6.1.7</w:t>
            </w:r>
          </w:p>
        </w:tc>
        <w:tc>
          <w:tcPr>
            <w:tcW w:w="3305" w:type="dxa"/>
            <w:tcBorders>
              <w:tl2br w:val="nil"/>
              <w:tr2bl w:val="nil"/>
            </w:tcBorders>
            <w:noWrap w:val="0"/>
            <w:vAlign w:val="center"/>
          </w:tcPr>
          <w:p w14:paraId="7D6460E1">
            <w:pPr>
              <w:pStyle w:val="34"/>
              <w:keepNext w:val="0"/>
              <w:keepLines w:val="0"/>
              <w:pageBreakBefore w:val="0"/>
              <w:widowControl w:val="0"/>
              <w:numPr>
                <w:ilvl w:val="0"/>
                <w:numId w:val="0"/>
              </w:numPr>
              <w:tabs>
                <w:tab w:val="left" w:pos="1013"/>
                <w:tab w:val="left" w:pos="1014"/>
              </w:tabs>
              <w:kinsoku/>
              <w:wordWrap/>
              <w:overflowPunct/>
              <w:topLinePunct w:val="0"/>
              <w:autoSpaceDE/>
              <w:autoSpaceDN/>
              <w:bidi w:val="0"/>
              <w:adjustRightInd w:val="0"/>
              <w:snapToGrid w:val="0"/>
              <w:spacing w:after="0" w:line="240" w:lineRule="auto"/>
              <w:ind w:right="0" w:rightChars="0" w:firstLine="0" w:firstLineChars="0"/>
              <w:jc w:val="left"/>
              <w:textAlignment w:val="auto"/>
              <w:rPr>
                <w:rFonts w:hint="default" w:ascii="Times New Roman" w:hAnsi="Times New Roman" w:cs="Times New Roman"/>
                <w:color w:val="auto"/>
                <w:spacing w:val="-3"/>
                <w:sz w:val="21"/>
                <w:szCs w:val="21"/>
                <w:highlight w:val="none"/>
                <w:u w:val="none"/>
              </w:rPr>
            </w:pPr>
            <w:r>
              <w:rPr>
                <w:rFonts w:hint="default" w:ascii="Times New Roman" w:hAnsi="Times New Roman" w:cs="Times New Roman"/>
                <w:color w:val="auto"/>
                <w:spacing w:val="1"/>
                <w:sz w:val="21"/>
                <w:szCs w:val="21"/>
                <w:highlight w:val="none"/>
                <w:u w:val="none"/>
              </w:rPr>
              <w:t>涉海工程评价等级判定参照</w:t>
            </w:r>
            <w:r>
              <w:rPr>
                <w:rFonts w:hint="default" w:ascii="Times New Roman" w:hAnsi="Times New Roman" w:eastAsia="Times New Roman" w:cs="Times New Roman"/>
                <w:color w:val="auto"/>
                <w:sz w:val="21"/>
                <w:szCs w:val="21"/>
                <w:highlight w:val="none"/>
                <w:u w:val="none"/>
              </w:rPr>
              <w:t>GB/T</w:t>
            </w:r>
            <w:r>
              <w:rPr>
                <w:rFonts w:hint="default" w:ascii="Times New Roman" w:hAnsi="Times New Roman" w:eastAsia="Times New Roman" w:cs="Times New Roman"/>
                <w:color w:val="auto"/>
                <w:spacing w:val="-4"/>
                <w:sz w:val="21"/>
                <w:szCs w:val="21"/>
                <w:highlight w:val="none"/>
                <w:u w:val="none"/>
              </w:rPr>
              <w:t xml:space="preserve"> </w:t>
            </w:r>
            <w:r>
              <w:rPr>
                <w:rFonts w:hint="default" w:ascii="Times New Roman" w:hAnsi="Times New Roman" w:eastAsia="Times New Roman" w:cs="Times New Roman"/>
                <w:color w:val="auto"/>
                <w:sz w:val="21"/>
                <w:szCs w:val="21"/>
                <w:highlight w:val="none"/>
                <w:u w:val="none"/>
              </w:rPr>
              <w:t>19485</w:t>
            </w:r>
            <w:r>
              <w:rPr>
                <w:rFonts w:hint="default" w:ascii="Times New Roman" w:hAnsi="Times New Roman" w:cs="Times New Roman"/>
                <w:color w:val="auto"/>
                <w:sz w:val="21"/>
                <w:szCs w:val="21"/>
                <w:highlight w:val="none"/>
                <w:u w:val="none"/>
              </w:rPr>
              <w:t>。</w:t>
            </w:r>
          </w:p>
        </w:tc>
        <w:tc>
          <w:tcPr>
            <w:tcW w:w="2822" w:type="dxa"/>
            <w:tcBorders>
              <w:tl2br w:val="nil"/>
              <w:tr2bl w:val="nil"/>
            </w:tcBorders>
            <w:noWrap w:val="0"/>
            <w:vAlign w:val="center"/>
          </w:tcPr>
          <w:p w14:paraId="182E21D4">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eastAsia="宋体" w:cs="Times New Roman"/>
                <w:color w:val="auto"/>
                <w:kern w:val="2"/>
                <w:sz w:val="21"/>
                <w:szCs w:val="21"/>
                <w:highlight w:val="none"/>
                <w:u w:val="none"/>
                <w:vertAlign w:val="baseline"/>
                <w:lang w:val="en-US" w:eastAsia="zh-CN" w:bidi="ar-SA"/>
              </w:rPr>
            </w:pPr>
            <w:r>
              <w:rPr>
                <w:rFonts w:hint="default" w:ascii="Times New Roman" w:hAnsi="Times New Roman" w:cs="Times New Roman"/>
                <w:color w:val="auto"/>
                <w:sz w:val="21"/>
                <w:szCs w:val="21"/>
                <w:highlight w:val="none"/>
                <w:u w:val="none"/>
                <w:vertAlign w:val="baseline"/>
                <w:lang w:val="en-US" w:eastAsia="zh-CN"/>
              </w:rPr>
              <w:t>不涉及</w:t>
            </w:r>
          </w:p>
        </w:tc>
        <w:tc>
          <w:tcPr>
            <w:tcW w:w="1036" w:type="dxa"/>
            <w:tcBorders>
              <w:tl2br w:val="nil"/>
              <w:tr2bl w:val="nil"/>
            </w:tcBorders>
            <w:noWrap w:val="0"/>
            <w:vAlign w:val="center"/>
          </w:tcPr>
          <w:p w14:paraId="357DC679">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eastAsia="宋体" w:cs="Times New Roman"/>
                <w:color w:val="auto"/>
                <w:kern w:val="2"/>
                <w:sz w:val="21"/>
                <w:szCs w:val="21"/>
                <w:highlight w:val="none"/>
                <w:u w:val="none"/>
                <w:vertAlign w:val="baseline"/>
                <w:lang w:val="en-US" w:eastAsia="zh-CN" w:bidi="ar-SA"/>
              </w:rPr>
            </w:pPr>
            <w:r>
              <w:rPr>
                <w:rFonts w:hint="default" w:ascii="Times New Roman" w:hAnsi="Times New Roman" w:cs="Times New Roman"/>
                <w:color w:val="auto"/>
                <w:sz w:val="21"/>
                <w:szCs w:val="21"/>
                <w:highlight w:val="none"/>
                <w:u w:val="none"/>
                <w:vertAlign w:val="baseline"/>
                <w:lang w:val="en-US" w:eastAsia="zh-CN"/>
              </w:rPr>
              <w:t>/</w:t>
            </w:r>
          </w:p>
        </w:tc>
      </w:tr>
      <w:tr w14:paraId="18AE26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54" w:type="dxa"/>
            <w:gridSpan w:val="2"/>
            <w:tcBorders>
              <w:tl2br w:val="nil"/>
              <w:tr2bl w:val="nil"/>
            </w:tcBorders>
            <w:noWrap w:val="0"/>
            <w:vAlign w:val="center"/>
          </w:tcPr>
          <w:p w14:paraId="35FFC757">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pacing w:val="-3"/>
                <w:sz w:val="21"/>
                <w:szCs w:val="21"/>
                <w:highlight w:val="none"/>
                <w:u w:val="none"/>
                <w:lang w:val="en-US" w:eastAsia="zh-CN"/>
              </w:rPr>
              <w:t>导则</w:t>
            </w:r>
            <w:r>
              <w:rPr>
                <w:rFonts w:hint="default" w:ascii="Times New Roman" w:hAnsi="Times New Roman" w:cs="Times New Roman"/>
                <w:color w:val="auto"/>
                <w:sz w:val="21"/>
                <w:szCs w:val="21"/>
                <w:highlight w:val="none"/>
                <w:u w:val="none"/>
                <w:vertAlign w:val="baseline"/>
                <w:lang w:val="en-US" w:eastAsia="zh-CN"/>
              </w:rPr>
              <w:t>6.1.8</w:t>
            </w:r>
          </w:p>
        </w:tc>
        <w:tc>
          <w:tcPr>
            <w:tcW w:w="3305" w:type="dxa"/>
            <w:tcBorders>
              <w:tl2br w:val="nil"/>
              <w:tr2bl w:val="nil"/>
            </w:tcBorders>
            <w:noWrap w:val="0"/>
            <w:vAlign w:val="center"/>
          </w:tcPr>
          <w:p w14:paraId="32A012A1">
            <w:pPr>
              <w:pStyle w:val="34"/>
              <w:keepNext w:val="0"/>
              <w:keepLines w:val="0"/>
              <w:pageBreakBefore w:val="0"/>
              <w:widowControl w:val="0"/>
              <w:numPr>
                <w:ilvl w:val="0"/>
                <w:numId w:val="0"/>
              </w:numPr>
              <w:tabs>
                <w:tab w:val="left" w:pos="1013"/>
                <w:tab w:val="left" w:pos="1014"/>
              </w:tabs>
              <w:kinsoku/>
              <w:wordWrap/>
              <w:overflowPunct/>
              <w:topLinePunct w:val="0"/>
              <w:autoSpaceDE/>
              <w:autoSpaceDN/>
              <w:bidi w:val="0"/>
              <w:adjustRightInd w:val="0"/>
              <w:snapToGrid w:val="0"/>
              <w:spacing w:after="0" w:line="240" w:lineRule="auto"/>
              <w:ind w:right="0" w:rightChars="0" w:firstLine="0" w:firstLineChars="0"/>
              <w:jc w:val="left"/>
              <w:textAlignment w:val="auto"/>
              <w:rPr>
                <w:rFonts w:hint="default" w:ascii="Times New Roman" w:hAnsi="Times New Roman" w:cs="Times New Roman"/>
                <w:color w:val="auto"/>
                <w:spacing w:val="-3"/>
                <w:sz w:val="21"/>
                <w:szCs w:val="21"/>
                <w:highlight w:val="none"/>
                <w:u w:val="none"/>
              </w:rPr>
            </w:pPr>
            <w:r>
              <w:rPr>
                <w:rFonts w:hint="default" w:ascii="Times New Roman" w:hAnsi="Times New Roman" w:cs="Times New Roman"/>
                <w:color w:val="auto"/>
                <w:spacing w:val="-3"/>
                <w:sz w:val="21"/>
                <w:szCs w:val="21"/>
                <w:highlight w:val="none"/>
                <w:u w:val="none"/>
              </w:rPr>
              <w:t>符合生态环境分区管控要求且位于原厂界（</w:t>
            </w:r>
            <w:r>
              <w:rPr>
                <w:rFonts w:hint="default" w:ascii="Times New Roman" w:hAnsi="Times New Roman" w:cs="Times New Roman"/>
                <w:color w:val="auto"/>
                <w:spacing w:val="-1"/>
                <w:sz w:val="21"/>
                <w:szCs w:val="21"/>
                <w:highlight w:val="none"/>
                <w:u w:val="none"/>
              </w:rPr>
              <w:t>或永久用地</w:t>
            </w:r>
            <w:r>
              <w:rPr>
                <w:rFonts w:hint="default" w:ascii="Times New Roman" w:hAnsi="Times New Roman" w:cs="Times New Roman"/>
                <w:color w:val="auto"/>
                <w:spacing w:val="-3"/>
                <w:sz w:val="21"/>
                <w:szCs w:val="21"/>
                <w:highlight w:val="none"/>
                <w:u w:val="none"/>
              </w:rPr>
              <w:t>）范围内的污染影响类改扩建项目，位</w:t>
            </w:r>
            <w:r>
              <w:rPr>
                <w:rFonts w:hint="default" w:ascii="Times New Roman" w:hAnsi="Times New Roman" w:cs="Times New Roman"/>
                <w:color w:val="auto"/>
                <w:spacing w:val="-7"/>
                <w:sz w:val="21"/>
                <w:szCs w:val="21"/>
                <w:highlight w:val="none"/>
                <w:u w:val="none"/>
              </w:rPr>
              <w:t>于已批准规划环评的产业园区内且符合规划环评要求、不涉及生态敏感区的污染影响类建设项目，可不</w:t>
            </w:r>
            <w:r>
              <w:rPr>
                <w:rFonts w:hint="default" w:ascii="Times New Roman" w:hAnsi="Times New Roman" w:cs="Times New Roman"/>
                <w:color w:val="auto"/>
                <w:spacing w:val="-5"/>
                <w:sz w:val="21"/>
                <w:szCs w:val="21"/>
                <w:highlight w:val="none"/>
                <w:u w:val="none"/>
              </w:rPr>
              <w:t>确定评价等级，直接进行生态影响简单分析。</w:t>
            </w:r>
          </w:p>
        </w:tc>
        <w:tc>
          <w:tcPr>
            <w:tcW w:w="2822" w:type="dxa"/>
            <w:tcBorders>
              <w:tl2br w:val="nil"/>
              <w:tr2bl w:val="nil"/>
            </w:tcBorders>
            <w:noWrap w:val="0"/>
            <w:vAlign w:val="center"/>
          </w:tcPr>
          <w:p w14:paraId="0BA37718">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z w:val="21"/>
                <w:szCs w:val="21"/>
                <w:highlight w:val="none"/>
                <w:u w:val="none"/>
                <w:vertAlign w:val="baseline"/>
                <w:lang w:val="en-US" w:eastAsia="zh-CN"/>
              </w:rPr>
              <w:t>不涉及</w:t>
            </w:r>
          </w:p>
        </w:tc>
        <w:tc>
          <w:tcPr>
            <w:tcW w:w="1036" w:type="dxa"/>
            <w:tcBorders>
              <w:tl2br w:val="nil"/>
              <w:tr2bl w:val="nil"/>
            </w:tcBorders>
            <w:noWrap w:val="0"/>
            <w:vAlign w:val="center"/>
          </w:tcPr>
          <w:p w14:paraId="5DB4C17F">
            <w:pPr>
              <w:keepNext w:val="0"/>
              <w:keepLines w:val="0"/>
              <w:pageBreakBefore w:val="0"/>
              <w:widowControl w:val="0"/>
              <w:kinsoku/>
              <w:wordWrap/>
              <w:overflowPunct/>
              <w:topLinePunct w:val="0"/>
              <w:autoSpaceDE/>
              <w:autoSpaceDN/>
              <w:bidi w:val="0"/>
              <w:adjustRightInd w:val="0"/>
              <w:snapToGrid w:val="0"/>
              <w:spacing w:line="240" w:lineRule="auto"/>
              <w:ind w:right="0" w:firstLine="0" w:firstLineChars="0"/>
              <w:jc w:val="center"/>
              <w:textAlignment w:val="auto"/>
              <w:rPr>
                <w:rFonts w:hint="default" w:ascii="Times New Roman" w:hAnsi="Times New Roman" w:cs="Times New Roman"/>
                <w:color w:val="auto"/>
                <w:sz w:val="21"/>
                <w:szCs w:val="21"/>
                <w:highlight w:val="none"/>
                <w:u w:val="none"/>
                <w:vertAlign w:val="baseline"/>
                <w:lang w:val="en-US" w:eastAsia="zh-CN"/>
              </w:rPr>
            </w:pPr>
            <w:r>
              <w:rPr>
                <w:rFonts w:hint="default" w:ascii="Times New Roman" w:hAnsi="Times New Roman" w:cs="Times New Roman"/>
                <w:color w:val="auto"/>
                <w:sz w:val="21"/>
                <w:szCs w:val="21"/>
                <w:highlight w:val="none"/>
                <w:u w:val="none"/>
                <w:vertAlign w:val="baseline"/>
                <w:lang w:val="en-US" w:eastAsia="zh-CN"/>
              </w:rPr>
              <w:t>/</w:t>
            </w:r>
          </w:p>
        </w:tc>
      </w:tr>
    </w:tbl>
    <w:p w14:paraId="45044E9E">
      <w:pPr>
        <w:rPr>
          <w:color w:val="auto"/>
          <w:highlight w:val="none"/>
        </w:rPr>
      </w:pPr>
      <w:r>
        <w:rPr>
          <w:rFonts w:hint="eastAsia"/>
          <w:color w:val="auto"/>
          <w:highlight w:val="none"/>
          <w:lang w:val="en-US" w:eastAsia="zh-CN"/>
        </w:rPr>
        <w:t>综上，根据《环境影响评价技术导则 生态环境》（HJ19-2022）进行判断，本项目生态影响评价等级为“一级”。</w:t>
      </w:r>
    </w:p>
    <w:p w14:paraId="4C48C5DF">
      <w:pPr>
        <w:pStyle w:val="6"/>
        <w:rPr>
          <w:rFonts w:hint="default" w:ascii="Times New Roman" w:hAnsi="Times New Roman" w:cs="Times New Roman"/>
          <w:color w:val="auto"/>
          <w:highlight w:val="none"/>
        </w:rPr>
      </w:pPr>
      <w:r>
        <w:rPr>
          <w:rFonts w:hint="eastAsia" w:cs="Times New Roman"/>
          <w:color w:val="auto"/>
          <w:highlight w:val="none"/>
          <w:lang w:eastAsia="zh-CN"/>
        </w:rPr>
        <w:t>声环境评价等级判定</w:t>
      </w:r>
    </w:p>
    <w:p w14:paraId="4F466147">
      <w:pPr>
        <w:autoSpaceDE w:val="0"/>
        <w:autoSpaceDN w:val="0"/>
        <w:adjustRightInd w:val="0"/>
        <w:snapToGrid w:val="0"/>
        <w:spacing w:line="360" w:lineRule="auto"/>
        <w:ind w:firstLine="480" w:firstLineChars="200"/>
        <w:rPr>
          <w:color w:val="auto"/>
          <w:kern w:val="0"/>
          <w:szCs w:val="24"/>
          <w:highlight w:val="none"/>
        </w:rPr>
      </w:pPr>
      <w:r>
        <w:rPr>
          <w:color w:val="auto"/>
          <w:kern w:val="0"/>
          <w:szCs w:val="24"/>
          <w:highlight w:val="none"/>
        </w:rPr>
        <w:t>根据《环境影响评价技术导则 声环境》（</w:t>
      </w:r>
      <w:r>
        <w:rPr>
          <w:rFonts w:eastAsia="TimesNewRomanPSMT"/>
          <w:color w:val="auto"/>
          <w:kern w:val="0"/>
          <w:szCs w:val="24"/>
          <w:highlight w:val="none"/>
        </w:rPr>
        <w:t>HJ2.4-20</w:t>
      </w:r>
      <w:r>
        <w:rPr>
          <w:rFonts w:hint="eastAsia" w:eastAsia="TimesNewRomanPSMT"/>
          <w:color w:val="auto"/>
          <w:kern w:val="0"/>
          <w:szCs w:val="24"/>
          <w:highlight w:val="none"/>
          <w:lang w:val="en-US" w:eastAsia="zh-CN"/>
        </w:rPr>
        <w:t>21</w:t>
      </w:r>
      <w:r>
        <w:rPr>
          <w:color w:val="auto"/>
          <w:kern w:val="0"/>
          <w:szCs w:val="24"/>
          <w:highlight w:val="none"/>
        </w:rPr>
        <w:t>），噪声评价工作等级划分的依据包括：</w:t>
      </w:r>
    </w:p>
    <w:p w14:paraId="7FCA6EF1">
      <w:pPr>
        <w:autoSpaceDE w:val="0"/>
        <w:autoSpaceDN w:val="0"/>
        <w:adjustRightInd w:val="0"/>
        <w:snapToGrid w:val="0"/>
        <w:spacing w:line="360" w:lineRule="auto"/>
        <w:ind w:firstLine="480" w:firstLineChars="200"/>
        <w:rPr>
          <w:color w:val="auto"/>
          <w:kern w:val="0"/>
          <w:szCs w:val="24"/>
          <w:highlight w:val="none"/>
        </w:rPr>
      </w:pPr>
      <w:r>
        <w:rPr>
          <w:color w:val="auto"/>
          <w:kern w:val="0"/>
          <w:szCs w:val="24"/>
          <w:highlight w:val="none"/>
        </w:rPr>
        <w:t>（</w:t>
      </w:r>
      <w:r>
        <w:rPr>
          <w:rFonts w:eastAsia="TimesNewRomanPSMT"/>
          <w:color w:val="auto"/>
          <w:kern w:val="0"/>
          <w:szCs w:val="24"/>
          <w:highlight w:val="none"/>
        </w:rPr>
        <w:t>1</w:t>
      </w:r>
      <w:r>
        <w:rPr>
          <w:color w:val="auto"/>
          <w:kern w:val="0"/>
          <w:szCs w:val="24"/>
          <w:highlight w:val="none"/>
        </w:rPr>
        <w:t>）建设项目所在区域的声环境功能区类别；</w:t>
      </w:r>
    </w:p>
    <w:p w14:paraId="1461B569">
      <w:pPr>
        <w:autoSpaceDE w:val="0"/>
        <w:autoSpaceDN w:val="0"/>
        <w:adjustRightInd w:val="0"/>
        <w:snapToGrid w:val="0"/>
        <w:spacing w:line="360" w:lineRule="auto"/>
        <w:ind w:firstLine="480" w:firstLineChars="200"/>
        <w:rPr>
          <w:color w:val="auto"/>
          <w:kern w:val="0"/>
          <w:szCs w:val="24"/>
          <w:highlight w:val="none"/>
        </w:rPr>
      </w:pPr>
      <w:r>
        <w:rPr>
          <w:color w:val="auto"/>
          <w:kern w:val="0"/>
          <w:szCs w:val="24"/>
          <w:highlight w:val="none"/>
        </w:rPr>
        <w:t>（</w:t>
      </w:r>
      <w:r>
        <w:rPr>
          <w:rFonts w:eastAsia="TimesNewRomanPSMT"/>
          <w:color w:val="auto"/>
          <w:kern w:val="0"/>
          <w:szCs w:val="24"/>
          <w:highlight w:val="none"/>
        </w:rPr>
        <w:t>2</w:t>
      </w:r>
      <w:r>
        <w:rPr>
          <w:color w:val="auto"/>
          <w:kern w:val="0"/>
          <w:szCs w:val="24"/>
          <w:highlight w:val="none"/>
        </w:rPr>
        <w:t>）建设项目建设前后所在区域的声环境质量变化程度；</w:t>
      </w:r>
    </w:p>
    <w:p w14:paraId="3446F452">
      <w:pPr>
        <w:autoSpaceDE w:val="0"/>
        <w:autoSpaceDN w:val="0"/>
        <w:adjustRightInd w:val="0"/>
        <w:snapToGrid w:val="0"/>
        <w:spacing w:line="360" w:lineRule="auto"/>
        <w:ind w:firstLine="480" w:firstLineChars="200"/>
        <w:rPr>
          <w:color w:val="auto"/>
          <w:kern w:val="0"/>
          <w:szCs w:val="24"/>
          <w:highlight w:val="none"/>
        </w:rPr>
      </w:pPr>
      <w:r>
        <w:rPr>
          <w:color w:val="auto"/>
          <w:kern w:val="0"/>
          <w:szCs w:val="24"/>
          <w:highlight w:val="none"/>
        </w:rPr>
        <w:t>（</w:t>
      </w:r>
      <w:r>
        <w:rPr>
          <w:rFonts w:eastAsia="TimesNewRomanPSMT"/>
          <w:color w:val="auto"/>
          <w:kern w:val="0"/>
          <w:szCs w:val="24"/>
          <w:highlight w:val="none"/>
        </w:rPr>
        <w:t>3</w:t>
      </w:r>
      <w:r>
        <w:rPr>
          <w:color w:val="auto"/>
          <w:kern w:val="0"/>
          <w:szCs w:val="24"/>
          <w:highlight w:val="none"/>
        </w:rPr>
        <w:t>）受建设项目影响人口的数量。</w:t>
      </w:r>
    </w:p>
    <w:p w14:paraId="48461420">
      <w:pPr>
        <w:autoSpaceDE w:val="0"/>
        <w:autoSpaceDN w:val="0"/>
        <w:adjustRightInd w:val="0"/>
        <w:snapToGrid w:val="0"/>
        <w:spacing w:line="360" w:lineRule="auto"/>
        <w:ind w:firstLine="480" w:firstLineChars="200"/>
        <w:rPr>
          <w:color w:val="auto"/>
          <w:kern w:val="0"/>
          <w:szCs w:val="24"/>
          <w:highlight w:val="none"/>
        </w:rPr>
      </w:pPr>
      <w:r>
        <w:rPr>
          <w:color w:val="auto"/>
          <w:kern w:val="0"/>
          <w:szCs w:val="24"/>
          <w:highlight w:val="none"/>
        </w:rPr>
        <w:t>本项目所在区域是《声环境质量标准》（</w:t>
      </w:r>
      <w:r>
        <w:rPr>
          <w:rFonts w:eastAsia="TimesNewRomanPSMT"/>
          <w:color w:val="auto"/>
          <w:kern w:val="0"/>
          <w:szCs w:val="24"/>
          <w:highlight w:val="none"/>
        </w:rPr>
        <w:t>GB3096-2008</w:t>
      </w:r>
      <w:r>
        <w:rPr>
          <w:color w:val="auto"/>
          <w:kern w:val="0"/>
          <w:szCs w:val="24"/>
          <w:highlight w:val="none"/>
        </w:rPr>
        <w:t>）</w:t>
      </w:r>
      <w:r>
        <w:rPr>
          <w:rFonts w:hint="eastAsia" w:eastAsia="TimesNewRomanPSMT"/>
          <w:color w:val="auto"/>
          <w:kern w:val="0"/>
          <w:szCs w:val="24"/>
          <w:highlight w:val="none"/>
          <w:lang w:val="en-US" w:eastAsia="zh-CN"/>
        </w:rPr>
        <w:t>2</w:t>
      </w:r>
      <w:r>
        <w:rPr>
          <w:color w:val="auto"/>
          <w:kern w:val="0"/>
          <w:szCs w:val="24"/>
          <w:highlight w:val="none"/>
        </w:rPr>
        <w:t>类标准适用区域，项目主要的噪声源为</w:t>
      </w:r>
      <w:r>
        <w:rPr>
          <w:rFonts w:hint="eastAsia"/>
          <w:color w:val="auto"/>
          <w:kern w:val="0"/>
          <w:szCs w:val="24"/>
          <w:highlight w:val="none"/>
          <w:lang w:eastAsia="zh-CN"/>
        </w:rPr>
        <w:t>风机运行</w:t>
      </w:r>
      <w:r>
        <w:rPr>
          <w:color w:val="auto"/>
          <w:kern w:val="0"/>
          <w:szCs w:val="24"/>
          <w:highlight w:val="none"/>
        </w:rPr>
        <w:t>噪声，本项目建设前后</w:t>
      </w:r>
      <w:r>
        <w:rPr>
          <w:rFonts w:hint="eastAsia"/>
          <w:color w:val="auto"/>
          <w:kern w:val="0"/>
          <w:szCs w:val="24"/>
          <w:highlight w:val="none"/>
          <w:lang w:val="en-US" w:eastAsia="zh-CN"/>
        </w:rPr>
        <w:t>评价范围内声环境保护目标噪声级最大增量为5.9</w:t>
      </w:r>
      <w:r>
        <w:rPr>
          <w:color w:val="auto"/>
          <w:kern w:val="0"/>
          <w:szCs w:val="24"/>
          <w:highlight w:val="none"/>
        </w:rPr>
        <w:t>dB（A），受影响人口数量变化不大。</w:t>
      </w:r>
    </w:p>
    <w:p w14:paraId="0FD622D8">
      <w:pPr>
        <w:rPr>
          <w:color w:val="auto"/>
          <w:highlight w:val="none"/>
        </w:rPr>
      </w:pPr>
      <w:r>
        <w:rPr>
          <w:color w:val="auto"/>
          <w:kern w:val="0"/>
          <w:szCs w:val="24"/>
          <w:highlight w:val="none"/>
        </w:rPr>
        <w:t>综上所述，根据《环境影响评价技术导则 声环境》（</w:t>
      </w:r>
      <w:r>
        <w:rPr>
          <w:rFonts w:eastAsia="TimesNewRomanPSMT"/>
          <w:color w:val="auto"/>
          <w:kern w:val="0"/>
          <w:szCs w:val="24"/>
          <w:highlight w:val="none"/>
        </w:rPr>
        <w:t>HJ2.4-20</w:t>
      </w:r>
      <w:r>
        <w:rPr>
          <w:rFonts w:hint="eastAsia" w:eastAsia="TimesNewRomanPSMT"/>
          <w:color w:val="auto"/>
          <w:kern w:val="0"/>
          <w:szCs w:val="24"/>
          <w:highlight w:val="none"/>
          <w:lang w:val="en-US" w:eastAsia="zh-CN"/>
        </w:rPr>
        <w:t>21</w:t>
      </w:r>
      <w:r>
        <w:rPr>
          <w:color w:val="auto"/>
          <w:kern w:val="0"/>
          <w:szCs w:val="24"/>
          <w:highlight w:val="none"/>
        </w:rPr>
        <w:t>）规定，项目声环境评价工作等级定为</w:t>
      </w:r>
      <w:r>
        <w:rPr>
          <w:rFonts w:hint="eastAsia"/>
          <w:color w:val="auto"/>
          <w:kern w:val="0"/>
          <w:szCs w:val="24"/>
          <w:highlight w:val="none"/>
          <w:lang w:eastAsia="zh-CN"/>
        </w:rPr>
        <w:t>一</w:t>
      </w:r>
      <w:r>
        <w:rPr>
          <w:color w:val="auto"/>
          <w:kern w:val="0"/>
          <w:szCs w:val="24"/>
          <w:highlight w:val="none"/>
        </w:rPr>
        <w:t>级</w:t>
      </w:r>
      <w:r>
        <w:rPr>
          <w:rFonts w:hint="eastAsia"/>
          <w:color w:val="auto"/>
          <w:kern w:val="0"/>
          <w:szCs w:val="24"/>
          <w:highlight w:val="none"/>
          <w:lang w:eastAsia="zh-CN"/>
        </w:rPr>
        <w:t>。</w:t>
      </w:r>
    </w:p>
    <w:p w14:paraId="13EA2605">
      <w:pPr>
        <w:pStyle w:val="6"/>
        <w:rPr>
          <w:rFonts w:hint="default" w:ascii="Times New Roman" w:hAnsi="Times New Roman" w:cs="Times New Roman"/>
          <w:color w:val="auto"/>
          <w:highlight w:val="none"/>
        </w:rPr>
      </w:pPr>
      <w:r>
        <w:rPr>
          <w:rFonts w:hint="eastAsia" w:cs="Times New Roman"/>
          <w:color w:val="auto"/>
          <w:highlight w:val="none"/>
          <w:lang w:eastAsia="zh-CN"/>
        </w:rPr>
        <w:t>地表水评价等级判定</w:t>
      </w:r>
    </w:p>
    <w:p w14:paraId="2F49D37D">
      <w:pPr>
        <w:adjustRightInd w:val="0"/>
        <w:snapToGrid w:val="0"/>
        <w:spacing w:line="360" w:lineRule="auto"/>
        <w:ind w:firstLine="480" w:firstLineChars="200"/>
        <w:rPr>
          <w:rFonts w:hint="default" w:ascii="Times New Roman" w:hAnsi="Times New Roman" w:cs="Times New Roman"/>
          <w:b/>
          <w:bCs/>
          <w:color w:val="auto"/>
          <w:highlight w:val="none"/>
        </w:rPr>
      </w:pPr>
      <w:r>
        <w:rPr>
          <w:rFonts w:hint="default" w:ascii="Times New Roman" w:hAnsi="Times New Roman" w:cs="Times New Roman"/>
          <w:color w:val="auto"/>
          <w:highlight w:val="none"/>
        </w:rPr>
        <w:t>根据《环境影响评价技术导则—地表水环境》（HJ2.3-2018）5.2.1要求，建设项目地表水环境影响评价等级按照影响类型、排放方式、排放量或者影响情况、受纳水体环境质量现状、水环境保护目标等综合确定。</w:t>
      </w:r>
      <w:r>
        <w:rPr>
          <w:rFonts w:hint="eastAsia" w:cs="Times New Roman"/>
          <w:b/>
          <w:bCs/>
          <w:color w:val="auto"/>
          <w:kern w:val="0"/>
          <w:sz w:val="24"/>
          <w:szCs w:val="24"/>
          <w:highlight w:val="none"/>
          <w:u w:val="none"/>
          <w:lang w:val="en-US" w:eastAsia="zh-CN" w:bidi="ar-SA"/>
        </w:rPr>
        <w:t>本项目无涉水工程，地表水评价等级确定按水污染影响型确定。</w:t>
      </w:r>
    </w:p>
    <w:p w14:paraId="742E179F">
      <w:pPr>
        <w:adjustRightInd w:val="0"/>
        <w:snapToGrid w:val="0"/>
        <w:spacing w:line="360" w:lineRule="auto"/>
        <w:ind w:firstLine="480" w:firstLineChars="200"/>
        <w:rPr>
          <w:rFonts w:hint="default" w:ascii="Times New Roman" w:hAnsi="Times New Roman" w:cs="Times New Roman"/>
          <w:color w:val="auto"/>
          <w:highlight w:val="none"/>
        </w:rPr>
      </w:pPr>
      <w:r>
        <w:rPr>
          <w:rFonts w:hint="default" w:ascii="Times New Roman" w:hAnsi="Times New Roman" w:cs="Times New Roman"/>
          <w:color w:val="auto"/>
          <w:highlight w:val="none"/>
        </w:rPr>
        <w:t>水污染影响型建设项目根据排放方式和废水排放量划分评价等级，详见表</w:t>
      </w:r>
      <w:r>
        <w:rPr>
          <w:rFonts w:hint="eastAsia" w:ascii="Times New Roman" w:hAnsi="Times New Roman" w:cs="Times New Roman"/>
          <w:color w:val="auto"/>
          <w:highlight w:val="none"/>
          <w:lang w:eastAsia="zh-CN"/>
        </w:rPr>
        <w:t>2.</w:t>
      </w:r>
      <w:r>
        <w:rPr>
          <w:rFonts w:hint="eastAsia" w:ascii="Times New Roman" w:hAnsi="Times New Roman" w:cs="Times New Roman"/>
          <w:color w:val="auto"/>
          <w:highlight w:val="none"/>
          <w:lang w:val="en-US" w:eastAsia="zh-CN"/>
        </w:rPr>
        <w:t>2-3</w:t>
      </w:r>
      <w:r>
        <w:rPr>
          <w:rFonts w:hint="default" w:ascii="Times New Roman" w:hAnsi="Times New Roman" w:cs="Times New Roman"/>
          <w:color w:val="auto"/>
          <w:highlight w:val="none"/>
        </w:rPr>
        <w:t>。直接排放建设项目评价等级分为一级、二级和三级A，根据废水排放量、水污染物当量数确定；间接排放建设项目评价等级为三级B。</w:t>
      </w:r>
    </w:p>
    <w:p w14:paraId="399EE844">
      <w:pPr>
        <w:spacing w:line="240" w:lineRule="auto"/>
        <w:ind w:firstLine="482" w:firstLineChars="200"/>
        <w:jc w:val="center"/>
        <w:rPr>
          <w:rFonts w:hint="default" w:ascii="Times New Roman" w:hAnsi="Times New Roman" w:cs="Times New Roman"/>
          <w:b/>
          <w:bCs/>
          <w:color w:val="auto"/>
          <w:sz w:val="24"/>
          <w:szCs w:val="24"/>
          <w:highlight w:val="none"/>
        </w:rPr>
      </w:pPr>
      <w:r>
        <w:rPr>
          <w:rFonts w:hint="default" w:ascii="Times New Roman" w:hAnsi="Times New Roman" w:cs="Times New Roman"/>
          <w:b/>
          <w:bCs/>
          <w:color w:val="auto"/>
          <w:sz w:val="24"/>
          <w:szCs w:val="24"/>
          <w:highlight w:val="none"/>
        </w:rPr>
        <w:t>表</w:t>
      </w:r>
      <w:r>
        <w:rPr>
          <w:rFonts w:hint="eastAsia" w:ascii="Times New Roman" w:hAnsi="Times New Roman" w:cs="Times New Roman"/>
          <w:b/>
          <w:bCs/>
          <w:color w:val="auto"/>
          <w:sz w:val="24"/>
          <w:szCs w:val="24"/>
          <w:highlight w:val="none"/>
          <w:lang w:val="en-US" w:eastAsia="zh-CN"/>
        </w:rPr>
        <w:t>2.2-</w:t>
      </w:r>
      <w:r>
        <w:rPr>
          <w:rFonts w:hint="eastAsia" w:cs="Times New Roman"/>
          <w:b/>
          <w:bCs/>
          <w:color w:val="auto"/>
          <w:sz w:val="24"/>
          <w:szCs w:val="24"/>
          <w:highlight w:val="none"/>
          <w:lang w:val="en-US" w:eastAsia="zh-CN"/>
        </w:rPr>
        <w:t>5</w:t>
      </w:r>
      <w:r>
        <w:rPr>
          <w:rFonts w:hint="default" w:ascii="Times New Roman" w:hAnsi="Times New Roman" w:cs="Times New Roman"/>
          <w:b/>
          <w:bCs/>
          <w:color w:val="auto"/>
          <w:sz w:val="24"/>
          <w:szCs w:val="24"/>
          <w:highlight w:val="none"/>
        </w:rPr>
        <w:t xml:space="preserve">  水污染影响型建设项目评价等级判定</w:t>
      </w:r>
    </w:p>
    <w:tbl>
      <w:tblPr>
        <w:tblStyle w:val="19"/>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 w:type="dxa"/>
          <w:bottom w:w="0" w:type="dxa"/>
          <w:right w:w="10" w:type="dxa"/>
        </w:tblCellMar>
      </w:tblPr>
      <w:tblGrid>
        <w:gridCol w:w="2416"/>
        <w:gridCol w:w="2625"/>
        <w:gridCol w:w="3486"/>
      </w:tblGrid>
      <w:tr w14:paraId="20465F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 w:type="dxa"/>
            <w:bottom w:w="0" w:type="dxa"/>
            <w:right w:w="10" w:type="dxa"/>
          </w:tblCellMar>
        </w:tblPrEx>
        <w:trPr>
          <w:trHeight w:val="283" w:hRule="atLeast"/>
          <w:jc w:val="center"/>
        </w:trPr>
        <w:tc>
          <w:tcPr>
            <w:tcW w:w="2416" w:type="dxa"/>
            <w:vMerge w:val="restart"/>
            <w:noWrap w:val="0"/>
            <w:vAlign w:val="center"/>
          </w:tcPr>
          <w:p w14:paraId="08F17BC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评价等级</w:t>
            </w:r>
          </w:p>
        </w:tc>
        <w:tc>
          <w:tcPr>
            <w:tcW w:w="6111" w:type="dxa"/>
            <w:gridSpan w:val="2"/>
            <w:noWrap w:val="0"/>
            <w:vAlign w:val="center"/>
          </w:tcPr>
          <w:p w14:paraId="3B46FBA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判定依据</w:t>
            </w:r>
          </w:p>
        </w:tc>
      </w:tr>
      <w:tr w14:paraId="2D35409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 w:type="dxa"/>
            <w:bottom w:w="0" w:type="dxa"/>
            <w:right w:w="10" w:type="dxa"/>
          </w:tblCellMar>
        </w:tblPrEx>
        <w:trPr>
          <w:trHeight w:val="283" w:hRule="atLeast"/>
          <w:jc w:val="center"/>
        </w:trPr>
        <w:tc>
          <w:tcPr>
            <w:tcW w:w="2416" w:type="dxa"/>
            <w:vMerge w:val="continue"/>
            <w:noWrap w:val="0"/>
            <w:vAlign w:val="center"/>
          </w:tcPr>
          <w:p w14:paraId="3124D2C1">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auto"/>
                <w:sz w:val="21"/>
                <w:szCs w:val="21"/>
                <w:highlight w:val="none"/>
              </w:rPr>
            </w:pPr>
          </w:p>
        </w:tc>
        <w:tc>
          <w:tcPr>
            <w:tcW w:w="2625" w:type="dxa"/>
            <w:noWrap w:val="0"/>
            <w:vAlign w:val="center"/>
          </w:tcPr>
          <w:p w14:paraId="0C7FBAF2">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排放方式</w:t>
            </w:r>
          </w:p>
        </w:tc>
        <w:tc>
          <w:tcPr>
            <w:tcW w:w="3486" w:type="dxa"/>
            <w:noWrap w:val="0"/>
            <w:vAlign w:val="center"/>
          </w:tcPr>
          <w:p w14:paraId="13450826">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 xml:space="preserve">废水排放量Q </w:t>
            </w:r>
            <w:r>
              <w:rPr>
                <w:rFonts w:hint="default" w:ascii="Times New Roman" w:hAnsi="Times New Roman" w:cs="Times New Roman"/>
                <w:color w:val="auto"/>
                <w:sz w:val="21"/>
                <w:szCs w:val="21"/>
                <w:highlight w:val="none"/>
                <w:lang w:val="zh-TW"/>
              </w:rPr>
              <w:t xml:space="preserve">/ </w:t>
            </w:r>
            <w:r>
              <w:rPr>
                <w:rFonts w:hint="default" w:ascii="Times New Roman" w:hAnsi="Times New Roman" w:cs="Times New Roman"/>
                <w:color w:val="auto"/>
                <w:sz w:val="21"/>
                <w:szCs w:val="21"/>
                <w:highlight w:val="none"/>
              </w:rPr>
              <w:t>(m</w:t>
            </w:r>
            <w:r>
              <w:rPr>
                <w:rFonts w:hint="default" w:ascii="Times New Roman" w:hAnsi="Times New Roman" w:cs="Times New Roman"/>
                <w:color w:val="auto"/>
                <w:sz w:val="21"/>
                <w:szCs w:val="21"/>
                <w:highlight w:val="none"/>
                <w:vertAlign w:val="superscript"/>
              </w:rPr>
              <w:t>3</w:t>
            </w:r>
            <w:r>
              <w:rPr>
                <w:rFonts w:hint="default" w:ascii="Times New Roman" w:hAnsi="Times New Roman" w:cs="Times New Roman"/>
                <w:color w:val="auto"/>
                <w:sz w:val="21"/>
                <w:szCs w:val="21"/>
                <w:highlight w:val="none"/>
              </w:rPr>
              <w:t>/d)</w:t>
            </w:r>
            <w:r>
              <w:rPr>
                <w:rFonts w:hint="default" w:ascii="Times New Roman" w:hAnsi="Times New Roman" w:cs="Times New Roman"/>
                <w:color w:val="auto"/>
                <w:sz w:val="21"/>
                <w:szCs w:val="21"/>
                <w:highlight w:val="none"/>
                <w:lang w:val="zh-TW"/>
              </w:rPr>
              <w:t>;</w:t>
            </w:r>
          </w:p>
          <w:p w14:paraId="0A14D88E">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水污染物当量数W</w:t>
            </w:r>
            <w:r>
              <w:rPr>
                <w:rFonts w:hint="default" w:ascii="Times New Roman" w:hAnsi="Times New Roman" w:cs="Times New Roman"/>
                <w:color w:val="auto"/>
                <w:sz w:val="21"/>
                <w:szCs w:val="21"/>
                <w:highlight w:val="none"/>
                <w:lang w:val="zh-TW"/>
              </w:rPr>
              <w:t>/ (</w:t>
            </w:r>
            <w:r>
              <w:rPr>
                <w:rFonts w:hint="default" w:ascii="Times New Roman" w:hAnsi="Times New Roman" w:cs="Times New Roman"/>
                <w:color w:val="auto"/>
                <w:sz w:val="21"/>
                <w:szCs w:val="21"/>
                <w:highlight w:val="none"/>
              </w:rPr>
              <w:t>无量纲）</w:t>
            </w:r>
          </w:p>
        </w:tc>
      </w:tr>
      <w:tr w14:paraId="389108A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 w:type="dxa"/>
            <w:bottom w:w="0" w:type="dxa"/>
            <w:right w:w="10" w:type="dxa"/>
          </w:tblCellMar>
        </w:tblPrEx>
        <w:trPr>
          <w:trHeight w:val="283" w:hRule="atLeast"/>
          <w:jc w:val="center"/>
        </w:trPr>
        <w:tc>
          <w:tcPr>
            <w:tcW w:w="2416" w:type="dxa"/>
            <w:noWrap w:val="0"/>
            <w:vAlign w:val="center"/>
          </w:tcPr>
          <w:p w14:paraId="5EFD81C8">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一级</w:t>
            </w:r>
          </w:p>
        </w:tc>
        <w:tc>
          <w:tcPr>
            <w:tcW w:w="2625" w:type="dxa"/>
            <w:noWrap w:val="0"/>
            <w:vAlign w:val="center"/>
          </w:tcPr>
          <w:p w14:paraId="796B38B9">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直接排放</w:t>
            </w:r>
          </w:p>
        </w:tc>
        <w:tc>
          <w:tcPr>
            <w:tcW w:w="3486" w:type="dxa"/>
            <w:noWrap w:val="0"/>
            <w:vAlign w:val="center"/>
          </w:tcPr>
          <w:p w14:paraId="18226103">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Q≥</w:t>
            </w:r>
            <w:r>
              <w:rPr>
                <w:rFonts w:hint="default" w:ascii="Times New Roman" w:hAnsi="Times New Roman" w:cs="Times New Roman"/>
                <w:color w:val="auto"/>
                <w:sz w:val="21"/>
                <w:szCs w:val="21"/>
                <w:highlight w:val="none"/>
                <w:lang w:val="zh-TW"/>
              </w:rPr>
              <w:t>20000</w:t>
            </w:r>
            <w:r>
              <w:rPr>
                <w:rFonts w:hint="default" w:ascii="Times New Roman" w:hAnsi="Times New Roman" w:cs="Times New Roman"/>
                <w:color w:val="auto"/>
                <w:sz w:val="21"/>
                <w:szCs w:val="21"/>
                <w:highlight w:val="none"/>
              </w:rPr>
              <w:t>或W≥</w:t>
            </w:r>
            <w:r>
              <w:rPr>
                <w:rFonts w:hint="default" w:ascii="Times New Roman" w:hAnsi="Times New Roman" w:cs="Times New Roman"/>
                <w:color w:val="auto"/>
                <w:sz w:val="21"/>
                <w:szCs w:val="21"/>
                <w:highlight w:val="none"/>
                <w:lang w:val="zh-TW"/>
              </w:rPr>
              <w:t>600000</w:t>
            </w:r>
          </w:p>
        </w:tc>
      </w:tr>
      <w:tr w14:paraId="7918A5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 w:type="dxa"/>
            <w:bottom w:w="0" w:type="dxa"/>
            <w:right w:w="10" w:type="dxa"/>
          </w:tblCellMar>
        </w:tblPrEx>
        <w:trPr>
          <w:trHeight w:val="283" w:hRule="atLeast"/>
          <w:jc w:val="center"/>
        </w:trPr>
        <w:tc>
          <w:tcPr>
            <w:tcW w:w="2416" w:type="dxa"/>
            <w:noWrap w:val="0"/>
            <w:vAlign w:val="center"/>
          </w:tcPr>
          <w:p w14:paraId="7A9F5DFC">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二级</w:t>
            </w:r>
          </w:p>
        </w:tc>
        <w:tc>
          <w:tcPr>
            <w:tcW w:w="2625" w:type="dxa"/>
            <w:noWrap w:val="0"/>
            <w:vAlign w:val="center"/>
          </w:tcPr>
          <w:p w14:paraId="5314FB75">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直接排放</w:t>
            </w:r>
          </w:p>
        </w:tc>
        <w:tc>
          <w:tcPr>
            <w:tcW w:w="3486" w:type="dxa"/>
            <w:noWrap w:val="0"/>
            <w:vAlign w:val="center"/>
          </w:tcPr>
          <w:p w14:paraId="4E724E7A">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其他</w:t>
            </w:r>
          </w:p>
        </w:tc>
      </w:tr>
      <w:tr w14:paraId="329DAB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 w:type="dxa"/>
            <w:bottom w:w="0" w:type="dxa"/>
            <w:right w:w="10" w:type="dxa"/>
          </w:tblCellMar>
        </w:tblPrEx>
        <w:trPr>
          <w:trHeight w:val="283" w:hRule="atLeast"/>
          <w:jc w:val="center"/>
        </w:trPr>
        <w:tc>
          <w:tcPr>
            <w:tcW w:w="2416" w:type="dxa"/>
            <w:noWrap w:val="0"/>
            <w:vAlign w:val="center"/>
          </w:tcPr>
          <w:p w14:paraId="31CA9BB9">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三级A</w:t>
            </w:r>
          </w:p>
        </w:tc>
        <w:tc>
          <w:tcPr>
            <w:tcW w:w="2625" w:type="dxa"/>
            <w:noWrap w:val="0"/>
            <w:vAlign w:val="center"/>
          </w:tcPr>
          <w:p w14:paraId="5E13272A">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直接排放</w:t>
            </w:r>
          </w:p>
        </w:tc>
        <w:tc>
          <w:tcPr>
            <w:tcW w:w="3486" w:type="dxa"/>
            <w:noWrap w:val="0"/>
            <w:vAlign w:val="center"/>
          </w:tcPr>
          <w:p w14:paraId="1B390C9F">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Q</w:t>
            </w:r>
            <w:r>
              <w:rPr>
                <w:rFonts w:hint="default" w:ascii="Times New Roman" w:hAnsi="Times New Roman" w:cs="Times New Roman"/>
                <w:color w:val="auto"/>
                <w:sz w:val="21"/>
                <w:szCs w:val="21"/>
                <w:highlight w:val="none"/>
                <w:lang w:val="zh-TW"/>
              </w:rPr>
              <w:t>&lt;200</w:t>
            </w:r>
            <w:r>
              <w:rPr>
                <w:rFonts w:hint="default" w:ascii="Times New Roman" w:hAnsi="Times New Roman" w:cs="Times New Roman"/>
                <w:color w:val="auto"/>
                <w:sz w:val="21"/>
                <w:szCs w:val="21"/>
                <w:highlight w:val="none"/>
              </w:rPr>
              <w:t>且W</w:t>
            </w:r>
            <w:r>
              <w:rPr>
                <w:rFonts w:hint="default" w:ascii="Times New Roman" w:hAnsi="Times New Roman" w:cs="Times New Roman"/>
                <w:color w:val="auto"/>
                <w:sz w:val="21"/>
                <w:szCs w:val="21"/>
                <w:highlight w:val="none"/>
                <w:lang w:val="zh-TW"/>
              </w:rPr>
              <w:t>&lt;6000</w:t>
            </w:r>
          </w:p>
        </w:tc>
      </w:tr>
      <w:tr w14:paraId="5E4286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 w:type="dxa"/>
            <w:bottom w:w="0" w:type="dxa"/>
            <w:right w:w="10" w:type="dxa"/>
          </w:tblCellMar>
        </w:tblPrEx>
        <w:trPr>
          <w:trHeight w:val="283" w:hRule="atLeast"/>
          <w:jc w:val="center"/>
        </w:trPr>
        <w:tc>
          <w:tcPr>
            <w:tcW w:w="2416" w:type="dxa"/>
            <w:noWrap w:val="0"/>
            <w:vAlign w:val="center"/>
          </w:tcPr>
          <w:p w14:paraId="67950514">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三级B</w:t>
            </w:r>
          </w:p>
        </w:tc>
        <w:tc>
          <w:tcPr>
            <w:tcW w:w="2625" w:type="dxa"/>
            <w:noWrap w:val="0"/>
            <w:vAlign w:val="center"/>
          </w:tcPr>
          <w:p w14:paraId="44349A7E">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间接排放</w:t>
            </w:r>
          </w:p>
        </w:tc>
        <w:tc>
          <w:tcPr>
            <w:tcW w:w="3486" w:type="dxa"/>
            <w:noWrap w:val="0"/>
            <w:vAlign w:val="center"/>
          </w:tcPr>
          <w:p w14:paraId="627864BE">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r>
      <w:tr w14:paraId="47290C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 w:type="dxa"/>
            <w:bottom w:w="0" w:type="dxa"/>
            <w:right w:w="10" w:type="dxa"/>
          </w:tblCellMar>
        </w:tblPrEx>
        <w:trPr>
          <w:trHeight w:val="340" w:hRule="atLeast"/>
          <w:jc w:val="center"/>
        </w:trPr>
        <w:tc>
          <w:tcPr>
            <w:tcW w:w="8527" w:type="dxa"/>
            <w:gridSpan w:val="3"/>
            <w:noWrap w:val="0"/>
            <w:vAlign w:val="top"/>
          </w:tcPr>
          <w:p w14:paraId="219623C8">
            <w:pPr>
              <w:pStyle w:val="35"/>
              <w:keepNext w:val="0"/>
              <w:keepLines w:val="0"/>
              <w:pageBreakBefore w:val="0"/>
              <w:widowControl w:val="0"/>
              <w:shd w:val="clear" w:color="auto" w:fill="auto"/>
              <w:kinsoku/>
              <w:wordWrap/>
              <w:overflowPunct/>
              <w:topLinePunct w:val="0"/>
              <w:autoSpaceDE/>
              <w:autoSpaceDN/>
              <w:bidi w:val="0"/>
              <w:adjustRightInd/>
              <w:snapToGrid/>
              <w:spacing w:after="0" w:line="240" w:lineRule="auto"/>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注</w:t>
            </w:r>
            <w:r>
              <w:rPr>
                <w:rFonts w:hint="default" w:ascii="Times New Roman" w:hAnsi="Times New Roman" w:eastAsia="宋体" w:cs="Times New Roman"/>
                <w:color w:val="auto"/>
                <w:sz w:val="21"/>
                <w:szCs w:val="21"/>
                <w:highlight w:val="none"/>
                <w:lang w:val="zh-TW"/>
              </w:rPr>
              <w:t>1：</w:t>
            </w:r>
            <w:r>
              <w:rPr>
                <w:rFonts w:hint="default" w:ascii="Times New Roman" w:hAnsi="Times New Roman" w:eastAsia="宋体" w:cs="Times New Roman"/>
                <w:color w:val="auto"/>
                <w:sz w:val="21"/>
                <w:szCs w:val="21"/>
                <w:highlight w:val="none"/>
              </w:rPr>
              <w:t>水污染物当量数等于该污染物的年排放量除以该污染物的污染当量值（见附录A)，计算排放污染物的污染物当量数，应区分第一类水污染物和其他类水污染物，统计第一类污染物当量数总和，然后与其他类污染物按照污染物当量 数从大到小排序，取最大当量数作为建设项目评价等级确定的依据。</w:t>
            </w:r>
          </w:p>
          <w:p w14:paraId="02B1BD80">
            <w:pPr>
              <w:pStyle w:val="35"/>
              <w:keepNext w:val="0"/>
              <w:keepLines w:val="0"/>
              <w:pageBreakBefore w:val="0"/>
              <w:widowControl w:val="0"/>
              <w:shd w:val="clear" w:color="auto" w:fill="auto"/>
              <w:kinsoku/>
              <w:wordWrap/>
              <w:overflowPunct/>
              <w:topLinePunct w:val="0"/>
              <w:autoSpaceDE/>
              <w:autoSpaceDN/>
              <w:bidi w:val="0"/>
              <w:adjustRightInd/>
              <w:snapToGrid/>
              <w:spacing w:after="0" w:line="240" w:lineRule="auto"/>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注</w:t>
            </w:r>
            <w:r>
              <w:rPr>
                <w:rFonts w:hint="default" w:ascii="Times New Roman" w:hAnsi="Times New Roman" w:eastAsia="宋体" w:cs="Times New Roman"/>
                <w:color w:val="auto"/>
                <w:sz w:val="21"/>
                <w:szCs w:val="21"/>
                <w:highlight w:val="none"/>
                <w:lang w:val="zh-TW"/>
              </w:rPr>
              <w:t>2：</w:t>
            </w:r>
            <w:r>
              <w:rPr>
                <w:rFonts w:hint="default" w:ascii="Times New Roman" w:hAnsi="Times New Roman" w:eastAsia="宋体" w:cs="Times New Roman"/>
                <w:color w:val="auto"/>
                <w:sz w:val="21"/>
                <w:szCs w:val="21"/>
                <w:highlight w:val="none"/>
              </w:rPr>
              <w:t>废水排放量按行业排放标准中规定的废水种类统计，没有相关行业排放标准要求的通过工程分析合理确定，应统计含热量大的冷却水的排放量，可不统计间接冷却水、循环水以及其他含污染物极少的清净下水的排放量。</w:t>
            </w:r>
          </w:p>
          <w:p w14:paraId="60F55514">
            <w:pPr>
              <w:pStyle w:val="35"/>
              <w:keepNext w:val="0"/>
              <w:keepLines w:val="0"/>
              <w:pageBreakBefore w:val="0"/>
              <w:widowControl w:val="0"/>
              <w:shd w:val="clear" w:color="auto" w:fill="auto"/>
              <w:kinsoku/>
              <w:wordWrap/>
              <w:overflowPunct/>
              <w:topLinePunct w:val="0"/>
              <w:autoSpaceDE/>
              <w:autoSpaceDN/>
              <w:bidi w:val="0"/>
              <w:adjustRightInd/>
              <w:snapToGrid/>
              <w:spacing w:after="0" w:line="240" w:lineRule="auto"/>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注</w:t>
            </w:r>
            <w:r>
              <w:rPr>
                <w:rFonts w:hint="default" w:ascii="Times New Roman" w:hAnsi="Times New Roman" w:eastAsia="宋体" w:cs="Times New Roman"/>
                <w:color w:val="auto"/>
                <w:sz w:val="21"/>
                <w:szCs w:val="21"/>
                <w:highlight w:val="none"/>
                <w:lang w:val="zh-TW"/>
              </w:rPr>
              <w:t>3：</w:t>
            </w:r>
            <w:r>
              <w:rPr>
                <w:rFonts w:hint="default" w:ascii="Times New Roman" w:hAnsi="Times New Roman" w:eastAsia="宋体" w:cs="Times New Roman"/>
                <w:color w:val="auto"/>
                <w:sz w:val="21"/>
                <w:szCs w:val="21"/>
                <w:highlight w:val="none"/>
              </w:rPr>
              <w:t>厂区存在堆积物（露天堆放的原料、燃料、废渣等以及垃圾堆放场）、降尘污染的，应将初期雨污水纳入废水排放量，相应的主要污染物纳入水污染当量计算。</w:t>
            </w:r>
          </w:p>
          <w:p w14:paraId="15F53F82">
            <w:pPr>
              <w:pStyle w:val="35"/>
              <w:keepNext w:val="0"/>
              <w:keepLines w:val="0"/>
              <w:pageBreakBefore w:val="0"/>
              <w:widowControl w:val="0"/>
              <w:shd w:val="clear" w:color="auto" w:fill="auto"/>
              <w:kinsoku/>
              <w:wordWrap/>
              <w:overflowPunct/>
              <w:topLinePunct w:val="0"/>
              <w:autoSpaceDE/>
              <w:autoSpaceDN/>
              <w:bidi w:val="0"/>
              <w:adjustRightInd/>
              <w:snapToGrid/>
              <w:spacing w:after="0" w:line="240" w:lineRule="auto"/>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注</w:t>
            </w:r>
            <w:r>
              <w:rPr>
                <w:rStyle w:val="36"/>
                <w:rFonts w:hint="default" w:ascii="Times New Roman" w:hAnsi="Times New Roman" w:eastAsia="宋体" w:cs="Times New Roman"/>
                <w:color w:val="auto"/>
                <w:sz w:val="21"/>
                <w:szCs w:val="21"/>
                <w:highlight w:val="none"/>
                <w:lang w:val="zh-TW"/>
              </w:rPr>
              <w:t>4：</w:t>
            </w:r>
            <w:r>
              <w:rPr>
                <w:rFonts w:hint="default" w:ascii="Times New Roman" w:hAnsi="Times New Roman" w:eastAsia="宋体" w:cs="Times New Roman"/>
                <w:color w:val="auto"/>
                <w:sz w:val="21"/>
                <w:szCs w:val="21"/>
                <w:highlight w:val="none"/>
              </w:rPr>
              <w:t>建设项目直接排放第一类污染物的，其评价等级为一级；建设项目直接排放的污染物为受纳水体超标因子的，评价等级不低于二级。</w:t>
            </w:r>
          </w:p>
          <w:p w14:paraId="4AF462CA">
            <w:pPr>
              <w:pStyle w:val="35"/>
              <w:keepNext w:val="0"/>
              <w:keepLines w:val="0"/>
              <w:pageBreakBefore w:val="0"/>
              <w:widowControl w:val="0"/>
              <w:shd w:val="clear" w:color="auto" w:fill="auto"/>
              <w:kinsoku/>
              <w:wordWrap/>
              <w:overflowPunct/>
              <w:topLinePunct w:val="0"/>
              <w:autoSpaceDE/>
              <w:autoSpaceDN/>
              <w:bidi w:val="0"/>
              <w:adjustRightInd/>
              <w:snapToGrid/>
              <w:spacing w:after="0" w:line="240" w:lineRule="auto"/>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注</w:t>
            </w:r>
            <w:r>
              <w:rPr>
                <w:rStyle w:val="36"/>
                <w:rFonts w:hint="default" w:ascii="Times New Roman" w:hAnsi="Times New Roman" w:eastAsia="宋体" w:cs="Times New Roman"/>
                <w:color w:val="auto"/>
                <w:sz w:val="21"/>
                <w:szCs w:val="21"/>
                <w:highlight w:val="none"/>
                <w:lang w:val="zh-TW"/>
              </w:rPr>
              <w:t>5：</w:t>
            </w:r>
            <w:r>
              <w:rPr>
                <w:rFonts w:hint="default" w:ascii="Times New Roman" w:hAnsi="Times New Roman" w:eastAsia="宋体" w:cs="Times New Roman"/>
                <w:color w:val="auto"/>
                <w:sz w:val="21"/>
                <w:szCs w:val="21"/>
                <w:highlight w:val="none"/>
              </w:rPr>
              <w:t>直接排放受纳水体影响范围涉及饮用水水源保护区、饮用水取水口、重点保护与珍稀水生生物的栖息地、重要水生生物的自然产卵场等保护目标时，评价等级不低于二级。</w:t>
            </w:r>
          </w:p>
          <w:p w14:paraId="3127F32B">
            <w:pPr>
              <w:pStyle w:val="35"/>
              <w:keepNext w:val="0"/>
              <w:keepLines w:val="0"/>
              <w:pageBreakBefore w:val="0"/>
              <w:widowControl w:val="0"/>
              <w:shd w:val="clear" w:color="auto" w:fill="auto"/>
              <w:kinsoku/>
              <w:wordWrap/>
              <w:overflowPunct/>
              <w:topLinePunct w:val="0"/>
              <w:autoSpaceDE/>
              <w:autoSpaceDN/>
              <w:bidi w:val="0"/>
              <w:adjustRightInd/>
              <w:snapToGrid/>
              <w:spacing w:after="0" w:line="240" w:lineRule="auto"/>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注</w:t>
            </w:r>
            <w:r>
              <w:rPr>
                <w:rStyle w:val="36"/>
                <w:rFonts w:hint="default" w:ascii="Times New Roman" w:hAnsi="Times New Roman" w:eastAsia="宋体" w:cs="Times New Roman"/>
                <w:color w:val="auto"/>
                <w:sz w:val="21"/>
                <w:szCs w:val="21"/>
                <w:highlight w:val="none"/>
                <w:lang w:val="zh-TW"/>
              </w:rPr>
              <w:t>6：</w:t>
            </w:r>
            <w:r>
              <w:rPr>
                <w:rFonts w:hint="default" w:ascii="Times New Roman" w:hAnsi="Times New Roman" w:eastAsia="宋体" w:cs="Times New Roman"/>
                <w:color w:val="auto"/>
                <w:sz w:val="21"/>
                <w:szCs w:val="21"/>
                <w:highlight w:val="none"/>
              </w:rPr>
              <w:t>建设项目向河流、湖库排放温排水引起受纳水体水温变化超过水环境质量标准要求，且评价范围有水温敏感目标时，评价等级为一级。</w:t>
            </w:r>
          </w:p>
          <w:p w14:paraId="2265AD8A">
            <w:pPr>
              <w:pStyle w:val="35"/>
              <w:keepNext w:val="0"/>
              <w:keepLines w:val="0"/>
              <w:pageBreakBefore w:val="0"/>
              <w:widowControl w:val="0"/>
              <w:shd w:val="clear" w:color="auto" w:fill="auto"/>
              <w:kinsoku/>
              <w:wordWrap/>
              <w:overflowPunct/>
              <w:topLinePunct w:val="0"/>
              <w:autoSpaceDE/>
              <w:autoSpaceDN/>
              <w:bidi w:val="0"/>
              <w:adjustRightInd/>
              <w:snapToGrid/>
              <w:spacing w:after="0" w:line="240" w:lineRule="auto"/>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注</w:t>
            </w:r>
            <w:r>
              <w:rPr>
                <w:rStyle w:val="36"/>
                <w:rFonts w:hint="default" w:ascii="Times New Roman" w:hAnsi="Times New Roman" w:eastAsia="宋体" w:cs="Times New Roman"/>
                <w:color w:val="auto"/>
                <w:sz w:val="21"/>
                <w:szCs w:val="21"/>
                <w:highlight w:val="none"/>
                <w:lang w:val="zh-TW"/>
              </w:rPr>
              <w:t>7：</w:t>
            </w:r>
            <w:r>
              <w:rPr>
                <w:rFonts w:hint="default" w:ascii="Times New Roman" w:hAnsi="Times New Roman" w:eastAsia="宋体" w:cs="Times New Roman"/>
                <w:color w:val="auto"/>
                <w:sz w:val="21"/>
                <w:szCs w:val="21"/>
                <w:highlight w:val="none"/>
              </w:rPr>
              <w:t>建设项目利用海水作为调节温度介质，排水量</w:t>
            </w:r>
            <w:r>
              <w:rPr>
                <w:rFonts w:hint="default" w:ascii="Times New Roman" w:hAnsi="Times New Roman" w:eastAsia="宋体" w:cs="Times New Roman"/>
                <w:color w:val="auto"/>
                <w:sz w:val="21"/>
                <w:szCs w:val="21"/>
                <w:highlight w:val="none"/>
                <w:lang w:eastAsia="zh-CN"/>
              </w:rPr>
              <w:t>≥</w:t>
            </w:r>
            <w:r>
              <w:rPr>
                <w:rStyle w:val="36"/>
                <w:rFonts w:hint="default" w:ascii="Times New Roman" w:hAnsi="Times New Roman" w:eastAsia="宋体" w:cs="Times New Roman"/>
                <w:color w:val="auto"/>
                <w:sz w:val="21"/>
                <w:szCs w:val="21"/>
                <w:highlight w:val="none"/>
                <w:lang w:val="zh-TW"/>
              </w:rPr>
              <w:t>500</w:t>
            </w:r>
            <w:r>
              <w:rPr>
                <w:rFonts w:hint="default" w:ascii="Times New Roman" w:hAnsi="Times New Roman" w:eastAsia="宋体" w:cs="Times New Roman"/>
                <w:color w:val="auto"/>
                <w:sz w:val="21"/>
                <w:szCs w:val="21"/>
                <w:highlight w:val="none"/>
              </w:rPr>
              <w:t>万</w:t>
            </w:r>
            <w:r>
              <w:rPr>
                <w:rStyle w:val="36"/>
                <w:rFonts w:hint="default" w:ascii="Times New Roman" w:hAnsi="Times New Roman" w:eastAsia="宋体" w:cs="Times New Roman"/>
                <w:color w:val="auto"/>
                <w:sz w:val="21"/>
                <w:szCs w:val="21"/>
                <w:highlight w:val="none"/>
              </w:rPr>
              <w:t>m</w:t>
            </w:r>
            <w:r>
              <w:rPr>
                <w:rStyle w:val="36"/>
                <w:rFonts w:hint="default" w:ascii="Times New Roman" w:hAnsi="Times New Roman" w:eastAsia="宋体" w:cs="Times New Roman"/>
                <w:color w:val="auto"/>
                <w:sz w:val="21"/>
                <w:szCs w:val="21"/>
                <w:highlight w:val="none"/>
                <w:vertAlign w:val="superscript"/>
              </w:rPr>
              <w:t>3</w:t>
            </w:r>
            <w:r>
              <w:rPr>
                <w:rStyle w:val="36"/>
                <w:rFonts w:hint="default" w:ascii="Times New Roman" w:hAnsi="Times New Roman" w:eastAsia="宋体" w:cs="Times New Roman"/>
                <w:color w:val="auto"/>
                <w:sz w:val="21"/>
                <w:szCs w:val="21"/>
                <w:highlight w:val="none"/>
              </w:rPr>
              <w:t>/d</w:t>
            </w:r>
            <w:r>
              <w:rPr>
                <w:rFonts w:hint="default" w:ascii="Times New Roman" w:hAnsi="Times New Roman" w:eastAsia="宋体" w:cs="Times New Roman"/>
                <w:color w:val="auto"/>
                <w:sz w:val="21"/>
                <w:szCs w:val="21"/>
                <w:highlight w:val="none"/>
              </w:rPr>
              <w:t>，评价等级为一级；排水量</w:t>
            </w:r>
            <w:r>
              <w:rPr>
                <w:rStyle w:val="36"/>
                <w:rFonts w:hint="default" w:ascii="Times New Roman" w:hAnsi="Times New Roman" w:eastAsia="宋体" w:cs="Times New Roman"/>
                <w:color w:val="auto"/>
                <w:sz w:val="21"/>
                <w:szCs w:val="21"/>
                <w:highlight w:val="none"/>
                <w:lang w:val="zh-TW"/>
              </w:rPr>
              <w:t>&lt;500</w:t>
            </w:r>
            <w:r>
              <w:rPr>
                <w:rFonts w:hint="default" w:ascii="Times New Roman" w:hAnsi="Times New Roman" w:eastAsia="宋体" w:cs="Times New Roman"/>
                <w:color w:val="auto"/>
                <w:sz w:val="21"/>
                <w:szCs w:val="21"/>
                <w:highlight w:val="none"/>
              </w:rPr>
              <w:t>万</w:t>
            </w:r>
            <w:r>
              <w:rPr>
                <w:rStyle w:val="36"/>
                <w:rFonts w:hint="default" w:ascii="Times New Roman" w:hAnsi="Times New Roman" w:eastAsia="宋体" w:cs="Times New Roman"/>
                <w:color w:val="auto"/>
                <w:sz w:val="21"/>
                <w:szCs w:val="21"/>
                <w:highlight w:val="none"/>
              </w:rPr>
              <w:t>m</w:t>
            </w:r>
            <w:r>
              <w:rPr>
                <w:rStyle w:val="36"/>
                <w:rFonts w:hint="default" w:ascii="Times New Roman" w:hAnsi="Times New Roman" w:eastAsia="宋体" w:cs="Times New Roman"/>
                <w:color w:val="auto"/>
                <w:sz w:val="21"/>
                <w:szCs w:val="21"/>
                <w:highlight w:val="none"/>
                <w:vertAlign w:val="superscript"/>
              </w:rPr>
              <w:t>3</w:t>
            </w:r>
            <w:r>
              <w:rPr>
                <w:rStyle w:val="36"/>
                <w:rFonts w:hint="default" w:ascii="Times New Roman" w:hAnsi="Times New Roman" w:eastAsia="宋体" w:cs="Times New Roman"/>
                <w:color w:val="auto"/>
                <w:sz w:val="21"/>
                <w:szCs w:val="21"/>
                <w:highlight w:val="none"/>
              </w:rPr>
              <w:t>/d</w:t>
            </w:r>
            <w:r>
              <w:rPr>
                <w:rFonts w:hint="default" w:ascii="Times New Roman" w:hAnsi="Times New Roman" w:eastAsia="宋体" w:cs="Times New Roman"/>
                <w:color w:val="auto"/>
                <w:sz w:val="21"/>
                <w:szCs w:val="21"/>
                <w:highlight w:val="none"/>
              </w:rPr>
              <w:t>，评价等级为二级。</w:t>
            </w:r>
          </w:p>
          <w:p w14:paraId="4D93907B">
            <w:pPr>
              <w:pStyle w:val="35"/>
              <w:keepNext w:val="0"/>
              <w:keepLines w:val="0"/>
              <w:pageBreakBefore w:val="0"/>
              <w:widowControl w:val="0"/>
              <w:shd w:val="clear" w:color="auto" w:fill="auto"/>
              <w:kinsoku/>
              <w:wordWrap/>
              <w:overflowPunct/>
              <w:topLinePunct w:val="0"/>
              <w:autoSpaceDE/>
              <w:autoSpaceDN/>
              <w:bidi w:val="0"/>
              <w:adjustRightInd/>
              <w:snapToGrid/>
              <w:spacing w:after="0" w:line="240" w:lineRule="auto"/>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注</w:t>
            </w:r>
            <w:r>
              <w:rPr>
                <w:rStyle w:val="36"/>
                <w:rFonts w:hint="default" w:ascii="Times New Roman" w:hAnsi="Times New Roman" w:eastAsia="宋体" w:cs="Times New Roman"/>
                <w:color w:val="auto"/>
                <w:sz w:val="21"/>
                <w:szCs w:val="21"/>
                <w:highlight w:val="none"/>
                <w:lang w:val="zh-TW"/>
              </w:rPr>
              <w:t>8：</w:t>
            </w:r>
            <w:r>
              <w:rPr>
                <w:rFonts w:hint="default" w:ascii="Times New Roman" w:hAnsi="Times New Roman" w:eastAsia="宋体" w:cs="Times New Roman"/>
                <w:color w:val="auto"/>
                <w:sz w:val="21"/>
                <w:szCs w:val="21"/>
                <w:highlight w:val="none"/>
              </w:rPr>
              <w:t>仅涉及清净下水排放的，如其排放水质满足受纳水体水环境质量标准要求的，评价等级为三级</w:t>
            </w:r>
            <w:r>
              <w:rPr>
                <w:rStyle w:val="36"/>
                <w:rFonts w:hint="default" w:ascii="Times New Roman" w:hAnsi="Times New Roman" w:eastAsia="宋体" w:cs="Times New Roman"/>
                <w:color w:val="auto"/>
                <w:sz w:val="21"/>
                <w:szCs w:val="21"/>
                <w:highlight w:val="none"/>
              </w:rPr>
              <w:t>A</w:t>
            </w:r>
            <w:r>
              <w:rPr>
                <w:rFonts w:hint="default" w:ascii="Times New Roman" w:hAnsi="Times New Roman" w:eastAsia="宋体" w:cs="Times New Roman"/>
                <w:color w:val="auto"/>
                <w:sz w:val="21"/>
                <w:szCs w:val="21"/>
                <w:highlight w:val="none"/>
              </w:rPr>
              <w:t>。</w:t>
            </w:r>
          </w:p>
          <w:p w14:paraId="37C9C33E">
            <w:pPr>
              <w:pStyle w:val="35"/>
              <w:keepNext w:val="0"/>
              <w:keepLines w:val="0"/>
              <w:pageBreakBefore w:val="0"/>
              <w:widowControl w:val="0"/>
              <w:shd w:val="clear" w:color="auto" w:fill="auto"/>
              <w:kinsoku/>
              <w:wordWrap/>
              <w:overflowPunct/>
              <w:topLinePunct w:val="0"/>
              <w:autoSpaceDE/>
              <w:autoSpaceDN/>
              <w:bidi w:val="0"/>
              <w:adjustRightInd/>
              <w:snapToGrid/>
              <w:spacing w:after="0" w:line="240" w:lineRule="auto"/>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注</w:t>
            </w:r>
            <w:r>
              <w:rPr>
                <w:rStyle w:val="36"/>
                <w:rFonts w:hint="default" w:ascii="Times New Roman" w:hAnsi="Times New Roman" w:eastAsia="宋体" w:cs="Times New Roman"/>
                <w:color w:val="auto"/>
                <w:sz w:val="21"/>
                <w:szCs w:val="21"/>
                <w:highlight w:val="none"/>
                <w:lang w:val="zh-TW"/>
              </w:rPr>
              <w:t>9：</w:t>
            </w:r>
            <w:r>
              <w:rPr>
                <w:rFonts w:hint="default" w:ascii="Times New Roman" w:hAnsi="Times New Roman" w:eastAsia="宋体" w:cs="Times New Roman"/>
                <w:color w:val="auto"/>
                <w:sz w:val="21"/>
                <w:szCs w:val="21"/>
                <w:highlight w:val="none"/>
              </w:rPr>
              <w:t>依托现有排放口，且对外环境未新增排放污染物的直接排放建设项目，评价等级参照间接排放，定为三级</w:t>
            </w:r>
            <w:r>
              <w:rPr>
                <w:rStyle w:val="36"/>
                <w:rFonts w:hint="default" w:ascii="Times New Roman" w:hAnsi="Times New Roman" w:eastAsia="宋体" w:cs="Times New Roman"/>
                <w:color w:val="auto"/>
                <w:sz w:val="21"/>
                <w:szCs w:val="21"/>
                <w:highlight w:val="none"/>
              </w:rPr>
              <w:t>B</w:t>
            </w:r>
            <w:r>
              <w:rPr>
                <w:rFonts w:hint="default" w:ascii="Times New Roman" w:hAnsi="Times New Roman" w:eastAsia="宋体" w:cs="Times New Roman"/>
                <w:color w:val="auto"/>
                <w:sz w:val="21"/>
                <w:szCs w:val="21"/>
                <w:highlight w:val="none"/>
              </w:rPr>
              <w:t>。</w:t>
            </w:r>
          </w:p>
          <w:p w14:paraId="3D8E8A2E">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注</w:t>
            </w:r>
            <w:r>
              <w:rPr>
                <w:rStyle w:val="36"/>
                <w:rFonts w:hint="default" w:ascii="Times New Roman" w:hAnsi="Times New Roman" w:eastAsia="宋体" w:cs="Times New Roman"/>
                <w:color w:val="auto"/>
                <w:sz w:val="21"/>
                <w:szCs w:val="21"/>
                <w:highlight w:val="none"/>
                <w:lang w:val="zh-TW"/>
              </w:rPr>
              <w:t>10：</w:t>
            </w:r>
            <w:r>
              <w:rPr>
                <w:rFonts w:hint="default" w:ascii="Times New Roman" w:hAnsi="Times New Roman" w:cs="Times New Roman"/>
                <w:color w:val="auto"/>
                <w:sz w:val="21"/>
                <w:szCs w:val="21"/>
                <w:highlight w:val="none"/>
              </w:rPr>
              <w:t>建设项目生产工艺中有废水产生，但作为回水利用，不排放到外环境的，按三级</w:t>
            </w:r>
            <w:r>
              <w:rPr>
                <w:rStyle w:val="36"/>
                <w:rFonts w:hint="default" w:ascii="Times New Roman" w:hAnsi="Times New Roman" w:eastAsia="宋体" w:cs="Times New Roman"/>
                <w:color w:val="auto"/>
                <w:sz w:val="21"/>
                <w:szCs w:val="21"/>
                <w:highlight w:val="none"/>
              </w:rPr>
              <w:t>B</w:t>
            </w:r>
            <w:r>
              <w:rPr>
                <w:rFonts w:hint="default" w:ascii="Times New Roman" w:hAnsi="Times New Roman" w:cs="Times New Roman"/>
                <w:color w:val="auto"/>
                <w:sz w:val="21"/>
                <w:szCs w:val="21"/>
                <w:highlight w:val="none"/>
              </w:rPr>
              <w:t>评价。</w:t>
            </w:r>
          </w:p>
        </w:tc>
      </w:tr>
    </w:tbl>
    <w:p w14:paraId="7397DB93">
      <w:pPr>
        <w:pStyle w:val="37"/>
        <w:keepNext w:val="0"/>
        <w:keepLines w:val="0"/>
        <w:pageBreakBefore w:val="0"/>
        <w:widowControl w:val="0"/>
        <w:kinsoku/>
        <w:wordWrap/>
        <w:overflowPunct/>
        <w:topLinePunct w:val="0"/>
        <w:bidi w:val="0"/>
        <w:adjustRightInd w:val="0"/>
        <w:snapToGrid w:val="0"/>
        <w:ind w:left="0" w:leftChars="0"/>
        <w:textAlignment w:val="auto"/>
        <w:rPr>
          <w:rFonts w:hint="default" w:ascii="Times New Roman" w:hAnsi="Times New Roman" w:eastAsia="宋体" w:cs="Times New Roman"/>
          <w:color w:val="auto"/>
          <w:kern w:val="0"/>
          <w:sz w:val="24"/>
          <w:szCs w:val="24"/>
          <w:highlight w:val="none"/>
          <w:u w:val="none"/>
          <w:lang w:val="en-US" w:eastAsia="zh-CN" w:bidi="ar-SA"/>
        </w:rPr>
      </w:pPr>
      <w:r>
        <w:rPr>
          <w:rFonts w:hint="eastAsia" w:hAnsi="宋体" w:cs="Times New Roman"/>
          <w:color w:val="auto"/>
          <w:highlight w:val="none"/>
          <w:lang w:eastAsia="zh-CN"/>
        </w:rPr>
        <w:t>本工程营运期不新增生活污水。现有</w:t>
      </w:r>
      <w:r>
        <w:rPr>
          <w:rFonts w:hAnsi="宋体" w:cs="Times New Roman"/>
          <w:color w:val="auto"/>
          <w:highlight w:val="none"/>
        </w:rPr>
        <w:t>升压站</w:t>
      </w:r>
      <w:r>
        <w:rPr>
          <w:rFonts w:hint="eastAsia" w:hAnsi="宋体" w:cs="Times New Roman"/>
          <w:color w:val="auto"/>
          <w:highlight w:val="none"/>
          <w:lang w:eastAsia="zh-CN"/>
        </w:rPr>
        <w:t>已</w:t>
      </w:r>
      <w:r>
        <w:rPr>
          <w:rFonts w:hAnsi="宋体" w:cs="Times New Roman"/>
          <w:color w:val="auto"/>
          <w:highlight w:val="none"/>
        </w:rPr>
        <w:t>配套建设</w:t>
      </w:r>
      <w:r>
        <w:rPr>
          <w:rFonts w:hint="eastAsia" w:hAnsi="宋体" w:cs="Times New Roman"/>
          <w:color w:val="auto"/>
          <w:highlight w:val="none"/>
        </w:rPr>
        <w:t>1套</w:t>
      </w:r>
      <w:r>
        <w:rPr>
          <w:rFonts w:hAnsi="宋体" w:cs="Times New Roman"/>
          <w:color w:val="auto"/>
          <w:highlight w:val="none"/>
        </w:rPr>
        <w:t>一体化污水处理系统</w:t>
      </w:r>
      <w:r>
        <w:rPr>
          <w:rFonts w:hint="eastAsia" w:hAnsi="宋体" w:cs="Times New Roman"/>
          <w:color w:val="auto"/>
          <w:highlight w:val="none"/>
          <w:lang w:eastAsia="zh-CN"/>
        </w:rPr>
        <w:t>处理现有人员的生活污水</w:t>
      </w:r>
      <w:r>
        <w:rPr>
          <w:rFonts w:hAnsi="宋体" w:cs="Times New Roman"/>
          <w:color w:val="auto"/>
          <w:highlight w:val="none"/>
        </w:rPr>
        <w:t>，经处理达标后作为绿化用水，不外排</w:t>
      </w:r>
      <w:r>
        <w:rPr>
          <w:rFonts w:hint="default" w:ascii="Times New Roman" w:hAnsi="Times New Roman" w:cs="Times New Roman"/>
          <w:color w:val="auto"/>
          <w:sz w:val="24"/>
          <w:szCs w:val="24"/>
          <w:highlight w:val="none"/>
          <w:u w:val="none"/>
          <w:lang w:eastAsia="zh-CN"/>
        </w:rPr>
        <w:t>。</w:t>
      </w:r>
      <w:r>
        <w:rPr>
          <w:rFonts w:hint="default" w:ascii="Times New Roman" w:hAnsi="Times New Roman" w:eastAsia="宋体" w:cs="Times New Roman"/>
          <w:color w:val="auto"/>
          <w:kern w:val="0"/>
          <w:sz w:val="24"/>
          <w:szCs w:val="24"/>
          <w:highlight w:val="none"/>
          <w:u w:val="none"/>
          <w:lang w:val="en-US" w:eastAsia="zh-CN" w:bidi="ar-SA"/>
        </w:rPr>
        <w:t>根据《环境影响评价技术导则—地表水环境》（HJ2.3-2018）：建设项目生产工艺中有废水产生，但作为回水利用，不排放到外环境的，按三级B评价。</w:t>
      </w:r>
    </w:p>
    <w:p w14:paraId="6B9EC8B1">
      <w:pPr>
        <w:pStyle w:val="37"/>
        <w:keepNext w:val="0"/>
        <w:keepLines w:val="0"/>
        <w:pageBreakBefore w:val="0"/>
        <w:widowControl w:val="0"/>
        <w:kinsoku/>
        <w:wordWrap/>
        <w:overflowPunct/>
        <w:topLinePunct w:val="0"/>
        <w:bidi w:val="0"/>
        <w:adjustRightInd w:val="0"/>
        <w:snapToGrid w:val="0"/>
        <w:ind w:left="0" w:leftChars="0"/>
        <w:textAlignment w:val="auto"/>
        <w:rPr>
          <w:rFonts w:hint="default" w:ascii="Times New Roman" w:hAnsi="Times New Roman" w:eastAsia="宋体" w:cs="Times New Roman"/>
          <w:color w:val="auto"/>
          <w:kern w:val="0"/>
          <w:sz w:val="24"/>
          <w:szCs w:val="24"/>
          <w:highlight w:val="none"/>
          <w:u w:val="none"/>
          <w:lang w:val="en-US" w:eastAsia="zh-CN" w:bidi="ar-SA"/>
        </w:rPr>
      </w:pPr>
      <w:r>
        <w:rPr>
          <w:rFonts w:hint="eastAsia" w:ascii="Times New Roman" w:hAnsi="Times New Roman" w:eastAsia="宋体" w:cs="Times New Roman"/>
          <w:color w:val="auto"/>
          <w:kern w:val="0"/>
          <w:sz w:val="24"/>
          <w:szCs w:val="24"/>
          <w:highlight w:val="none"/>
          <w:u w:val="none"/>
          <w:lang w:val="en-US" w:eastAsia="zh-CN" w:bidi="ar-SA"/>
        </w:rPr>
        <w:t>综上，按照污染影响类划分，</w:t>
      </w:r>
      <w:r>
        <w:rPr>
          <w:rFonts w:hint="default" w:ascii="Times New Roman" w:hAnsi="Times New Roman" w:eastAsia="宋体" w:cs="Times New Roman"/>
          <w:color w:val="auto"/>
          <w:kern w:val="0"/>
          <w:sz w:val="24"/>
          <w:szCs w:val="24"/>
          <w:highlight w:val="none"/>
          <w:u w:val="none"/>
          <w:lang w:val="en-US" w:eastAsia="zh-CN" w:bidi="ar-SA"/>
        </w:rPr>
        <w:t>项目地表水评价等级为三级B，主要评价内容为：①水污染控制措施和水环境影响减缓措施有效性评价；②依托污水处理设施的环境可行性评价。</w:t>
      </w:r>
    </w:p>
    <w:p w14:paraId="5E745A64">
      <w:pPr>
        <w:pStyle w:val="6"/>
        <w:rPr>
          <w:rFonts w:hint="default" w:ascii="Times New Roman" w:hAnsi="Times New Roman" w:cs="Times New Roman"/>
          <w:color w:val="auto"/>
          <w:highlight w:val="none"/>
        </w:rPr>
      </w:pPr>
      <w:r>
        <w:rPr>
          <w:rFonts w:hint="eastAsia" w:cs="Times New Roman"/>
          <w:color w:val="auto"/>
          <w:highlight w:val="none"/>
          <w:lang w:eastAsia="zh-CN"/>
        </w:rPr>
        <w:t>大气环境评价等级判定</w:t>
      </w:r>
    </w:p>
    <w:p w14:paraId="3F943095">
      <w:pPr>
        <w:rPr>
          <w:color w:val="auto"/>
          <w:highlight w:val="none"/>
        </w:rPr>
      </w:pPr>
      <w:r>
        <w:rPr>
          <w:rFonts w:hint="default" w:ascii="Times New Roman" w:hAnsi="Times New Roman" w:cs="Times New Roman"/>
          <w:color w:val="auto"/>
          <w:sz w:val="24"/>
          <w:szCs w:val="24"/>
          <w:highlight w:val="none"/>
        </w:rPr>
        <w:t>风电为清洁能源，工程营运期无废气污染物排放</w:t>
      </w:r>
      <w:r>
        <w:rPr>
          <w:rFonts w:hint="default" w:ascii="Times New Roman" w:hAnsi="Times New Roman" w:cs="Times New Roman"/>
          <w:color w:val="auto"/>
          <w:sz w:val="24"/>
          <w:szCs w:val="24"/>
          <w:highlight w:val="none"/>
          <w:lang w:eastAsia="zh-CN"/>
        </w:rPr>
        <w:t>，</w:t>
      </w:r>
      <w:r>
        <w:rPr>
          <w:rFonts w:hint="eastAsia" w:ascii="Times New Roman" w:hAnsi="Times New Roman" w:cs="Times New Roman"/>
          <w:color w:val="auto"/>
          <w:sz w:val="24"/>
          <w:szCs w:val="24"/>
          <w:highlight w:val="none"/>
          <w:lang w:eastAsia="zh-CN"/>
        </w:rPr>
        <w:t>根据《环境影响评价技术导则大气环境》（HJ2.2-2018），确定大气环境按三级评价</w:t>
      </w:r>
      <w:r>
        <w:rPr>
          <w:rFonts w:hint="default" w:ascii="Times New Roman" w:hAnsi="Times New Roman" w:cs="Times New Roman"/>
          <w:color w:val="auto"/>
          <w:sz w:val="24"/>
          <w:szCs w:val="24"/>
          <w:highlight w:val="none"/>
          <w:lang w:eastAsia="zh-CN"/>
        </w:rPr>
        <w:t>。</w:t>
      </w:r>
    </w:p>
    <w:p w14:paraId="777FBCC8">
      <w:pPr>
        <w:pStyle w:val="6"/>
        <w:rPr>
          <w:rFonts w:hint="default" w:ascii="Times New Roman" w:hAnsi="Times New Roman" w:cs="Times New Roman"/>
          <w:color w:val="auto"/>
          <w:highlight w:val="none"/>
        </w:rPr>
      </w:pPr>
      <w:r>
        <w:rPr>
          <w:rFonts w:hint="eastAsia" w:cs="Times New Roman"/>
          <w:color w:val="auto"/>
          <w:highlight w:val="none"/>
          <w:lang w:eastAsia="zh-CN"/>
        </w:rPr>
        <w:t>地下水环境评价等级判定</w:t>
      </w:r>
    </w:p>
    <w:p w14:paraId="23673CC6">
      <w:pPr>
        <w:rPr>
          <w:color w:val="auto"/>
          <w:highlight w:val="none"/>
        </w:rPr>
      </w:pPr>
      <w:r>
        <w:rPr>
          <w:rFonts w:hint="default" w:ascii="Times New Roman" w:hAnsi="Times New Roman" w:eastAsia="宋体" w:cs="Times New Roman"/>
          <w:b w:val="0"/>
          <w:bCs w:val="0"/>
          <w:color w:val="auto"/>
          <w:kern w:val="0"/>
          <w:sz w:val="24"/>
          <w:szCs w:val="24"/>
          <w:highlight w:val="none"/>
          <w:lang w:val="en-US" w:eastAsia="zh-CN"/>
        </w:rPr>
        <w:t>根据《环境影响评价技术导则地下水环境》（HJ610—2016），</w:t>
      </w:r>
      <w:r>
        <w:rPr>
          <w:rFonts w:hint="eastAsia" w:ascii="Times New Roman" w:hAnsi="Times New Roman" w:eastAsia="宋体" w:cs="Times New Roman"/>
          <w:b w:val="0"/>
          <w:bCs w:val="0"/>
          <w:color w:val="auto"/>
          <w:kern w:val="0"/>
          <w:sz w:val="24"/>
          <w:szCs w:val="24"/>
          <w:highlight w:val="none"/>
          <w:lang w:val="en-US" w:eastAsia="zh-CN"/>
        </w:rPr>
        <w:t>风力发电</w:t>
      </w:r>
      <w:r>
        <w:rPr>
          <w:rFonts w:hint="default" w:ascii="Times New Roman" w:hAnsi="Times New Roman" w:eastAsia="宋体" w:cs="Times New Roman"/>
          <w:b w:val="0"/>
          <w:bCs w:val="0"/>
          <w:color w:val="auto"/>
          <w:kern w:val="0"/>
          <w:sz w:val="24"/>
          <w:szCs w:val="24"/>
          <w:highlight w:val="none"/>
          <w:lang w:val="en-US" w:eastAsia="zh-CN"/>
        </w:rPr>
        <w:t>的项目类别为“Ⅳ类”</w:t>
      </w:r>
      <w:r>
        <w:rPr>
          <w:rFonts w:hint="eastAsia" w:ascii="Times New Roman" w:hAnsi="Times New Roman" w:eastAsia="宋体" w:cs="Times New Roman"/>
          <w:b w:val="0"/>
          <w:bCs w:val="0"/>
          <w:color w:val="auto"/>
          <w:kern w:val="0"/>
          <w:sz w:val="24"/>
          <w:szCs w:val="24"/>
          <w:highlight w:val="none"/>
          <w:lang w:val="en-US" w:eastAsia="zh-CN"/>
        </w:rPr>
        <w:t>，</w:t>
      </w:r>
      <w:r>
        <w:rPr>
          <w:rFonts w:hint="default" w:ascii="Times New Roman" w:hAnsi="Times New Roman" w:eastAsia="宋体" w:cs="Times New Roman"/>
          <w:b w:val="0"/>
          <w:bCs w:val="0"/>
          <w:color w:val="auto"/>
          <w:kern w:val="0"/>
          <w:sz w:val="24"/>
          <w:szCs w:val="24"/>
          <w:highlight w:val="none"/>
          <w:lang w:val="en-US" w:eastAsia="zh-CN"/>
        </w:rPr>
        <w:t>Ⅳ类建设项目不开展地下水环境影响评价。</w:t>
      </w:r>
    </w:p>
    <w:p w14:paraId="39CA58F9">
      <w:pPr>
        <w:pStyle w:val="6"/>
        <w:rPr>
          <w:rFonts w:hint="default" w:ascii="Times New Roman" w:hAnsi="Times New Roman" w:cs="Times New Roman"/>
          <w:color w:val="auto"/>
          <w:highlight w:val="none"/>
        </w:rPr>
      </w:pPr>
      <w:r>
        <w:rPr>
          <w:rFonts w:hint="eastAsia" w:cs="Times New Roman"/>
          <w:color w:val="auto"/>
          <w:highlight w:val="none"/>
          <w:lang w:eastAsia="zh-CN"/>
        </w:rPr>
        <w:t>土壤环境评价等级判定</w:t>
      </w:r>
    </w:p>
    <w:p w14:paraId="761D11AF">
      <w:pPr>
        <w:pStyle w:val="2"/>
        <w:keepNext w:val="0"/>
        <w:keepLines w:val="0"/>
        <w:pageBreakBefore w:val="0"/>
        <w:widowControl w:val="0"/>
        <w:kinsoku/>
        <w:wordWrap/>
        <w:overflowPunct/>
        <w:topLinePunct w:val="0"/>
        <w:autoSpaceDE/>
        <w:autoSpaceDN/>
        <w:bidi w:val="0"/>
        <w:adjustRightInd w:val="0"/>
        <w:snapToGrid w:val="0"/>
        <w:spacing w:before="0" w:after="0" w:line="360" w:lineRule="auto"/>
        <w:ind w:right="0" w:firstLine="480" w:firstLineChars="200"/>
        <w:jc w:val="both"/>
        <w:textAlignment w:val="auto"/>
        <w:rPr>
          <w:rFonts w:hint="eastAsia" w:ascii="Times New Roman" w:hAnsi="Times New Roman" w:cs="Times New Roman"/>
          <w:color w:val="auto"/>
          <w:sz w:val="24"/>
          <w:szCs w:val="24"/>
          <w:highlight w:val="none"/>
          <w:lang w:val="en-US" w:eastAsia="zh-CN"/>
        </w:rPr>
      </w:pPr>
      <w:r>
        <w:rPr>
          <w:rFonts w:hint="default" w:ascii="Times New Roman" w:hAnsi="Times New Roman" w:cs="Times New Roman"/>
          <w:color w:val="auto"/>
          <w:sz w:val="24"/>
          <w:szCs w:val="24"/>
          <w:highlight w:val="none"/>
          <w:lang w:val="en-US" w:eastAsia="zh-CN"/>
        </w:rPr>
        <w:t>根据《环境影响评价技术导则土壤环境（试行）》（HJ964-2018）附录A关于土壤环境影响评价项目类别划分，本项目属于Ⅳ类项目，无需开展土壤环境影响评价</w:t>
      </w:r>
      <w:r>
        <w:rPr>
          <w:rFonts w:hint="eastAsia" w:ascii="Times New Roman" w:hAnsi="Times New Roman" w:cs="Times New Roman"/>
          <w:color w:val="auto"/>
          <w:sz w:val="24"/>
          <w:szCs w:val="24"/>
          <w:highlight w:val="none"/>
          <w:lang w:val="en-US" w:eastAsia="zh-CN"/>
        </w:rPr>
        <w:t>。</w:t>
      </w:r>
    </w:p>
    <w:p w14:paraId="356B55FE">
      <w:pPr>
        <w:pStyle w:val="6"/>
        <w:rPr>
          <w:rFonts w:hint="default" w:ascii="Times New Roman" w:hAnsi="Times New Roman" w:cs="Times New Roman"/>
          <w:color w:val="auto"/>
          <w:highlight w:val="none"/>
        </w:rPr>
      </w:pPr>
      <w:r>
        <w:rPr>
          <w:rFonts w:hint="eastAsia" w:cs="Times New Roman"/>
          <w:color w:val="auto"/>
          <w:highlight w:val="none"/>
          <w:lang w:eastAsia="zh-CN"/>
        </w:rPr>
        <w:t>电磁环境评价等级判定</w:t>
      </w:r>
    </w:p>
    <w:p w14:paraId="5CF0731F">
      <w:pPr>
        <w:pStyle w:val="61"/>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根据《环境影响评价技术导则 输变电工程》（HJ24-20</w:t>
      </w:r>
      <w:r>
        <w:rPr>
          <w:rFonts w:hint="eastAsia" w:cs="Times New Roman"/>
          <w:color w:val="auto"/>
          <w:highlight w:val="none"/>
          <w:lang w:val="en-US" w:eastAsia="zh-CN"/>
        </w:rPr>
        <w:t>20</w:t>
      </w:r>
      <w:r>
        <w:rPr>
          <w:rFonts w:hint="default" w:ascii="Times New Roman" w:hAnsi="Times New Roman" w:cs="Times New Roman"/>
          <w:color w:val="auto"/>
          <w:highlight w:val="none"/>
          <w:lang w:val="en-US" w:eastAsia="zh-CN"/>
        </w:rPr>
        <w:t>），变电站工程</w:t>
      </w:r>
      <w:r>
        <w:rPr>
          <w:rFonts w:hint="default" w:ascii="Times New Roman" w:hAnsi="Times New Roman" w:cs="Times New Roman"/>
          <w:color w:val="auto"/>
          <w:highlight w:val="none"/>
        </w:rPr>
        <w:t>电磁环境影响评价工作等级划分见下表。</w:t>
      </w:r>
    </w:p>
    <w:p w14:paraId="69A07546">
      <w:pPr>
        <w:pStyle w:val="46"/>
        <w:bidi w:val="0"/>
        <w:rPr>
          <w:rFonts w:hint="default"/>
          <w:lang w:val="en-US" w:eastAsia="zh-CN"/>
        </w:rPr>
      </w:pPr>
      <w:r>
        <w:rPr>
          <w:rFonts w:hint="default"/>
          <w:lang w:val="en-US" w:eastAsia="zh-CN"/>
        </w:rPr>
        <w:t>表</w:t>
      </w:r>
      <w:r>
        <w:rPr>
          <w:rFonts w:hint="eastAsia"/>
          <w:lang w:val="en-US" w:eastAsia="zh-CN"/>
        </w:rPr>
        <w:t xml:space="preserve">2.2-6  </w:t>
      </w:r>
      <w:r>
        <w:rPr>
          <w:rFonts w:hint="default"/>
          <w:lang w:val="en-US" w:eastAsia="zh-CN"/>
        </w:rPr>
        <w:t>输变电工程环境影响评价工作等级</w:t>
      </w:r>
    </w:p>
    <w:tbl>
      <w:tblPr>
        <w:tblStyle w:val="20"/>
        <w:tblW w:w="5027"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502"/>
        <w:gridCol w:w="1042"/>
        <w:gridCol w:w="1196"/>
        <w:gridCol w:w="3493"/>
        <w:gridCol w:w="1148"/>
      </w:tblGrid>
      <w:tr w14:paraId="485E5B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c>
          <w:tcPr>
            <w:tcW w:w="1756" w:type="dxa"/>
            <w:tcBorders>
              <w:tl2br w:val="nil"/>
              <w:tr2bl w:val="nil"/>
            </w:tcBorders>
            <w:vAlign w:val="center"/>
          </w:tcPr>
          <w:p w14:paraId="6F61793D">
            <w:pPr>
              <w:pStyle w:val="23"/>
              <w:bidi w:val="0"/>
              <w:rPr>
                <w:rFonts w:hint="default"/>
                <w:highlight w:val="none"/>
              </w:rPr>
            </w:pPr>
            <w:r>
              <w:rPr>
                <w:rFonts w:hint="default"/>
                <w:highlight w:val="none"/>
              </w:rPr>
              <w:t>分类</w:t>
            </w:r>
          </w:p>
        </w:tc>
        <w:tc>
          <w:tcPr>
            <w:tcW w:w="1219" w:type="dxa"/>
            <w:tcBorders>
              <w:tl2br w:val="nil"/>
              <w:tr2bl w:val="nil"/>
            </w:tcBorders>
            <w:vAlign w:val="center"/>
          </w:tcPr>
          <w:p w14:paraId="7F5AA57E">
            <w:pPr>
              <w:pStyle w:val="23"/>
              <w:bidi w:val="0"/>
              <w:rPr>
                <w:rFonts w:hint="default"/>
                <w:highlight w:val="none"/>
              </w:rPr>
            </w:pPr>
            <w:r>
              <w:rPr>
                <w:rFonts w:hint="default"/>
                <w:highlight w:val="none"/>
              </w:rPr>
              <w:t>电压等级</w:t>
            </w:r>
          </w:p>
        </w:tc>
        <w:tc>
          <w:tcPr>
            <w:tcW w:w="1399" w:type="dxa"/>
            <w:tcBorders>
              <w:tl2br w:val="nil"/>
              <w:tr2bl w:val="nil"/>
            </w:tcBorders>
            <w:vAlign w:val="center"/>
          </w:tcPr>
          <w:p w14:paraId="73C30980">
            <w:pPr>
              <w:pStyle w:val="23"/>
              <w:bidi w:val="0"/>
              <w:rPr>
                <w:rFonts w:hint="default"/>
                <w:highlight w:val="none"/>
              </w:rPr>
            </w:pPr>
            <w:r>
              <w:rPr>
                <w:rFonts w:hint="default"/>
                <w:highlight w:val="none"/>
              </w:rPr>
              <w:t>工程</w:t>
            </w:r>
          </w:p>
        </w:tc>
        <w:tc>
          <w:tcPr>
            <w:tcW w:w="4084" w:type="dxa"/>
            <w:tcBorders>
              <w:tl2br w:val="nil"/>
              <w:tr2bl w:val="nil"/>
            </w:tcBorders>
            <w:vAlign w:val="center"/>
          </w:tcPr>
          <w:p w14:paraId="2ADE6347">
            <w:pPr>
              <w:pStyle w:val="23"/>
              <w:bidi w:val="0"/>
              <w:rPr>
                <w:rFonts w:hint="default"/>
                <w:highlight w:val="none"/>
              </w:rPr>
            </w:pPr>
            <w:r>
              <w:rPr>
                <w:rFonts w:hint="default"/>
                <w:highlight w:val="none"/>
              </w:rPr>
              <w:t>条件</w:t>
            </w:r>
          </w:p>
        </w:tc>
        <w:tc>
          <w:tcPr>
            <w:tcW w:w="1342" w:type="dxa"/>
            <w:tcBorders>
              <w:tl2br w:val="nil"/>
              <w:tr2bl w:val="nil"/>
            </w:tcBorders>
            <w:vAlign w:val="center"/>
          </w:tcPr>
          <w:p w14:paraId="3E8DD083">
            <w:pPr>
              <w:pStyle w:val="23"/>
              <w:bidi w:val="0"/>
              <w:rPr>
                <w:rFonts w:hint="default"/>
                <w:highlight w:val="none"/>
              </w:rPr>
            </w:pPr>
            <w:r>
              <w:rPr>
                <w:rFonts w:hint="default"/>
                <w:highlight w:val="none"/>
              </w:rPr>
              <w:t>评价等级</w:t>
            </w:r>
          </w:p>
        </w:tc>
      </w:tr>
      <w:tr w14:paraId="41F9EF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c>
          <w:tcPr>
            <w:tcW w:w="1756" w:type="dxa"/>
            <w:vMerge w:val="restart"/>
            <w:tcBorders>
              <w:tl2br w:val="nil"/>
              <w:tr2bl w:val="nil"/>
            </w:tcBorders>
            <w:vAlign w:val="center"/>
          </w:tcPr>
          <w:p w14:paraId="51D14DD4">
            <w:pPr>
              <w:pStyle w:val="23"/>
              <w:bidi w:val="0"/>
              <w:rPr>
                <w:rFonts w:hint="default"/>
                <w:highlight w:val="none"/>
              </w:rPr>
            </w:pPr>
            <w:r>
              <w:rPr>
                <w:rFonts w:hint="default"/>
                <w:highlight w:val="none"/>
              </w:rPr>
              <w:t>交流输变电工程</w:t>
            </w:r>
          </w:p>
        </w:tc>
        <w:tc>
          <w:tcPr>
            <w:tcW w:w="1219" w:type="dxa"/>
            <w:vMerge w:val="restart"/>
            <w:tcBorders>
              <w:tl2br w:val="nil"/>
              <w:tr2bl w:val="nil"/>
            </w:tcBorders>
            <w:vAlign w:val="center"/>
          </w:tcPr>
          <w:p w14:paraId="7477B38F">
            <w:pPr>
              <w:pStyle w:val="23"/>
              <w:bidi w:val="0"/>
              <w:rPr>
                <w:rFonts w:hint="eastAsia"/>
                <w:highlight w:val="none"/>
                <w:lang w:eastAsia="zh-CN"/>
              </w:rPr>
            </w:pPr>
            <w:r>
              <w:rPr>
                <w:rFonts w:hint="default"/>
                <w:highlight w:val="none"/>
              </w:rPr>
              <w:t>110</w:t>
            </w:r>
            <w:r>
              <w:rPr>
                <w:rFonts w:hint="eastAsia"/>
                <w:highlight w:val="none"/>
                <w:lang w:eastAsia="zh-CN"/>
              </w:rPr>
              <w:t>kV</w:t>
            </w:r>
          </w:p>
        </w:tc>
        <w:tc>
          <w:tcPr>
            <w:tcW w:w="1399" w:type="dxa"/>
            <w:vMerge w:val="restart"/>
            <w:tcBorders>
              <w:tl2br w:val="nil"/>
              <w:tr2bl w:val="nil"/>
            </w:tcBorders>
            <w:vAlign w:val="center"/>
          </w:tcPr>
          <w:p w14:paraId="695936C9">
            <w:pPr>
              <w:pStyle w:val="23"/>
              <w:bidi w:val="0"/>
              <w:rPr>
                <w:rFonts w:hint="default"/>
                <w:highlight w:val="none"/>
              </w:rPr>
            </w:pPr>
            <w:r>
              <w:rPr>
                <w:rFonts w:hint="default"/>
                <w:highlight w:val="none"/>
              </w:rPr>
              <w:t>变电站</w:t>
            </w:r>
          </w:p>
        </w:tc>
        <w:tc>
          <w:tcPr>
            <w:tcW w:w="4084" w:type="dxa"/>
            <w:tcBorders>
              <w:tl2br w:val="nil"/>
              <w:tr2bl w:val="nil"/>
            </w:tcBorders>
            <w:vAlign w:val="center"/>
          </w:tcPr>
          <w:p w14:paraId="361C8C8C">
            <w:pPr>
              <w:pStyle w:val="23"/>
              <w:bidi w:val="0"/>
              <w:rPr>
                <w:rFonts w:hint="default"/>
                <w:highlight w:val="none"/>
                <w:lang w:val="en-US" w:eastAsia="zh-CN"/>
              </w:rPr>
            </w:pPr>
            <w:r>
              <w:rPr>
                <w:rFonts w:hint="default"/>
                <w:highlight w:val="none"/>
                <w:lang w:val="en-US" w:eastAsia="zh-CN"/>
              </w:rPr>
              <w:t>户内式、地下式</w:t>
            </w:r>
          </w:p>
        </w:tc>
        <w:tc>
          <w:tcPr>
            <w:tcW w:w="1342" w:type="dxa"/>
            <w:tcBorders>
              <w:tl2br w:val="nil"/>
              <w:tr2bl w:val="nil"/>
            </w:tcBorders>
            <w:vAlign w:val="center"/>
          </w:tcPr>
          <w:p w14:paraId="5E139A95">
            <w:pPr>
              <w:pStyle w:val="23"/>
              <w:bidi w:val="0"/>
              <w:rPr>
                <w:rFonts w:hint="default"/>
                <w:highlight w:val="none"/>
              </w:rPr>
            </w:pPr>
            <w:r>
              <w:rPr>
                <w:rFonts w:hint="default"/>
                <w:highlight w:val="none"/>
                <w:lang w:val="en-US" w:eastAsia="zh-CN"/>
              </w:rPr>
              <w:t>三</w:t>
            </w:r>
            <w:r>
              <w:rPr>
                <w:rFonts w:hint="default"/>
                <w:highlight w:val="none"/>
              </w:rPr>
              <w:t>级</w:t>
            </w:r>
          </w:p>
        </w:tc>
      </w:tr>
      <w:tr w14:paraId="32D0D3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c>
          <w:tcPr>
            <w:tcW w:w="1756" w:type="dxa"/>
            <w:vMerge w:val="continue"/>
            <w:tcBorders>
              <w:tl2br w:val="nil"/>
              <w:tr2bl w:val="nil"/>
            </w:tcBorders>
            <w:vAlign w:val="center"/>
          </w:tcPr>
          <w:p w14:paraId="4DB887A2">
            <w:pPr>
              <w:pStyle w:val="23"/>
              <w:bidi w:val="0"/>
              <w:rPr>
                <w:rFonts w:hint="default"/>
                <w:highlight w:val="none"/>
              </w:rPr>
            </w:pPr>
          </w:p>
        </w:tc>
        <w:tc>
          <w:tcPr>
            <w:tcW w:w="1219" w:type="dxa"/>
            <w:vMerge w:val="continue"/>
            <w:tcBorders>
              <w:tl2br w:val="nil"/>
              <w:tr2bl w:val="nil"/>
            </w:tcBorders>
            <w:vAlign w:val="center"/>
          </w:tcPr>
          <w:p w14:paraId="4D137C74">
            <w:pPr>
              <w:pStyle w:val="23"/>
              <w:bidi w:val="0"/>
              <w:rPr>
                <w:rFonts w:hint="default"/>
                <w:highlight w:val="none"/>
              </w:rPr>
            </w:pPr>
          </w:p>
        </w:tc>
        <w:tc>
          <w:tcPr>
            <w:tcW w:w="1399" w:type="dxa"/>
            <w:vMerge w:val="continue"/>
            <w:tcBorders>
              <w:tl2br w:val="nil"/>
              <w:tr2bl w:val="nil"/>
            </w:tcBorders>
            <w:vAlign w:val="center"/>
          </w:tcPr>
          <w:p w14:paraId="67A216BC">
            <w:pPr>
              <w:pStyle w:val="23"/>
              <w:bidi w:val="0"/>
              <w:rPr>
                <w:rFonts w:hint="default"/>
                <w:highlight w:val="none"/>
              </w:rPr>
            </w:pPr>
          </w:p>
        </w:tc>
        <w:tc>
          <w:tcPr>
            <w:tcW w:w="4084" w:type="dxa"/>
            <w:tcBorders>
              <w:tl2br w:val="nil"/>
              <w:tr2bl w:val="nil"/>
            </w:tcBorders>
            <w:vAlign w:val="center"/>
          </w:tcPr>
          <w:p w14:paraId="65240CB9">
            <w:pPr>
              <w:pStyle w:val="23"/>
              <w:bidi w:val="0"/>
              <w:rPr>
                <w:rFonts w:hint="default"/>
                <w:highlight w:val="none"/>
              </w:rPr>
            </w:pPr>
            <w:r>
              <w:rPr>
                <w:rFonts w:hint="default"/>
                <w:highlight w:val="none"/>
              </w:rPr>
              <w:t>户外式</w:t>
            </w:r>
          </w:p>
        </w:tc>
        <w:tc>
          <w:tcPr>
            <w:tcW w:w="1342" w:type="dxa"/>
            <w:tcBorders>
              <w:tl2br w:val="nil"/>
              <w:tr2bl w:val="nil"/>
            </w:tcBorders>
            <w:vAlign w:val="center"/>
          </w:tcPr>
          <w:p w14:paraId="4F980995">
            <w:pPr>
              <w:pStyle w:val="23"/>
              <w:bidi w:val="0"/>
              <w:rPr>
                <w:rFonts w:hint="default"/>
                <w:highlight w:val="none"/>
              </w:rPr>
            </w:pPr>
            <w:r>
              <w:rPr>
                <w:rFonts w:hint="default"/>
                <w:highlight w:val="none"/>
              </w:rPr>
              <w:t>二级</w:t>
            </w:r>
          </w:p>
        </w:tc>
      </w:tr>
    </w:tbl>
    <w:p w14:paraId="19260865">
      <w:pPr>
        <w:pStyle w:val="2"/>
        <w:keepNext w:val="0"/>
        <w:keepLines w:val="0"/>
        <w:pageBreakBefore w:val="0"/>
        <w:widowControl w:val="0"/>
        <w:kinsoku/>
        <w:wordWrap/>
        <w:overflowPunct/>
        <w:topLinePunct w:val="0"/>
        <w:autoSpaceDE/>
        <w:autoSpaceDN/>
        <w:bidi w:val="0"/>
        <w:adjustRightInd w:val="0"/>
        <w:snapToGrid w:val="0"/>
        <w:spacing w:before="0" w:after="0" w:line="360" w:lineRule="auto"/>
        <w:ind w:right="0" w:firstLine="480" w:firstLineChars="200"/>
        <w:jc w:val="both"/>
        <w:textAlignment w:val="auto"/>
        <w:rPr>
          <w:rFonts w:hint="eastAsia" w:cs="Times New Roman"/>
          <w:color w:val="auto"/>
          <w:sz w:val="24"/>
          <w:szCs w:val="24"/>
          <w:highlight w:val="none"/>
          <w:lang w:val="en-US" w:eastAsia="zh-CN"/>
        </w:rPr>
      </w:pPr>
      <w:r>
        <w:rPr>
          <w:rFonts w:hint="eastAsia" w:cs="Times New Roman"/>
          <w:color w:val="auto"/>
          <w:sz w:val="24"/>
          <w:szCs w:val="24"/>
          <w:highlight w:val="none"/>
          <w:lang w:val="en-US" w:eastAsia="zh-CN"/>
        </w:rPr>
        <w:t>祁东县南冲风电场（大马二期）工程接入大马风电场已建的110kV升压站，在升压站内本期工程需新增1台100MVA的主变、1个110kV主变进线间隔，建设2段35kV母线，设置4回集电线路、2套无功补偿装置、1套接地变等。扩建后的电压等级仍为110kV，采用户外式布置，因此本项目电磁环境影响评价工作等级为二级。</w:t>
      </w:r>
    </w:p>
    <w:p w14:paraId="6B9604BF">
      <w:pPr>
        <w:pStyle w:val="6"/>
        <w:rPr>
          <w:rFonts w:hint="default" w:ascii="Times New Roman" w:hAnsi="Times New Roman" w:cs="Times New Roman"/>
          <w:color w:val="auto"/>
          <w:highlight w:val="none"/>
        </w:rPr>
      </w:pPr>
      <w:r>
        <w:rPr>
          <w:rFonts w:hint="eastAsia" w:cs="Times New Roman"/>
          <w:color w:val="auto"/>
          <w:highlight w:val="none"/>
          <w:lang w:eastAsia="zh-CN"/>
        </w:rPr>
        <w:t>环境风险评价等级判定</w:t>
      </w:r>
    </w:p>
    <w:p w14:paraId="5A5D0C41">
      <w:pPr>
        <w:rPr>
          <w:rFonts w:hint="eastAsia" w:eastAsia="宋体"/>
          <w:color w:val="auto"/>
          <w:highlight w:val="none"/>
          <w:lang w:eastAsia="zh-CN"/>
        </w:rPr>
      </w:pPr>
      <w:r>
        <w:rPr>
          <w:rFonts w:hint="eastAsia" w:cs="Times New Roman"/>
          <w:color w:val="auto"/>
          <w:highlight w:val="none"/>
        </w:rPr>
        <w:t>本项目涉及的风险物质主要为</w:t>
      </w:r>
      <w:r>
        <w:rPr>
          <w:rFonts w:cs="Times New Roman"/>
          <w:color w:val="auto"/>
          <w:highlight w:val="none"/>
        </w:rPr>
        <w:t>风机维修与</w:t>
      </w:r>
      <w:r>
        <w:rPr>
          <w:rFonts w:hint="eastAsia" w:cs="Times New Roman"/>
          <w:color w:val="auto"/>
          <w:highlight w:val="none"/>
        </w:rPr>
        <w:t>运营期</w:t>
      </w:r>
      <w:r>
        <w:rPr>
          <w:rFonts w:cs="Times New Roman"/>
          <w:color w:val="auto"/>
          <w:highlight w:val="none"/>
        </w:rPr>
        <w:t>润滑油、变压器油</w:t>
      </w:r>
      <w:r>
        <w:rPr>
          <w:rFonts w:hint="eastAsia" w:cs="Times New Roman"/>
          <w:color w:val="auto"/>
          <w:highlight w:val="none"/>
        </w:rPr>
        <w:t>，风机润滑油量很少，主要为变压器油，变压器油使用电力用油，这些冷却油或绝缘油装在电气设备外壳内，平时无废油排出，不会造成对环境的危害，一般只有事故发生时才会发生变压器油外泄。根据本项目涉及资料，变压器油最大量约</w:t>
      </w:r>
      <w:r>
        <w:rPr>
          <w:rFonts w:cs="Times New Roman"/>
          <w:color w:val="auto"/>
          <w:highlight w:val="none"/>
        </w:rPr>
        <w:t>25</w:t>
      </w:r>
      <w:r>
        <w:rPr>
          <w:rFonts w:hint="eastAsia" w:cs="Times New Roman"/>
          <w:color w:val="auto"/>
          <w:highlight w:val="none"/>
        </w:rPr>
        <w:t>t，属于矿物油类物质，根据《建设项目环境风险评价技术导则》（</w:t>
      </w:r>
      <w:r>
        <w:rPr>
          <w:rFonts w:cs="Times New Roman"/>
          <w:color w:val="auto"/>
          <w:highlight w:val="none"/>
        </w:rPr>
        <w:t>HJ 169—2018</w:t>
      </w:r>
      <w:r>
        <w:rPr>
          <w:rFonts w:hint="eastAsia" w:cs="Times New Roman"/>
          <w:color w:val="auto"/>
          <w:highlight w:val="none"/>
        </w:rPr>
        <w:t>）附录B中关于突发环境事件风险物质及临界量相关内容，矿物油类物质临界量为2500吨。因此危险物质数量与临界量的比值（Q）为</w:t>
      </w:r>
      <w:r>
        <w:rPr>
          <w:rFonts w:cs="Times New Roman"/>
          <w:color w:val="auto"/>
          <w:highlight w:val="none"/>
        </w:rPr>
        <w:t>0.01</w:t>
      </w:r>
      <w:r>
        <w:rPr>
          <w:rFonts w:hint="eastAsia" w:cs="Times New Roman"/>
          <w:color w:val="auto"/>
          <w:highlight w:val="none"/>
        </w:rPr>
        <w:t>，远小于1，因此环境风险潜势P为Ⅰ，根据《建设项目环境风险评价技术导则》（</w:t>
      </w:r>
      <w:r>
        <w:rPr>
          <w:rFonts w:cs="Times New Roman"/>
          <w:color w:val="auto"/>
          <w:highlight w:val="none"/>
        </w:rPr>
        <w:t>HJ 169</w:t>
      </w:r>
      <w:r>
        <w:rPr>
          <w:rFonts w:hint="eastAsia" w:cs="Times New Roman"/>
          <w:color w:val="auto"/>
          <w:highlight w:val="none"/>
          <w:lang w:val="en-US" w:eastAsia="zh-CN"/>
        </w:rPr>
        <w:t>-</w:t>
      </w:r>
      <w:r>
        <w:rPr>
          <w:rFonts w:cs="Times New Roman"/>
          <w:color w:val="auto"/>
          <w:highlight w:val="none"/>
        </w:rPr>
        <w:t>2018</w:t>
      </w:r>
      <w:r>
        <w:rPr>
          <w:rFonts w:hint="eastAsia" w:cs="Times New Roman"/>
          <w:color w:val="auto"/>
          <w:highlight w:val="none"/>
        </w:rPr>
        <w:t>）表1评价等级判断方法，本项目环境风险评价等级为“简单分析”</w:t>
      </w:r>
      <w:r>
        <w:rPr>
          <w:rFonts w:hint="eastAsia" w:cs="Times New Roman"/>
          <w:color w:val="auto"/>
          <w:highlight w:val="none"/>
          <w:lang w:eastAsia="zh-CN"/>
        </w:rPr>
        <w:t>。</w:t>
      </w:r>
    </w:p>
    <w:p w14:paraId="6068B286">
      <w:pPr>
        <w:pStyle w:val="5"/>
        <w:rPr>
          <w:rFonts w:hint="default" w:ascii="Times New Roman" w:hAnsi="Times New Roman" w:cs="Times New Roman"/>
          <w:color w:val="auto"/>
          <w:highlight w:val="none"/>
        </w:rPr>
      </w:pPr>
      <w:r>
        <w:rPr>
          <w:rFonts w:hint="default" w:ascii="Times New Roman" w:hAnsi="Times New Roman" w:cs="Times New Roman"/>
          <w:color w:val="auto"/>
          <w:highlight w:val="none"/>
        </w:rPr>
        <w:t>评价</w:t>
      </w:r>
      <w:r>
        <w:rPr>
          <w:rFonts w:hint="eastAsia" w:cs="Times New Roman"/>
          <w:color w:val="auto"/>
          <w:highlight w:val="none"/>
          <w:lang w:eastAsia="zh-CN"/>
        </w:rPr>
        <w:t>范围</w:t>
      </w:r>
    </w:p>
    <w:p w14:paraId="41DDE7F5">
      <w:pPr>
        <w:rPr>
          <w:color w:val="auto"/>
          <w:highlight w:val="none"/>
        </w:rPr>
      </w:pPr>
      <w:r>
        <w:rPr>
          <w:rFonts w:hint="eastAsia"/>
          <w:color w:val="auto"/>
          <w:highlight w:val="none"/>
          <w:lang w:val="en-US" w:eastAsia="zh-CN"/>
        </w:rPr>
        <w:t>根据本项目施工期和营运期对环境的影响特点和各路段的自然环境特点，确定本项目的环境影响评价范围如表2.2-7。</w:t>
      </w:r>
    </w:p>
    <w:p w14:paraId="539919C4">
      <w:pPr>
        <w:pStyle w:val="46"/>
        <w:bidi w:val="0"/>
        <w:rPr>
          <w:rFonts w:hint="default"/>
        </w:rPr>
      </w:pPr>
      <w:r>
        <w:rPr>
          <w:rFonts w:hint="default"/>
        </w:rPr>
        <w:t>表</w:t>
      </w:r>
      <w:r>
        <w:rPr>
          <w:rFonts w:hint="eastAsia"/>
          <w:lang w:val="en-US" w:eastAsia="zh-CN"/>
        </w:rPr>
        <w:t>2.2-7</w:t>
      </w:r>
      <w:r>
        <w:rPr>
          <w:rFonts w:hint="default"/>
        </w:rPr>
        <w:t xml:space="preserve">  环境影响评价范围一览表</w:t>
      </w:r>
    </w:p>
    <w:p w14:paraId="4B2739FC">
      <w:pPr>
        <w:spacing w:line="40" w:lineRule="exact"/>
        <w:rPr>
          <w:color w:val="auto"/>
          <w:highlight w:val="none"/>
        </w:rPr>
      </w:pPr>
    </w:p>
    <w:tbl>
      <w:tblPr>
        <w:tblStyle w:val="38"/>
        <w:tblW w:w="5000" w:type="pct"/>
        <w:tblInd w:w="12"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594"/>
        <w:gridCol w:w="1237"/>
        <w:gridCol w:w="6505"/>
      </w:tblGrid>
      <w:tr w14:paraId="4D21F5C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49" w:type="dxa"/>
            <w:tcBorders>
              <w:tl2br w:val="nil"/>
              <w:tr2bl w:val="nil"/>
            </w:tcBorders>
            <w:vAlign w:val="center"/>
          </w:tcPr>
          <w:p w14:paraId="49A0D020">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宋体" w:hAnsi="宋体" w:eastAsia="宋体" w:cs="宋体"/>
                <w:color w:val="auto"/>
                <w:sz w:val="21"/>
                <w:szCs w:val="21"/>
                <w:highlight w:val="none"/>
              </w:rPr>
            </w:pPr>
            <w:r>
              <w:rPr>
                <w:rFonts w:ascii="宋体" w:hAnsi="宋体" w:eastAsia="宋体" w:cs="宋体"/>
                <w:color w:val="auto"/>
                <w:spacing w:val="6"/>
                <w:sz w:val="21"/>
                <w:szCs w:val="21"/>
                <w:highlight w:val="none"/>
                <w14:textOutline w14:w="3797" w14:cap="sq" w14:cmpd="sng">
                  <w14:solidFill>
                    <w14:srgbClr w14:val="000000"/>
                  </w14:solidFill>
                  <w14:prstDash w14:val="solid"/>
                  <w14:bevel/>
                </w14:textOutline>
              </w:rPr>
              <w:t>序号</w:t>
            </w:r>
          </w:p>
        </w:tc>
        <w:tc>
          <w:tcPr>
            <w:tcW w:w="1354" w:type="dxa"/>
            <w:tcBorders>
              <w:tl2br w:val="nil"/>
              <w:tr2bl w:val="nil"/>
            </w:tcBorders>
            <w:vAlign w:val="center"/>
          </w:tcPr>
          <w:p w14:paraId="797D1E61">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宋体" w:hAnsi="宋体" w:eastAsia="宋体" w:cs="宋体"/>
                <w:color w:val="auto"/>
                <w:sz w:val="21"/>
                <w:szCs w:val="21"/>
                <w:highlight w:val="none"/>
              </w:rPr>
            </w:pPr>
            <w:r>
              <w:rPr>
                <w:rFonts w:ascii="宋体" w:hAnsi="宋体" w:eastAsia="宋体" w:cs="宋体"/>
                <w:color w:val="auto"/>
                <w:spacing w:val="10"/>
                <w:sz w:val="21"/>
                <w:szCs w:val="21"/>
                <w:highlight w:val="none"/>
                <w14:textOutline w14:w="3797" w14:cap="sq" w14:cmpd="sng">
                  <w14:solidFill>
                    <w14:srgbClr w14:val="000000"/>
                  </w14:solidFill>
                  <w14:prstDash w14:val="solid"/>
                  <w14:bevel/>
                </w14:textOutline>
              </w:rPr>
              <w:t>环</w:t>
            </w:r>
            <w:r>
              <w:rPr>
                <w:rFonts w:ascii="宋体" w:hAnsi="宋体" w:eastAsia="宋体" w:cs="宋体"/>
                <w:color w:val="auto"/>
                <w:spacing w:val="8"/>
                <w:sz w:val="21"/>
                <w:szCs w:val="21"/>
                <w:highlight w:val="none"/>
                <w14:textOutline w14:w="3797" w14:cap="sq" w14:cmpd="sng">
                  <w14:solidFill>
                    <w14:srgbClr w14:val="000000"/>
                  </w14:solidFill>
                  <w14:prstDash w14:val="solid"/>
                  <w14:bevel/>
                </w14:textOutline>
              </w:rPr>
              <w:t>境要素</w:t>
            </w:r>
          </w:p>
        </w:tc>
        <w:tc>
          <w:tcPr>
            <w:tcW w:w="7126" w:type="dxa"/>
            <w:tcBorders>
              <w:tl2br w:val="nil"/>
              <w:tr2bl w:val="nil"/>
            </w:tcBorders>
            <w:vAlign w:val="center"/>
          </w:tcPr>
          <w:p w14:paraId="38842E09">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宋体" w:hAnsi="宋体" w:eastAsia="宋体" w:cs="宋体"/>
                <w:color w:val="auto"/>
                <w:sz w:val="21"/>
                <w:szCs w:val="21"/>
                <w:highlight w:val="none"/>
              </w:rPr>
            </w:pPr>
            <w:r>
              <w:rPr>
                <w:rFonts w:ascii="宋体" w:hAnsi="宋体" w:eastAsia="宋体" w:cs="宋体"/>
                <w:color w:val="auto"/>
                <w:spacing w:val="10"/>
                <w:sz w:val="21"/>
                <w:szCs w:val="21"/>
                <w:highlight w:val="none"/>
                <w14:textOutline w14:w="3797" w14:cap="sq" w14:cmpd="sng">
                  <w14:solidFill>
                    <w14:srgbClr w14:val="000000"/>
                  </w14:solidFill>
                  <w14:prstDash w14:val="solid"/>
                  <w14:bevel/>
                </w14:textOutline>
              </w:rPr>
              <w:t>评</w:t>
            </w:r>
            <w:r>
              <w:rPr>
                <w:rFonts w:ascii="宋体" w:hAnsi="宋体" w:eastAsia="宋体" w:cs="宋体"/>
                <w:color w:val="auto"/>
                <w:spacing w:val="8"/>
                <w:sz w:val="21"/>
                <w:szCs w:val="21"/>
                <w:highlight w:val="none"/>
                <w14:textOutline w14:w="3797" w14:cap="sq" w14:cmpd="sng">
                  <w14:solidFill>
                    <w14:srgbClr w14:val="000000"/>
                  </w14:solidFill>
                  <w14:prstDash w14:val="solid"/>
                  <w14:bevel/>
                </w14:textOutline>
              </w:rPr>
              <w:t>价范围</w:t>
            </w:r>
          </w:p>
        </w:tc>
      </w:tr>
      <w:tr w14:paraId="7A6447C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49" w:type="dxa"/>
            <w:tcBorders>
              <w:tl2br w:val="nil"/>
              <w:tr2bl w:val="nil"/>
            </w:tcBorders>
            <w:vAlign w:val="center"/>
          </w:tcPr>
          <w:p w14:paraId="472EFB4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Times New Roman" w:hAnsi="Times New Roman" w:eastAsia="Times New Roman" w:cs="Times New Roman"/>
                <w:color w:val="auto"/>
                <w:sz w:val="21"/>
                <w:szCs w:val="21"/>
                <w:highlight w:val="none"/>
              </w:rPr>
            </w:pPr>
            <w:r>
              <w:rPr>
                <w:rFonts w:ascii="Times New Roman" w:hAnsi="Times New Roman" w:eastAsia="Times New Roman" w:cs="Times New Roman"/>
                <w:color w:val="auto"/>
                <w:sz w:val="21"/>
                <w:szCs w:val="21"/>
                <w:highlight w:val="none"/>
              </w:rPr>
              <w:t>1</w:t>
            </w:r>
          </w:p>
        </w:tc>
        <w:tc>
          <w:tcPr>
            <w:tcW w:w="1354" w:type="dxa"/>
            <w:tcBorders>
              <w:tl2br w:val="nil"/>
              <w:tr2bl w:val="nil"/>
            </w:tcBorders>
            <w:vAlign w:val="center"/>
          </w:tcPr>
          <w:p w14:paraId="20B6471C">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宋体" w:hAnsi="宋体" w:eastAsia="宋体" w:cs="宋体"/>
                <w:color w:val="auto"/>
                <w:sz w:val="21"/>
                <w:szCs w:val="21"/>
                <w:highlight w:val="none"/>
              </w:rPr>
            </w:pPr>
            <w:r>
              <w:rPr>
                <w:rFonts w:ascii="宋体" w:hAnsi="宋体" w:eastAsia="宋体" w:cs="宋体"/>
                <w:color w:val="auto"/>
                <w:spacing w:val="7"/>
                <w:sz w:val="21"/>
                <w:szCs w:val="21"/>
                <w:highlight w:val="none"/>
              </w:rPr>
              <w:t>生态环</w:t>
            </w:r>
            <w:r>
              <w:rPr>
                <w:rFonts w:ascii="宋体" w:hAnsi="宋体" w:eastAsia="宋体" w:cs="宋体"/>
                <w:color w:val="auto"/>
                <w:spacing w:val="6"/>
                <w:sz w:val="21"/>
                <w:szCs w:val="21"/>
                <w:highlight w:val="none"/>
              </w:rPr>
              <w:t>境</w:t>
            </w:r>
          </w:p>
        </w:tc>
        <w:tc>
          <w:tcPr>
            <w:tcW w:w="7126" w:type="dxa"/>
            <w:tcBorders>
              <w:tl2br w:val="nil"/>
              <w:tr2bl w:val="nil"/>
            </w:tcBorders>
            <w:vAlign w:val="center"/>
          </w:tcPr>
          <w:p w14:paraId="544C067A">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宋体" w:hAnsi="宋体" w:eastAsia="宋体" w:cs="宋体"/>
                <w:color w:val="auto"/>
                <w:sz w:val="21"/>
                <w:szCs w:val="21"/>
                <w:highlight w:val="none"/>
              </w:rPr>
            </w:pPr>
            <w:r>
              <w:rPr>
                <w:rFonts w:hint="eastAsia"/>
                <w:color w:val="auto"/>
                <w:sz w:val="21"/>
                <w:szCs w:val="21"/>
                <w:highlight w:val="none"/>
                <w:lang w:val="en-US" w:eastAsia="zh-CN"/>
              </w:rPr>
              <w:t>以风机基础及箱变基础区、集电线路区、升压站区、施工道路区、施工临建区、弃渣场区等永久占地和临时占地区及周边300m范围为主要调查和评价范围，同时调查衡阳三阳自然保护区。</w:t>
            </w:r>
          </w:p>
        </w:tc>
      </w:tr>
      <w:tr w14:paraId="3C024FA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49" w:type="dxa"/>
            <w:tcBorders>
              <w:tl2br w:val="nil"/>
              <w:tr2bl w:val="nil"/>
            </w:tcBorders>
            <w:vAlign w:val="center"/>
          </w:tcPr>
          <w:p w14:paraId="18CF9F43">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Times New Roman" w:hAnsi="Times New Roman" w:eastAsia="Times New Roman" w:cs="Times New Roman"/>
                <w:color w:val="auto"/>
                <w:sz w:val="21"/>
                <w:szCs w:val="21"/>
                <w:highlight w:val="none"/>
              </w:rPr>
            </w:pPr>
            <w:r>
              <w:rPr>
                <w:rFonts w:ascii="Times New Roman" w:hAnsi="Times New Roman" w:eastAsia="Times New Roman" w:cs="Times New Roman"/>
                <w:color w:val="auto"/>
                <w:sz w:val="21"/>
                <w:szCs w:val="21"/>
                <w:highlight w:val="none"/>
              </w:rPr>
              <w:t>2</w:t>
            </w:r>
          </w:p>
        </w:tc>
        <w:tc>
          <w:tcPr>
            <w:tcW w:w="1354" w:type="dxa"/>
            <w:tcBorders>
              <w:tl2br w:val="nil"/>
              <w:tr2bl w:val="nil"/>
            </w:tcBorders>
            <w:vAlign w:val="center"/>
          </w:tcPr>
          <w:p w14:paraId="607E3DA8">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宋体" w:hAnsi="宋体" w:eastAsia="宋体" w:cs="宋体"/>
                <w:color w:val="auto"/>
                <w:sz w:val="21"/>
                <w:szCs w:val="21"/>
                <w:highlight w:val="none"/>
              </w:rPr>
            </w:pPr>
            <w:r>
              <w:rPr>
                <w:rFonts w:ascii="宋体" w:hAnsi="宋体" w:eastAsia="宋体" w:cs="宋体"/>
                <w:color w:val="auto"/>
                <w:spacing w:val="8"/>
                <w:sz w:val="21"/>
                <w:szCs w:val="21"/>
                <w:highlight w:val="none"/>
              </w:rPr>
              <w:t>地表水环境</w:t>
            </w:r>
          </w:p>
        </w:tc>
        <w:tc>
          <w:tcPr>
            <w:tcW w:w="7126" w:type="dxa"/>
            <w:tcBorders>
              <w:tl2br w:val="nil"/>
              <w:tr2bl w:val="nil"/>
            </w:tcBorders>
            <w:vAlign w:val="center"/>
          </w:tcPr>
          <w:p w14:paraId="4DC7AA32">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祁东县黄土铺镇炳溪冲水库饮用水水源保护区、祁东县马杜桥乡星桥村刘家冲水库饮用水水源保护区、祁东县马杜桥乡延塘村山溪饮用水水源保护区、祁东县马杜桥乡马杜桥村（罗江桥）山溪饮用水水源保护区、祁东县马杜桥乡山溪水饮用水水源保护区、寿岭冲水库水域、车壁塘河（项目段）、双江口小溪（项目段）</w:t>
            </w:r>
          </w:p>
        </w:tc>
      </w:tr>
      <w:tr w14:paraId="7328138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49" w:type="dxa"/>
            <w:tcBorders>
              <w:tl2br w:val="nil"/>
              <w:tr2bl w:val="nil"/>
            </w:tcBorders>
            <w:vAlign w:val="center"/>
          </w:tcPr>
          <w:p w14:paraId="183A22F7">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Times New Roman" w:hAnsi="Times New Roman" w:eastAsia="Times New Roman" w:cs="Times New Roman"/>
                <w:color w:val="auto"/>
                <w:sz w:val="21"/>
                <w:szCs w:val="21"/>
                <w:highlight w:val="none"/>
              </w:rPr>
            </w:pPr>
            <w:r>
              <w:rPr>
                <w:rFonts w:ascii="Times New Roman" w:hAnsi="Times New Roman" w:eastAsia="Times New Roman" w:cs="Times New Roman"/>
                <w:color w:val="auto"/>
                <w:sz w:val="21"/>
                <w:szCs w:val="21"/>
                <w:highlight w:val="none"/>
              </w:rPr>
              <w:t>3</w:t>
            </w:r>
          </w:p>
        </w:tc>
        <w:tc>
          <w:tcPr>
            <w:tcW w:w="1354" w:type="dxa"/>
            <w:tcBorders>
              <w:tl2br w:val="nil"/>
              <w:tr2bl w:val="nil"/>
            </w:tcBorders>
            <w:vAlign w:val="center"/>
          </w:tcPr>
          <w:p w14:paraId="6BED1EB5">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宋体" w:hAnsi="宋体" w:eastAsia="宋体" w:cs="宋体"/>
                <w:color w:val="auto"/>
                <w:sz w:val="21"/>
                <w:szCs w:val="21"/>
                <w:highlight w:val="none"/>
              </w:rPr>
            </w:pPr>
            <w:r>
              <w:rPr>
                <w:rFonts w:ascii="宋体" w:hAnsi="宋体" w:eastAsia="宋体" w:cs="宋体"/>
                <w:color w:val="auto"/>
                <w:spacing w:val="8"/>
                <w:sz w:val="21"/>
                <w:szCs w:val="21"/>
                <w:highlight w:val="none"/>
              </w:rPr>
              <w:t>环</w:t>
            </w:r>
            <w:r>
              <w:rPr>
                <w:rFonts w:ascii="宋体" w:hAnsi="宋体" w:eastAsia="宋体" w:cs="宋体"/>
                <w:color w:val="auto"/>
                <w:spacing w:val="7"/>
                <w:sz w:val="21"/>
                <w:szCs w:val="21"/>
                <w:highlight w:val="none"/>
              </w:rPr>
              <w:t>境空气</w:t>
            </w:r>
          </w:p>
        </w:tc>
        <w:tc>
          <w:tcPr>
            <w:tcW w:w="7126" w:type="dxa"/>
            <w:tcBorders>
              <w:tl2br w:val="nil"/>
              <w:tr2bl w:val="nil"/>
            </w:tcBorders>
            <w:vAlign w:val="center"/>
          </w:tcPr>
          <w:p w14:paraId="5F29387C">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宋体" w:hAnsi="宋体" w:eastAsia="宋体" w:cs="宋体"/>
                <w:color w:val="auto"/>
                <w:sz w:val="21"/>
                <w:szCs w:val="21"/>
                <w:highlight w:val="none"/>
                <w:lang w:val="en-US" w:eastAsia="zh-CN"/>
              </w:rPr>
            </w:pPr>
            <w:r>
              <w:rPr>
                <w:rFonts w:hint="eastAsia" w:ascii="宋体" w:hAnsi="宋体" w:cs="宋体"/>
                <w:color w:val="0000FF"/>
                <w:spacing w:val="18"/>
                <w:sz w:val="21"/>
                <w:szCs w:val="21"/>
                <w:highlight w:val="none"/>
                <w:lang w:val="en-US" w:eastAsia="zh-CN"/>
              </w:rPr>
              <w:t>三级评价无需确定评价范围，本次环评确定500m的调查范围。</w:t>
            </w:r>
          </w:p>
        </w:tc>
      </w:tr>
      <w:tr w14:paraId="51F839E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49" w:type="dxa"/>
            <w:tcBorders>
              <w:tl2br w:val="nil"/>
              <w:tr2bl w:val="nil"/>
            </w:tcBorders>
            <w:vAlign w:val="center"/>
          </w:tcPr>
          <w:p w14:paraId="7879F2F3">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Times New Roman" w:hAnsi="Times New Roman" w:eastAsia="Times New Roman" w:cs="Times New Roman"/>
                <w:color w:val="auto"/>
                <w:sz w:val="21"/>
                <w:szCs w:val="21"/>
                <w:highlight w:val="none"/>
              </w:rPr>
            </w:pPr>
            <w:r>
              <w:rPr>
                <w:rFonts w:ascii="Times New Roman" w:hAnsi="Times New Roman" w:eastAsia="Times New Roman" w:cs="Times New Roman"/>
                <w:color w:val="auto"/>
                <w:spacing w:val="1"/>
                <w:sz w:val="21"/>
                <w:szCs w:val="21"/>
                <w:highlight w:val="none"/>
              </w:rPr>
              <w:t>4</w:t>
            </w:r>
          </w:p>
        </w:tc>
        <w:tc>
          <w:tcPr>
            <w:tcW w:w="1354" w:type="dxa"/>
            <w:tcBorders>
              <w:tl2br w:val="nil"/>
              <w:tr2bl w:val="nil"/>
            </w:tcBorders>
            <w:vAlign w:val="center"/>
          </w:tcPr>
          <w:p w14:paraId="5963311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宋体" w:hAnsi="宋体" w:eastAsia="宋体" w:cs="宋体"/>
                <w:color w:val="auto"/>
                <w:sz w:val="21"/>
                <w:szCs w:val="21"/>
                <w:highlight w:val="none"/>
              </w:rPr>
            </w:pPr>
            <w:r>
              <w:rPr>
                <w:rFonts w:ascii="宋体" w:hAnsi="宋体" w:eastAsia="宋体" w:cs="宋体"/>
                <w:color w:val="auto"/>
                <w:spacing w:val="6"/>
                <w:sz w:val="21"/>
                <w:szCs w:val="21"/>
                <w:highlight w:val="none"/>
              </w:rPr>
              <w:t>声</w:t>
            </w:r>
            <w:r>
              <w:rPr>
                <w:rFonts w:ascii="宋体" w:hAnsi="宋体" w:eastAsia="宋体" w:cs="宋体"/>
                <w:color w:val="auto"/>
                <w:spacing w:val="5"/>
                <w:sz w:val="21"/>
                <w:szCs w:val="21"/>
                <w:highlight w:val="none"/>
              </w:rPr>
              <w:t>环境</w:t>
            </w:r>
          </w:p>
        </w:tc>
        <w:tc>
          <w:tcPr>
            <w:tcW w:w="7126" w:type="dxa"/>
            <w:tcBorders>
              <w:tl2br w:val="nil"/>
              <w:tr2bl w:val="nil"/>
            </w:tcBorders>
            <w:vAlign w:val="center"/>
          </w:tcPr>
          <w:p w14:paraId="261AB0CA">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ascii="宋体" w:hAnsi="宋体" w:eastAsia="宋体" w:cs="宋体"/>
                <w:color w:val="auto"/>
                <w:sz w:val="21"/>
                <w:szCs w:val="21"/>
                <w:highlight w:val="none"/>
              </w:rPr>
            </w:pPr>
            <w:r>
              <w:rPr>
                <w:rFonts w:hint="default" w:ascii="Times New Roman" w:hAnsi="Times New Roman" w:cs="Times New Roman"/>
                <w:color w:val="auto"/>
                <w:spacing w:val="7"/>
                <w:sz w:val="21"/>
                <w:szCs w:val="21"/>
                <w:highlight w:val="none"/>
                <w:lang w:eastAsia="zh-CN"/>
              </w:rPr>
              <w:t>道路</w:t>
            </w:r>
            <w:r>
              <w:rPr>
                <w:rFonts w:hint="default" w:ascii="Times New Roman" w:hAnsi="Times New Roman" w:eastAsia="宋体" w:cs="Times New Roman"/>
                <w:color w:val="auto"/>
                <w:spacing w:val="7"/>
                <w:sz w:val="21"/>
                <w:szCs w:val="21"/>
                <w:highlight w:val="none"/>
              </w:rPr>
              <w:t>中心线两侧各</w:t>
            </w:r>
            <w:r>
              <w:rPr>
                <w:rFonts w:hint="default" w:ascii="Times New Roman" w:hAnsi="Times New Roman" w:eastAsia="宋体" w:cs="Times New Roman"/>
                <w:color w:val="auto"/>
                <w:spacing w:val="7"/>
                <w:sz w:val="21"/>
                <w:szCs w:val="21"/>
                <w:highlight w:val="none"/>
                <w:lang w:val="en-US" w:eastAsia="zh-CN"/>
              </w:rPr>
              <w:t>2</w:t>
            </w:r>
            <w:r>
              <w:rPr>
                <w:rFonts w:hint="default" w:ascii="Times New Roman" w:hAnsi="Times New Roman" w:eastAsia="Times New Roman" w:cs="Times New Roman"/>
                <w:color w:val="auto"/>
                <w:spacing w:val="7"/>
                <w:sz w:val="21"/>
                <w:szCs w:val="21"/>
                <w:highlight w:val="none"/>
              </w:rPr>
              <w:t>00</w:t>
            </w:r>
            <w:r>
              <w:rPr>
                <w:rFonts w:hint="default" w:ascii="Times New Roman" w:hAnsi="Times New Roman" w:eastAsia="Times New Roman" w:cs="Times New Roman"/>
                <w:color w:val="auto"/>
                <w:sz w:val="21"/>
                <w:szCs w:val="21"/>
                <w:highlight w:val="none"/>
              </w:rPr>
              <w:t>m</w:t>
            </w:r>
            <w:r>
              <w:rPr>
                <w:rFonts w:hint="default" w:ascii="Times New Roman" w:hAnsi="Times New Roman" w:eastAsia="宋体" w:cs="Times New Roman"/>
                <w:color w:val="auto"/>
                <w:spacing w:val="7"/>
                <w:sz w:val="21"/>
                <w:szCs w:val="21"/>
                <w:highlight w:val="none"/>
              </w:rPr>
              <w:t>以内区域</w:t>
            </w:r>
            <w:r>
              <w:rPr>
                <w:rFonts w:hint="default" w:ascii="Times New Roman" w:hAnsi="Times New Roman" w:cs="Times New Roman"/>
                <w:color w:val="auto"/>
                <w:spacing w:val="7"/>
                <w:sz w:val="21"/>
                <w:szCs w:val="21"/>
                <w:highlight w:val="none"/>
                <w:lang w:eastAsia="zh-CN"/>
              </w:rPr>
              <w:t>、</w:t>
            </w:r>
            <w:r>
              <w:rPr>
                <w:rFonts w:hint="eastAsia" w:cs="Times New Roman"/>
                <w:color w:val="auto"/>
                <w:spacing w:val="7"/>
                <w:sz w:val="21"/>
                <w:szCs w:val="21"/>
                <w:highlight w:val="none"/>
                <w:lang w:eastAsia="zh-CN"/>
              </w:rPr>
              <w:t>升压站厂界外扩</w:t>
            </w:r>
            <w:r>
              <w:rPr>
                <w:rFonts w:hint="eastAsia" w:cs="Times New Roman"/>
                <w:color w:val="auto"/>
                <w:spacing w:val="7"/>
                <w:sz w:val="21"/>
                <w:szCs w:val="21"/>
                <w:highlight w:val="none"/>
                <w:lang w:val="en-US" w:eastAsia="zh-CN"/>
              </w:rPr>
              <w:t>200m范围区域</w:t>
            </w:r>
            <w:r>
              <w:rPr>
                <w:rFonts w:hint="eastAsia" w:cs="Times New Roman"/>
                <w:color w:val="auto"/>
                <w:spacing w:val="7"/>
                <w:sz w:val="21"/>
                <w:szCs w:val="21"/>
                <w:highlight w:val="none"/>
                <w:lang w:eastAsia="zh-CN"/>
              </w:rPr>
              <w:t>、</w:t>
            </w:r>
            <w:r>
              <w:rPr>
                <w:rFonts w:hint="default" w:ascii="Times New Roman" w:hAnsi="Times New Roman" w:cs="Times New Roman"/>
                <w:color w:val="auto"/>
                <w:spacing w:val="7"/>
                <w:sz w:val="21"/>
                <w:szCs w:val="21"/>
                <w:highlight w:val="none"/>
                <w:lang w:eastAsia="zh-CN"/>
              </w:rPr>
              <w:t>风机</w:t>
            </w:r>
            <w:r>
              <w:rPr>
                <w:rFonts w:hint="eastAsia" w:cs="Times New Roman"/>
                <w:color w:val="auto"/>
                <w:spacing w:val="7"/>
                <w:sz w:val="21"/>
                <w:szCs w:val="21"/>
                <w:highlight w:val="none"/>
                <w:lang w:eastAsia="zh-CN"/>
              </w:rPr>
              <w:t>平台</w:t>
            </w:r>
            <w:r>
              <w:rPr>
                <w:rFonts w:hint="default" w:ascii="Times New Roman" w:hAnsi="Times New Roman" w:cs="Times New Roman"/>
                <w:color w:val="auto"/>
                <w:spacing w:val="7"/>
                <w:sz w:val="21"/>
                <w:szCs w:val="21"/>
                <w:highlight w:val="none"/>
                <w:lang w:eastAsia="zh-CN"/>
              </w:rPr>
              <w:t>外扩</w:t>
            </w:r>
            <w:r>
              <w:rPr>
                <w:rFonts w:hint="eastAsia" w:cs="Times New Roman"/>
                <w:color w:val="auto"/>
                <w:spacing w:val="7"/>
                <w:sz w:val="21"/>
                <w:szCs w:val="21"/>
                <w:highlight w:val="none"/>
                <w:lang w:val="en-US" w:eastAsia="zh-CN"/>
              </w:rPr>
              <w:t>50</w:t>
            </w:r>
            <w:r>
              <w:rPr>
                <w:rFonts w:hint="default" w:ascii="Times New Roman" w:hAnsi="Times New Roman" w:cs="Times New Roman"/>
                <w:color w:val="auto"/>
                <w:spacing w:val="7"/>
                <w:sz w:val="21"/>
                <w:szCs w:val="21"/>
                <w:highlight w:val="none"/>
                <w:lang w:val="en-US" w:eastAsia="zh-CN"/>
              </w:rPr>
              <w:t>0m以内区域</w:t>
            </w:r>
            <w:r>
              <w:rPr>
                <w:rFonts w:hint="default" w:ascii="Times New Roman" w:hAnsi="Times New Roman" w:eastAsia="宋体" w:cs="Times New Roman"/>
                <w:color w:val="auto"/>
                <w:spacing w:val="7"/>
                <w:sz w:val="21"/>
                <w:szCs w:val="21"/>
                <w:highlight w:val="none"/>
              </w:rPr>
              <w:t>，以及弃渣场等</w:t>
            </w:r>
            <w:r>
              <w:rPr>
                <w:rFonts w:hint="default" w:ascii="Times New Roman" w:hAnsi="Times New Roman" w:eastAsia="宋体" w:cs="Times New Roman"/>
                <w:color w:val="auto"/>
                <w:spacing w:val="4"/>
                <w:sz w:val="21"/>
                <w:szCs w:val="21"/>
                <w:highlight w:val="none"/>
              </w:rPr>
              <w:t>临时工程</w:t>
            </w:r>
            <w:r>
              <w:rPr>
                <w:rFonts w:hint="default" w:ascii="Times New Roman" w:hAnsi="Times New Roman" w:eastAsia="宋体" w:cs="Times New Roman"/>
                <w:color w:val="auto"/>
                <w:spacing w:val="3"/>
                <w:sz w:val="21"/>
                <w:szCs w:val="21"/>
                <w:highlight w:val="none"/>
              </w:rPr>
              <w:t>周</w:t>
            </w:r>
            <w:r>
              <w:rPr>
                <w:rFonts w:hint="default" w:ascii="Times New Roman" w:hAnsi="Times New Roman" w:eastAsia="宋体" w:cs="Times New Roman"/>
                <w:color w:val="auto"/>
                <w:spacing w:val="2"/>
                <w:sz w:val="21"/>
                <w:szCs w:val="21"/>
                <w:highlight w:val="none"/>
              </w:rPr>
              <w:t>边</w:t>
            </w:r>
            <w:r>
              <w:rPr>
                <w:rFonts w:hint="default" w:ascii="Times New Roman" w:hAnsi="Times New Roman" w:eastAsia="Times New Roman" w:cs="Times New Roman"/>
                <w:color w:val="auto"/>
                <w:spacing w:val="2"/>
                <w:sz w:val="21"/>
                <w:szCs w:val="21"/>
                <w:highlight w:val="none"/>
              </w:rPr>
              <w:t>200</w:t>
            </w:r>
            <w:r>
              <w:rPr>
                <w:rFonts w:hint="default" w:ascii="Times New Roman" w:hAnsi="Times New Roman" w:eastAsia="Times New Roman" w:cs="Times New Roman"/>
                <w:color w:val="auto"/>
                <w:sz w:val="21"/>
                <w:szCs w:val="21"/>
                <w:highlight w:val="none"/>
              </w:rPr>
              <w:t>m</w:t>
            </w:r>
            <w:r>
              <w:rPr>
                <w:rFonts w:hint="default" w:ascii="Times New Roman" w:hAnsi="Times New Roman" w:eastAsia="宋体" w:cs="Times New Roman"/>
                <w:color w:val="auto"/>
                <w:spacing w:val="2"/>
                <w:sz w:val="21"/>
                <w:szCs w:val="21"/>
                <w:highlight w:val="none"/>
              </w:rPr>
              <w:t>范围</w:t>
            </w:r>
            <w:r>
              <w:rPr>
                <w:rFonts w:hint="eastAsia" w:cs="Times New Roman"/>
                <w:color w:val="auto"/>
                <w:spacing w:val="2"/>
                <w:sz w:val="21"/>
                <w:szCs w:val="21"/>
                <w:highlight w:val="none"/>
                <w:lang w:eastAsia="zh-CN"/>
              </w:rPr>
              <w:t>。</w:t>
            </w:r>
          </w:p>
        </w:tc>
      </w:tr>
      <w:tr w14:paraId="76AD243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49" w:type="dxa"/>
            <w:tcBorders>
              <w:tl2br w:val="nil"/>
              <w:tr2bl w:val="nil"/>
            </w:tcBorders>
            <w:vAlign w:val="center"/>
          </w:tcPr>
          <w:p w14:paraId="51731D69">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eastAsia="宋体" w:cs="Times New Roman"/>
                <w:color w:val="auto"/>
                <w:sz w:val="21"/>
                <w:szCs w:val="21"/>
                <w:highlight w:val="none"/>
                <w:lang w:val="en-US" w:eastAsia="zh-CN"/>
              </w:rPr>
              <w:t>5</w:t>
            </w:r>
          </w:p>
        </w:tc>
        <w:tc>
          <w:tcPr>
            <w:tcW w:w="1354" w:type="dxa"/>
            <w:tcBorders>
              <w:tl2br w:val="nil"/>
              <w:tr2bl w:val="nil"/>
            </w:tcBorders>
            <w:vAlign w:val="center"/>
          </w:tcPr>
          <w:p w14:paraId="3CC10D0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ascii="宋体" w:hAnsi="宋体" w:eastAsia="宋体" w:cs="宋体"/>
                <w:color w:val="auto"/>
                <w:spacing w:val="8"/>
                <w:sz w:val="21"/>
                <w:szCs w:val="21"/>
                <w:highlight w:val="none"/>
              </w:rPr>
            </w:pPr>
            <w:r>
              <w:rPr>
                <w:rFonts w:hint="eastAsia" w:ascii="宋体" w:hAnsi="宋体" w:cs="宋体"/>
                <w:color w:val="auto"/>
                <w:spacing w:val="6"/>
                <w:sz w:val="21"/>
                <w:szCs w:val="21"/>
                <w:highlight w:val="none"/>
                <w:lang w:eastAsia="zh-CN"/>
              </w:rPr>
              <w:t>电磁</w:t>
            </w:r>
          </w:p>
        </w:tc>
        <w:tc>
          <w:tcPr>
            <w:tcW w:w="7126" w:type="dxa"/>
            <w:tcBorders>
              <w:tl2br w:val="nil"/>
              <w:tr2bl w:val="nil"/>
            </w:tcBorders>
            <w:vAlign w:val="center"/>
          </w:tcPr>
          <w:p w14:paraId="1223E708">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ascii="宋体" w:hAnsi="宋体" w:eastAsia="宋体" w:cs="宋体"/>
                <w:color w:val="auto"/>
                <w:spacing w:val="10"/>
                <w:sz w:val="21"/>
                <w:szCs w:val="21"/>
                <w:highlight w:val="none"/>
              </w:rPr>
            </w:pPr>
            <w:r>
              <w:rPr>
                <w:rFonts w:hint="default" w:ascii="Times New Roman" w:hAnsi="Times New Roman" w:cs="Times New Roman"/>
                <w:color w:val="auto"/>
                <w:spacing w:val="7"/>
                <w:sz w:val="21"/>
                <w:szCs w:val="21"/>
                <w:highlight w:val="none"/>
                <w:lang w:eastAsia="zh-CN"/>
              </w:rPr>
              <w:t>站界外</w:t>
            </w:r>
            <w:r>
              <w:rPr>
                <w:rFonts w:hint="eastAsia" w:cs="Times New Roman"/>
                <w:color w:val="auto"/>
                <w:spacing w:val="7"/>
                <w:sz w:val="21"/>
                <w:szCs w:val="21"/>
                <w:highlight w:val="none"/>
                <w:lang w:eastAsia="zh-CN"/>
              </w:rPr>
              <w:t>扩</w:t>
            </w:r>
            <w:r>
              <w:rPr>
                <w:rFonts w:hint="default" w:ascii="Times New Roman" w:hAnsi="Times New Roman" w:cs="Times New Roman"/>
                <w:color w:val="auto"/>
                <w:spacing w:val="7"/>
                <w:sz w:val="21"/>
                <w:szCs w:val="21"/>
                <w:highlight w:val="none"/>
                <w:lang w:eastAsia="zh-CN"/>
              </w:rPr>
              <w:t>30m</w:t>
            </w:r>
            <w:r>
              <w:rPr>
                <w:rFonts w:hint="eastAsia" w:cs="Times New Roman"/>
                <w:color w:val="auto"/>
                <w:spacing w:val="7"/>
                <w:sz w:val="21"/>
                <w:szCs w:val="21"/>
                <w:highlight w:val="none"/>
                <w:lang w:eastAsia="zh-CN"/>
              </w:rPr>
              <w:t>范围。</w:t>
            </w:r>
          </w:p>
        </w:tc>
      </w:tr>
      <w:tr w14:paraId="5A1D325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49" w:type="dxa"/>
            <w:tcBorders>
              <w:tl2br w:val="nil"/>
              <w:tr2bl w:val="nil"/>
            </w:tcBorders>
            <w:vAlign w:val="center"/>
          </w:tcPr>
          <w:p w14:paraId="00C66CF4">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eastAsia="宋体" w:cs="Times New Roman"/>
                <w:color w:val="auto"/>
                <w:sz w:val="21"/>
                <w:szCs w:val="21"/>
                <w:highlight w:val="none"/>
                <w:lang w:val="en-US" w:eastAsia="zh-CN"/>
              </w:rPr>
              <w:t>6</w:t>
            </w:r>
          </w:p>
        </w:tc>
        <w:tc>
          <w:tcPr>
            <w:tcW w:w="1354" w:type="dxa"/>
            <w:tcBorders>
              <w:tl2br w:val="nil"/>
              <w:tr2bl w:val="nil"/>
            </w:tcBorders>
            <w:vAlign w:val="center"/>
          </w:tcPr>
          <w:p w14:paraId="73753616">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ascii="宋体" w:hAnsi="宋体" w:eastAsia="宋体" w:cs="宋体"/>
                <w:color w:val="auto"/>
                <w:sz w:val="21"/>
                <w:szCs w:val="21"/>
                <w:highlight w:val="none"/>
              </w:rPr>
            </w:pPr>
            <w:r>
              <w:rPr>
                <w:rFonts w:ascii="宋体" w:hAnsi="宋体" w:eastAsia="宋体" w:cs="宋体"/>
                <w:color w:val="auto"/>
                <w:spacing w:val="8"/>
                <w:sz w:val="21"/>
                <w:szCs w:val="21"/>
                <w:highlight w:val="none"/>
              </w:rPr>
              <w:t>环</w:t>
            </w:r>
            <w:r>
              <w:rPr>
                <w:rFonts w:ascii="宋体" w:hAnsi="宋体" w:eastAsia="宋体" w:cs="宋体"/>
                <w:color w:val="auto"/>
                <w:spacing w:val="7"/>
                <w:sz w:val="21"/>
                <w:szCs w:val="21"/>
                <w:highlight w:val="none"/>
              </w:rPr>
              <w:t>境风险</w:t>
            </w:r>
          </w:p>
        </w:tc>
        <w:tc>
          <w:tcPr>
            <w:tcW w:w="7126" w:type="dxa"/>
            <w:tcBorders>
              <w:tl2br w:val="nil"/>
              <w:tr2bl w:val="nil"/>
            </w:tcBorders>
            <w:vAlign w:val="center"/>
          </w:tcPr>
          <w:p w14:paraId="11FDFB9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ascii="宋体" w:hAnsi="宋体" w:eastAsia="宋体" w:cs="宋体"/>
                <w:color w:val="auto"/>
                <w:sz w:val="21"/>
                <w:szCs w:val="21"/>
                <w:highlight w:val="none"/>
              </w:rPr>
            </w:pPr>
            <w:r>
              <w:rPr>
                <w:rFonts w:hint="eastAsia" w:ascii="宋体" w:hAnsi="宋体" w:cs="宋体"/>
                <w:color w:val="auto"/>
                <w:sz w:val="21"/>
                <w:szCs w:val="21"/>
                <w:highlight w:val="none"/>
                <w:lang w:eastAsia="zh-CN"/>
              </w:rPr>
              <w:t>升压站厂界内。</w:t>
            </w:r>
          </w:p>
        </w:tc>
      </w:tr>
    </w:tbl>
    <w:p w14:paraId="597591CB">
      <w:pPr>
        <w:pStyle w:val="4"/>
        <w:rPr>
          <w:rFonts w:hint="default" w:ascii="Times New Roman" w:hAnsi="Times New Roman" w:cs="Times New Roman"/>
          <w:color w:val="auto"/>
          <w:highlight w:val="none"/>
        </w:rPr>
      </w:pPr>
      <w:bookmarkStart w:id="50" w:name="_Toc11691"/>
      <w:r>
        <w:rPr>
          <w:rFonts w:hint="eastAsia" w:cs="Times New Roman"/>
          <w:color w:val="auto"/>
          <w:highlight w:val="none"/>
          <w:lang w:eastAsia="zh-CN"/>
        </w:rPr>
        <w:t>环境功能区划及环境保护目标</w:t>
      </w:r>
      <w:bookmarkEnd w:id="50"/>
    </w:p>
    <w:p w14:paraId="41D68995">
      <w:pPr>
        <w:pStyle w:val="5"/>
        <w:rPr>
          <w:rFonts w:hint="default" w:ascii="Times New Roman" w:hAnsi="Times New Roman" w:cs="Times New Roman"/>
          <w:color w:val="auto"/>
          <w:highlight w:val="none"/>
        </w:rPr>
      </w:pPr>
      <w:r>
        <w:rPr>
          <w:rFonts w:hint="eastAsia" w:cs="Times New Roman"/>
          <w:color w:val="auto"/>
          <w:highlight w:val="none"/>
          <w:lang w:eastAsia="zh-CN"/>
        </w:rPr>
        <w:t>环境功能区划</w:t>
      </w:r>
    </w:p>
    <w:p w14:paraId="1EBA65F2">
      <w:pPr>
        <w:pStyle w:val="6"/>
        <w:rPr>
          <w:rFonts w:hint="default" w:ascii="Times New Roman" w:hAnsi="Times New Roman" w:cs="Times New Roman"/>
          <w:color w:val="auto"/>
          <w:highlight w:val="none"/>
        </w:rPr>
      </w:pPr>
      <w:r>
        <w:rPr>
          <w:rFonts w:hint="eastAsia" w:cs="Times New Roman"/>
          <w:color w:val="auto"/>
          <w:highlight w:val="none"/>
          <w:lang w:eastAsia="zh-CN"/>
        </w:rPr>
        <w:t>生态环境</w:t>
      </w:r>
    </w:p>
    <w:p w14:paraId="198EC314">
      <w:pPr>
        <w:rPr>
          <w:color w:val="auto"/>
          <w:highlight w:val="none"/>
        </w:rPr>
      </w:pPr>
      <w:r>
        <w:rPr>
          <w:rFonts w:hint="eastAsia"/>
          <w:color w:val="auto"/>
          <w:highlight w:val="none"/>
        </w:rPr>
        <w:t>根据《湖南省主体功能区规划》，</w:t>
      </w:r>
      <w:r>
        <w:rPr>
          <w:rFonts w:hint="eastAsia"/>
          <w:color w:val="auto"/>
          <w:highlight w:val="none"/>
          <w:lang w:eastAsia="zh-CN"/>
        </w:rPr>
        <w:t>衡阳市祁东县</w:t>
      </w:r>
      <w:r>
        <w:rPr>
          <w:rFonts w:hint="eastAsia"/>
          <w:color w:val="auto"/>
          <w:highlight w:val="none"/>
        </w:rPr>
        <w:t>属于国家级</w:t>
      </w:r>
      <w:r>
        <w:rPr>
          <w:rFonts w:hint="eastAsia"/>
          <w:color w:val="auto"/>
          <w:highlight w:val="none"/>
          <w:lang w:eastAsia="zh-CN"/>
        </w:rPr>
        <w:t>农产品主产区</w:t>
      </w:r>
      <w:r>
        <w:rPr>
          <w:rFonts w:hint="eastAsia"/>
          <w:color w:val="auto"/>
          <w:highlight w:val="none"/>
        </w:rPr>
        <w:t>。</w:t>
      </w:r>
    </w:p>
    <w:p w14:paraId="47B82E78">
      <w:pPr>
        <w:pStyle w:val="6"/>
        <w:rPr>
          <w:rFonts w:hint="default" w:ascii="Times New Roman" w:hAnsi="Times New Roman" w:cs="Times New Roman"/>
          <w:color w:val="auto"/>
          <w:highlight w:val="none"/>
        </w:rPr>
      </w:pPr>
      <w:r>
        <w:rPr>
          <w:rFonts w:hint="eastAsia" w:cs="Times New Roman"/>
          <w:color w:val="auto"/>
          <w:highlight w:val="none"/>
          <w:lang w:eastAsia="zh-CN"/>
        </w:rPr>
        <w:t>水环境功能区划</w:t>
      </w:r>
    </w:p>
    <w:p w14:paraId="78B3938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cs="Times New Roman"/>
          <w:color w:val="auto"/>
          <w:sz w:val="24"/>
          <w:szCs w:val="24"/>
          <w:highlight w:val="none"/>
          <w:lang w:eastAsia="zh-CN"/>
        </w:rPr>
      </w:pPr>
      <w:r>
        <w:rPr>
          <w:rFonts w:hint="default" w:ascii="Times New Roman" w:hAnsi="Times New Roman" w:cs="Times New Roman"/>
          <w:color w:val="auto"/>
          <w:sz w:val="24"/>
          <w:szCs w:val="24"/>
          <w:highlight w:val="none"/>
        </w:rPr>
        <w:t>本项目周边存在</w:t>
      </w:r>
      <w:r>
        <w:rPr>
          <w:rFonts w:hint="default" w:ascii="Times New Roman" w:hAnsi="Times New Roman" w:cs="Times New Roman"/>
          <w:color w:val="auto"/>
          <w:sz w:val="24"/>
          <w:szCs w:val="24"/>
          <w:highlight w:val="none"/>
          <w:lang w:val="en-US" w:eastAsia="zh-CN"/>
        </w:rPr>
        <w:t>5</w:t>
      </w:r>
      <w:r>
        <w:rPr>
          <w:rFonts w:hint="default" w:ascii="Times New Roman" w:hAnsi="Times New Roman" w:cs="Times New Roman"/>
          <w:color w:val="auto"/>
          <w:sz w:val="24"/>
          <w:szCs w:val="24"/>
          <w:highlight w:val="none"/>
        </w:rPr>
        <w:t>个农村集中式饮用水水源保护区，</w:t>
      </w:r>
      <w:r>
        <w:rPr>
          <w:rFonts w:hint="default" w:ascii="Times New Roman" w:hAnsi="Times New Roman" w:cs="Times New Roman"/>
          <w:color w:val="auto"/>
          <w:sz w:val="24"/>
          <w:szCs w:val="24"/>
          <w:highlight w:val="none"/>
          <w:lang w:eastAsia="zh-CN"/>
        </w:rPr>
        <w:t>分别</w:t>
      </w:r>
      <w:r>
        <w:rPr>
          <w:rFonts w:hint="default" w:ascii="Times New Roman" w:hAnsi="Times New Roman" w:cs="Times New Roman"/>
          <w:color w:val="auto"/>
          <w:sz w:val="24"/>
          <w:szCs w:val="24"/>
          <w:highlight w:val="none"/>
        </w:rPr>
        <w:t>为</w:t>
      </w:r>
      <w:r>
        <w:rPr>
          <w:rFonts w:hint="eastAsia" w:cs="Times New Roman"/>
          <w:color w:val="auto"/>
          <w:sz w:val="24"/>
          <w:szCs w:val="24"/>
          <w:highlight w:val="none"/>
          <w:lang w:eastAsia="zh-CN"/>
        </w:rPr>
        <w:t>：</w:t>
      </w:r>
    </w:p>
    <w:p w14:paraId="0F478D5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cs="Times New Roman"/>
          <w:color w:val="auto"/>
          <w:sz w:val="24"/>
          <w:szCs w:val="24"/>
          <w:highlight w:val="none"/>
          <w:lang w:eastAsia="zh-CN"/>
        </w:rPr>
      </w:pPr>
      <w:r>
        <w:rPr>
          <w:rFonts w:hint="default" w:ascii="Times New Roman" w:hAnsi="Times New Roman" w:cs="Times New Roman"/>
          <w:color w:val="auto"/>
          <w:sz w:val="24"/>
          <w:szCs w:val="24"/>
          <w:highlight w:val="none"/>
          <w:lang w:eastAsia="zh-CN"/>
        </w:rPr>
        <w:t>①</w:t>
      </w:r>
      <w:r>
        <w:rPr>
          <w:rFonts w:hint="default" w:ascii="Times New Roman" w:hAnsi="Times New Roman" w:cs="Times New Roman"/>
          <w:color w:val="auto"/>
          <w:sz w:val="24"/>
          <w:szCs w:val="24"/>
          <w:highlight w:val="none"/>
        </w:rPr>
        <w:t>祁东县黄土铺镇炳溪冲水库饮用水</w:t>
      </w:r>
      <w:r>
        <w:rPr>
          <w:rFonts w:hint="default" w:ascii="Times New Roman" w:hAnsi="Times New Roman" w:cs="Times New Roman"/>
          <w:color w:val="auto"/>
          <w:sz w:val="24"/>
          <w:szCs w:val="24"/>
          <w:highlight w:val="none"/>
          <w:lang w:eastAsia="zh-CN"/>
        </w:rPr>
        <w:t>水</w:t>
      </w:r>
      <w:r>
        <w:rPr>
          <w:rFonts w:hint="default" w:ascii="Times New Roman" w:hAnsi="Times New Roman" w:cs="Times New Roman"/>
          <w:color w:val="auto"/>
          <w:sz w:val="24"/>
          <w:szCs w:val="24"/>
          <w:highlight w:val="none"/>
        </w:rPr>
        <w:t>源保护区</w:t>
      </w:r>
      <w:r>
        <w:rPr>
          <w:rFonts w:hint="eastAsia" w:ascii="Times New Roman" w:hAnsi="Times New Roman" w:cs="Times New Roman"/>
          <w:color w:val="auto"/>
          <w:sz w:val="24"/>
          <w:szCs w:val="24"/>
          <w:highlight w:val="none"/>
          <w:lang w:eastAsia="zh-CN"/>
        </w:rPr>
        <w:t>；</w:t>
      </w:r>
    </w:p>
    <w:p w14:paraId="62B9495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cs="Times New Roman"/>
          <w:color w:val="auto"/>
          <w:sz w:val="24"/>
          <w:szCs w:val="24"/>
          <w:highlight w:val="none"/>
          <w:lang w:eastAsia="zh-CN"/>
        </w:rPr>
      </w:pPr>
      <w:r>
        <w:rPr>
          <w:rFonts w:hint="default" w:ascii="Times New Roman" w:hAnsi="Times New Roman" w:cs="Times New Roman"/>
          <w:color w:val="auto"/>
          <w:sz w:val="24"/>
          <w:szCs w:val="24"/>
          <w:highlight w:val="none"/>
          <w:lang w:eastAsia="zh-CN"/>
        </w:rPr>
        <w:t>②祁东县马杜桥乡延塘村山溪饮用水水源保护区</w:t>
      </w:r>
      <w:r>
        <w:rPr>
          <w:rFonts w:hint="eastAsia" w:ascii="Times New Roman" w:hAnsi="Times New Roman" w:cs="Times New Roman"/>
          <w:color w:val="auto"/>
          <w:sz w:val="24"/>
          <w:szCs w:val="24"/>
          <w:highlight w:val="none"/>
          <w:lang w:eastAsia="zh-CN"/>
        </w:rPr>
        <w:t>；</w:t>
      </w:r>
    </w:p>
    <w:p w14:paraId="1F86D03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cs="Times New Roman"/>
          <w:color w:val="auto"/>
          <w:sz w:val="24"/>
          <w:szCs w:val="24"/>
          <w:highlight w:val="none"/>
          <w:lang w:eastAsia="zh-CN"/>
        </w:rPr>
      </w:pPr>
      <w:r>
        <w:rPr>
          <w:rFonts w:hint="default" w:ascii="Times New Roman" w:hAnsi="Times New Roman" w:cs="Times New Roman"/>
          <w:color w:val="auto"/>
          <w:sz w:val="24"/>
          <w:szCs w:val="24"/>
          <w:highlight w:val="none"/>
          <w:lang w:eastAsia="zh-CN"/>
        </w:rPr>
        <w:t>③祁东县马杜桥乡马杜桥村（罗江桥）山溪饮用水水源保护区</w:t>
      </w:r>
      <w:r>
        <w:rPr>
          <w:rFonts w:hint="eastAsia" w:ascii="Times New Roman" w:hAnsi="Times New Roman" w:cs="Times New Roman"/>
          <w:color w:val="auto"/>
          <w:sz w:val="24"/>
          <w:szCs w:val="24"/>
          <w:highlight w:val="none"/>
          <w:lang w:eastAsia="zh-CN"/>
        </w:rPr>
        <w:t>；</w:t>
      </w:r>
    </w:p>
    <w:p w14:paraId="2F145FA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cs="Times New Roman"/>
          <w:color w:val="auto"/>
          <w:sz w:val="24"/>
          <w:szCs w:val="24"/>
          <w:highlight w:val="none"/>
          <w:lang w:eastAsia="zh-CN"/>
        </w:rPr>
      </w:pPr>
      <w:r>
        <w:rPr>
          <w:rFonts w:hint="default" w:ascii="Times New Roman" w:hAnsi="Times New Roman" w:cs="Times New Roman"/>
          <w:color w:val="auto"/>
          <w:sz w:val="24"/>
          <w:szCs w:val="24"/>
          <w:highlight w:val="none"/>
          <w:lang w:eastAsia="zh-CN"/>
        </w:rPr>
        <w:t>④祁东县马杜桥乡山溪水饮用水水源保护区</w:t>
      </w:r>
      <w:r>
        <w:rPr>
          <w:rFonts w:hint="eastAsia" w:ascii="Times New Roman" w:hAnsi="Times New Roman" w:cs="Times New Roman"/>
          <w:color w:val="auto"/>
          <w:sz w:val="24"/>
          <w:szCs w:val="24"/>
          <w:highlight w:val="none"/>
          <w:lang w:eastAsia="zh-CN"/>
        </w:rPr>
        <w:t>；</w:t>
      </w:r>
    </w:p>
    <w:p w14:paraId="0ABE6B6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color w:val="auto"/>
          <w:sz w:val="24"/>
          <w:szCs w:val="24"/>
          <w:highlight w:val="none"/>
          <w:lang w:eastAsia="zh-CN"/>
        </w:rPr>
      </w:pPr>
      <w:r>
        <w:rPr>
          <w:rFonts w:hint="default" w:ascii="Times New Roman" w:hAnsi="Times New Roman" w:cs="Times New Roman"/>
          <w:color w:val="auto"/>
          <w:sz w:val="24"/>
          <w:szCs w:val="24"/>
          <w:highlight w:val="none"/>
          <w:lang w:eastAsia="zh-CN"/>
        </w:rPr>
        <w:t>⑤祁东县马杜桥乡星桥村刘家冲水库饮用水水源保护区。</w:t>
      </w:r>
    </w:p>
    <w:p w14:paraId="20A2212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color w:val="auto"/>
          <w:sz w:val="24"/>
          <w:szCs w:val="24"/>
          <w:highlight w:val="none"/>
        </w:rPr>
      </w:pPr>
      <w:r>
        <w:rPr>
          <w:rFonts w:hint="eastAsia" w:ascii="Times New Roman" w:hAnsi="Times New Roman" w:cs="Times New Roman"/>
          <w:color w:val="auto"/>
          <w:sz w:val="24"/>
          <w:szCs w:val="24"/>
          <w:highlight w:val="none"/>
          <w:lang w:eastAsia="zh-CN"/>
        </w:rPr>
        <w:t>其中</w:t>
      </w:r>
      <w:r>
        <w:rPr>
          <w:rFonts w:hint="default" w:ascii="Times New Roman" w:hAnsi="Times New Roman" w:cs="Times New Roman"/>
          <w:color w:val="auto"/>
          <w:sz w:val="24"/>
          <w:szCs w:val="24"/>
          <w:highlight w:val="none"/>
        </w:rPr>
        <w:t>祁东县黄土铺镇炳溪冲水库饮用水</w:t>
      </w:r>
      <w:r>
        <w:rPr>
          <w:rFonts w:hint="default" w:ascii="Times New Roman" w:hAnsi="Times New Roman" w:cs="Times New Roman"/>
          <w:color w:val="auto"/>
          <w:sz w:val="24"/>
          <w:szCs w:val="24"/>
          <w:highlight w:val="none"/>
          <w:lang w:eastAsia="zh-CN"/>
        </w:rPr>
        <w:t>水</w:t>
      </w:r>
      <w:r>
        <w:rPr>
          <w:rFonts w:hint="default" w:ascii="Times New Roman" w:hAnsi="Times New Roman" w:cs="Times New Roman"/>
          <w:color w:val="auto"/>
          <w:sz w:val="24"/>
          <w:szCs w:val="24"/>
          <w:highlight w:val="none"/>
        </w:rPr>
        <w:t>源保护区于2</w:t>
      </w:r>
      <w:r>
        <w:rPr>
          <w:rFonts w:hint="eastAsia" w:ascii="Times New Roman" w:hAnsi="Times New Roman" w:cs="Times New Roman"/>
          <w:color w:val="auto"/>
          <w:sz w:val="24"/>
          <w:szCs w:val="24"/>
          <w:highlight w:val="none"/>
          <w:lang w:val="en-US" w:eastAsia="zh-CN"/>
        </w:rPr>
        <w:t>019</w:t>
      </w:r>
      <w:r>
        <w:rPr>
          <w:rFonts w:hint="default" w:ascii="Times New Roman" w:hAnsi="Times New Roman" w:cs="Times New Roman"/>
          <w:color w:val="auto"/>
          <w:sz w:val="24"/>
          <w:szCs w:val="24"/>
          <w:highlight w:val="none"/>
        </w:rPr>
        <w:t>年</w:t>
      </w:r>
      <w:r>
        <w:rPr>
          <w:rFonts w:hint="eastAsia" w:ascii="Times New Roman" w:hAnsi="Times New Roman" w:cs="Times New Roman"/>
          <w:color w:val="auto"/>
          <w:sz w:val="24"/>
          <w:szCs w:val="24"/>
          <w:highlight w:val="none"/>
          <w:lang w:val="en-US" w:eastAsia="zh-CN"/>
        </w:rPr>
        <w:t>12</w:t>
      </w:r>
      <w:r>
        <w:rPr>
          <w:rFonts w:hint="default" w:ascii="Times New Roman" w:hAnsi="Times New Roman" w:cs="Times New Roman"/>
          <w:color w:val="auto"/>
          <w:sz w:val="24"/>
          <w:szCs w:val="24"/>
          <w:highlight w:val="none"/>
        </w:rPr>
        <w:t>月</w:t>
      </w:r>
      <w:r>
        <w:rPr>
          <w:rFonts w:hint="eastAsia" w:ascii="Times New Roman" w:hAnsi="Times New Roman" w:cs="Times New Roman"/>
          <w:color w:val="auto"/>
          <w:sz w:val="24"/>
          <w:szCs w:val="24"/>
          <w:highlight w:val="none"/>
          <w:lang w:val="en-US" w:eastAsia="zh-CN"/>
        </w:rPr>
        <w:t>27</w:t>
      </w:r>
      <w:r>
        <w:rPr>
          <w:rFonts w:hint="default" w:ascii="Times New Roman" w:hAnsi="Times New Roman" w:cs="Times New Roman"/>
          <w:color w:val="auto"/>
          <w:sz w:val="24"/>
          <w:szCs w:val="24"/>
          <w:highlight w:val="none"/>
        </w:rPr>
        <w:t>日获得了湖南省生态环境厅的批复（湘环函[2019]231号）</w:t>
      </w:r>
      <w:r>
        <w:rPr>
          <w:rFonts w:hint="eastAsia" w:ascii="Times New Roman" w:hAnsi="Times New Roman" w:cs="Times New Roman"/>
          <w:color w:val="auto"/>
          <w:sz w:val="24"/>
          <w:szCs w:val="24"/>
          <w:highlight w:val="none"/>
          <w:lang w:eastAsia="zh-CN"/>
        </w:rPr>
        <w:t>；</w:t>
      </w:r>
      <w:r>
        <w:rPr>
          <w:rFonts w:hint="default" w:ascii="Times New Roman" w:hAnsi="Times New Roman" w:cs="Times New Roman"/>
          <w:color w:val="auto"/>
          <w:sz w:val="24"/>
          <w:szCs w:val="24"/>
          <w:highlight w:val="none"/>
          <w:lang w:eastAsia="zh-CN"/>
        </w:rPr>
        <w:t>祁东县马杜桥乡山溪水饮用水水源保护区</w:t>
      </w:r>
      <w:r>
        <w:rPr>
          <w:rFonts w:hint="eastAsia" w:ascii="Times New Roman" w:hAnsi="Times New Roman" w:cs="Times New Roman"/>
          <w:color w:val="auto"/>
          <w:sz w:val="24"/>
          <w:szCs w:val="24"/>
          <w:highlight w:val="none"/>
          <w:lang w:eastAsia="zh-CN"/>
        </w:rPr>
        <w:t>于</w:t>
      </w:r>
      <w:r>
        <w:rPr>
          <w:rFonts w:hint="eastAsia" w:ascii="Times New Roman" w:hAnsi="Times New Roman" w:cs="Times New Roman"/>
          <w:color w:val="auto"/>
          <w:sz w:val="24"/>
          <w:szCs w:val="24"/>
          <w:highlight w:val="none"/>
          <w:lang w:val="en-US" w:eastAsia="zh-CN"/>
        </w:rPr>
        <w:t>2020年8月26日获得了衡阳市人民政府的批复（衡政办函[2020]4号）；</w:t>
      </w:r>
      <w:r>
        <w:rPr>
          <w:rFonts w:hint="default" w:ascii="Times New Roman" w:hAnsi="Times New Roman" w:cs="Times New Roman"/>
          <w:color w:val="auto"/>
          <w:sz w:val="24"/>
          <w:szCs w:val="24"/>
          <w:highlight w:val="none"/>
          <w:lang w:eastAsia="zh-CN"/>
        </w:rPr>
        <w:t>祁东县马杜桥乡星桥村刘家冲水库饮用水水源保护区</w:t>
      </w:r>
      <w:r>
        <w:rPr>
          <w:rFonts w:hint="eastAsia" w:ascii="Times New Roman" w:hAnsi="Times New Roman" w:cs="Times New Roman"/>
          <w:color w:val="auto"/>
          <w:sz w:val="24"/>
          <w:szCs w:val="24"/>
          <w:highlight w:val="none"/>
          <w:lang w:eastAsia="zh-CN"/>
        </w:rPr>
        <w:t>于</w:t>
      </w:r>
      <w:r>
        <w:rPr>
          <w:rFonts w:hint="eastAsia" w:ascii="Times New Roman" w:hAnsi="Times New Roman" w:cs="Times New Roman"/>
          <w:color w:val="auto"/>
          <w:sz w:val="24"/>
          <w:szCs w:val="24"/>
          <w:highlight w:val="none"/>
          <w:lang w:val="en-US" w:eastAsia="zh-CN"/>
        </w:rPr>
        <w:t>2020年11月23日获得了衡阳市人民政府的批复（衡政办函[2020]12号）；</w:t>
      </w:r>
      <w:r>
        <w:rPr>
          <w:rFonts w:hint="default" w:ascii="Times New Roman" w:hAnsi="Times New Roman" w:cs="Times New Roman"/>
          <w:color w:val="auto"/>
          <w:sz w:val="24"/>
          <w:szCs w:val="24"/>
          <w:highlight w:val="none"/>
          <w:lang w:eastAsia="zh-CN"/>
        </w:rPr>
        <w:t>祁东县马杜桥乡延塘村山溪饮用水水源保护区</w:t>
      </w:r>
      <w:r>
        <w:rPr>
          <w:rFonts w:hint="eastAsia" w:ascii="Times New Roman" w:hAnsi="Times New Roman" w:cs="Times New Roman"/>
          <w:color w:val="auto"/>
          <w:sz w:val="24"/>
          <w:szCs w:val="24"/>
          <w:highlight w:val="none"/>
          <w:lang w:eastAsia="zh-CN"/>
        </w:rPr>
        <w:t>及</w:t>
      </w:r>
      <w:r>
        <w:rPr>
          <w:rFonts w:hint="default" w:ascii="Times New Roman" w:hAnsi="Times New Roman" w:cs="Times New Roman"/>
          <w:color w:val="auto"/>
          <w:sz w:val="24"/>
          <w:szCs w:val="24"/>
          <w:highlight w:val="none"/>
          <w:lang w:eastAsia="zh-CN"/>
        </w:rPr>
        <w:t>祁东县马杜桥乡马杜桥村（罗江桥）山溪饮用水水源保护区</w:t>
      </w:r>
      <w:r>
        <w:rPr>
          <w:rFonts w:hint="eastAsia" w:ascii="Times New Roman" w:hAnsi="Times New Roman" w:cs="Times New Roman"/>
          <w:color w:val="auto"/>
          <w:sz w:val="24"/>
          <w:szCs w:val="24"/>
          <w:highlight w:val="none"/>
          <w:lang w:eastAsia="zh-CN"/>
        </w:rPr>
        <w:t>于</w:t>
      </w:r>
      <w:r>
        <w:rPr>
          <w:rFonts w:hint="eastAsia" w:ascii="Times New Roman" w:hAnsi="Times New Roman" w:cs="Times New Roman"/>
          <w:color w:val="auto"/>
          <w:sz w:val="24"/>
          <w:szCs w:val="24"/>
          <w:highlight w:val="none"/>
          <w:lang w:val="en-US" w:eastAsia="zh-CN"/>
        </w:rPr>
        <w:t>2021年10月27日获得了衡阳市人民政府的批复（衡政函[2021]78号）</w:t>
      </w:r>
      <w:r>
        <w:rPr>
          <w:rFonts w:hint="default" w:ascii="Times New Roman" w:hAnsi="Times New Roman" w:cs="Times New Roman"/>
          <w:color w:val="auto"/>
          <w:sz w:val="24"/>
          <w:szCs w:val="24"/>
          <w:highlight w:val="none"/>
        </w:rPr>
        <w:t>。</w:t>
      </w:r>
    </w:p>
    <w:p w14:paraId="32095B5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sz w:val="24"/>
          <w:szCs w:val="24"/>
          <w:highlight w:val="none"/>
          <w:lang w:val="en-US" w:eastAsia="zh-CN"/>
        </w:rPr>
      </w:pPr>
      <w:r>
        <w:rPr>
          <w:rFonts w:hint="eastAsia" w:ascii="Times New Roman" w:hAnsi="Times New Roman" w:cs="Times New Roman"/>
          <w:b/>
          <w:bCs/>
          <w:color w:val="auto"/>
          <w:sz w:val="24"/>
          <w:szCs w:val="24"/>
          <w:highlight w:val="none"/>
          <w:lang w:eastAsia="zh-CN"/>
        </w:rPr>
        <w:t>表</w:t>
      </w:r>
      <w:r>
        <w:rPr>
          <w:rFonts w:hint="eastAsia" w:ascii="Times New Roman" w:hAnsi="Times New Roman" w:cs="Times New Roman"/>
          <w:b/>
          <w:bCs/>
          <w:color w:val="auto"/>
          <w:sz w:val="24"/>
          <w:szCs w:val="24"/>
          <w:highlight w:val="none"/>
          <w:lang w:val="en-US" w:eastAsia="zh-CN"/>
        </w:rPr>
        <w:t>2.2-5  项目周边5个饮用水源保护区情况</w:t>
      </w:r>
    </w:p>
    <w:tbl>
      <w:tblPr>
        <w:tblStyle w:val="20"/>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21"/>
        <w:gridCol w:w="1977"/>
        <w:gridCol w:w="2651"/>
        <w:gridCol w:w="463"/>
        <w:gridCol w:w="1076"/>
        <w:gridCol w:w="1634"/>
      </w:tblGrid>
      <w:tr w14:paraId="306529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21" w:type="dxa"/>
            <w:vMerge w:val="restart"/>
            <w:tcBorders>
              <w:tl2br w:val="nil"/>
              <w:tr2bl w:val="nil"/>
            </w:tcBorders>
            <w:noWrap w:val="0"/>
            <w:vAlign w:val="center"/>
          </w:tcPr>
          <w:p w14:paraId="2984D89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b/>
                <w:bCs/>
                <w:color w:val="auto"/>
                <w:sz w:val="21"/>
                <w:szCs w:val="21"/>
                <w:highlight w:val="none"/>
                <w:vertAlign w:val="baseline"/>
                <w:lang w:eastAsia="zh-CN"/>
              </w:rPr>
            </w:pPr>
            <w:r>
              <w:rPr>
                <w:rFonts w:hint="eastAsia" w:ascii="Times New Roman" w:hAnsi="Times New Roman" w:cs="Times New Roman"/>
                <w:b/>
                <w:bCs/>
                <w:color w:val="auto"/>
                <w:sz w:val="21"/>
                <w:szCs w:val="21"/>
                <w:highlight w:val="none"/>
                <w:vertAlign w:val="baseline"/>
                <w:lang w:eastAsia="zh-CN"/>
              </w:rPr>
              <w:t>序号</w:t>
            </w:r>
          </w:p>
        </w:tc>
        <w:tc>
          <w:tcPr>
            <w:tcW w:w="1977" w:type="dxa"/>
            <w:vMerge w:val="restart"/>
            <w:tcBorders>
              <w:tl2br w:val="nil"/>
              <w:tr2bl w:val="nil"/>
            </w:tcBorders>
            <w:noWrap w:val="0"/>
            <w:vAlign w:val="center"/>
          </w:tcPr>
          <w:p w14:paraId="0F9B684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b/>
                <w:bCs/>
                <w:color w:val="auto"/>
                <w:sz w:val="21"/>
                <w:szCs w:val="21"/>
                <w:highlight w:val="none"/>
                <w:vertAlign w:val="baseline"/>
                <w:lang w:eastAsia="zh-CN"/>
              </w:rPr>
            </w:pPr>
            <w:r>
              <w:rPr>
                <w:rFonts w:hint="eastAsia" w:ascii="Times New Roman" w:hAnsi="Times New Roman" w:cs="Times New Roman"/>
                <w:b/>
                <w:bCs/>
                <w:color w:val="auto"/>
                <w:sz w:val="21"/>
                <w:szCs w:val="21"/>
                <w:highlight w:val="none"/>
                <w:vertAlign w:val="baseline"/>
                <w:lang w:eastAsia="zh-CN"/>
              </w:rPr>
              <w:t>保护区名称</w:t>
            </w:r>
          </w:p>
        </w:tc>
        <w:tc>
          <w:tcPr>
            <w:tcW w:w="2651" w:type="dxa"/>
            <w:vMerge w:val="restart"/>
            <w:tcBorders>
              <w:tl2br w:val="nil"/>
              <w:tr2bl w:val="nil"/>
            </w:tcBorders>
            <w:noWrap w:val="0"/>
            <w:vAlign w:val="center"/>
          </w:tcPr>
          <w:p w14:paraId="2DD7055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b/>
                <w:bCs/>
                <w:color w:val="auto"/>
                <w:sz w:val="21"/>
                <w:szCs w:val="21"/>
                <w:highlight w:val="none"/>
                <w:vertAlign w:val="baseline"/>
                <w:lang w:eastAsia="zh-CN"/>
              </w:rPr>
            </w:pPr>
            <w:r>
              <w:rPr>
                <w:rFonts w:hint="eastAsia" w:ascii="Times New Roman" w:hAnsi="Times New Roman" w:cs="Times New Roman"/>
                <w:b/>
                <w:bCs/>
                <w:color w:val="auto"/>
                <w:sz w:val="21"/>
                <w:szCs w:val="21"/>
                <w:highlight w:val="none"/>
                <w:vertAlign w:val="baseline"/>
                <w:lang w:eastAsia="zh-CN"/>
              </w:rPr>
              <w:t>批复文件及日期</w:t>
            </w:r>
          </w:p>
        </w:tc>
        <w:tc>
          <w:tcPr>
            <w:tcW w:w="3173" w:type="dxa"/>
            <w:gridSpan w:val="3"/>
            <w:tcBorders>
              <w:tl2br w:val="nil"/>
              <w:tr2bl w:val="nil"/>
            </w:tcBorders>
            <w:noWrap w:val="0"/>
            <w:vAlign w:val="center"/>
          </w:tcPr>
          <w:p w14:paraId="59E6248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b/>
                <w:bCs/>
                <w:color w:val="auto"/>
                <w:sz w:val="21"/>
                <w:szCs w:val="21"/>
                <w:highlight w:val="none"/>
                <w:vertAlign w:val="baseline"/>
                <w:lang w:eastAsia="zh-CN"/>
              </w:rPr>
            </w:pPr>
            <w:r>
              <w:rPr>
                <w:rFonts w:hint="eastAsia" w:cs="Times New Roman"/>
                <w:b/>
                <w:bCs/>
                <w:color w:val="auto"/>
                <w:sz w:val="21"/>
                <w:szCs w:val="21"/>
                <w:highlight w:val="none"/>
                <w:vertAlign w:val="baseline"/>
                <w:lang w:eastAsia="zh-CN"/>
              </w:rPr>
              <w:t>饮用水源保护区划定方案</w:t>
            </w:r>
          </w:p>
        </w:tc>
      </w:tr>
      <w:tr w14:paraId="5268148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21" w:type="dxa"/>
            <w:vMerge w:val="continue"/>
            <w:tcBorders>
              <w:tl2br w:val="nil"/>
              <w:tr2bl w:val="nil"/>
            </w:tcBorders>
            <w:noWrap w:val="0"/>
            <w:vAlign w:val="center"/>
          </w:tcPr>
          <w:p w14:paraId="490EA59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b/>
                <w:bCs/>
                <w:color w:val="auto"/>
                <w:sz w:val="21"/>
                <w:szCs w:val="21"/>
                <w:highlight w:val="none"/>
                <w:vertAlign w:val="baseline"/>
                <w:lang w:eastAsia="zh-CN"/>
              </w:rPr>
            </w:pPr>
          </w:p>
        </w:tc>
        <w:tc>
          <w:tcPr>
            <w:tcW w:w="1977" w:type="dxa"/>
            <w:vMerge w:val="continue"/>
            <w:tcBorders>
              <w:tl2br w:val="nil"/>
              <w:tr2bl w:val="nil"/>
            </w:tcBorders>
            <w:noWrap w:val="0"/>
            <w:vAlign w:val="center"/>
          </w:tcPr>
          <w:p w14:paraId="3B9B1B9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b/>
                <w:bCs/>
                <w:color w:val="auto"/>
                <w:sz w:val="21"/>
                <w:szCs w:val="21"/>
                <w:highlight w:val="none"/>
                <w:vertAlign w:val="baseline"/>
                <w:lang w:eastAsia="zh-CN"/>
              </w:rPr>
            </w:pPr>
          </w:p>
        </w:tc>
        <w:tc>
          <w:tcPr>
            <w:tcW w:w="2651" w:type="dxa"/>
            <w:vMerge w:val="continue"/>
            <w:tcBorders>
              <w:tl2br w:val="nil"/>
              <w:tr2bl w:val="nil"/>
            </w:tcBorders>
            <w:noWrap w:val="0"/>
            <w:vAlign w:val="center"/>
          </w:tcPr>
          <w:p w14:paraId="3FACF7B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b/>
                <w:bCs/>
                <w:color w:val="auto"/>
                <w:sz w:val="21"/>
                <w:szCs w:val="21"/>
                <w:highlight w:val="none"/>
                <w:vertAlign w:val="baseline"/>
                <w:lang w:eastAsia="zh-CN"/>
              </w:rPr>
            </w:pPr>
          </w:p>
        </w:tc>
        <w:tc>
          <w:tcPr>
            <w:tcW w:w="1539" w:type="dxa"/>
            <w:gridSpan w:val="2"/>
            <w:tcBorders>
              <w:tl2br w:val="nil"/>
              <w:tr2bl w:val="nil"/>
            </w:tcBorders>
            <w:noWrap w:val="0"/>
            <w:vAlign w:val="center"/>
          </w:tcPr>
          <w:p w14:paraId="266DE73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s="Times New Roman"/>
                <w:b/>
                <w:bCs/>
                <w:color w:val="auto"/>
                <w:sz w:val="21"/>
                <w:szCs w:val="21"/>
                <w:highlight w:val="none"/>
                <w:vertAlign w:val="baseline"/>
                <w:lang w:eastAsia="zh-CN"/>
              </w:rPr>
            </w:pPr>
            <w:r>
              <w:rPr>
                <w:rFonts w:hint="eastAsia" w:cs="Times New Roman"/>
                <w:b/>
                <w:bCs/>
                <w:color w:val="auto"/>
                <w:sz w:val="21"/>
                <w:szCs w:val="21"/>
                <w:highlight w:val="none"/>
                <w:vertAlign w:val="baseline"/>
                <w:lang w:eastAsia="zh-CN"/>
              </w:rPr>
              <w:t>水域</w:t>
            </w:r>
          </w:p>
        </w:tc>
        <w:tc>
          <w:tcPr>
            <w:tcW w:w="1634" w:type="dxa"/>
            <w:tcBorders>
              <w:tl2br w:val="nil"/>
              <w:tr2bl w:val="nil"/>
            </w:tcBorders>
            <w:noWrap w:val="0"/>
            <w:vAlign w:val="center"/>
          </w:tcPr>
          <w:p w14:paraId="03A58C3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cs="Times New Roman"/>
                <w:b/>
                <w:bCs/>
                <w:color w:val="auto"/>
                <w:sz w:val="21"/>
                <w:szCs w:val="21"/>
                <w:highlight w:val="none"/>
                <w:vertAlign w:val="baseline"/>
                <w:lang w:eastAsia="zh-CN"/>
              </w:rPr>
            </w:pPr>
            <w:r>
              <w:rPr>
                <w:rFonts w:hint="eastAsia" w:cs="Times New Roman"/>
                <w:b/>
                <w:bCs/>
                <w:color w:val="auto"/>
                <w:sz w:val="21"/>
                <w:szCs w:val="21"/>
                <w:highlight w:val="none"/>
                <w:vertAlign w:val="baseline"/>
                <w:lang w:eastAsia="zh-CN"/>
              </w:rPr>
              <w:t>陆域</w:t>
            </w:r>
          </w:p>
        </w:tc>
      </w:tr>
      <w:tr w14:paraId="528705B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721" w:type="dxa"/>
            <w:vMerge w:val="restart"/>
            <w:tcBorders>
              <w:tl2br w:val="nil"/>
              <w:tr2bl w:val="nil"/>
            </w:tcBorders>
            <w:noWrap w:val="0"/>
            <w:vAlign w:val="center"/>
          </w:tcPr>
          <w:p w14:paraId="6ED83E3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vertAlign w:val="baseline"/>
                <w:lang w:val="en-US" w:eastAsia="zh-CN"/>
              </w:rPr>
            </w:pPr>
            <w:r>
              <w:rPr>
                <w:rFonts w:hint="eastAsia" w:ascii="Times New Roman" w:hAnsi="Times New Roman" w:cs="Times New Roman"/>
                <w:color w:val="auto"/>
                <w:sz w:val="21"/>
                <w:szCs w:val="21"/>
                <w:highlight w:val="none"/>
                <w:vertAlign w:val="baseline"/>
                <w:lang w:val="en-US" w:eastAsia="zh-CN"/>
              </w:rPr>
              <w:t>1</w:t>
            </w:r>
          </w:p>
        </w:tc>
        <w:tc>
          <w:tcPr>
            <w:tcW w:w="1977" w:type="dxa"/>
            <w:vMerge w:val="restart"/>
            <w:tcBorders>
              <w:tl2br w:val="nil"/>
              <w:tr2bl w:val="nil"/>
            </w:tcBorders>
            <w:noWrap w:val="0"/>
            <w:vAlign w:val="center"/>
          </w:tcPr>
          <w:p w14:paraId="0AAF2C2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祁东县黄土铺镇炳溪冲水库饮用水</w:t>
            </w:r>
            <w:r>
              <w:rPr>
                <w:rFonts w:hint="default" w:ascii="Times New Roman" w:hAnsi="Times New Roman" w:cs="Times New Roman"/>
                <w:color w:val="auto"/>
                <w:sz w:val="21"/>
                <w:szCs w:val="21"/>
                <w:highlight w:val="none"/>
                <w:lang w:eastAsia="zh-CN"/>
              </w:rPr>
              <w:t>水</w:t>
            </w:r>
            <w:r>
              <w:rPr>
                <w:rFonts w:hint="default" w:ascii="Times New Roman" w:hAnsi="Times New Roman" w:cs="Times New Roman"/>
                <w:color w:val="auto"/>
                <w:sz w:val="21"/>
                <w:szCs w:val="21"/>
                <w:highlight w:val="none"/>
              </w:rPr>
              <w:t>源保护区</w:t>
            </w:r>
          </w:p>
        </w:tc>
        <w:tc>
          <w:tcPr>
            <w:tcW w:w="2651" w:type="dxa"/>
            <w:vMerge w:val="restart"/>
            <w:tcBorders>
              <w:tl2br w:val="nil"/>
              <w:tr2bl w:val="nil"/>
            </w:tcBorders>
            <w:noWrap w:val="0"/>
            <w:vAlign w:val="center"/>
          </w:tcPr>
          <w:p w14:paraId="43CED84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rPr>
              <w:t>2</w:t>
            </w:r>
            <w:r>
              <w:rPr>
                <w:rFonts w:hint="eastAsia" w:ascii="Times New Roman" w:hAnsi="Times New Roman" w:cs="Times New Roman"/>
                <w:color w:val="auto"/>
                <w:sz w:val="21"/>
                <w:szCs w:val="21"/>
                <w:highlight w:val="none"/>
                <w:lang w:val="en-US" w:eastAsia="zh-CN"/>
              </w:rPr>
              <w:t>019</w:t>
            </w:r>
            <w:r>
              <w:rPr>
                <w:rFonts w:hint="default" w:ascii="Times New Roman" w:hAnsi="Times New Roman" w:cs="Times New Roman"/>
                <w:color w:val="auto"/>
                <w:sz w:val="21"/>
                <w:szCs w:val="21"/>
                <w:highlight w:val="none"/>
              </w:rPr>
              <w:t>年</w:t>
            </w:r>
            <w:r>
              <w:rPr>
                <w:rFonts w:hint="eastAsia" w:ascii="Times New Roman" w:hAnsi="Times New Roman" w:cs="Times New Roman"/>
                <w:color w:val="auto"/>
                <w:sz w:val="21"/>
                <w:szCs w:val="21"/>
                <w:highlight w:val="none"/>
                <w:lang w:val="en-US" w:eastAsia="zh-CN"/>
              </w:rPr>
              <w:t>12</w:t>
            </w:r>
            <w:r>
              <w:rPr>
                <w:rFonts w:hint="default" w:ascii="Times New Roman" w:hAnsi="Times New Roman" w:cs="Times New Roman"/>
                <w:color w:val="auto"/>
                <w:sz w:val="21"/>
                <w:szCs w:val="21"/>
                <w:highlight w:val="none"/>
              </w:rPr>
              <w:t>月</w:t>
            </w:r>
            <w:r>
              <w:rPr>
                <w:rFonts w:hint="eastAsia" w:ascii="Times New Roman" w:hAnsi="Times New Roman" w:cs="Times New Roman"/>
                <w:color w:val="auto"/>
                <w:sz w:val="21"/>
                <w:szCs w:val="21"/>
                <w:highlight w:val="none"/>
                <w:lang w:val="en-US" w:eastAsia="zh-CN"/>
              </w:rPr>
              <w:t>27</w:t>
            </w:r>
            <w:r>
              <w:rPr>
                <w:rFonts w:hint="default" w:ascii="Times New Roman" w:hAnsi="Times New Roman" w:cs="Times New Roman"/>
                <w:color w:val="auto"/>
                <w:sz w:val="21"/>
                <w:szCs w:val="21"/>
                <w:highlight w:val="none"/>
              </w:rPr>
              <w:t>日获得了湖南省生态环境厅的批复（湘环函[2019]231号）</w:t>
            </w:r>
          </w:p>
        </w:tc>
        <w:tc>
          <w:tcPr>
            <w:tcW w:w="463" w:type="dxa"/>
            <w:tcBorders>
              <w:tl2br w:val="nil"/>
              <w:tr2bl w:val="nil"/>
            </w:tcBorders>
            <w:noWrap w:val="0"/>
            <w:vAlign w:val="center"/>
          </w:tcPr>
          <w:p w14:paraId="1FD91A5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vertAlign w:val="baseline"/>
                <w:lang w:eastAsia="zh-CN"/>
              </w:rPr>
            </w:pPr>
            <w:r>
              <w:rPr>
                <w:rFonts w:hint="eastAsia" w:cs="Times New Roman"/>
                <w:color w:val="auto"/>
                <w:sz w:val="21"/>
                <w:szCs w:val="21"/>
                <w:highlight w:val="none"/>
                <w:vertAlign w:val="baseline"/>
                <w:lang w:eastAsia="zh-CN"/>
              </w:rPr>
              <w:t>一级</w:t>
            </w:r>
          </w:p>
        </w:tc>
        <w:tc>
          <w:tcPr>
            <w:tcW w:w="1076" w:type="dxa"/>
            <w:tcBorders>
              <w:tl2br w:val="nil"/>
              <w:tr2bl w:val="nil"/>
            </w:tcBorders>
            <w:noWrap w:val="0"/>
            <w:vAlign w:val="center"/>
          </w:tcPr>
          <w:p w14:paraId="3C3ED66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水库水域。</w:t>
            </w:r>
          </w:p>
        </w:tc>
        <w:tc>
          <w:tcPr>
            <w:tcW w:w="1634" w:type="dxa"/>
            <w:tcBorders>
              <w:tl2br w:val="nil"/>
              <w:tr2bl w:val="nil"/>
            </w:tcBorders>
            <w:noWrap w:val="0"/>
            <w:vAlign w:val="center"/>
          </w:tcPr>
          <w:p w14:paraId="2DF1C3E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一级保护区水域外200米范围内的陆域，不超过第一重山脊线、道路迎水侧路肩、大坝迎水侧坝顶。</w:t>
            </w:r>
          </w:p>
        </w:tc>
      </w:tr>
      <w:tr w14:paraId="1665D5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6" w:hRule="atLeast"/>
          <w:jc w:val="center"/>
        </w:trPr>
        <w:tc>
          <w:tcPr>
            <w:tcW w:w="721" w:type="dxa"/>
            <w:vMerge w:val="continue"/>
            <w:tcBorders>
              <w:tl2br w:val="nil"/>
              <w:tr2bl w:val="nil"/>
            </w:tcBorders>
            <w:noWrap w:val="0"/>
            <w:vAlign w:val="center"/>
          </w:tcPr>
          <w:p w14:paraId="7D9180F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vertAlign w:val="baseline"/>
                <w:lang w:val="en-US" w:eastAsia="zh-CN"/>
              </w:rPr>
            </w:pPr>
          </w:p>
        </w:tc>
        <w:tc>
          <w:tcPr>
            <w:tcW w:w="1977" w:type="dxa"/>
            <w:vMerge w:val="continue"/>
            <w:tcBorders>
              <w:tl2br w:val="nil"/>
              <w:tr2bl w:val="nil"/>
            </w:tcBorders>
            <w:noWrap w:val="0"/>
            <w:vAlign w:val="center"/>
          </w:tcPr>
          <w:p w14:paraId="200D044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p>
        </w:tc>
        <w:tc>
          <w:tcPr>
            <w:tcW w:w="2651" w:type="dxa"/>
            <w:vMerge w:val="continue"/>
            <w:tcBorders>
              <w:tl2br w:val="nil"/>
              <w:tr2bl w:val="nil"/>
            </w:tcBorders>
            <w:noWrap w:val="0"/>
            <w:vAlign w:val="center"/>
          </w:tcPr>
          <w:p w14:paraId="4282E2F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p>
        </w:tc>
        <w:tc>
          <w:tcPr>
            <w:tcW w:w="463" w:type="dxa"/>
            <w:tcBorders>
              <w:tl2br w:val="nil"/>
              <w:tr2bl w:val="nil"/>
            </w:tcBorders>
            <w:noWrap w:val="0"/>
            <w:vAlign w:val="center"/>
          </w:tcPr>
          <w:p w14:paraId="5FA561A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vertAlign w:val="baseline"/>
                <w:lang w:eastAsia="zh-CN"/>
              </w:rPr>
            </w:pPr>
            <w:r>
              <w:rPr>
                <w:rFonts w:hint="eastAsia" w:cs="Times New Roman"/>
                <w:color w:val="auto"/>
                <w:sz w:val="21"/>
                <w:szCs w:val="21"/>
                <w:highlight w:val="none"/>
                <w:vertAlign w:val="baseline"/>
                <w:lang w:eastAsia="zh-CN"/>
              </w:rPr>
              <w:t>二级</w:t>
            </w:r>
          </w:p>
        </w:tc>
        <w:tc>
          <w:tcPr>
            <w:tcW w:w="1076" w:type="dxa"/>
            <w:tcBorders>
              <w:tl2br w:val="nil"/>
              <w:tr2bl w:val="nil"/>
            </w:tcBorders>
            <w:noWrap w:val="0"/>
            <w:vAlign w:val="center"/>
          </w:tcPr>
          <w:p w14:paraId="33DE79C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vertAlign w:val="baseline"/>
                <w:lang w:val="en-US" w:eastAsia="zh-CN"/>
              </w:rPr>
            </w:pPr>
            <w:r>
              <w:rPr>
                <w:rFonts w:hint="eastAsia" w:cs="Times New Roman"/>
                <w:color w:val="auto"/>
                <w:sz w:val="21"/>
                <w:szCs w:val="21"/>
                <w:highlight w:val="none"/>
                <w:vertAlign w:val="baseline"/>
                <w:lang w:val="en-US" w:eastAsia="zh-CN"/>
              </w:rPr>
              <w:t>/</w:t>
            </w:r>
          </w:p>
        </w:tc>
        <w:tc>
          <w:tcPr>
            <w:tcW w:w="1634" w:type="dxa"/>
            <w:tcBorders>
              <w:tl2br w:val="nil"/>
              <w:tr2bl w:val="nil"/>
            </w:tcBorders>
            <w:noWrap w:val="0"/>
            <w:vAlign w:val="center"/>
          </w:tcPr>
          <w:p w14:paraId="56698D6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rPr>
              <w:t>水库汇水区域（一级保护区除外）。</w:t>
            </w:r>
          </w:p>
        </w:tc>
      </w:tr>
      <w:tr w14:paraId="14C58D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721" w:type="dxa"/>
            <w:vMerge w:val="restart"/>
            <w:tcBorders>
              <w:tl2br w:val="nil"/>
              <w:tr2bl w:val="nil"/>
            </w:tcBorders>
            <w:noWrap w:val="0"/>
            <w:vAlign w:val="center"/>
          </w:tcPr>
          <w:p w14:paraId="698620D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2</w:t>
            </w:r>
          </w:p>
        </w:tc>
        <w:tc>
          <w:tcPr>
            <w:tcW w:w="1977" w:type="dxa"/>
            <w:vMerge w:val="restart"/>
            <w:tcBorders>
              <w:tl2br w:val="nil"/>
              <w:tr2bl w:val="nil"/>
            </w:tcBorders>
            <w:noWrap w:val="0"/>
            <w:vAlign w:val="center"/>
          </w:tcPr>
          <w:p w14:paraId="61374FF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eastAsia="zh-CN"/>
              </w:rPr>
              <w:t>祁东县马杜桥乡山溪水饮用水水源保护区</w:t>
            </w:r>
          </w:p>
        </w:tc>
        <w:tc>
          <w:tcPr>
            <w:tcW w:w="2651" w:type="dxa"/>
            <w:vMerge w:val="restart"/>
            <w:tcBorders>
              <w:tl2br w:val="nil"/>
              <w:tr2bl w:val="nil"/>
            </w:tcBorders>
            <w:noWrap w:val="0"/>
            <w:vAlign w:val="center"/>
          </w:tcPr>
          <w:p w14:paraId="5B4E1EC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kern w:val="2"/>
                <w:sz w:val="21"/>
                <w:szCs w:val="21"/>
                <w:highlight w:val="none"/>
                <w:vertAlign w:val="baseline"/>
                <w:lang w:val="en-US" w:eastAsia="zh-CN" w:bidi="ar-SA"/>
              </w:rPr>
            </w:pPr>
            <w:r>
              <w:rPr>
                <w:rFonts w:hint="eastAsia" w:ascii="Times New Roman" w:hAnsi="Times New Roman" w:cs="Times New Roman"/>
                <w:color w:val="auto"/>
                <w:sz w:val="21"/>
                <w:szCs w:val="21"/>
                <w:highlight w:val="none"/>
                <w:lang w:val="en-US" w:eastAsia="zh-CN"/>
              </w:rPr>
              <w:t>2020年8月26日获得了衡阳市人民政府的批复（衡政办函[2020]4号）</w:t>
            </w:r>
          </w:p>
        </w:tc>
        <w:tc>
          <w:tcPr>
            <w:tcW w:w="463" w:type="dxa"/>
            <w:tcBorders>
              <w:tl2br w:val="nil"/>
              <w:tr2bl w:val="nil"/>
            </w:tcBorders>
            <w:noWrap w:val="0"/>
            <w:vAlign w:val="center"/>
          </w:tcPr>
          <w:p w14:paraId="4E69ED1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kern w:val="2"/>
                <w:sz w:val="21"/>
                <w:szCs w:val="21"/>
                <w:highlight w:val="none"/>
                <w:vertAlign w:val="baseline"/>
                <w:lang w:val="en-US" w:eastAsia="zh-CN" w:bidi="ar-SA"/>
              </w:rPr>
            </w:pPr>
            <w:r>
              <w:rPr>
                <w:rFonts w:hint="eastAsia" w:cs="Times New Roman"/>
                <w:color w:val="auto"/>
                <w:sz w:val="21"/>
                <w:szCs w:val="21"/>
                <w:highlight w:val="none"/>
                <w:vertAlign w:val="baseline"/>
                <w:lang w:eastAsia="zh-CN"/>
              </w:rPr>
              <w:t>一级</w:t>
            </w:r>
          </w:p>
        </w:tc>
        <w:tc>
          <w:tcPr>
            <w:tcW w:w="1076" w:type="dxa"/>
            <w:tcBorders>
              <w:tl2br w:val="nil"/>
              <w:tr2bl w:val="nil"/>
            </w:tcBorders>
            <w:noWrap w:val="0"/>
            <w:vAlign w:val="center"/>
          </w:tcPr>
          <w:p w14:paraId="329C5C22">
            <w:pPr>
              <w:pStyle w:val="45"/>
              <w:bidi w:val="0"/>
              <w:ind w:right="0" w:rightChars="0" w:firstLine="0" w:firstLineChars="0"/>
              <w:rPr>
                <w:rFonts w:hint="eastAsia" w:ascii="Times New Roman" w:hAnsi="Times New Roman" w:cs="Times New Roman"/>
                <w:color w:val="auto"/>
                <w:kern w:val="2"/>
                <w:sz w:val="21"/>
                <w:szCs w:val="21"/>
                <w:highlight w:val="none"/>
                <w:vertAlign w:val="baseline"/>
                <w:lang w:val="en-US" w:eastAsia="zh-CN" w:bidi="ar-SA"/>
              </w:rPr>
            </w:pPr>
            <w:r>
              <w:rPr>
                <w:rFonts w:hint="eastAsia"/>
                <w:b w:val="0"/>
                <w:bCs/>
                <w:color w:val="auto"/>
                <w:highlight w:val="none"/>
                <w:lang w:val="en-US" w:eastAsia="zh-CN"/>
              </w:rPr>
              <w:t>1、2号取水口至上游330米的山溪水域。</w:t>
            </w:r>
          </w:p>
        </w:tc>
        <w:tc>
          <w:tcPr>
            <w:tcW w:w="1634" w:type="dxa"/>
            <w:tcBorders>
              <w:tl2br w:val="nil"/>
              <w:tr2bl w:val="nil"/>
            </w:tcBorders>
            <w:noWrap w:val="0"/>
            <w:vAlign w:val="center"/>
          </w:tcPr>
          <w:p w14:paraId="77E39563">
            <w:pPr>
              <w:pStyle w:val="45"/>
              <w:bidi w:val="0"/>
              <w:ind w:right="0" w:rightChars="0" w:firstLine="0" w:firstLineChars="0"/>
              <w:rPr>
                <w:rFonts w:hint="eastAsia" w:ascii="Times New Roman" w:hAnsi="Times New Roman" w:cs="Times New Roman"/>
                <w:color w:val="auto"/>
                <w:kern w:val="2"/>
                <w:sz w:val="21"/>
                <w:szCs w:val="21"/>
                <w:highlight w:val="none"/>
                <w:vertAlign w:val="baseline"/>
                <w:lang w:val="en-US" w:eastAsia="zh-CN" w:bidi="ar-SA"/>
              </w:rPr>
            </w:pPr>
            <w:r>
              <w:rPr>
                <w:rFonts w:hint="eastAsia"/>
                <w:b w:val="0"/>
                <w:bCs/>
                <w:color w:val="auto"/>
                <w:highlight w:val="none"/>
                <w:lang w:eastAsia="zh-CN"/>
              </w:rPr>
              <w:t>一级保护区水域边界沿岸纵深</w:t>
            </w:r>
            <w:r>
              <w:rPr>
                <w:rFonts w:hint="eastAsia"/>
                <w:b w:val="0"/>
                <w:bCs/>
                <w:color w:val="auto"/>
                <w:highlight w:val="none"/>
                <w:lang w:val="en-US" w:eastAsia="zh-CN"/>
              </w:rPr>
              <w:t>10米。</w:t>
            </w:r>
          </w:p>
        </w:tc>
      </w:tr>
      <w:tr w14:paraId="3DBC1A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721" w:type="dxa"/>
            <w:vMerge w:val="continue"/>
            <w:tcBorders>
              <w:tl2br w:val="nil"/>
              <w:tr2bl w:val="nil"/>
            </w:tcBorders>
            <w:noWrap w:val="0"/>
            <w:vAlign w:val="center"/>
          </w:tcPr>
          <w:p w14:paraId="604243F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vertAlign w:val="baseline"/>
                <w:lang w:val="en-US" w:eastAsia="zh-CN" w:bidi="ar-SA"/>
              </w:rPr>
            </w:pPr>
          </w:p>
        </w:tc>
        <w:tc>
          <w:tcPr>
            <w:tcW w:w="1977" w:type="dxa"/>
            <w:vMerge w:val="continue"/>
            <w:tcBorders>
              <w:tl2br w:val="nil"/>
              <w:tr2bl w:val="nil"/>
            </w:tcBorders>
            <w:noWrap w:val="0"/>
            <w:vAlign w:val="center"/>
          </w:tcPr>
          <w:p w14:paraId="1D1F0CC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eastAsia="zh-CN"/>
              </w:rPr>
            </w:pPr>
          </w:p>
        </w:tc>
        <w:tc>
          <w:tcPr>
            <w:tcW w:w="2651" w:type="dxa"/>
            <w:vMerge w:val="continue"/>
            <w:tcBorders>
              <w:tl2br w:val="nil"/>
              <w:tr2bl w:val="nil"/>
            </w:tcBorders>
            <w:noWrap w:val="0"/>
            <w:vAlign w:val="center"/>
          </w:tcPr>
          <w:p w14:paraId="7A511B1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463" w:type="dxa"/>
            <w:tcBorders>
              <w:tl2br w:val="nil"/>
              <w:tr2bl w:val="nil"/>
            </w:tcBorders>
            <w:noWrap w:val="0"/>
            <w:vAlign w:val="center"/>
          </w:tcPr>
          <w:p w14:paraId="05EC945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kern w:val="2"/>
                <w:sz w:val="21"/>
                <w:szCs w:val="21"/>
                <w:highlight w:val="none"/>
                <w:vertAlign w:val="baseline"/>
                <w:lang w:val="en-US" w:eastAsia="zh-CN" w:bidi="ar-SA"/>
              </w:rPr>
            </w:pPr>
            <w:r>
              <w:rPr>
                <w:rFonts w:hint="eastAsia" w:cs="Times New Roman"/>
                <w:color w:val="auto"/>
                <w:sz w:val="21"/>
                <w:szCs w:val="21"/>
                <w:highlight w:val="none"/>
                <w:vertAlign w:val="baseline"/>
                <w:lang w:eastAsia="zh-CN"/>
              </w:rPr>
              <w:t>二级</w:t>
            </w:r>
          </w:p>
        </w:tc>
        <w:tc>
          <w:tcPr>
            <w:tcW w:w="1076" w:type="dxa"/>
            <w:tcBorders>
              <w:tl2br w:val="nil"/>
              <w:tr2bl w:val="nil"/>
            </w:tcBorders>
            <w:noWrap w:val="0"/>
            <w:vAlign w:val="center"/>
          </w:tcPr>
          <w:p w14:paraId="3AAC95F9">
            <w:pPr>
              <w:pStyle w:val="45"/>
              <w:bidi w:val="0"/>
              <w:ind w:right="0" w:rightChars="0" w:firstLine="0" w:firstLineChars="0"/>
              <w:rPr>
                <w:rFonts w:hint="eastAsia" w:ascii="Times New Roman" w:hAnsi="Times New Roman" w:cs="Times New Roman"/>
                <w:color w:val="auto"/>
                <w:kern w:val="2"/>
                <w:sz w:val="21"/>
                <w:szCs w:val="21"/>
                <w:highlight w:val="none"/>
                <w:vertAlign w:val="baseline"/>
                <w:lang w:val="en-US" w:eastAsia="zh-CN" w:bidi="ar-SA"/>
              </w:rPr>
            </w:pPr>
            <w:r>
              <w:rPr>
                <w:rFonts w:hint="eastAsia" w:ascii="Times New Roman" w:hAnsi="Times New Roman" w:cs="Times New Roman"/>
                <w:b w:val="0"/>
                <w:bCs/>
                <w:color w:val="auto"/>
                <w:kern w:val="2"/>
                <w:sz w:val="21"/>
                <w:szCs w:val="21"/>
                <w:highlight w:val="none"/>
                <w:vertAlign w:val="baseline"/>
                <w:lang w:val="en-US" w:eastAsia="zh-CN" w:bidi="ar-SA"/>
              </w:rPr>
              <w:t>1号取水口一级保护区水域上边界上溯670米的干、支流山溪水域；2号取水口一级保护区水域上边界上溯670米的山溪水域。</w:t>
            </w:r>
          </w:p>
        </w:tc>
        <w:tc>
          <w:tcPr>
            <w:tcW w:w="1634" w:type="dxa"/>
            <w:tcBorders>
              <w:tl2br w:val="nil"/>
              <w:tr2bl w:val="nil"/>
            </w:tcBorders>
            <w:noWrap w:val="0"/>
            <w:vAlign w:val="center"/>
          </w:tcPr>
          <w:p w14:paraId="1DD97A6E">
            <w:pPr>
              <w:pStyle w:val="45"/>
              <w:bidi w:val="0"/>
              <w:ind w:right="0" w:rightChars="0" w:firstLine="0" w:firstLineChars="0"/>
              <w:rPr>
                <w:rFonts w:hint="default"/>
                <w:b w:val="0"/>
                <w:bCs/>
                <w:color w:val="auto"/>
                <w:highlight w:val="none"/>
              </w:rPr>
            </w:pPr>
            <w:r>
              <w:rPr>
                <w:rFonts w:hint="default"/>
                <w:b w:val="0"/>
                <w:bCs/>
                <w:color w:val="auto"/>
                <w:highlight w:val="none"/>
              </w:rPr>
              <w:t>一、二级保护区水域边界沿岸纵深50米</w:t>
            </w:r>
            <w:r>
              <w:rPr>
                <w:rFonts w:hint="eastAsia"/>
                <w:b w:val="0"/>
                <w:bCs/>
                <w:color w:val="auto"/>
                <w:highlight w:val="none"/>
                <w:lang w:eastAsia="zh-CN"/>
              </w:rPr>
              <w:t>，</w:t>
            </w:r>
            <w:r>
              <w:rPr>
                <w:rFonts w:hint="default"/>
                <w:b w:val="0"/>
                <w:bCs/>
                <w:color w:val="auto"/>
                <w:highlight w:val="none"/>
                <w:lang w:val="en-US" w:eastAsia="zh-CN"/>
              </w:rPr>
              <w:t>不</w:t>
            </w:r>
          </w:p>
          <w:p w14:paraId="18C41BB0">
            <w:pPr>
              <w:pStyle w:val="45"/>
              <w:bidi w:val="0"/>
              <w:ind w:right="0" w:rightChars="0" w:firstLine="0" w:firstLineChars="0"/>
              <w:rPr>
                <w:rFonts w:hint="eastAsia" w:ascii="Times New Roman" w:hAnsi="Times New Roman" w:cs="Times New Roman"/>
                <w:color w:val="auto"/>
                <w:kern w:val="2"/>
                <w:sz w:val="21"/>
                <w:szCs w:val="21"/>
                <w:highlight w:val="none"/>
                <w:vertAlign w:val="baseline"/>
                <w:lang w:val="en-US" w:eastAsia="zh-CN" w:bidi="ar-SA"/>
              </w:rPr>
            </w:pPr>
            <w:r>
              <w:rPr>
                <w:rFonts w:hint="default"/>
                <w:b w:val="0"/>
                <w:bCs/>
                <w:color w:val="auto"/>
                <w:highlight w:val="none"/>
                <w:lang w:val="en-US" w:eastAsia="zh-CN"/>
              </w:rPr>
              <w:t>超过第一重山脊线</w:t>
            </w:r>
            <w:r>
              <w:rPr>
                <w:rFonts w:hint="eastAsia"/>
                <w:b w:val="0"/>
                <w:bCs/>
                <w:color w:val="auto"/>
                <w:highlight w:val="none"/>
                <w:lang w:val="en-US" w:eastAsia="zh-CN"/>
              </w:rPr>
              <w:t>（</w:t>
            </w:r>
            <w:r>
              <w:rPr>
                <w:rFonts w:hint="default"/>
                <w:b w:val="0"/>
                <w:bCs/>
                <w:color w:val="auto"/>
                <w:highlight w:val="none"/>
                <w:lang w:val="en-US" w:eastAsia="zh-CN"/>
              </w:rPr>
              <w:t>一级保护区除外</w:t>
            </w:r>
            <w:r>
              <w:rPr>
                <w:rFonts w:hint="eastAsia"/>
                <w:b w:val="0"/>
                <w:bCs/>
                <w:color w:val="auto"/>
                <w:highlight w:val="none"/>
                <w:lang w:val="en-US" w:eastAsia="zh-CN"/>
              </w:rPr>
              <w:t>）</w:t>
            </w:r>
            <w:r>
              <w:rPr>
                <w:rFonts w:hint="default"/>
                <w:b w:val="0"/>
                <w:bCs/>
                <w:color w:val="auto"/>
                <w:highlight w:val="none"/>
                <w:lang w:val="en-US" w:eastAsia="zh-CN"/>
              </w:rPr>
              <w:t>。</w:t>
            </w:r>
          </w:p>
        </w:tc>
      </w:tr>
      <w:tr w14:paraId="2FDDF50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721" w:type="dxa"/>
            <w:vMerge w:val="restart"/>
            <w:tcBorders>
              <w:tl2br w:val="nil"/>
              <w:tr2bl w:val="nil"/>
            </w:tcBorders>
            <w:noWrap w:val="0"/>
            <w:vAlign w:val="center"/>
          </w:tcPr>
          <w:p w14:paraId="74BDA4A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3</w:t>
            </w:r>
          </w:p>
        </w:tc>
        <w:tc>
          <w:tcPr>
            <w:tcW w:w="1977" w:type="dxa"/>
            <w:vMerge w:val="restart"/>
            <w:tcBorders>
              <w:tl2br w:val="nil"/>
              <w:tr2bl w:val="nil"/>
            </w:tcBorders>
            <w:noWrap w:val="0"/>
            <w:vAlign w:val="center"/>
          </w:tcPr>
          <w:p w14:paraId="4046E88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eastAsia="zh-CN"/>
              </w:rPr>
              <w:t>祁东县马杜桥乡星桥村刘家冲水库饮用水水源保护区</w:t>
            </w:r>
          </w:p>
        </w:tc>
        <w:tc>
          <w:tcPr>
            <w:tcW w:w="2651" w:type="dxa"/>
            <w:vMerge w:val="restart"/>
            <w:tcBorders>
              <w:tl2br w:val="nil"/>
              <w:tr2bl w:val="nil"/>
            </w:tcBorders>
            <w:noWrap w:val="0"/>
            <w:vAlign w:val="center"/>
          </w:tcPr>
          <w:p w14:paraId="396F279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kern w:val="2"/>
                <w:sz w:val="21"/>
                <w:szCs w:val="21"/>
                <w:highlight w:val="none"/>
                <w:vertAlign w:val="baseline"/>
                <w:lang w:val="en-US" w:eastAsia="zh-CN" w:bidi="ar-SA"/>
              </w:rPr>
            </w:pPr>
            <w:r>
              <w:rPr>
                <w:rFonts w:hint="eastAsia" w:ascii="Times New Roman" w:hAnsi="Times New Roman" w:cs="Times New Roman"/>
                <w:color w:val="auto"/>
                <w:sz w:val="21"/>
                <w:szCs w:val="21"/>
                <w:highlight w:val="none"/>
                <w:lang w:val="en-US" w:eastAsia="zh-CN"/>
              </w:rPr>
              <w:t>2020年11月23日获得了衡阳市人民政府的批复（衡政办函[2020]12号）</w:t>
            </w:r>
          </w:p>
        </w:tc>
        <w:tc>
          <w:tcPr>
            <w:tcW w:w="463" w:type="dxa"/>
            <w:tcBorders>
              <w:tl2br w:val="nil"/>
              <w:tr2bl w:val="nil"/>
            </w:tcBorders>
            <w:noWrap w:val="0"/>
            <w:vAlign w:val="center"/>
          </w:tcPr>
          <w:p w14:paraId="5F9B1F2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rPr>
            </w:pPr>
            <w:r>
              <w:rPr>
                <w:rFonts w:hint="eastAsia" w:cs="Times New Roman"/>
                <w:color w:val="auto"/>
                <w:sz w:val="21"/>
                <w:szCs w:val="21"/>
                <w:highlight w:val="none"/>
                <w:vertAlign w:val="baseline"/>
                <w:lang w:eastAsia="zh-CN"/>
              </w:rPr>
              <w:t>一级</w:t>
            </w:r>
          </w:p>
        </w:tc>
        <w:tc>
          <w:tcPr>
            <w:tcW w:w="1076" w:type="dxa"/>
            <w:tcBorders>
              <w:tl2br w:val="nil"/>
              <w:tr2bl w:val="nil"/>
            </w:tcBorders>
            <w:noWrap w:val="0"/>
            <w:vAlign w:val="center"/>
          </w:tcPr>
          <w:p w14:paraId="3562725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vertAlign w:val="baseline"/>
                <w:lang w:eastAsia="zh-CN"/>
              </w:rPr>
            </w:pPr>
            <w:r>
              <w:rPr>
                <w:rFonts w:hint="eastAsia" w:cs="Times New Roman"/>
                <w:color w:val="auto"/>
                <w:sz w:val="21"/>
                <w:szCs w:val="21"/>
                <w:highlight w:val="none"/>
                <w:vertAlign w:val="baseline"/>
                <w:lang w:eastAsia="zh-CN"/>
              </w:rPr>
              <w:t>水库水域。</w:t>
            </w:r>
          </w:p>
        </w:tc>
        <w:tc>
          <w:tcPr>
            <w:tcW w:w="1634" w:type="dxa"/>
            <w:tcBorders>
              <w:tl2br w:val="nil"/>
              <w:tr2bl w:val="nil"/>
            </w:tcBorders>
            <w:noWrap w:val="0"/>
            <w:vAlign w:val="center"/>
          </w:tcPr>
          <w:p w14:paraId="28E8308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lang w:val="en-US" w:eastAsia="zh-CN"/>
              </w:rPr>
              <w:t>一级保护区水域外200米范围</w:t>
            </w:r>
          </w:p>
          <w:p w14:paraId="19F1251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lang w:val="en-US" w:eastAsia="zh-CN"/>
              </w:rPr>
              <w:t>内的陆域，不超过第一重山脊</w:t>
            </w:r>
          </w:p>
          <w:p w14:paraId="705A2F8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lang w:val="en-US" w:eastAsia="zh-CN"/>
              </w:rPr>
              <w:t>线、大坝迎水侧坝顶。</w:t>
            </w:r>
          </w:p>
        </w:tc>
      </w:tr>
      <w:tr w14:paraId="7940DB5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721" w:type="dxa"/>
            <w:vMerge w:val="continue"/>
            <w:tcBorders>
              <w:tl2br w:val="nil"/>
              <w:tr2bl w:val="nil"/>
            </w:tcBorders>
            <w:noWrap w:val="0"/>
            <w:vAlign w:val="center"/>
          </w:tcPr>
          <w:p w14:paraId="65F935B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vertAlign w:val="baseline"/>
                <w:lang w:val="en-US" w:eastAsia="zh-CN" w:bidi="ar-SA"/>
              </w:rPr>
            </w:pPr>
          </w:p>
        </w:tc>
        <w:tc>
          <w:tcPr>
            <w:tcW w:w="1977" w:type="dxa"/>
            <w:vMerge w:val="continue"/>
            <w:tcBorders>
              <w:tl2br w:val="nil"/>
              <w:tr2bl w:val="nil"/>
            </w:tcBorders>
            <w:noWrap w:val="0"/>
            <w:vAlign w:val="center"/>
          </w:tcPr>
          <w:p w14:paraId="15D7CBC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eastAsia="zh-CN"/>
              </w:rPr>
            </w:pPr>
          </w:p>
        </w:tc>
        <w:tc>
          <w:tcPr>
            <w:tcW w:w="2651" w:type="dxa"/>
            <w:vMerge w:val="continue"/>
            <w:tcBorders>
              <w:tl2br w:val="nil"/>
              <w:tr2bl w:val="nil"/>
            </w:tcBorders>
            <w:noWrap w:val="0"/>
            <w:vAlign w:val="center"/>
          </w:tcPr>
          <w:p w14:paraId="62D2AED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463" w:type="dxa"/>
            <w:tcBorders>
              <w:tl2br w:val="nil"/>
              <w:tr2bl w:val="nil"/>
            </w:tcBorders>
            <w:noWrap w:val="0"/>
            <w:vAlign w:val="center"/>
          </w:tcPr>
          <w:p w14:paraId="2E8AD6F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rPr>
            </w:pPr>
            <w:r>
              <w:rPr>
                <w:rFonts w:hint="eastAsia" w:cs="Times New Roman"/>
                <w:color w:val="auto"/>
                <w:sz w:val="21"/>
                <w:szCs w:val="21"/>
                <w:highlight w:val="none"/>
                <w:vertAlign w:val="baseline"/>
                <w:lang w:eastAsia="zh-CN"/>
              </w:rPr>
              <w:t>二级</w:t>
            </w:r>
          </w:p>
        </w:tc>
        <w:tc>
          <w:tcPr>
            <w:tcW w:w="1076" w:type="dxa"/>
            <w:tcBorders>
              <w:tl2br w:val="nil"/>
              <w:tr2bl w:val="nil"/>
            </w:tcBorders>
            <w:noWrap w:val="0"/>
            <w:vAlign w:val="center"/>
          </w:tcPr>
          <w:p w14:paraId="4F8976E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vertAlign w:val="baseline"/>
                <w:lang w:val="en-US" w:eastAsia="zh-CN"/>
              </w:rPr>
            </w:pPr>
            <w:r>
              <w:rPr>
                <w:rFonts w:hint="eastAsia" w:cs="Times New Roman"/>
                <w:color w:val="auto"/>
                <w:sz w:val="21"/>
                <w:szCs w:val="21"/>
                <w:highlight w:val="none"/>
                <w:vertAlign w:val="baseline"/>
                <w:lang w:val="en-US" w:eastAsia="zh-CN"/>
              </w:rPr>
              <w:t>/</w:t>
            </w:r>
          </w:p>
        </w:tc>
        <w:tc>
          <w:tcPr>
            <w:tcW w:w="1634" w:type="dxa"/>
            <w:tcBorders>
              <w:tl2br w:val="nil"/>
              <w:tr2bl w:val="nil"/>
            </w:tcBorders>
            <w:noWrap w:val="0"/>
            <w:vAlign w:val="center"/>
          </w:tcPr>
          <w:p w14:paraId="2908C16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rPr>
            </w:pPr>
            <w:r>
              <w:rPr>
                <w:rFonts w:hint="default" w:ascii="Times New Roman" w:hAnsi="Times New Roman" w:cs="Times New Roman"/>
                <w:color w:val="auto"/>
                <w:sz w:val="21"/>
                <w:szCs w:val="21"/>
                <w:highlight w:val="none"/>
                <w:vertAlign w:val="baseline"/>
                <w:lang w:val="en-US" w:eastAsia="zh-CN"/>
              </w:rPr>
              <w:t>水库汇水区域（一级保护区除外）。</w:t>
            </w:r>
          </w:p>
        </w:tc>
      </w:tr>
      <w:tr w14:paraId="61846B6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721" w:type="dxa"/>
            <w:vMerge w:val="restart"/>
            <w:tcBorders>
              <w:tl2br w:val="nil"/>
              <w:tr2bl w:val="nil"/>
            </w:tcBorders>
            <w:noWrap w:val="0"/>
            <w:vAlign w:val="center"/>
          </w:tcPr>
          <w:p w14:paraId="70CF442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vertAlign w:val="baseline"/>
                <w:lang w:val="en-US" w:eastAsia="zh-CN"/>
              </w:rPr>
            </w:pPr>
            <w:r>
              <w:rPr>
                <w:rFonts w:hint="eastAsia" w:ascii="Times New Roman" w:hAnsi="Times New Roman" w:cs="Times New Roman"/>
                <w:color w:val="auto"/>
                <w:sz w:val="21"/>
                <w:szCs w:val="21"/>
                <w:highlight w:val="none"/>
                <w:vertAlign w:val="baseline"/>
                <w:lang w:val="en-US" w:eastAsia="zh-CN"/>
              </w:rPr>
              <w:t>4</w:t>
            </w:r>
          </w:p>
        </w:tc>
        <w:tc>
          <w:tcPr>
            <w:tcW w:w="1977" w:type="dxa"/>
            <w:vMerge w:val="restart"/>
            <w:tcBorders>
              <w:tl2br w:val="nil"/>
              <w:tr2bl w:val="nil"/>
            </w:tcBorders>
            <w:noWrap w:val="0"/>
            <w:vAlign w:val="center"/>
          </w:tcPr>
          <w:p w14:paraId="4D642C0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祁东县马杜桥乡延塘村山溪饮用水水源保护区</w:t>
            </w:r>
          </w:p>
        </w:tc>
        <w:tc>
          <w:tcPr>
            <w:tcW w:w="2651" w:type="dxa"/>
            <w:vMerge w:val="restart"/>
            <w:tcBorders>
              <w:tl2br w:val="nil"/>
              <w:tr2bl w:val="nil"/>
            </w:tcBorders>
            <w:noWrap w:val="0"/>
            <w:vAlign w:val="center"/>
          </w:tcPr>
          <w:p w14:paraId="3D0943A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rPr>
            </w:pPr>
            <w:r>
              <w:rPr>
                <w:rFonts w:hint="eastAsia" w:ascii="Times New Roman" w:hAnsi="Times New Roman" w:cs="Times New Roman"/>
                <w:color w:val="auto"/>
                <w:sz w:val="21"/>
                <w:szCs w:val="21"/>
                <w:highlight w:val="none"/>
                <w:lang w:val="en-US" w:eastAsia="zh-CN"/>
              </w:rPr>
              <w:t>2021年10月27日获得了衡阳市人民政府的批复（衡政函[2021]78号）</w:t>
            </w:r>
          </w:p>
        </w:tc>
        <w:tc>
          <w:tcPr>
            <w:tcW w:w="463" w:type="dxa"/>
            <w:tcBorders>
              <w:tl2br w:val="nil"/>
              <w:tr2bl w:val="nil"/>
            </w:tcBorders>
            <w:noWrap w:val="0"/>
            <w:vAlign w:val="center"/>
          </w:tcPr>
          <w:p w14:paraId="7C5E31A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cs="Times New Roman"/>
                <w:color w:val="auto"/>
                <w:sz w:val="21"/>
                <w:szCs w:val="21"/>
                <w:highlight w:val="none"/>
                <w:vertAlign w:val="baseline"/>
                <w:lang w:eastAsia="zh-CN"/>
              </w:rPr>
              <w:t>一级</w:t>
            </w:r>
          </w:p>
        </w:tc>
        <w:tc>
          <w:tcPr>
            <w:tcW w:w="1076" w:type="dxa"/>
            <w:tcBorders>
              <w:tl2br w:val="nil"/>
              <w:tr2bl w:val="nil"/>
            </w:tcBorders>
            <w:noWrap w:val="0"/>
            <w:vAlign w:val="center"/>
          </w:tcPr>
          <w:p w14:paraId="7F89B928">
            <w:pPr>
              <w:pStyle w:val="45"/>
              <w:bidi w:val="0"/>
              <w:ind w:right="0" w:rightChars="0" w:firstLine="0" w:firstLineChars="0"/>
              <w:rPr>
                <w:rFonts w:hint="default" w:ascii="Times New Roman" w:hAnsi="Times New Roman" w:eastAsia="宋体" w:cs="Times New Roman"/>
                <w:color w:val="auto"/>
                <w:sz w:val="21"/>
                <w:szCs w:val="21"/>
                <w:highlight w:val="none"/>
                <w:vertAlign w:val="baseline"/>
                <w:lang w:val="en-US" w:eastAsia="zh-CN"/>
              </w:rPr>
            </w:pPr>
            <w:r>
              <w:rPr>
                <w:rFonts w:hint="eastAsia"/>
                <w:b w:val="0"/>
                <w:bCs/>
                <w:color w:val="auto"/>
                <w:highlight w:val="none"/>
                <w:lang w:eastAsia="zh-CN"/>
              </w:rPr>
              <w:t>取水口至上游</w:t>
            </w:r>
            <w:r>
              <w:rPr>
                <w:rFonts w:hint="eastAsia"/>
                <w:b w:val="0"/>
                <w:bCs/>
                <w:color w:val="auto"/>
                <w:highlight w:val="none"/>
                <w:lang w:val="en-US" w:eastAsia="zh-CN"/>
              </w:rPr>
              <w:t>330米的山溪水域。</w:t>
            </w:r>
          </w:p>
        </w:tc>
        <w:tc>
          <w:tcPr>
            <w:tcW w:w="1634" w:type="dxa"/>
            <w:tcBorders>
              <w:tl2br w:val="nil"/>
              <w:tr2bl w:val="nil"/>
            </w:tcBorders>
            <w:noWrap w:val="0"/>
            <w:vAlign w:val="center"/>
          </w:tcPr>
          <w:p w14:paraId="326319F2">
            <w:pPr>
              <w:pStyle w:val="45"/>
              <w:bidi w:val="0"/>
              <w:ind w:right="0" w:rightChars="0" w:firstLine="0" w:firstLineChars="0"/>
              <w:rPr>
                <w:rFonts w:hint="default" w:ascii="Times New Roman" w:hAnsi="Times New Roman" w:eastAsia="宋体" w:cs="Times New Roman"/>
                <w:color w:val="auto"/>
                <w:sz w:val="21"/>
                <w:szCs w:val="21"/>
                <w:highlight w:val="none"/>
                <w:vertAlign w:val="baseline"/>
                <w:lang w:val="en-US" w:eastAsia="zh-CN"/>
              </w:rPr>
            </w:pPr>
            <w:r>
              <w:rPr>
                <w:rFonts w:hint="eastAsia"/>
                <w:b w:val="0"/>
                <w:bCs/>
                <w:color w:val="auto"/>
                <w:highlight w:val="none"/>
                <w:lang w:eastAsia="zh-CN"/>
              </w:rPr>
              <w:t>一级保护区水域边界沿岸纵深</w:t>
            </w:r>
            <w:r>
              <w:rPr>
                <w:rFonts w:hint="eastAsia"/>
                <w:b w:val="0"/>
                <w:bCs/>
                <w:color w:val="auto"/>
                <w:highlight w:val="none"/>
                <w:lang w:val="en-US" w:eastAsia="zh-CN"/>
              </w:rPr>
              <w:t>10米。</w:t>
            </w:r>
          </w:p>
        </w:tc>
      </w:tr>
      <w:tr w14:paraId="47A4F0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721" w:type="dxa"/>
            <w:vMerge w:val="continue"/>
            <w:tcBorders>
              <w:tl2br w:val="nil"/>
              <w:tr2bl w:val="nil"/>
            </w:tcBorders>
            <w:noWrap w:val="0"/>
            <w:vAlign w:val="center"/>
          </w:tcPr>
          <w:p w14:paraId="392CFBA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vertAlign w:val="baseline"/>
                <w:lang w:val="en-US" w:eastAsia="zh-CN"/>
              </w:rPr>
            </w:pPr>
          </w:p>
        </w:tc>
        <w:tc>
          <w:tcPr>
            <w:tcW w:w="1977" w:type="dxa"/>
            <w:vMerge w:val="continue"/>
            <w:tcBorders>
              <w:tl2br w:val="nil"/>
              <w:tr2bl w:val="nil"/>
            </w:tcBorders>
            <w:noWrap w:val="0"/>
            <w:vAlign w:val="center"/>
          </w:tcPr>
          <w:p w14:paraId="0795038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eastAsia="zh-CN"/>
              </w:rPr>
            </w:pPr>
          </w:p>
        </w:tc>
        <w:tc>
          <w:tcPr>
            <w:tcW w:w="2651" w:type="dxa"/>
            <w:vMerge w:val="continue"/>
            <w:tcBorders>
              <w:tl2br w:val="nil"/>
              <w:tr2bl w:val="nil"/>
            </w:tcBorders>
            <w:noWrap w:val="0"/>
            <w:vAlign w:val="center"/>
          </w:tcPr>
          <w:p w14:paraId="649AC1A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463" w:type="dxa"/>
            <w:tcBorders>
              <w:tl2br w:val="nil"/>
              <w:tr2bl w:val="nil"/>
            </w:tcBorders>
            <w:noWrap w:val="0"/>
            <w:vAlign w:val="center"/>
          </w:tcPr>
          <w:p w14:paraId="55EA483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cs="Times New Roman"/>
                <w:color w:val="auto"/>
                <w:sz w:val="21"/>
                <w:szCs w:val="21"/>
                <w:highlight w:val="none"/>
                <w:vertAlign w:val="baseline"/>
                <w:lang w:eastAsia="zh-CN"/>
              </w:rPr>
              <w:t>二级</w:t>
            </w:r>
          </w:p>
        </w:tc>
        <w:tc>
          <w:tcPr>
            <w:tcW w:w="1076" w:type="dxa"/>
            <w:tcBorders>
              <w:tl2br w:val="nil"/>
              <w:tr2bl w:val="nil"/>
            </w:tcBorders>
            <w:noWrap w:val="0"/>
            <w:vAlign w:val="center"/>
          </w:tcPr>
          <w:p w14:paraId="1C7D7F52">
            <w:pPr>
              <w:pStyle w:val="45"/>
              <w:bidi w:val="0"/>
              <w:ind w:right="0" w:rightChars="0" w:firstLine="0" w:firstLineChars="0"/>
              <w:rPr>
                <w:rFonts w:hint="default" w:ascii="Times New Roman" w:hAnsi="Times New Roman" w:eastAsia="宋体" w:cs="Times New Roman"/>
                <w:color w:val="auto"/>
                <w:sz w:val="21"/>
                <w:szCs w:val="21"/>
                <w:highlight w:val="none"/>
                <w:vertAlign w:val="baseline"/>
                <w:lang w:val="en-US" w:eastAsia="zh-CN"/>
              </w:rPr>
            </w:pPr>
            <w:r>
              <w:rPr>
                <w:rFonts w:hint="default"/>
                <w:b w:val="0"/>
                <w:bCs/>
                <w:color w:val="auto"/>
                <w:highlight w:val="none"/>
              </w:rPr>
              <w:t>一级保护区水域上边界上溯</w:t>
            </w:r>
            <w:r>
              <w:rPr>
                <w:rFonts w:hint="eastAsia"/>
                <w:b w:val="0"/>
                <w:bCs/>
                <w:color w:val="auto"/>
                <w:highlight w:val="none"/>
                <w:lang w:val="en-US" w:eastAsia="zh-CN"/>
              </w:rPr>
              <w:t>670米</w:t>
            </w:r>
            <w:r>
              <w:rPr>
                <w:rFonts w:hint="default"/>
                <w:b w:val="0"/>
                <w:bCs/>
                <w:color w:val="auto"/>
                <w:highlight w:val="none"/>
              </w:rPr>
              <w:t>的山溪水域。</w:t>
            </w:r>
          </w:p>
        </w:tc>
        <w:tc>
          <w:tcPr>
            <w:tcW w:w="1634" w:type="dxa"/>
            <w:tcBorders>
              <w:tl2br w:val="nil"/>
              <w:tr2bl w:val="nil"/>
            </w:tcBorders>
            <w:noWrap w:val="0"/>
            <w:vAlign w:val="center"/>
          </w:tcPr>
          <w:p w14:paraId="474ABAAF">
            <w:pPr>
              <w:pStyle w:val="45"/>
              <w:bidi w:val="0"/>
              <w:ind w:right="0" w:rightChars="0" w:firstLine="0" w:firstLineChars="0"/>
              <w:rPr>
                <w:rFonts w:hint="default" w:ascii="Times New Roman" w:hAnsi="Times New Roman" w:eastAsia="宋体" w:cs="Times New Roman"/>
                <w:color w:val="auto"/>
                <w:sz w:val="21"/>
                <w:szCs w:val="21"/>
                <w:highlight w:val="none"/>
                <w:vertAlign w:val="baseline"/>
                <w:lang w:val="en-US" w:eastAsia="zh-CN"/>
              </w:rPr>
            </w:pPr>
            <w:r>
              <w:rPr>
                <w:rFonts w:hint="default"/>
                <w:b w:val="0"/>
                <w:bCs/>
                <w:color w:val="auto"/>
                <w:highlight w:val="none"/>
              </w:rPr>
              <w:t>一、二级保护区水域边界沿岸纵深50米(一级保护区除外)</w:t>
            </w:r>
            <w:r>
              <w:rPr>
                <w:rFonts w:hint="eastAsia"/>
                <w:b w:val="0"/>
                <w:bCs/>
                <w:color w:val="auto"/>
                <w:highlight w:val="none"/>
                <w:lang w:eastAsia="zh-CN"/>
              </w:rPr>
              <w:t>。</w:t>
            </w:r>
          </w:p>
        </w:tc>
      </w:tr>
      <w:tr w14:paraId="6C5A42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721" w:type="dxa"/>
            <w:vMerge w:val="restart"/>
            <w:tcBorders>
              <w:tl2br w:val="nil"/>
              <w:tr2bl w:val="nil"/>
            </w:tcBorders>
            <w:noWrap w:val="0"/>
            <w:vAlign w:val="center"/>
          </w:tcPr>
          <w:p w14:paraId="7039AC3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vertAlign w:val="baseline"/>
                <w:lang w:val="en-US" w:eastAsia="zh-CN"/>
              </w:rPr>
            </w:pPr>
            <w:r>
              <w:rPr>
                <w:rFonts w:hint="eastAsia" w:ascii="Times New Roman" w:hAnsi="Times New Roman" w:eastAsia="宋体" w:cs="Times New Roman"/>
                <w:color w:val="auto"/>
                <w:sz w:val="21"/>
                <w:szCs w:val="21"/>
                <w:highlight w:val="none"/>
                <w:vertAlign w:val="baseline"/>
                <w:lang w:val="en-US" w:eastAsia="zh-CN"/>
              </w:rPr>
              <w:t>5</w:t>
            </w:r>
          </w:p>
        </w:tc>
        <w:tc>
          <w:tcPr>
            <w:tcW w:w="1977" w:type="dxa"/>
            <w:vMerge w:val="restart"/>
            <w:tcBorders>
              <w:tl2br w:val="nil"/>
              <w:tr2bl w:val="nil"/>
            </w:tcBorders>
            <w:noWrap w:val="0"/>
            <w:vAlign w:val="center"/>
          </w:tcPr>
          <w:p w14:paraId="2DD3751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祁东县马杜桥乡马杜桥村（罗江桥）山溪饮用水水源保护区</w:t>
            </w:r>
          </w:p>
        </w:tc>
        <w:tc>
          <w:tcPr>
            <w:tcW w:w="2651" w:type="dxa"/>
            <w:vMerge w:val="restart"/>
            <w:tcBorders>
              <w:tl2br w:val="nil"/>
              <w:tr2bl w:val="nil"/>
            </w:tcBorders>
            <w:noWrap w:val="0"/>
            <w:vAlign w:val="center"/>
          </w:tcPr>
          <w:p w14:paraId="6045164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rPr>
            </w:pPr>
            <w:r>
              <w:rPr>
                <w:rFonts w:hint="eastAsia" w:ascii="Times New Roman" w:hAnsi="Times New Roman" w:cs="Times New Roman"/>
                <w:color w:val="auto"/>
                <w:sz w:val="21"/>
                <w:szCs w:val="21"/>
                <w:highlight w:val="none"/>
                <w:lang w:val="en-US" w:eastAsia="zh-CN"/>
              </w:rPr>
              <w:t>2021年10月27日获得了衡阳市人民政府的批复（衡政函[2021]78号）</w:t>
            </w:r>
          </w:p>
        </w:tc>
        <w:tc>
          <w:tcPr>
            <w:tcW w:w="463" w:type="dxa"/>
            <w:tcBorders>
              <w:tl2br w:val="nil"/>
              <w:tr2bl w:val="nil"/>
            </w:tcBorders>
            <w:noWrap w:val="0"/>
            <w:vAlign w:val="center"/>
          </w:tcPr>
          <w:p w14:paraId="0B9D202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rPr>
            </w:pPr>
            <w:r>
              <w:rPr>
                <w:rFonts w:hint="eastAsia" w:cs="Times New Roman"/>
                <w:color w:val="auto"/>
                <w:sz w:val="21"/>
                <w:szCs w:val="21"/>
                <w:highlight w:val="none"/>
                <w:vertAlign w:val="baseline"/>
                <w:lang w:eastAsia="zh-CN"/>
              </w:rPr>
              <w:t>一级</w:t>
            </w:r>
          </w:p>
        </w:tc>
        <w:tc>
          <w:tcPr>
            <w:tcW w:w="1076" w:type="dxa"/>
            <w:tcBorders>
              <w:tl2br w:val="nil"/>
              <w:tr2bl w:val="nil"/>
            </w:tcBorders>
            <w:noWrap w:val="0"/>
            <w:vAlign w:val="center"/>
          </w:tcPr>
          <w:p w14:paraId="5A248ABB">
            <w:pPr>
              <w:pStyle w:val="45"/>
              <w:bidi w:val="0"/>
              <w:ind w:right="0" w:rightChars="0" w:firstLine="0" w:firstLineChars="0"/>
              <w:rPr>
                <w:rFonts w:hint="default" w:ascii="Times New Roman" w:hAnsi="Times New Roman" w:cs="Times New Roman"/>
                <w:color w:val="auto"/>
                <w:sz w:val="21"/>
                <w:szCs w:val="21"/>
                <w:highlight w:val="none"/>
                <w:vertAlign w:val="baseline"/>
              </w:rPr>
            </w:pPr>
            <w:r>
              <w:rPr>
                <w:rFonts w:hint="eastAsia"/>
                <w:b w:val="0"/>
                <w:bCs/>
                <w:color w:val="auto"/>
                <w:highlight w:val="none"/>
                <w:lang w:eastAsia="zh-CN"/>
              </w:rPr>
              <w:t>取水口至上游</w:t>
            </w:r>
            <w:r>
              <w:rPr>
                <w:rFonts w:hint="eastAsia"/>
                <w:b w:val="0"/>
                <w:bCs/>
                <w:color w:val="auto"/>
                <w:highlight w:val="none"/>
                <w:lang w:val="en-US" w:eastAsia="zh-CN"/>
              </w:rPr>
              <w:t>330米的山溪水域。</w:t>
            </w:r>
          </w:p>
        </w:tc>
        <w:tc>
          <w:tcPr>
            <w:tcW w:w="1634" w:type="dxa"/>
            <w:tcBorders>
              <w:tl2br w:val="nil"/>
              <w:tr2bl w:val="nil"/>
            </w:tcBorders>
            <w:noWrap w:val="0"/>
            <w:vAlign w:val="center"/>
          </w:tcPr>
          <w:p w14:paraId="0E20B328">
            <w:pPr>
              <w:pStyle w:val="45"/>
              <w:bidi w:val="0"/>
              <w:ind w:right="0" w:rightChars="0" w:firstLine="0" w:firstLineChars="0"/>
              <w:rPr>
                <w:rFonts w:hint="default" w:ascii="Times New Roman" w:hAnsi="Times New Roman" w:cs="Times New Roman"/>
                <w:color w:val="auto"/>
                <w:sz w:val="21"/>
                <w:szCs w:val="21"/>
                <w:highlight w:val="none"/>
                <w:vertAlign w:val="baseline"/>
              </w:rPr>
            </w:pPr>
            <w:r>
              <w:rPr>
                <w:rFonts w:hint="eastAsia"/>
                <w:b w:val="0"/>
                <w:bCs/>
                <w:color w:val="auto"/>
                <w:highlight w:val="none"/>
                <w:lang w:eastAsia="zh-CN"/>
              </w:rPr>
              <w:t>一级保护区水域边界沿岸纵深</w:t>
            </w:r>
            <w:r>
              <w:rPr>
                <w:rFonts w:hint="eastAsia"/>
                <w:b w:val="0"/>
                <w:bCs/>
                <w:color w:val="auto"/>
                <w:highlight w:val="none"/>
                <w:lang w:val="en-US" w:eastAsia="zh-CN"/>
              </w:rPr>
              <w:t>10米。</w:t>
            </w:r>
          </w:p>
        </w:tc>
      </w:tr>
      <w:tr w14:paraId="1FE64E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4" w:hRule="atLeast"/>
          <w:jc w:val="center"/>
        </w:trPr>
        <w:tc>
          <w:tcPr>
            <w:tcW w:w="721" w:type="dxa"/>
            <w:vMerge w:val="continue"/>
            <w:tcBorders>
              <w:tl2br w:val="nil"/>
              <w:tr2bl w:val="nil"/>
            </w:tcBorders>
            <w:noWrap w:val="0"/>
            <w:vAlign w:val="center"/>
          </w:tcPr>
          <w:p w14:paraId="120F648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vertAlign w:val="baseline"/>
                <w:lang w:val="en-US" w:eastAsia="zh-CN"/>
              </w:rPr>
            </w:pPr>
          </w:p>
        </w:tc>
        <w:tc>
          <w:tcPr>
            <w:tcW w:w="1977" w:type="dxa"/>
            <w:vMerge w:val="continue"/>
            <w:tcBorders>
              <w:tl2br w:val="nil"/>
              <w:tr2bl w:val="nil"/>
            </w:tcBorders>
            <w:noWrap w:val="0"/>
            <w:vAlign w:val="center"/>
          </w:tcPr>
          <w:p w14:paraId="2E7686C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eastAsia="zh-CN"/>
              </w:rPr>
            </w:pPr>
          </w:p>
        </w:tc>
        <w:tc>
          <w:tcPr>
            <w:tcW w:w="2651" w:type="dxa"/>
            <w:vMerge w:val="continue"/>
            <w:tcBorders>
              <w:tl2br w:val="nil"/>
              <w:tr2bl w:val="nil"/>
            </w:tcBorders>
            <w:noWrap w:val="0"/>
            <w:vAlign w:val="center"/>
          </w:tcPr>
          <w:p w14:paraId="50A8FCB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463" w:type="dxa"/>
            <w:tcBorders>
              <w:tl2br w:val="nil"/>
              <w:tr2bl w:val="nil"/>
            </w:tcBorders>
            <w:noWrap w:val="0"/>
            <w:vAlign w:val="center"/>
          </w:tcPr>
          <w:p w14:paraId="7EC9207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vertAlign w:val="baseline"/>
              </w:rPr>
            </w:pPr>
            <w:r>
              <w:rPr>
                <w:rFonts w:hint="eastAsia" w:cs="Times New Roman"/>
                <w:color w:val="auto"/>
                <w:sz w:val="21"/>
                <w:szCs w:val="21"/>
                <w:highlight w:val="none"/>
                <w:vertAlign w:val="baseline"/>
                <w:lang w:eastAsia="zh-CN"/>
              </w:rPr>
              <w:t>二级</w:t>
            </w:r>
          </w:p>
        </w:tc>
        <w:tc>
          <w:tcPr>
            <w:tcW w:w="1076" w:type="dxa"/>
            <w:tcBorders>
              <w:tl2br w:val="nil"/>
              <w:tr2bl w:val="nil"/>
            </w:tcBorders>
            <w:noWrap w:val="0"/>
            <w:vAlign w:val="center"/>
          </w:tcPr>
          <w:p w14:paraId="2EF234CA">
            <w:pPr>
              <w:pStyle w:val="45"/>
              <w:bidi w:val="0"/>
              <w:ind w:right="0" w:rightChars="0" w:firstLine="0" w:firstLineChars="0"/>
              <w:rPr>
                <w:rFonts w:hint="default" w:ascii="Times New Roman" w:hAnsi="Times New Roman" w:cs="Times New Roman"/>
                <w:color w:val="auto"/>
                <w:sz w:val="21"/>
                <w:szCs w:val="21"/>
                <w:highlight w:val="none"/>
                <w:vertAlign w:val="baseline"/>
              </w:rPr>
            </w:pPr>
            <w:r>
              <w:rPr>
                <w:rFonts w:hint="default"/>
                <w:b w:val="0"/>
                <w:bCs/>
                <w:color w:val="auto"/>
                <w:highlight w:val="none"/>
              </w:rPr>
              <w:t>一级保护区水域上边界上溯</w:t>
            </w:r>
            <w:r>
              <w:rPr>
                <w:rFonts w:hint="eastAsia"/>
                <w:b w:val="0"/>
                <w:bCs/>
                <w:color w:val="auto"/>
                <w:highlight w:val="none"/>
                <w:lang w:val="en-US" w:eastAsia="zh-CN"/>
              </w:rPr>
              <w:t>670米</w:t>
            </w:r>
            <w:r>
              <w:rPr>
                <w:rFonts w:hint="default"/>
                <w:b w:val="0"/>
                <w:bCs/>
                <w:color w:val="auto"/>
                <w:highlight w:val="none"/>
              </w:rPr>
              <w:t>的山溪水域。</w:t>
            </w:r>
          </w:p>
        </w:tc>
        <w:tc>
          <w:tcPr>
            <w:tcW w:w="1634" w:type="dxa"/>
            <w:tcBorders>
              <w:tl2br w:val="nil"/>
              <w:tr2bl w:val="nil"/>
            </w:tcBorders>
            <w:noWrap w:val="0"/>
            <w:vAlign w:val="center"/>
          </w:tcPr>
          <w:p w14:paraId="75E3D386">
            <w:pPr>
              <w:pStyle w:val="45"/>
              <w:bidi w:val="0"/>
              <w:ind w:right="0" w:rightChars="0" w:firstLine="0" w:firstLineChars="0"/>
              <w:rPr>
                <w:rFonts w:hint="default" w:ascii="Times New Roman" w:hAnsi="Times New Roman" w:cs="Times New Roman"/>
                <w:color w:val="auto"/>
                <w:sz w:val="21"/>
                <w:szCs w:val="21"/>
                <w:highlight w:val="none"/>
                <w:vertAlign w:val="baseline"/>
              </w:rPr>
            </w:pPr>
            <w:r>
              <w:rPr>
                <w:rFonts w:hint="default"/>
                <w:b w:val="0"/>
                <w:bCs/>
                <w:color w:val="auto"/>
                <w:highlight w:val="none"/>
              </w:rPr>
              <w:t>一、二级保护区水域边界沿岸纵深50米(一级保护区除外)</w:t>
            </w:r>
            <w:r>
              <w:rPr>
                <w:rFonts w:hint="eastAsia"/>
                <w:b w:val="0"/>
                <w:bCs/>
                <w:color w:val="auto"/>
                <w:highlight w:val="none"/>
                <w:lang w:eastAsia="zh-CN"/>
              </w:rPr>
              <w:t>。</w:t>
            </w:r>
          </w:p>
        </w:tc>
      </w:tr>
    </w:tbl>
    <w:p w14:paraId="709AF970">
      <w:pPr>
        <w:pStyle w:val="6"/>
        <w:rPr>
          <w:rFonts w:hint="default" w:ascii="Times New Roman" w:hAnsi="Times New Roman" w:cs="Times New Roman"/>
          <w:color w:val="auto"/>
          <w:highlight w:val="none"/>
        </w:rPr>
      </w:pPr>
      <w:r>
        <w:rPr>
          <w:rFonts w:hint="eastAsia" w:cs="Times New Roman"/>
          <w:color w:val="auto"/>
          <w:highlight w:val="none"/>
          <w:lang w:eastAsia="zh-CN"/>
        </w:rPr>
        <w:t>环境空气功能区划</w:t>
      </w:r>
    </w:p>
    <w:p w14:paraId="7285D863">
      <w:pPr>
        <w:rPr>
          <w:color w:val="auto"/>
          <w:highlight w:val="none"/>
        </w:rPr>
      </w:pPr>
      <w:r>
        <w:rPr>
          <w:rFonts w:hint="eastAsia" w:ascii="宋体" w:hAnsi="宋体" w:eastAsia="宋体" w:cs="宋体"/>
          <w:color w:val="auto"/>
          <w:kern w:val="0"/>
          <w:sz w:val="24"/>
          <w:szCs w:val="24"/>
          <w:highlight w:val="none"/>
          <w:lang w:val="en-US" w:eastAsia="zh-CN" w:bidi="ar"/>
        </w:rPr>
        <w:t>本项目所在地区尚未进行环境空气功能区划。本项目区域执行《环境空气质量标准》（</w:t>
      </w:r>
      <w:r>
        <w:rPr>
          <w:rFonts w:hint="default" w:ascii="Times New Roman" w:hAnsi="Times New Roman" w:eastAsia="宋体" w:cs="Times New Roman"/>
          <w:color w:val="auto"/>
          <w:kern w:val="0"/>
          <w:sz w:val="24"/>
          <w:szCs w:val="24"/>
          <w:highlight w:val="none"/>
          <w:lang w:val="en-US" w:eastAsia="zh-CN" w:bidi="ar"/>
        </w:rPr>
        <w:t>GB3095-2012</w:t>
      </w:r>
      <w:r>
        <w:rPr>
          <w:rFonts w:hint="eastAsia" w:ascii="宋体" w:hAnsi="宋体" w:eastAsia="宋体" w:cs="宋体"/>
          <w:color w:val="auto"/>
          <w:kern w:val="0"/>
          <w:sz w:val="24"/>
          <w:szCs w:val="24"/>
          <w:highlight w:val="none"/>
          <w:lang w:val="en-US" w:eastAsia="zh-CN" w:bidi="ar"/>
        </w:rPr>
        <w:t>）中的二级标准。</w:t>
      </w:r>
    </w:p>
    <w:p w14:paraId="4D31E273">
      <w:pPr>
        <w:pStyle w:val="6"/>
        <w:rPr>
          <w:rFonts w:hint="default" w:ascii="Times New Roman" w:hAnsi="Times New Roman" w:cs="Times New Roman"/>
          <w:color w:val="auto"/>
          <w:highlight w:val="none"/>
        </w:rPr>
      </w:pPr>
      <w:r>
        <w:rPr>
          <w:rFonts w:hint="eastAsia" w:cs="Times New Roman"/>
          <w:color w:val="auto"/>
          <w:highlight w:val="none"/>
          <w:lang w:eastAsia="zh-CN"/>
        </w:rPr>
        <w:t>声环境功能区划</w:t>
      </w:r>
    </w:p>
    <w:p w14:paraId="16A8BAFD">
      <w:pPr>
        <w:rPr>
          <w:color w:val="auto"/>
          <w:highlight w:val="none"/>
        </w:rPr>
      </w:pPr>
      <w:r>
        <w:rPr>
          <w:rFonts w:hint="eastAsia"/>
          <w:color w:val="auto"/>
          <w:highlight w:val="none"/>
          <w:lang w:val="en-US" w:eastAsia="zh-CN"/>
        </w:rPr>
        <w:t>本项目评价范围内国道、省道等现有干线公路两侧红线外</w:t>
      </w:r>
      <w:r>
        <w:rPr>
          <w:rFonts w:hint="default"/>
          <w:color w:val="auto"/>
          <w:highlight w:val="none"/>
          <w:lang w:val="en-US" w:eastAsia="zh-CN"/>
        </w:rPr>
        <w:t>35m</w:t>
      </w:r>
      <w:r>
        <w:rPr>
          <w:rFonts w:hint="eastAsia"/>
          <w:color w:val="auto"/>
          <w:highlight w:val="none"/>
          <w:lang w:val="en-US" w:eastAsia="zh-CN"/>
        </w:rPr>
        <w:t>以内的区域执行《声环境质量标准》（</w:t>
      </w:r>
      <w:r>
        <w:rPr>
          <w:rFonts w:hint="default"/>
          <w:color w:val="auto"/>
          <w:highlight w:val="none"/>
          <w:lang w:val="en-US" w:eastAsia="zh-CN"/>
        </w:rPr>
        <w:t>GB3096-2008</w:t>
      </w:r>
      <w:r>
        <w:rPr>
          <w:rFonts w:hint="eastAsia"/>
          <w:color w:val="auto"/>
          <w:highlight w:val="none"/>
          <w:lang w:val="en-US" w:eastAsia="zh-CN"/>
        </w:rPr>
        <w:t>）表</w:t>
      </w:r>
      <w:r>
        <w:rPr>
          <w:rFonts w:hint="default"/>
          <w:color w:val="auto"/>
          <w:highlight w:val="none"/>
          <w:lang w:val="en-US" w:eastAsia="zh-CN"/>
        </w:rPr>
        <w:t>1</w:t>
      </w:r>
      <w:r>
        <w:rPr>
          <w:rFonts w:hint="eastAsia"/>
          <w:color w:val="auto"/>
          <w:highlight w:val="none"/>
          <w:lang w:val="en-US" w:eastAsia="zh-CN"/>
        </w:rPr>
        <w:t>中</w:t>
      </w:r>
      <w:r>
        <w:rPr>
          <w:rFonts w:hint="default"/>
          <w:color w:val="auto"/>
          <w:highlight w:val="none"/>
          <w:lang w:val="en-US" w:eastAsia="zh-CN"/>
        </w:rPr>
        <w:t>4a</w:t>
      </w:r>
      <w:r>
        <w:rPr>
          <w:rFonts w:hint="eastAsia"/>
          <w:color w:val="auto"/>
          <w:highlight w:val="none"/>
          <w:lang w:val="en-US" w:eastAsia="zh-CN"/>
        </w:rPr>
        <w:t>类声环境功能区环境噪声限值标准；评价范围内的居民区执行《声环境质量标准》（</w:t>
      </w:r>
      <w:r>
        <w:rPr>
          <w:rFonts w:hint="default"/>
          <w:color w:val="auto"/>
          <w:highlight w:val="none"/>
          <w:lang w:val="en-US" w:eastAsia="zh-CN"/>
        </w:rPr>
        <w:t>GB3096-2008</w:t>
      </w:r>
      <w:r>
        <w:rPr>
          <w:rFonts w:hint="eastAsia"/>
          <w:color w:val="auto"/>
          <w:highlight w:val="none"/>
          <w:lang w:val="en-US" w:eastAsia="zh-CN"/>
        </w:rPr>
        <w:t>）表</w:t>
      </w:r>
      <w:r>
        <w:rPr>
          <w:rFonts w:hint="default"/>
          <w:color w:val="auto"/>
          <w:highlight w:val="none"/>
          <w:lang w:val="en-US" w:eastAsia="zh-CN"/>
        </w:rPr>
        <w:t>1</w:t>
      </w:r>
      <w:r>
        <w:rPr>
          <w:rFonts w:hint="eastAsia"/>
          <w:color w:val="auto"/>
          <w:highlight w:val="none"/>
          <w:lang w:val="en-US" w:eastAsia="zh-CN"/>
        </w:rPr>
        <w:t>中2类声环境功能区环境噪声限值标准。</w:t>
      </w:r>
    </w:p>
    <w:p w14:paraId="75417E21">
      <w:pPr>
        <w:pStyle w:val="5"/>
        <w:rPr>
          <w:rFonts w:hint="default" w:ascii="Times New Roman" w:hAnsi="Times New Roman" w:cs="Times New Roman"/>
          <w:color w:val="auto"/>
          <w:highlight w:val="none"/>
        </w:rPr>
      </w:pPr>
      <w:r>
        <w:rPr>
          <w:rFonts w:hint="eastAsia" w:cs="Times New Roman"/>
          <w:color w:val="auto"/>
          <w:highlight w:val="none"/>
          <w:lang w:eastAsia="zh-CN"/>
        </w:rPr>
        <w:t>环境保护目标</w:t>
      </w:r>
    </w:p>
    <w:p w14:paraId="03974F6F">
      <w:pPr>
        <w:pStyle w:val="6"/>
        <w:rPr>
          <w:rFonts w:hint="default" w:ascii="Times New Roman" w:hAnsi="Times New Roman" w:cs="Times New Roman"/>
          <w:color w:val="auto"/>
          <w:highlight w:val="none"/>
        </w:rPr>
      </w:pPr>
      <w:r>
        <w:rPr>
          <w:rFonts w:hint="eastAsia" w:cs="Times New Roman"/>
          <w:color w:val="auto"/>
          <w:highlight w:val="none"/>
          <w:lang w:eastAsia="zh-CN"/>
        </w:rPr>
        <w:t>生态环境保护目标</w:t>
      </w:r>
    </w:p>
    <w:p w14:paraId="0017930F">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b/>
          <w:bCs/>
          <w:color w:val="auto"/>
          <w:sz w:val="24"/>
          <w:szCs w:val="24"/>
          <w:highlight w:val="none"/>
        </w:rPr>
      </w:pPr>
      <w:r>
        <w:rPr>
          <w:rFonts w:hint="default" w:ascii="Times New Roman" w:hAnsi="Times New Roman" w:cs="Times New Roman"/>
          <w:b/>
          <w:bCs/>
          <w:color w:val="auto"/>
          <w:sz w:val="24"/>
          <w:szCs w:val="24"/>
          <w:highlight w:val="none"/>
        </w:rPr>
        <w:t>表</w:t>
      </w:r>
      <w:r>
        <w:rPr>
          <w:rFonts w:hint="eastAsia" w:ascii="Times New Roman" w:hAnsi="Times New Roman" w:cs="Times New Roman"/>
          <w:b/>
          <w:bCs/>
          <w:color w:val="auto"/>
          <w:sz w:val="24"/>
          <w:szCs w:val="24"/>
          <w:highlight w:val="none"/>
          <w:lang w:val="en-US" w:eastAsia="zh-CN"/>
        </w:rPr>
        <w:t xml:space="preserve">2.2-6  </w:t>
      </w:r>
      <w:r>
        <w:rPr>
          <w:rFonts w:hint="default" w:ascii="Times New Roman" w:hAnsi="Times New Roman" w:cs="Times New Roman"/>
          <w:b/>
          <w:bCs/>
          <w:color w:val="auto"/>
          <w:sz w:val="24"/>
          <w:szCs w:val="24"/>
          <w:highlight w:val="none"/>
        </w:rPr>
        <w:t>本项目生态环境保护目标一览表</w:t>
      </w:r>
    </w:p>
    <w:tbl>
      <w:tblPr>
        <w:tblStyle w:val="38"/>
        <w:tblW w:w="5072" w:type="pct"/>
        <w:tblInd w:w="2"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556"/>
        <w:gridCol w:w="562"/>
        <w:gridCol w:w="586"/>
        <w:gridCol w:w="2020"/>
        <w:gridCol w:w="2533"/>
        <w:gridCol w:w="891"/>
        <w:gridCol w:w="1308"/>
      </w:tblGrid>
      <w:tr w14:paraId="51A5015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54" w:type="dxa"/>
            <w:tcBorders>
              <w:tl2br w:val="nil"/>
              <w:tr2bl w:val="nil"/>
            </w:tcBorders>
            <w:noWrap w:val="0"/>
            <w:vAlign w:val="center"/>
          </w:tcPr>
          <w:p w14:paraId="41389238">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8"/>
                <w:sz w:val="21"/>
                <w:szCs w:val="21"/>
                <w:highlight w:val="none"/>
              </w:rPr>
              <w:t>环境要素</w:t>
            </w:r>
          </w:p>
        </w:tc>
        <w:tc>
          <w:tcPr>
            <w:tcW w:w="560" w:type="dxa"/>
            <w:tcBorders>
              <w:tl2br w:val="nil"/>
              <w:tr2bl w:val="nil"/>
            </w:tcBorders>
            <w:noWrap w:val="0"/>
            <w:vAlign w:val="center"/>
          </w:tcPr>
          <w:p w14:paraId="76F9CE7D">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9"/>
                <w:sz w:val="21"/>
                <w:szCs w:val="21"/>
                <w:highlight w:val="none"/>
              </w:rPr>
              <w:t>保</w:t>
            </w:r>
            <w:r>
              <w:rPr>
                <w:rFonts w:hint="default" w:ascii="Times New Roman" w:hAnsi="Times New Roman" w:eastAsia="宋体" w:cs="Times New Roman"/>
                <w:color w:val="auto"/>
                <w:spacing w:val="8"/>
                <w:sz w:val="21"/>
                <w:szCs w:val="21"/>
                <w:highlight w:val="none"/>
              </w:rPr>
              <w:t>护目标</w:t>
            </w:r>
          </w:p>
        </w:tc>
        <w:tc>
          <w:tcPr>
            <w:tcW w:w="2597" w:type="dxa"/>
            <w:gridSpan w:val="2"/>
            <w:tcBorders>
              <w:tl2br w:val="nil"/>
              <w:tr2bl w:val="nil"/>
            </w:tcBorders>
            <w:noWrap w:val="0"/>
            <w:vAlign w:val="center"/>
          </w:tcPr>
          <w:p w14:paraId="7B3C4DF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0"/>
                <w:sz w:val="21"/>
                <w:szCs w:val="21"/>
                <w:highlight w:val="none"/>
              </w:rPr>
              <w:t>规</w:t>
            </w:r>
            <w:r>
              <w:rPr>
                <w:rFonts w:hint="default" w:ascii="Times New Roman" w:hAnsi="Times New Roman" w:eastAsia="宋体" w:cs="Times New Roman"/>
                <w:color w:val="auto"/>
                <w:spacing w:val="8"/>
                <w:sz w:val="21"/>
                <w:szCs w:val="21"/>
                <w:highlight w:val="none"/>
              </w:rPr>
              <w:t>模及特征</w:t>
            </w:r>
          </w:p>
        </w:tc>
        <w:tc>
          <w:tcPr>
            <w:tcW w:w="2524" w:type="dxa"/>
            <w:tcBorders>
              <w:tl2br w:val="nil"/>
              <w:tr2bl w:val="nil"/>
            </w:tcBorders>
            <w:noWrap w:val="0"/>
            <w:vAlign w:val="center"/>
          </w:tcPr>
          <w:p w14:paraId="1764077A">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8"/>
                <w:sz w:val="21"/>
                <w:szCs w:val="21"/>
                <w:highlight w:val="none"/>
              </w:rPr>
              <w:t>与工程关</w:t>
            </w:r>
            <w:r>
              <w:rPr>
                <w:rFonts w:hint="default" w:ascii="Times New Roman" w:hAnsi="Times New Roman" w:eastAsia="宋体" w:cs="Times New Roman"/>
                <w:color w:val="auto"/>
                <w:spacing w:val="7"/>
                <w:sz w:val="21"/>
                <w:szCs w:val="21"/>
                <w:highlight w:val="none"/>
              </w:rPr>
              <w:t>系</w:t>
            </w:r>
            <w:r>
              <w:rPr>
                <w:rFonts w:hint="default" w:ascii="Times New Roman" w:hAnsi="Times New Roman" w:eastAsia="宋体" w:cs="Times New Roman"/>
                <w:color w:val="auto"/>
                <w:spacing w:val="8"/>
                <w:sz w:val="21"/>
                <w:szCs w:val="21"/>
                <w:highlight w:val="none"/>
              </w:rPr>
              <w:t>及特性</w:t>
            </w:r>
          </w:p>
        </w:tc>
        <w:tc>
          <w:tcPr>
            <w:tcW w:w="888" w:type="dxa"/>
            <w:tcBorders>
              <w:tl2br w:val="nil"/>
              <w:tr2bl w:val="nil"/>
            </w:tcBorders>
            <w:noWrap w:val="0"/>
            <w:vAlign w:val="center"/>
          </w:tcPr>
          <w:p w14:paraId="5D00523E">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9"/>
                <w:sz w:val="21"/>
                <w:szCs w:val="21"/>
                <w:highlight w:val="none"/>
              </w:rPr>
              <w:t>影</w:t>
            </w:r>
            <w:r>
              <w:rPr>
                <w:rFonts w:hint="default" w:ascii="Times New Roman" w:hAnsi="Times New Roman" w:eastAsia="宋体" w:cs="Times New Roman"/>
                <w:color w:val="auto"/>
                <w:spacing w:val="7"/>
                <w:sz w:val="21"/>
                <w:szCs w:val="21"/>
                <w:highlight w:val="none"/>
              </w:rPr>
              <w:t>响源</w:t>
            </w:r>
            <w:r>
              <w:rPr>
                <w:rFonts w:hint="default" w:ascii="Times New Roman" w:hAnsi="Times New Roman" w:eastAsia="宋体" w:cs="Times New Roman"/>
                <w:color w:val="auto"/>
                <w:spacing w:val="8"/>
                <w:sz w:val="21"/>
                <w:szCs w:val="21"/>
                <w:highlight w:val="none"/>
              </w:rPr>
              <w:t>和</w:t>
            </w:r>
            <w:r>
              <w:rPr>
                <w:rFonts w:hint="default" w:ascii="Times New Roman" w:hAnsi="Times New Roman" w:eastAsia="宋体" w:cs="Times New Roman"/>
                <w:color w:val="auto"/>
                <w:spacing w:val="7"/>
                <w:sz w:val="21"/>
                <w:szCs w:val="21"/>
                <w:highlight w:val="none"/>
              </w:rPr>
              <w:t>时段</w:t>
            </w:r>
          </w:p>
        </w:tc>
        <w:tc>
          <w:tcPr>
            <w:tcW w:w="1304" w:type="dxa"/>
            <w:tcBorders>
              <w:tl2br w:val="nil"/>
              <w:tr2bl w:val="nil"/>
            </w:tcBorders>
            <w:noWrap w:val="0"/>
            <w:vAlign w:val="center"/>
          </w:tcPr>
          <w:p w14:paraId="24F4B95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9"/>
                <w:sz w:val="21"/>
                <w:szCs w:val="21"/>
                <w:highlight w:val="none"/>
              </w:rPr>
              <w:t>保</w:t>
            </w:r>
            <w:r>
              <w:rPr>
                <w:rFonts w:hint="default" w:ascii="Times New Roman" w:hAnsi="Times New Roman" w:eastAsia="宋体" w:cs="Times New Roman"/>
                <w:color w:val="auto"/>
                <w:spacing w:val="8"/>
                <w:sz w:val="21"/>
                <w:szCs w:val="21"/>
                <w:highlight w:val="none"/>
              </w:rPr>
              <w:t>护要求</w:t>
            </w:r>
          </w:p>
        </w:tc>
      </w:tr>
      <w:tr w14:paraId="653F4E1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54" w:type="dxa"/>
            <w:vMerge w:val="restart"/>
            <w:tcBorders>
              <w:tl2br w:val="nil"/>
              <w:tr2bl w:val="nil"/>
            </w:tcBorders>
            <w:noWrap w:val="0"/>
            <w:textDirection w:val="tbRlV"/>
            <w:vAlign w:val="center"/>
          </w:tcPr>
          <w:p w14:paraId="52D7E2E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5"/>
                <w:sz w:val="21"/>
                <w:szCs w:val="21"/>
                <w:highlight w:val="none"/>
              </w:rPr>
              <w:t>生</w:t>
            </w:r>
            <w:r>
              <w:rPr>
                <w:rFonts w:hint="default" w:ascii="Times New Roman" w:hAnsi="Times New Roman" w:eastAsia="宋体" w:cs="Times New Roman"/>
                <w:color w:val="auto"/>
                <w:spacing w:val="-10"/>
                <w:sz w:val="21"/>
                <w:szCs w:val="21"/>
                <w:highlight w:val="none"/>
              </w:rPr>
              <w:t>态环境</w:t>
            </w:r>
          </w:p>
        </w:tc>
        <w:tc>
          <w:tcPr>
            <w:tcW w:w="560" w:type="dxa"/>
            <w:tcBorders>
              <w:tl2br w:val="nil"/>
              <w:tr2bl w:val="nil"/>
            </w:tcBorders>
            <w:noWrap w:val="0"/>
            <w:vAlign w:val="center"/>
          </w:tcPr>
          <w:p w14:paraId="2EFFAF68">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pacing w:val="6"/>
                <w:sz w:val="21"/>
                <w:szCs w:val="21"/>
                <w:highlight w:val="none"/>
                <w:lang w:eastAsia="zh-CN"/>
              </w:rPr>
            </w:pPr>
            <w:r>
              <w:rPr>
                <w:rFonts w:hint="eastAsia" w:cs="Times New Roman"/>
                <w:color w:val="auto"/>
                <w:spacing w:val="6"/>
                <w:sz w:val="21"/>
                <w:szCs w:val="21"/>
                <w:highlight w:val="none"/>
                <w:lang w:eastAsia="zh-CN"/>
              </w:rPr>
              <w:t>衡阳县三阳自然保护区</w:t>
            </w:r>
          </w:p>
        </w:tc>
        <w:tc>
          <w:tcPr>
            <w:tcW w:w="584" w:type="dxa"/>
            <w:tcBorders>
              <w:tl2br w:val="nil"/>
              <w:tr2bl w:val="nil"/>
            </w:tcBorders>
            <w:noWrap w:val="0"/>
            <w:vAlign w:val="center"/>
          </w:tcPr>
          <w:p w14:paraId="46ACEBB7">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pacing w:val="-6"/>
                <w:position w:val="4"/>
                <w:sz w:val="21"/>
                <w:szCs w:val="21"/>
                <w:highlight w:val="none"/>
                <w:lang w:eastAsia="zh-CN"/>
              </w:rPr>
            </w:pPr>
            <w:r>
              <w:rPr>
                <w:rFonts w:hint="eastAsia" w:cs="Times New Roman"/>
                <w:color w:val="auto"/>
                <w:spacing w:val="-6"/>
                <w:position w:val="4"/>
                <w:sz w:val="21"/>
                <w:szCs w:val="21"/>
                <w:highlight w:val="none"/>
                <w:lang w:eastAsia="zh-CN"/>
              </w:rPr>
              <w:t>县级自然保护区域</w:t>
            </w:r>
          </w:p>
        </w:tc>
        <w:tc>
          <w:tcPr>
            <w:tcW w:w="2013" w:type="dxa"/>
            <w:tcBorders>
              <w:tl2br w:val="nil"/>
              <w:tr2bl w:val="nil"/>
            </w:tcBorders>
            <w:noWrap w:val="0"/>
            <w:vAlign w:val="center"/>
          </w:tcPr>
          <w:p w14:paraId="1F665F3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pacing w:val="8"/>
                <w:sz w:val="21"/>
                <w:szCs w:val="21"/>
                <w:highlight w:val="none"/>
                <w:lang w:eastAsia="zh-CN"/>
              </w:rPr>
            </w:pPr>
            <w:r>
              <w:rPr>
                <w:rFonts w:hint="eastAsia" w:cs="Times New Roman"/>
                <w:color w:val="auto"/>
                <w:spacing w:val="8"/>
                <w:sz w:val="21"/>
                <w:szCs w:val="21"/>
                <w:highlight w:val="none"/>
                <w:lang w:eastAsia="zh-CN"/>
              </w:rPr>
              <w:t>森林生态系统</w:t>
            </w:r>
          </w:p>
        </w:tc>
        <w:tc>
          <w:tcPr>
            <w:tcW w:w="2524" w:type="dxa"/>
            <w:tcBorders>
              <w:tl2br w:val="nil"/>
              <w:tr2bl w:val="nil"/>
            </w:tcBorders>
            <w:noWrap w:val="0"/>
            <w:vAlign w:val="center"/>
          </w:tcPr>
          <w:p w14:paraId="52988F62">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color w:val="auto"/>
                <w:spacing w:val="12"/>
                <w:sz w:val="21"/>
                <w:szCs w:val="21"/>
                <w:highlight w:val="none"/>
              </w:rPr>
            </w:pPr>
            <w:r>
              <w:rPr>
                <w:rFonts w:hint="default" w:ascii="Times New Roman" w:hAnsi="Times New Roman" w:eastAsia="宋体" w:cs="Times New Roman"/>
                <w:color w:val="auto"/>
                <w:spacing w:val="12"/>
                <w:sz w:val="21"/>
                <w:szCs w:val="21"/>
                <w:highlight w:val="none"/>
                <w:lang w:val="en-US" w:eastAsia="zh-CN"/>
              </w:rPr>
              <w:t>1</w:t>
            </w:r>
            <w:r>
              <w:rPr>
                <w:rFonts w:hint="eastAsia" w:cs="Times New Roman"/>
                <w:color w:val="auto"/>
                <w:spacing w:val="12"/>
                <w:sz w:val="21"/>
                <w:szCs w:val="21"/>
                <w:highlight w:val="none"/>
                <w:lang w:val="en-US" w:eastAsia="zh-CN"/>
              </w:rPr>
              <w:t>7</w:t>
            </w:r>
            <w:r>
              <w:rPr>
                <w:rFonts w:hint="default" w:ascii="Times New Roman" w:hAnsi="Times New Roman" w:eastAsia="宋体" w:cs="Times New Roman"/>
                <w:color w:val="auto"/>
                <w:spacing w:val="12"/>
                <w:sz w:val="21"/>
                <w:szCs w:val="21"/>
                <w:highlight w:val="none"/>
                <w:lang w:val="en-US" w:eastAsia="zh-CN"/>
              </w:rPr>
              <w:t>#风机位</w:t>
            </w:r>
            <w:r>
              <w:rPr>
                <w:rFonts w:hint="eastAsia" w:cs="Times New Roman"/>
                <w:color w:val="auto"/>
                <w:spacing w:val="12"/>
                <w:sz w:val="21"/>
                <w:szCs w:val="21"/>
                <w:highlight w:val="none"/>
                <w:lang w:val="en-US" w:eastAsia="zh-CN"/>
              </w:rPr>
              <w:t>东北</w:t>
            </w:r>
            <w:r>
              <w:rPr>
                <w:rFonts w:hint="default" w:ascii="Times New Roman" w:hAnsi="Times New Roman" w:eastAsia="宋体" w:cs="Times New Roman"/>
                <w:color w:val="auto"/>
                <w:spacing w:val="12"/>
                <w:sz w:val="21"/>
                <w:szCs w:val="21"/>
                <w:highlight w:val="none"/>
                <w:lang w:val="en-US" w:eastAsia="zh-CN"/>
              </w:rPr>
              <w:t>侧</w:t>
            </w:r>
            <w:r>
              <w:rPr>
                <w:rFonts w:hint="eastAsia" w:cs="Times New Roman"/>
                <w:color w:val="auto"/>
                <w:spacing w:val="12"/>
                <w:sz w:val="21"/>
                <w:szCs w:val="21"/>
                <w:highlight w:val="none"/>
                <w:lang w:val="en-US" w:eastAsia="zh-CN"/>
              </w:rPr>
              <w:t>125</w:t>
            </w:r>
            <w:r>
              <w:rPr>
                <w:rFonts w:hint="default" w:ascii="Times New Roman" w:hAnsi="Times New Roman" w:eastAsia="宋体" w:cs="Times New Roman"/>
                <w:color w:val="auto"/>
                <w:spacing w:val="12"/>
                <w:sz w:val="21"/>
                <w:szCs w:val="21"/>
                <w:highlight w:val="none"/>
                <w:lang w:val="en-US" w:eastAsia="zh-CN"/>
              </w:rPr>
              <w:t xml:space="preserve">m； </w:t>
            </w:r>
          </w:p>
          <w:p w14:paraId="072BD44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color w:val="auto"/>
                <w:spacing w:val="12"/>
                <w:sz w:val="21"/>
                <w:szCs w:val="21"/>
                <w:highlight w:val="none"/>
              </w:rPr>
            </w:pPr>
            <w:r>
              <w:rPr>
                <w:rFonts w:hint="default" w:ascii="Times New Roman" w:hAnsi="Times New Roman" w:eastAsia="宋体" w:cs="Times New Roman"/>
                <w:color w:val="auto"/>
                <w:spacing w:val="12"/>
                <w:sz w:val="21"/>
                <w:szCs w:val="21"/>
                <w:highlight w:val="none"/>
                <w:lang w:val="en-US" w:eastAsia="zh-CN"/>
              </w:rPr>
              <w:t>场内道路</w:t>
            </w:r>
            <w:r>
              <w:rPr>
                <w:rFonts w:hint="eastAsia" w:cs="Times New Roman"/>
                <w:color w:val="auto"/>
                <w:spacing w:val="12"/>
                <w:sz w:val="21"/>
                <w:szCs w:val="21"/>
                <w:highlight w:val="none"/>
                <w:lang w:val="en-US" w:eastAsia="zh-CN"/>
              </w:rPr>
              <w:t>东北侧52</w:t>
            </w:r>
            <w:r>
              <w:rPr>
                <w:rFonts w:hint="default" w:ascii="Times New Roman" w:hAnsi="Times New Roman" w:eastAsia="宋体" w:cs="Times New Roman"/>
                <w:color w:val="auto"/>
                <w:spacing w:val="12"/>
                <w:sz w:val="21"/>
                <w:szCs w:val="21"/>
                <w:highlight w:val="none"/>
                <w:lang w:val="en-US" w:eastAsia="zh-CN"/>
              </w:rPr>
              <w:t>m；</w:t>
            </w:r>
          </w:p>
          <w:p w14:paraId="648E4657">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color w:val="auto"/>
                <w:spacing w:val="12"/>
                <w:sz w:val="21"/>
                <w:szCs w:val="21"/>
                <w:highlight w:val="none"/>
              </w:rPr>
            </w:pPr>
            <w:r>
              <w:rPr>
                <w:rFonts w:hint="default" w:ascii="Times New Roman" w:hAnsi="Times New Roman" w:eastAsia="宋体" w:cs="Times New Roman"/>
                <w:color w:val="auto"/>
                <w:spacing w:val="12"/>
                <w:sz w:val="21"/>
                <w:szCs w:val="21"/>
                <w:highlight w:val="none"/>
                <w:lang w:val="en-US" w:eastAsia="zh-CN"/>
              </w:rPr>
              <w:t>Z</w:t>
            </w:r>
            <w:r>
              <w:rPr>
                <w:rFonts w:hint="eastAsia" w:cs="Times New Roman"/>
                <w:color w:val="auto"/>
                <w:spacing w:val="12"/>
                <w:sz w:val="21"/>
                <w:szCs w:val="21"/>
                <w:highlight w:val="none"/>
                <w:lang w:val="en-US" w:eastAsia="zh-CN"/>
              </w:rPr>
              <w:t>12</w:t>
            </w:r>
            <w:r>
              <w:rPr>
                <w:rFonts w:hint="default" w:ascii="Times New Roman" w:hAnsi="Times New Roman" w:eastAsia="宋体" w:cs="Times New Roman"/>
                <w:color w:val="auto"/>
                <w:spacing w:val="12"/>
                <w:sz w:val="21"/>
                <w:szCs w:val="21"/>
                <w:highlight w:val="none"/>
                <w:lang w:val="en-US" w:eastAsia="zh-CN"/>
              </w:rPr>
              <w:t>渣场</w:t>
            </w:r>
            <w:r>
              <w:rPr>
                <w:rFonts w:hint="eastAsia" w:cs="Times New Roman"/>
                <w:color w:val="auto"/>
                <w:spacing w:val="12"/>
                <w:sz w:val="21"/>
                <w:szCs w:val="21"/>
                <w:highlight w:val="none"/>
                <w:lang w:val="en-US" w:eastAsia="zh-CN"/>
              </w:rPr>
              <w:t>东北</w:t>
            </w:r>
            <w:r>
              <w:rPr>
                <w:rFonts w:hint="default" w:ascii="Times New Roman" w:hAnsi="Times New Roman" w:eastAsia="宋体" w:cs="Times New Roman"/>
                <w:color w:val="auto"/>
                <w:spacing w:val="12"/>
                <w:sz w:val="21"/>
                <w:szCs w:val="21"/>
                <w:highlight w:val="none"/>
                <w:lang w:val="en-US" w:eastAsia="zh-CN"/>
              </w:rPr>
              <w:t>侧</w:t>
            </w:r>
            <w:r>
              <w:rPr>
                <w:rFonts w:hint="eastAsia" w:cs="Times New Roman"/>
                <w:color w:val="auto"/>
                <w:spacing w:val="12"/>
                <w:sz w:val="21"/>
                <w:szCs w:val="21"/>
                <w:highlight w:val="none"/>
                <w:lang w:val="en-US" w:eastAsia="zh-CN"/>
              </w:rPr>
              <w:t>413</w:t>
            </w:r>
            <w:r>
              <w:rPr>
                <w:rFonts w:hint="default" w:ascii="Times New Roman" w:hAnsi="Times New Roman" w:eastAsia="宋体" w:cs="Times New Roman"/>
                <w:color w:val="auto"/>
                <w:spacing w:val="12"/>
                <w:sz w:val="21"/>
                <w:szCs w:val="21"/>
                <w:highlight w:val="none"/>
                <w:lang w:val="en-US" w:eastAsia="zh-CN"/>
              </w:rPr>
              <w:t>m。</w:t>
            </w:r>
          </w:p>
        </w:tc>
        <w:tc>
          <w:tcPr>
            <w:tcW w:w="888" w:type="dxa"/>
            <w:tcBorders>
              <w:tl2br w:val="nil"/>
              <w:tr2bl w:val="nil"/>
            </w:tcBorders>
            <w:noWrap w:val="0"/>
            <w:vAlign w:val="center"/>
          </w:tcPr>
          <w:p w14:paraId="238E063D">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pacing w:val="7"/>
                <w:sz w:val="21"/>
                <w:szCs w:val="21"/>
                <w:highlight w:val="none"/>
                <w:lang w:eastAsia="zh-CN"/>
              </w:rPr>
            </w:pPr>
            <w:r>
              <w:rPr>
                <w:rFonts w:hint="eastAsia" w:cs="Times New Roman"/>
                <w:color w:val="auto"/>
                <w:spacing w:val="3"/>
                <w:sz w:val="21"/>
                <w:szCs w:val="21"/>
                <w:highlight w:val="none"/>
                <w:lang w:eastAsia="zh-CN"/>
              </w:rPr>
              <w:t>营运期噪声影响动物活动、栖息</w:t>
            </w:r>
          </w:p>
        </w:tc>
        <w:tc>
          <w:tcPr>
            <w:tcW w:w="1304" w:type="dxa"/>
            <w:tcBorders>
              <w:tl2br w:val="nil"/>
              <w:tr2bl w:val="nil"/>
            </w:tcBorders>
            <w:noWrap w:val="0"/>
            <w:vAlign w:val="center"/>
          </w:tcPr>
          <w:p w14:paraId="26DB1977">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pacing w:val="-1"/>
                <w:sz w:val="21"/>
                <w:szCs w:val="21"/>
                <w:highlight w:val="none"/>
                <w:lang w:eastAsia="zh-CN"/>
              </w:rPr>
            </w:pPr>
            <w:r>
              <w:rPr>
                <w:rFonts w:hint="eastAsia" w:cs="Times New Roman"/>
                <w:color w:val="auto"/>
                <w:spacing w:val="-1"/>
                <w:sz w:val="21"/>
                <w:szCs w:val="21"/>
                <w:highlight w:val="none"/>
                <w:lang w:eastAsia="zh-CN"/>
              </w:rPr>
              <w:t>避让</w:t>
            </w:r>
          </w:p>
        </w:tc>
      </w:tr>
      <w:tr w14:paraId="1DA134C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54" w:type="dxa"/>
            <w:vMerge w:val="continue"/>
            <w:tcBorders>
              <w:tl2br w:val="nil"/>
              <w:tr2bl w:val="nil"/>
            </w:tcBorders>
            <w:noWrap w:val="0"/>
            <w:textDirection w:val="tbRlV"/>
            <w:vAlign w:val="center"/>
          </w:tcPr>
          <w:p w14:paraId="077880F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p>
        </w:tc>
        <w:tc>
          <w:tcPr>
            <w:tcW w:w="560" w:type="dxa"/>
            <w:tcBorders>
              <w:tl2br w:val="nil"/>
              <w:tr2bl w:val="nil"/>
            </w:tcBorders>
            <w:noWrap w:val="0"/>
            <w:vAlign w:val="center"/>
          </w:tcPr>
          <w:p w14:paraId="0071CC05">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6"/>
                <w:sz w:val="21"/>
                <w:szCs w:val="21"/>
                <w:highlight w:val="none"/>
              </w:rPr>
              <w:t>陆</w:t>
            </w:r>
            <w:r>
              <w:rPr>
                <w:rFonts w:hint="default" w:ascii="Times New Roman" w:hAnsi="Times New Roman" w:eastAsia="宋体" w:cs="Times New Roman"/>
                <w:color w:val="auto"/>
                <w:spacing w:val="4"/>
                <w:sz w:val="21"/>
                <w:szCs w:val="21"/>
                <w:highlight w:val="none"/>
              </w:rPr>
              <w:t>生植物</w:t>
            </w:r>
          </w:p>
        </w:tc>
        <w:tc>
          <w:tcPr>
            <w:tcW w:w="584" w:type="dxa"/>
            <w:tcBorders>
              <w:tl2br w:val="nil"/>
              <w:tr2bl w:val="nil"/>
            </w:tcBorders>
            <w:noWrap w:val="0"/>
            <w:vAlign w:val="center"/>
          </w:tcPr>
          <w:p w14:paraId="69C1827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eastAsia="zh-CN"/>
              </w:rPr>
              <w:t>常见物种</w:t>
            </w:r>
          </w:p>
        </w:tc>
        <w:tc>
          <w:tcPr>
            <w:tcW w:w="2013" w:type="dxa"/>
            <w:tcBorders>
              <w:tl2br w:val="nil"/>
              <w:tr2bl w:val="nil"/>
            </w:tcBorders>
            <w:noWrap w:val="0"/>
            <w:vAlign w:val="center"/>
          </w:tcPr>
          <w:p w14:paraId="565D3FC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eastAsia="zh-CN"/>
              </w:rPr>
              <w:t>马尾松、杉木、枫香树、锥栗、毛竹、檵木、山茶、金樱子等</w:t>
            </w:r>
          </w:p>
        </w:tc>
        <w:tc>
          <w:tcPr>
            <w:tcW w:w="2524" w:type="dxa"/>
            <w:tcBorders>
              <w:tl2br w:val="nil"/>
              <w:tr2bl w:val="nil"/>
            </w:tcBorders>
            <w:noWrap w:val="0"/>
            <w:vAlign w:val="center"/>
          </w:tcPr>
          <w:p w14:paraId="089873A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pacing w:val="11"/>
                <w:sz w:val="21"/>
                <w:szCs w:val="21"/>
                <w:highlight w:val="none"/>
              </w:rPr>
              <w:t>项</w:t>
            </w:r>
            <w:r>
              <w:rPr>
                <w:rFonts w:hint="default" w:ascii="Times New Roman" w:hAnsi="Times New Roman" w:eastAsia="宋体" w:cs="Times New Roman"/>
                <w:color w:val="auto"/>
                <w:spacing w:val="7"/>
                <w:sz w:val="21"/>
                <w:szCs w:val="21"/>
                <w:highlight w:val="none"/>
              </w:rPr>
              <w:t>目影响区域</w:t>
            </w:r>
          </w:p>
        </w:tc>
        <w:tc>
          <w:tcPr>
            <w:tcW w:w="888" w:type="dxa"/>
            <w:tcBorders>
              <w:tl2br w:val="nil"/>
              <w:tr2bl w:val="nil"/>
            </w:tcBorders>
            <w:noWrap w:val="0"/>
            <w:vAlign w:val="center"/>
          </w:tcPr>
          <w:p w14:paraId="052BB0B7">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eastAsia="zh-CN"/>
              </w:rPr>
              <w:t>施工期工程破坏地表植被</w:t>
            </w:r>
          </w:p>
        </w:tc>
        <w:tc>
          <w:tcPr>
            <w:tcW w:w="1304" w:type="dxa"/>
            <w:tcBorders>
              <w:tl2br w:val="nil"/>
              <w:tr2bl w:val="nil"/>
            </w:tcBorders>
            <w:noWrap w:val="0"/>
            <w:vAlign w:val="center"/>
          </w:tcPr>
          <w:p w14:paraId="6AF0BC9A">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pacing w:val="-3"/>
                <w:sz w:val="21"/>
                <w:szCs w:val="21"/>
                <w:highlight w:val="none"/>
              </w:rPr>
              <w:t>减</w:t>
            </w:r>
            <w:r>
              <w:rPr>
                <w:rFonts w:hint="default" w:ascii="Times New Roman" w:hAnsi="Times New Roman" w:eastAsia="宋体" w:cs="Times New Roman"/>
                <w:color w:val="auto"/>
                <w:spacing w:val="-2"/>
                <w:sz w:val="21"/>
                <w:szCs w:val="21"/>
                <w:highlight w:val="none"/>
              </w:rPr>
              <w:t>少植被破坏，</w:t>
            </w:r>
            <w:r>
              <w:rPr>
                <w:rFonts w:hint="eastAsia" w:cs="Times New Roman"/>
                <w:color w:val="auto"/>
                <w:spacing w:val="-2"/>
                <w:sz w:val="21"/>
                <w:szCs w:val="21"/>
                <w:highlight w:val="none"/>
                <w:lang w:eastAsia="zh-CN"/>
              </w:rPr>
              <w:t>及时恢复</w:t>
            </w:r>
          </w:p>
        </w:tc>
      </w:tr>
      <w:tr w14:paraId="253E35E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54" w:type="dxa"/>
            <w:vMerge w:val="continue"/>
            <w:tcBorders>
              <w:tl2br w:val="nil"/>
              <w:tr2bl w:val="nil"/>
            </w:tcBorders>
            <w:noWrap w:val="0"/>
            <w:textDirection w:val="tbRlV"/>
            <w:vAlign w:val="center"/>
          </w:tcPr>
          <w:p w14:paraId="0443C7B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p>
        </w:tc>
        <w:tc>
          <w:tcPr>
            <w:tcW w:w="560" w:type="dxa"/>
            <w:vMerge w:val="restart"/>
            <w:tcBorders>
              <w:tl2br w:val="nil"/>
              <w:tr2bl w:val="nil"/>
            </w:tcBorders>
            <w:noWrap w:val="0"/>
            <w:vAlign w:val="center"/>
          </w:tcPr>
          <w:p w14:paraId="0AD5DC3A">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6"/>
                <w:sz w:val="21"/>
                <w:szCs w:val="21"/>
                <w:highlight w:val="none"/>
              </w:rPr>
              <w:t>陆</w:t>
            </w:r>
            <w:r>
              <w:rPr>
                <w:rFonts w:hint="default" w:ascii="Times New Roman" w:hAnsi="Times New Roman" w:eastAsia="宋体" w:cs="Times New Roman"/>
                <w:color w:val="auto"/>
                <w:spacing w:val="4"/>
                <w:sz w:val="21"/>
                <w:szCs w:val="21"/>
                <w:highlight w:val="none"/>
              </w:rPr>
              <w:t>生动物</w:t>
            </w:r>
          </w:p>
        </w:tc>
        <w:tc>
          <w:tcPr>
            <w:tcW w:w="584" w:type="dxa"/>
            <w:vMerge w:val="restart"/>
            <w:tcBorders>
              <w:tl2br w:val="nil"/>
              <w:tr2bl w:val="nil"/>
            </w:tcBorders>
            <w:noWrap w:val="0"/>
            <w:vAlign w:val="center"/>
          </w:tcPr>
          <w:p w14:paraId="1A5A909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4"/>
                <w:position w:val="4"/>
                <w:sz w:val="21"/>
                <w:szCs w:val="21"/>
                <w:highlight w:val="none"/>
              </w:rPr>
              <w:t>重点</w:t>
            </w:r>
            <w:r>
              <w:rPr>
                <w:rFonts w:hint="default" w:ascii="Times New Roman" w:hAnsi="Times New Roman" w:eastAsia="宋体" w:cs="Times New Roman"/>
                <w:color w:val="auto"/>
                <w:spacing w:val="4"/>
                <w:sz w:val="21"/>
                <w:szCs w:val="21"/>
                <w:highlight w:val="none"/>
              </w:rPr>
              <w:t>保护</w:t>
            </w:r>
            <w:r>
              <w:rPr>
                <w:rFonts w:hint="default" w:ascii="Times New Roman" w:hAnsi="Times New Roman" w:eastAsia="宋体" w:cs="Times New Roman"/>
                <w:color w:val="auto"/>
                <w:spacing w:val="5"/>
                <w:sz w:val="21"/>
                <w:szCs w:val="21"/>
                <w:highlight w:val="none"/>
              </w:rPr>
              <w:t>野</w:t>
            </w:r>
            <w:r>
              <w:rPr>
                <w:rFonts w:hint="default" w:ascii="Times New Roman" w:hAnsi="Times New Roman" w:eastAsia="宋体" w:cs="Times New Roman"/>
                <w:color w:val="auto"/>
                <w:spacing w:val="4"/>
                <w:sz w:val="21"/>
                <w:szCs w:val="21"/>
                <w:highlight w:val="none"/>
              </w:rPr>
              <w:t>生动物</w:t>
            </w:r>
          </w:p>
        </w:tc>
        <w:tc>
          <w:tcPr>
            <w:tcW w:w="2013" w:type="dxa"/>
            <w:tcBorders>
              <w:tl2br w:val="nil"/>
              <w:tr2bl w:val="nil"/>
            </w:tcBorders>
            <w:noWrap w:val="0"/>
            <w:vAlign w:val="center"/>
          </w:tcPr>
          <w:p w14:paraId="1643A812">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0"/>
                <w:sz w:val="21"/>
                <w:szCs w:val="21"/>
                <w:highlight w:val="none"/>
              </w:rPr>
              <w:t>国</w:t>
            </w:r>
            <w:r>
              <w:rPr>
                <w:rFonts w:hint="default" w:ascii="Times New Roman" w:hAnsi="Times New Roman" w:eastAsia="宋体" w:cs="Times New Roman"/>
                <w:color w:val="auto"/>
                <w:spacing w:val="5"/>
                <w:sz w:val="21"/>
                <w:szCs w:val="21"/>
                <w:highlight w:val="none"/>
              </w:rPr>
              <w:t>家Ⅱ级保护动</w:t>
            </w:r>
            <w:r>
              <w:rPr>
                <w:rFonts w:hint="default" w:ascii="Times New Roman" w:hAnsi="Times New Roman" w:eastAsia="宋体" w:cs="Times New Roman"/>
                <w:color w:val="auto"/>
                <w:spacing w:val="4"/>
                <w:sz w:val="21"/>
                <w:szCs w:val="21"/>
                <w:highlight w:val="none"/>
              </w:rPr>
              <w:t>物(</w:t>
            </w:r>
            <w:r>
              <w:rPr>
                <w:rFonts w:hint="default" w:ascii="Times New Roman" w:hAnsi="Times New Roman" w:eastAsia="宋体" w:cs="Times New Roman"/>
                <w:color w:val="auto"/>
                <w:spacing w:val="2"/>
                <w:sz w:val="21"/>
                <w:szCs w:val="21"/>
                <w:highlight w:val="none"/>
              </w:rPr>
              <w:t>虎纹蛙、红隼、松雀鹰、普通鵟、蛇雕、领角鸮、斑头鸺鹠、小鸦鹃</w:t>
            </w:r>
            <w:r>
              <w:rPr>
                <w:rFonts w:hint="eastAsia" w:ascii="Times New Roman" w:hAnsi="Times New Roman" w:eastAsia="宋体" w:cs="Times New Roman"/>
                <w:color w:val="auto"/>
                <w:spacing w:val="2"/>
                <w:sz w:val="21"/>
                <w:szCs w:val="21"/>
                <w:highlight w:val="none"/>
                <w:lang w:eastAsia="zh-CN"/>
              </w:rPr>
              <w:t>、</w:t>
            </w:r>
            <w:r>
              <w:rPr>
                <w:rFonts w:hint="default" w:ascii="Times New Roman" w:hAnsi="Times New Roman" w:eastAsia="宋体" w:cs="Times New Roman"/>
                <w:color w:val="auto"/>
                <w:spacing w:val="2"/>
                <w:sz w:val="21"/>
                <w:szCs w:val="21"/>
                <w:highlight w:val="none"/>
              </w:rPr>
              <w:t>画眉</w:t>
            </w:r>
            <w:r>
              <w:rPr>
                <w:rFonts w:hint="default" w:ascii="Times New Roman" w:hAnsi="Times New Roman" w:eastAsia="宋体" w:cs="Times New Roman"/>
                <w:color w:val="auto"/>
                <w:spacing w:val="6"/>
                <w:sz w:val="21"/>
                <w:szCs w:val="21"/>
                <w:highlight w:val="none"/>
              </w:rPr>
              <w:t>共</w:t>
            </w:r>
            <w:r>
              <w:rPr>
                <w:rFonts w:hint="default" w:ascii="Times New Roman" w:hAnsi="Times New Roman" w:eastAsia="宋体" w:cs="Times New Roman"/>
                <w:color w:val="auto"/>
                <w:spacing w:val="3"/>
                <w:sz w:val="21"/>
                <w:szCs w:val="21"/>
                <w:highlight w:val="none"/>
              </w:rPr>
              <w:t>9</w:t>
            </w:r>
            <w:r>
              <w:rPr>
                <w:rFonts w:hint="default" w:ascii="Times New Roman" w:hAnsi="Times New Roman" w:eastAsia="宋体" w:cs="Times New Roman"/>
                <w:color w:val="auto"/>
                <w:spacing w:val="2"/>
                <w:sz w:val="21"/>
                <w:szCs w:val="21"/>
                <w:highlight w:val="none"/>
              </w:rPr>
              <w:t>种)</w:t>
            </w:r>
          </w:p>
        </w:tc>
        <w:tc>
          <w:tcPr>
            <w:tcW w:w="2524" w:type="dxa"/>
            <w:vMerge w:val="restart"/>
            <w:tcBorders>
              <w:tl2br w:val="nil"/>
              <w:tr2bl w:val="nil"/>
            </w:tcBorders>
            <w:noWrap w:val="0"/>
            <w:vAlign w:val="center"/>
          </w:tcPr>
          <w:p w14:paraId="5429ACC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1"/>
                <w:sz w:val="21"/>
                <w:szCs w:val="21"/>
                <w:highlight w:val="none"/>
              </w:rPr>
              <w:t>项</w:t>
            </w:r>
            <w:r>
              <w:rPr>
                <w:rFonts w:hint="default" w:ascii="Times New Roman" w:hAnsi="Times New Roman" w:eastAsia="宋体" w:cs="Times New Roman"/>
                <w:color w:val="auto"/>
                <w:spacing w:val="7"/>
                <w:sz w:val="21"/>
                <w:szCs w:val="21"/>
                <w:highlight w:val="none"/>
              </w:rPr>
              <w:t>目影响区域</w:t>
            </w:r>
          </w:p>
        </w:tc>
        <w:tc>
          <w:tcPr>
            <w:tcW w:w="888" w:type="dxa"/>
            <w:vMerge w:val="restart"/>
            <w:tcBorders>
              <w:tl2br w:val="nil"/>
              <w:tr2bl w:val="nil"/>
            </w:tcBorders>
            <w:noWrap w:val="0"/>
            <w:vAlign w:val="center"/>
          </w:tcPr>
          <w:p w14:paraId="2FAB4D8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pacing w:val="9"/>
                <w:sz w:val="21"/>
                <w:szCs w:val="21"/>
                <w:highlight w:val="none"/>
              </w:rPr>
              <w:t>施</w:t>
            </w:r>
            <w:r>
              <w:rPr>
                <w:rFonts w:hint="default" w:ascii="Times New Roman" w:hAnsi="Times New Roman" w:eastAsia="宋体" w:cs="Times New Roman"/>
                <w:color w:val="auto"/>
                <w:spacing w:val="7"/>
                <w:sz w:val="21"/>
                <w:szCs w:val="21"/>
                <w:highlight w:val="none"/>
              </w:rPr>
              <w:t>工期</w:t>
            </w:r>
            <w:r>
              <w:rPr>
                <w:rFonts w:hint="eastAsia" w:cs="Times New Roman"/>
                <w:color w:val="auto"/>
                <w:spacing w:val="7"/>
                <w:sz w:val="21"/>
                <w:szCs w:val="21"/>
                <w:highlight w:val="none"/>
                <w:lang w:eastAsia="zh-CN"/>
              </w:rPr>
              <w:t>、营运期</w:t>
            </w:r>
            <w:r>
              <w:rPr>
                <w:rFonts w:hint="default" w:ascii="Times New Roman" w:hAnsi="Times New Roman" w:eastAsia="宋体" w:cs="Times New Roman"/>
                <w:color w:val="auto"/>
                <w:spacing w:val="3"/>
                <w:sz w:val="21"/>
                <w:szCs w:val="21"/>
                <w:highlight w:val="none"/>
              </w:rPr>
              <w:t>影响动</w:t>
            </w:r>
            <w:r>
              <w:rPr>
                <w:rFonts w:hint="default" w:ascii="Times New Roman" w:hAnsi="Times New Roman" w:eastAsia="宋体" w:cs="Times New Roman"/>
                <w:color w:val="auto"/>
                <w:spacing w:val="7"/>
                <w:sz w:val="21"/>
                <w:szCs w:val="21"/>
                <w:highlight w:val="none"/>
              </w:rPr>
              <w:t>物</w:t>
            </w:r>
            <w:r>
              <w:rPr>
                <w:rFonts w:hint="eastAsia" w:cs="Times New Roman"/>
                <w:color w:val="auto"/>
                <w:spacing w:val="7"/>
                <w:sz w:val="21"/>
                <w:szCs w:val="21"/>
                <w:highlight w:val="none"/>
                <w:lang w:eastAsia="zh-CN"/>
              </w:rPr>
              <w:t>觅食、</w:t>
            </w:r>
            <w:r>
              <w:rPr>
                <w:rFonts w:hint="default" w:ascii="Times New Roman" w:hAnsi="Times New Roman" w:eastAsia="宋体" w:cs="Times New Roman"/>
                <w:color w:val="auto"/>
                <w:spacing w:val="7"/>
                <w:sz w:val="21"/>
                <w:szCs w:val="21"/>
                <w:highlight w:val="none"/>
              </w:rPr>
              <w:t>栖</w:t>
            </w:r>
            <w:r>
              <w:rPr>
                <w:rFonts w:hint="default" w:ascii="Times New Roman" w:hAnsi="Times New Roman" w:eastAsia="宋体" w:cs="Times New Roman"/>
                <w:color w:val="auto"/>
                <w:spacing w:val="6"/>
                <w:sz w:val="21"/>
                <w:szCs w:val="21"/>
                <w:highlight w:val="none"/>
              </w:rPr>
              <w:t>息</w:t>
            </w:r>
            <w:r>
              <w:rPr>
                <w:rFonts w:hint="eastAsia" w:cs="Times New Roman"/>
                <w:color w:val="auto"/>
                <w:spacing w:val="6"/>
                <w:sz w:val="21"/>
                <w:szCs w:val="21"/>
                <w:highlight w:val="none"/>
                <w:lang w:eastAsia="zh-CN"/>
              </w:rPr>
              <w:t>。</w:t>
            </w:r>
          </w:p>
        </w:tc>
        <w:tc>
          <w:tcPr>
            <w:tcW w:w="1304" w:type="dxa"/>
            <w:vMerge w:val="restart"/>
            <w:tcBorders>
              <w:tl2br w:val="nil"/>
              <w:tr2bl w:val="nil"/>
            </w:tcBorders>
            <w:noWrap w:val="0"/>
            <w:vAlign w:val="center"/>
          </w:tcPr>
          <w:p w14:paraId="0020DC3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eastAsia" w:cs="Times New Roman"/>
                <w:color w:val="auto"/>
                <w:spacing w:val="-3"/>
                <w:sz w:val="21"/>
                <w:szCs w:val="21"/>
                <w:highlight w:val="none"/>
                <w:lang w:eastAsia="zh-CN"/>
              </w:rPr>
              <w:t>及时恢复植被</w:t>
            </w:r>
            <w:r>
              <w:rPr>
                <w:rFonts w:hint="default" w:ascii="Times New Roman" w:hAnsi="Times New Roman" w:eastAsia="宋体" w:cs="Times New Roman"/>
                <w:color w:val="auto"/>
                <w:spacing w:val="-2"/>
                <w:sz w:val="21"/>
                <w:szCs w:val="21"/>
                <w:highlight w:val="none"/>
              </w:rPr>
              <w:t>，保</w:t>
            </w:r>
            <w:r>
              <w:rPr>
                <w:rFonts w:hint="default" w:ascii="Times New Roman" w:hAnsi="Times New Roman" w:eastAsia="宋体" w:cs="Times New Roman"/>
                <w:color w:val="auto"/>
                <w:spacing w:val="12"/>
                <w:sz w:val="21"/>
                <w:szCs w:val="21"/>
                <w:highlight w:val="none"/>
              </w:rPr>
              <w:t>护</w:t>
            </w:r>
            <w:r>
              <w:rPr>
                <w:rFonts w:hint="default" w:ascii="Times New Roman" w:hAnsi="Times New Roman" w:eastAsia="宋体" w:cs="Times New Roman"/>
                <w:color w:val="auto"/>
                <w:spacing w:val="8"/>
                <w:sz w:val="21"/>
                <w:szCs w:val="21"/>
                <w:highlight w:val="none"/>
              </w:rPr>
              <w:t>野生动物生存</w:t>
            </w:r>
            <w:r>
              <w:rPr>
                <w:rFonts w:hint="default" w:ascii="Times New Roman" w:hAnsi="Times New Roman" w:eastAsia="宋体" w:cs="Times New Roman"/>
                <w:color w:val="auto"/>
                <w:spacing w:val="5"/>
                <w:sz w:val="21"/>
                <w:szCs w:val="21"/>
                <w:highlight w:val="none"/>
              </w:rPr>
              <w:t>环</w:t>
            </w:r>
            <w:r>
              <w:rPr>
                <w:rFonts w:hint="default" w:ascii="Times New Roman" w:hAnsi="Times New Roman" w:eastAsia="宋体" w:cs="Times New Roman"/>
                <w:color w:val="auto"/>
                <w:spacing w:val="4"/>
                <w:sz w:val="21"/>
                <w:szCs w:val="21"/>
                <w:highlight w:val="none"/>
              </w:rPr>
              <w:t>境</w:t>
            </w:r>
          </w:p>
        </w:tc>
      </w:tr>
      <w:tr w14:paraId="53169D9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54" w:type="dxa"/>
            <w:vMerge w:val="continue"/>
            <w:tcBorders>
              <w:tl2br w:val="nil"/>
              <w:tr2bl w:val="nil"/>
            </w:tcBorders>
            <w:noWrap w:val="0"/>
            <w:textDirection w:val="tbRlV"/>
            <w:vAlign w:val="center"/>
          </w:tcPr>
          <w:p w14:paraId="21FE877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p>
        </w:tc>
        <w:tc>
          <w:tcPr>
            <w:tcW w:w="560" w:type="dxa"/>
            <w:vMerge w:val="continue"/>
            <w:tcBorders>
              <w:tl2br w:val="nil"/>
              <w:tr2bl w:val="nil"/>
            </w:tcBorders>
            <w:noWrap w:val="0"/>
            <w:vAlign w:val="center"/>
          </w:tcPr>
          <w:p w14:paraId="324F57D2">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p>
        </w:tc>
        <w:tc>
          <w:tcPr>
            <w:tcW w:w="584" w:type="dxa"/>
            <w:vMerge w:val="continue"/>
            <w:tcBorders>
              <w:tl2br w:val="nil"/>
              <w:tr2bl w:val="nil"/>
            </w:tcBorders>
            <w:noWrap w:val="0"/>
            <w:vAlign w:val="center"/>
          </w:tcPr>
          <w:p w14:paraId="29C55B3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p>
        </w:tc>
        <w:tc>
          <w:tcPr>
            <w:tcW w:w="2013" w:type="dxa"/>
            <w:tcBorders>
              <w:tl2br w:val="nil"/>
              <w:tr2bl w:val="nil"/>
            </w:tcBorders>
            <w:noWrap w:val="0"/>
            <w:vAlign w:val="center"/>
          </w:tcPr>
          <w:p w14:paraId="6C7CDD6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9"/>
                <w:sz w:val="21"/>
                <w:szCs w:val="21"/>
                <w:highlight w:val="none"/>
              </w:rPr>
              <w:t>湖南省级保护</w:t>
            </w:r>
            <w:r>
              <w:rPr>
                <w:rFonts w:hint="default" w:ascii="Times New Roman" w:hAnsi="Times New Roman" w:eastAsia="宋体" w:cs="Times New Roman"/>
                <w:color w:val="auto"/>
                <w:spacing w:val="7"/>
                <w:sz w:val="21"/>
                <w:szCs w:val="21"/>
                <w:highlight w:val="none"/>
              </w:rPr>
              <w:t>野</w:t>
            </w:r>
            <w:r>
              <w:rPr>
                <w:rFonts w:hint="default" w:ascii="Times New Roman" w:hAnsi="Times New Roman" w:eastAsia="宋体" w:cs="Times New Roman"/>
                <w:color w:val="auto"/>
                <w:spacing w:val="10"/>
                <w:sz w:val="21"/>
                <w:szCs w:val="21"/>
                <w:highlight w:val="none"/>
              </w:rPr>
              <w:t>生</w:t>
            </w:r>
            <w:r>
              <w:rPr>
                <w:rFonts w:hint="default" w:ascii="Times New Roman" w:hAnsi="Times New Roman" w:eastAsia="宋体" w:cs="Times New Roman"/>
                <w:color w:val="auto"/>
                <w:spacing w:val="7"/>
                <w:sz w:val="21"/>
                <w:szCs w:val="21"/>
                <w:highlight w:val="none"/>
              </w:rPr>
              <w:t>动物(中华蟾</w:t>
            </w:r>
            <w:r>
              <w:rPr>
                <w:rFonts w:hint="default" w:ascii="Times New Roman" w:hAnsi="Times New Roman" w:eastAsia="宋体" w:cs="Times New Roman"/>
                <w:color w:val="auto"/>
                <w:spacing w:val="8"/>
                <w:sz w:val="21"/>
                <w:szCs w:val="21"/>
                <w:highlight w:val="none"/>
              </w:rPr>
              <w:t>蜍</w:t>
            </w:r>
            <w:r>
              <w:rPr>
                <w:rFonts w:hint="default" w:ascii="Times New Roman" w:hAnsi="Times New Roman" w:eastAsia="宋体" w:cs="Times New Roman"/>
                <w:color w:val="auto"/>
                <w:spacing w:val="6"/>
                <w:sz w:val="21"/>
                <w:szCs w:val="21"/>
                <w:highlight w:val="none"/>
              </w:rPr>
              <w:t>、沼蛙、黑斑侧</w:t>
            </w:r>
            <w:r>
              <w:rPr>
                <w:rFonts w:hint="default" w:ascii="Times New Roman" w:hAnsi="Times New Roman" w:eastAsia="宋体" w:cs="Times New Roman"/>
                <w:color w:val="auto"/>
                <w:spacing w:val="9"/>
                <w:sz w:val="21"/>
                <w:szCs w:val="21"/>
                <w:highlight w:val="none"/>
              </w:rPr>
              <w:t>褶</w:t>
            </w:r>
            <w:r>
              <w:rPr>
                <w:rFonts w:hint="default" w:ascii="Times New Roman" w:hAnsi="Times New Roman" w:eastAsia="宋体" w:cs="Times New Roman"/>
                <w:color w:val="auto"/>
                <w:spacing w:val="6"/>
                <w:sz w:val="21"/>
                <w:szCs w:val="21"/>
                <w:highlight w:val="none"/>
              </w:rPr>
              <w:t>蛙、泽陆蛙、饰纹姬蛙、中国石</w:t>
            </w:r>
            <w:r>
              <w:rPr>
                <w:rFonts w:hint="default" w:ascii="Times New Roman" w:hAnsi="Times New Roman" w:eastAsia="宋体" w:cs="Times New Roman"/>
                <w:color w:val="auto"/>
                <w:spacing w:val="5"/>
                <w:sz w:val="21"/>
                <w:szCs w:val="21"/>
                <w:highlight w:val="none"/>
              </w:rPr>
              <w:t>龙</w:t>
            </w:r>
            <w:r>
              <w:rPr>
                <w:rFonts w:hint="default" w:ascii="Times New Roman" w:hAnsi="Times New Roman" w:eastAsia="宋体" w:cs="Times New Roman"/>
                <w:color w:val="auto"/>
                <w:spacing w:val="7"/>
                <w:sz w:val="21"/>
                <w:szCs w:val="21"/>
                <w:highlight w:val="none"/>
              </w:rPr>
              <w:t>子</w:t>
            </w:r>
            <w:r>
              <w:rPr>
                <w:rFonts w:hint="default" w:ascii="Times New Roman" w:hAnsi="Times New Roman" w:eastAsia="宋体" w:cs="Times New Roman"/>
                <w:color w:val="auto"/>
                <w:spacing w:val="6"/>
                <w:sz w:val="21"/>
                <w:szCs w:val="21"/>
                <w:highlight w:val="none"/>
              </w:rPr>
              <w:t>、铜蜓蜥、王锦</w:t>
            </w:r>
            <w:r>
              <w:rPr>
                <w:rFonts w:hint="default" w:ascii="Times New Roman" w:hAnsi="Times New Roman" w:eastAsia="宋体" w:cs="Times New Roman"/>
                <w:color w:val="auto"/>
                <w:spacing w:val="8"/>
                <w:sz w:val="21"/>
                <w:szCs w:val="21"/>
                <w:highlight w:val="none"/>
              </w:rPr>
              <w:t>蛇</w:t>
            </w:r>
            <w:r>
              <w:rPr>
                <w:rFonts w:hint="default" w:ascii="Times New Roman" w:hAnsi="Times New Roman" w:eastAsia="宋体" w:cs="Times New Roman"/>
                <w:color w:val="auto"/>
                <w:spacing w:val="6"/>
                <w:sz w:val="21"/>
                <w:szCs w:val="21"/>
                <w:highlight w:val="none"/>
              </w:rPr>
              <w:t>、滑鼠蛇、乌梢</w:t>
            </w:r>
            <w:r>
              <w:rPr>
                <w:rFonts w:hint="default" w:ascii="Times New Roman" w:hAnsi="Times New Roman" w:eastAsia="宋体" w:cs="Times New Roman"/>
                <w:color w:val="auto"/>
                <w:spacing w:val="8"/>
                <w:sz w:val="21"/>
                <w:szCs w:val="21"/>
                <w:highlight w:val="none"/>
              </w:rPr>
              <w:t>蛇</w:t>
            </w:r>
            <w:r>
              <w:rPr>
                <w:rFonts w:hint="default" w:ascii="Times New Roman" w:hAnsi="Times New Roman" w:eastAsia="宋体" w:cs="Times New Roman"/>
                <w:color w:val="auto"/>
                <w:spacing w:val="6"/>
                <w:sz w:val="21"/>
                <w:szCs w:val="21"/>
                <w:highlight w:val="none"/>
              </w:rPr>
              <w:t>、银环蛇、灰胸</w:t>
            </w:r>
          </w:p>
          <w:p w14:paraId="094F800A">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
                <w:sz w:val="21"/>
                <w:szCs w:val="21"/>
                <w:highlight w:val="none"/>
              </w:rPr>
              <w:t>竹鸡等</w:t>
            </w:r>
            <w:r>
              <w:rPr>
                <w:rFonts w:hint="default" w:ascii="Times New Roman" w:hAnsi="Times New Roman" w:eastAsia="宋体" w:cs="Times New Roman"/>
                <w:color w:val="auto"/>
                <w:sz w:val="21"/>
                <w:szCs w:val="21"/>
                <w:highlight w:val="none"/>
              </w:rPr>
              <w:t>86种</w:t>
            </w:r>
          </w:p>
        </w:tc>
        <w:tc>
          <w:tcPr>
            <w:tcW w:w="2524" w:type="dxa"/>
            <w:vMerge w:val="continue"/>
            <w:tcBorders>
              <w:tl2br w:val="nil"/>
              <w:tr2bl w:val="nil"/>
            </w:tcBorders>
            <w:noWrap w:val="0"/>
            <w:vAlign w:val="center"/>
          </w:tcPr>
          <w:p w14:paraId="6BF05FD8">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p>
        </w:tc>
        <w:tc>
          <w:tcPr>
            <w:tcW w:w="888" w:type="dxa"/>
            <w:vMerge w:val="continue"/>
            <w:tcBorders>
              <w:tl2br w:val="nil"/>
              <w:tr2bl w:val="nil"/>
            </w:tcBorders>
            <w:noWrap w:val="0"/>
            <w:vAlign w:val="center"/>
          </w:tcPr>
          <w:p w14:paraId="175CA62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p>
        </w:tc>
        <w:tc>
          <w:tcPr>
            <w:tcW w:w="1304" w:type="dxa"/>
            <w:vMerge w:val="continue"/>
            <w:tcBorders>
              <w:tl2br w:val="nil"/>
              <w:tr2bl w:val="nil"/>
            </w:tcBorders>
            <w:noWrap w:val="0"/>
            <w:vAlign w:val="center"/>
          </w:tcPr>
          <w:p w14:paraId="3E21288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p>
        </w:tc>
      </w:tr>
      <w:tr w14:paraId="445F51A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54" w:type="dxa"/>
            <w:vMerge w:val="continue"/>
            <w:tcBorders>
              <w:tl2br w:val="nil"/>
              <w:tr2bl w:val="nil"/>
            </w:tcBorders>
            <w:noWrap w:val="0"/>
            <w:textDirection w:val="tbRlV"/>
            <w:vAlign w:val="center"/>
          </w:tcPr>
          <w:p w14:paraId="2E5DF7A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p>
        </w:tc>
        <w:tc>
          <w:tcPr>
            <w:tcW w:w="560" w:type="dxa"/>
            <w:tcBorders>
              <w:tl2br w:val="nil"/>
              <w:tr2bl w:val="nil"/>
            </w:tcBorders>
            <w:noWrap w:val="0"/>
            <w:vAlign w:val="center"/>
          </w:tcPr>
          <w:p w14:paraId="3FBB406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7"/>
                <w:sz w:val="21"/>
                <w:szCs w:val="21"/>
                <w:highlight w:val="none"/>
              </w:rPr>
              <w:t>鸟</w:t>
            </w:r>
            <w:r>
              <w:rPr>
                <w:rFonts w:hint="default" w:ascii="Times New Roman" w:hAnsi="Times New Roman" w:eastAsia="宋体" w:cs="Times New Roman"/>
                <w:color w:val="auto"/>
                <w:spacing w:val="6"/>
                <w:sz w:val="21"/>
                <w:szCs w:val="21"/>
                <w:highlight w:val="none"/>
              </w:rPr>
              <w:t>类迁徙</w:t>
            </w:r>
            <w:r>
              <w:rPr>
                <w:rFonts w:hint="default" w:ascii="Times New Roman" w:hAnsi="Times New Roman" w:eastAsia="宋体" w:cs="Times New Roman"/>
                <w:color w:val="auto"/>
                <w:spacing w:val="5"/>
                <w:sz w:val="21"/>
                <w:szCs w:val="21"/>
                <w:highlight w:val="none"/>
              </w:rPr>
              <w:t>通</w:t>
            </w:r>
            <w:r>
              <w:rPr>
                <w:rFonts w:hint="default" w:ascii="Times New Roman" w:hAnsi="Times New Roman" w:eastAsia="宋体" w:cs="Times New Roman"/>
                <w:color w:val="auto"/>
                <w:spacing w:val="4"/>
                <w:sz w:val="21"/>
                <w:szCs w:val="21"/>
                <w:highlight w:val="none"/>
              </w:rPr>
              <w:t>道</w:t>
            </w:r>
          </w:p>
        </w:tc>
        <w:tc>
          <w:tcPr>
            <w:tcW w:w="2597" w:type="dxa"/>
            <w:gridSpan w:val="2"/>
            <w:tcBorders>
              <w:tl2br w:val="nil"/>
              <w:tr2bl w:val="nil"/>
            </w:tcBorders>
            <w:noWrap w:val="0"/>
            <w:vAlign w:val="center"/>
          </w:tcPr>
          <w:p w14:paraId="51B046A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2"/>
                <w:sz w:val="21"/>
                <w:szCs w:val="21"/>
                <w:highlight w:val="none"/>
              </w:rPr>
              <w:t>迁徙鸟类：常见夏候</w:t>
            </w:r>
            <w:r>
              <w:rPr>
                <w:rFonts w:hint="default" w:ascii="Times New Roman" w:hAnsi="Times New Roman" w:eastAsia="宋体" w:cs="Times New Roman"/>
                <w:color w:val="auto"/>
                <w:spacing w:val="1"/>
                <w:sz w:val="21"/>
                <w:szCs w:val="21"/>
                <w:highlight w:val="none"/>
              </w:rPr>
              <w:t>鸟、冬</w:t>
            </w:r>
            <w:r>
              <w:rPr>
                <w:rFonts w:hint="default" w:ascii="Times New Roman" w:hAnsi="Times New Roman" w:eastAsia="宋体" w:cs="Times New Roman"/>
                <w:color w:val="auto"/>
                <w:spacing w:val="2"/>
                <w:sz w:val="21"/>
                <w:szCs w:val="21"/>
                <w:highlight w:val="none"/>
              </w:rPr>
              <w:t>候鸟和</w:t>
            </w:r>
            <w:r>
              <w:rPr>
                <w:rFonts w:hint="default" w:ascii="Times New Roman" w:hAnsi="Times New Roman" w:eastAsia="宋体" w:cs="Times New Roman"/>
                <w:color w:val="auto"/>
                <w:spacing w:val="1"/>
                <w:sz w:val="21"/>
                <w:szCs w:val="21"/>
                <w:highlight w:val="none"/>
              </w:rPr>
              <w:t>旅鸟，主要包括鹃形</w:t>
            </w:r>
            <w:r>
              <w:rPr>
                <w:rFonts w:hint="default" w:ascii="Times New Roman" w:hAnsi="Times New Roman" w:eastAsia="宋体" w:cs="Times New Roman"/>
                <w:color w:val="auto"/>
                <w:spacing w:val="-2"/>
                <w:sz w:val="21"/>
                <w:szCs w:val="21"/>
                <w:highlight w:val="none"/>
              </w:rPr>
              <w:t>目及雀形目部分鸟类，如燕</w:t>
            </w:r>
            <w:r>
              <w:rPr>
                <w:rFonts w:hint="default" w:ascii="Times New Roman" w:hAnsi="Times New Roman" w:eastAsia="宋体" w:cs="Times New Roman"/>
                <w:color w:val="auto"/>
                <w:spacing w:val="2"/>
                <w:sz w:val="21"/>
                <w:szCs w:val="21"/>
                <w:highlight w:val="none"/>
              </w:rPr>
              <w:t>科、杜鹃</w:t>
            </w:r>
            <w:r>
              <w:rPr>
                <w:rFonts w:hint="default" w:ascii="Times New Roman" w:hAnsi="Times New Roman" w:eastAsia="宋体" w:cs="Times New Roman"/>
                <w:color w:val="auto"/>
                <w:spacing w:val="1"/>
                <w:sz w:val="21"/>
                <w:szCs w:val="21"/>
                <w:highlight w:val="none"/>
              </w:rPr>
              <w:t>科、卷尾科、鸫科</w:t>
            </w:r>
            <w:r>
              <w:rPr>
                <w:rFonts w:hint="default" w:ascii="Times New Roman" w:hAnsi="Times New Roman" w:eastAsia="宋体" w:cs="Times New Roman"/>
                <w:color w:val="auto"/>
                <w:spacing w:val="2"/>
                <w:sz w:val="21"/>
                <w:szCs w:val="21"/>
                <w:highlight w:val="none"/>
              </w:rPr>
              <w:t>等的</w:t>
            </w:r>
            <w:r>
              <w:rPr>
                <w:rFonts w:hint="default" w:ascii="Times New Roman" w:hAnsi="Times New Roman" w:eastAsia="宋体" w:cs="Times New Roman"/>
                <w:color w:val="auto"/>
                <w:spacing w:val="1"/>
                <w:sz w:val="21"/>
                <w:szCs w:val="21"/>
                <w:highlight w:val="none"/>
              </w:rPr>
              <w:t>部分种类；少数为雁形</w:t>
            </w:r>
            <w:r>
              <w:rPr>
                <w:rFonts w:hint="default" w:ascii="Times New Roman" w:hAnsi="Times New Roman" w:eastAsia="宋体" w:cs="Times New Roman"/>
                <w:color w:val="auto"/>
                <w:spacing w:val="10"/>
                <w:sz w:val="21"/>
                <w:szCs w:val="21"/>
                <w:highlight w:val="none"/>
              </w:rPr>
              <w:t>目</w:t>
            </w:r>
            <w:r>
              <w:rPr>
                <w:rFonts w:hint="default" w:ascii="Times New Roman" w:hAnsi="Times New Roman" w:eastAsia="宋体" w:cs="Times New Roman"/>
                <w:color w:val="auto"/>
                <w:spacing w:val="5"/>
                <w:sz w:val="21"/>
                <w:szCs w:val="21"/>
                <w:highlight w:val="none"/>
              </w:rPr>
              <w:t>鸭科鸟类和部分隼形目</w:t>
            </w:r>
            <w:r>
              <w:rPr>
                <w:rFonts w:hint="default" w:ascii="Times New Roman" w:hAnsi="Times New Roman" w:eastAsia="宋体" w:cs="Times New Roman"/>
                <w:color w:val="auto"/>
                <w:spacing w:val="4"/>
                <w:sz w:val="21"/>
                <w:szCs w:val="21"/>
                <w:highlight w:val="none"/>
              </w:rPr>
              <w:t>鸟类等。</w:t>
            </w:r>
          </w:p>
        </w:tc>
        <w:tc>
          <w:tcPr>
            <w:tcW w:w="2524" w:type="dxa"/>
            <w:tcBorders>
              <w:tl2br w:val="nil"/>
              <w:tr2bl w:val="nil"/>
            </w:tcBorders>
            <w:noWrap w:val="0"/>
            <w:vAlign w:val="center"/>
          </w:tcPr>
          <w:p w14:paraId="2B3A5D3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2"/>
                <w:sz w:val="21"/>
                <w:szCs w:val="21"/>
                <w:highlight w:val="none"/>
              </w:rPr>
              <w:t>拟</w:t>
            </w:r>
            <w:r>
              <w:rPr>
                <w:rFonts w:hint="default" w:ascii="Times New Roman" w:hAnsi="Times New Roman" w:eastAsia="宋体" w:cs="Times New Roman"/>
                <w:color w:val="auto"/>
                <w:spacing w:val="8"/>
                <w:sz w:val="21"/>
                <w:szCs w:val="21"/>
                <w:highlight w:val="none"/>
              </w:rPr>
              <w:t>建</w:t>
            </w:r>
            <w:r>
              <w:rPr>
                <w:rFonts w:hint="default" w:ascii="Times New Roman" w:hAnsi="Times New Roman" w:eastAsia="宋体" w:cs="Times New Roman"/>
                <w:color w:val="auto"/>
                <w:spacing w:val="12"/>
                <w:sz w:val="21"/>
                <w:szCs w:val="21"/>
                <w:highlight w:val="none"/>
              </w:rPr>
              <w:t>风</w:t>
            </w:r>
            <w:r>
              <w:rPr>
                <w:rFonts w:hint="default" w:ascii="Times New Roman" w:hAnsi="Times New Roman" w:eastAsia="宋体" w:cs="Times New Roman"/>
                <w:color w:val="auto"/>
                <w:spacing w:val="8"/>
                <w:sz w:val="21"/>
                <w:szCs w:val="21"/>
                <w:highlight w:val="none"/>
              </w:rPr>
              <w:t>电场不在祁东</w:t>
            </w:r>
            <w:r>
              <w:rPr>
                <w:rFonts w:hint="default" w:ascii="Times New Roman" w:hAnsi="Times New Roman" w:eastAsia="宋体" w:cs="Times New Roman"/>
                <w:color w:val="auto"/>
                <w:spacing w:val="12"/>
                <w:sz w:val="21"/>
                <w:szCs w:val="21"/>
                <w:highlight w:val="none"/>
              </w:rPr>
              <w:t>的</w:t>
            </w:r>
            <w:r>
              <w:rPr>
                <w:rFonts w:hint="default" w:ascii="Times New Roman" w:hAnsi="Times New Roman" w:eastAsia="宋体" w:cs="Times New Roman"/>
                <w:color w:val="auto"/>
                <w:spacing w:val="8"/>
                <w:sz w:val="21"/>
                <w:szCs w:val="21"/>
                <w:highlight w:val="none"/>
              </w:rPr>
              <w:t>鸟类迁徙通道</w:t>
            </w:r>
            <w:r>
              <w:rPr>
                <w:rFonts w:hint="default" w:ascii="Times New Roman" w:hAnsi="Times New Roman" w:eastAsia="宋体" w:cs="Times New Roman"/>
                <w:color w:val="auto"/>
                <w:spacing w:val="12"/>
                <w:sz w:val="21"/>
                <w:szCs w:val="21"/>
                <w:highlight w:val="none"/>
              </w:rPr>
              <w:t>上</w:t>
            </w:r>
            <w:r>
              <w:rPr>
                <w:rFonts w:hint="default" w:ascii="Times New Roman" w:hAnsi="Times New Roman" w:eastAsia="宋体" w:cs="Times New Roman"/>
                <w:color w:val="auto"/>
                <w:spacing w:val="8"/>
                <w:sz w:val="21"/>
                <w:szCs w:val="21"/>
                <w:highlight w:val="none"/>
              </w:rPr>
              <w:t>，</w:t>
            </w:r>
            <w:r>
              <w:rPr>
                <w:rFonts w:hint="eastAsia" w:cs="Times New Roman"/>
                <w:color w:val="auto"/>
                <w:spacing w:val="8"/>
                <w:sz w:val="21"/>
                <w:szCs w:val="21"/>
                <w:highlight w:val="none"/>
                <w:lang w:val="en-US" w:eastAsia="zh-CN"/>
              </w:rPr>
              <w:t>10#机位与祁东县鸟类迁徙通道最近直线距离为1.07km，海拔高程相差210m</w:t>
            </w:r>
            <w:r>
              <w:rPr>
                <w:rFonts w:hint="default" w:ascii="Times New Roman" w:hAnsi="Times New Roman" w:eastAsia="宋体" w:cs="Times New Roman"/>
                <w:color w:val="auto"/>
                <w:spacing w:val="3"/>
                <w:sz w:val="21"/>
                <w:szCs w:val="21"/>
                <w:highlight w:val="none"/>
              </w:rPr>
              <w:t>。</w:t>
            </w:r>
          </w:p>
        </w:tc>
        <w:tc>
          <w:tcPr>
            <w:tcW w:w="888" w:type="dxa"/>
            <w:tcBorders>
              <w:tl2br w:val="nil"/>
              <w:tr2bl w:val="nil"/>
            </w:tcBorders>
            <w:noWrap w:val="0"/>
            <w:vAlign w:val="center"/>
          </w:tcPr>
          <w:p w14:paraId="2D15BAB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9"/>
                <w:sz w:val="21"/>
                <w:szCs w:val="21"/>
                <w:highlight w:val="none"/>
              </w:rPr>
              <w:t>施</w:t>
            </w:r>
            <w:r>
              <w:rPr>
                <w:rFonts w:hint="default" w:ascii="Times New Roman" w:hAnsi="Times New Roman" w:eastAsia="宋体" w:cs="Times New Roman"/>
                <w:color w:val="auto"/>
                <w:spacing w:val="7"/>
                <w:sz w:val="21"/>
                <w:szCs w:val="21"/>
                <w:highlight w:val="none"/>
              </w:rPr>
              <w:t>工期对</w:t>
            </w:r>
            <w:r>
              <w:rPr>
                <w:rFonts w:hint="default" w:ascii="Times New Roman" w:hAnsi="Times New Roman" w:eastAsia="宋体" w:cs="Times New Roman"/>
                <w:color w:val="auto"/>
                <w:spacing w:val="8"/>
                <w:sz w:val="21"/>
                <w:szCs w:val="21"/>
                <w:highlight w:val="none"/>
              </w:rPr>
              <w:t>鸟</w:t>
            </w:r>
            <w:r>
              <w:rPr>
                <w:rFonts w:hint="default" w:ascii="Times New Roman" w:hAnsi="Times New Roman" w:eastAsia="宋体" w:cs="Times New Roman"/>
                <w:color w:val="auto"/>
                <w:spacing w:val="7"/>
                <w:sz w:val="21"/>
                <w:szCs w:val="21"/>
                <w:highlight w:val="none"/>
              </w:rPr>
              <w:t>类生境</w:t>
            </w:r>
            <w:r>
              <w:rPr>
                <w:rFonts w:hint="default" w:ascii="Times New Roman" w:hAnsi="Times New Roman" w:eastAsia="宋体" w:cs="Times New Roman"/>
                <w:color w:val="auto"/>
                <w:spacing w:val="8"/>
                <w:sz w:val="21"/>
                <w:szCs w:val="21"/>
                <w:highlight w:val="none"/>
              </w:rPr>
              <w:t>影</w:t>
            </w:r>
            <w:r>
              <w:rPr>
                <w:rFonts w:hint="default" w:ascii="Times New Roman" w:hAnsi="Times New Roman" w:eastAsia="宋体" w:cs="Times New Roman"/>
                <w:color w:val="auto"/>
                <w:spacing w:val="7"/>
                <w:sz w:val="21"/>
                <w:szCs w:val="21"/>
                <w:highlight w:val="none"/>
              </w:rPr>
              <w:t>响；运</w:t>
            </w:r>
            <w:r>
              <w:rPr>
                <w:rFonts w:hint="default" w:ascii="Times New Roman" w:hAnsi="Times New Roman" w:eastAsia="宋体" w:cs="Times New Roman"/>
                <w:color w:val="auto"/>
                <w:spacing w:val="8"/>
                <w:sz w:val="21"/>
                <w:szCs w:val="21"/>
                <w:highlight w:val="none"/>
              </w:rPr>
              <w:t>行</w:t>
            </w:r>
            <w:r>
              <w:rPr>
                <w:rFonts w:hint="default" w:ascii="Times New Roman" w:hAnsi="Times New Roman" w:eastAsia="宋体" w:cs="Times New Roman"/>
                <w:color w:val="auto"/>
                <w:spacing w:val="7"/>
                <w:sz w:val="21"/>
                <w:szCs w:val="21"/>
                <w:highlight w:val="none"/>
              </w:rPr>
              <w:t>期风机</w:t>
            </w:r>
            <w:r>
              <w:rPr>
                <w:rFonts w:hint="default" w:ascii="Times New Roman" w:hAnsi="Times New Roman" w:eastAsia="宋体" w:cs="Times New Roman"/>
                <w:color w:val="auto"/>
                <w:spacing w:val="8"/>
                <w:sz w:val="21"/>
                <w:szCs w:val="21"/>
                <w:highlight w:val="none"/>
              </w:rPr>
              <w:t>运</w:t>
            </w:r>
            <w:r>
              <w:rPr>
                <w:rFonts w:hint="default" w:ascii="Times New Roman" w:hAnsi="Times New Roman" w:eastAsia="宋体" w:cs="Times New Roman"/>
                <w:color w:val="auto"/>
                <w:spacing w:val="7"/>
                <w:sz w:val="21"/>
                <w:szCs w:val="21"/>
                <w:highlight w:val="none"/>
              </w:rPr>
              <w:t>行对鸟</w:t>
            </w:r>
            <w:r>
              <w:rPr>
                <w:rFonts w:hint="default" w:ascii="Times New Roman" w:hAnsi="Times New Roman" w:eastAsia="宋体" w:cs="Times New Roman"/>
                <w:color w:val="auto"/>
                <w:spacing w:val="8"/>
                <w:sz w:val="21"/>
                <w:szCs w:val="21"/>
                <w:highlight w:val="none"/>
              </w:rPr>
              <w:t>类</w:t>
            </w:r>
            <w:r>
              <w:rPr>
                <w:rFonts w:hint="default" w:ascii="Times New Roman" w:hAnsi="Times New Roman" w:eastAsia="宋体" w:cs="Times New Roman"/>
                <w:color w:val="auto"/>
                <w:spacing w:val="7"/>
                <w:sz w:val="21"/>
                <w:szCs w:val="21"/>
                <w:highlight w:val="none"/>
              </w:rPr>
              <w:t>的影响</w:t>
            </w:r>
          </w:p>
        </w:tc>
        <w:tc>
          <w:tcPr>
            <w:tcW w:w="1304" w:type="dxa"/>
            <w:tcBorders>
              <w:tl2br w:val="nil"/>
              <w:tr2bl w:val="nil"/>
            </w:tcBorders>
            <w:noWrap w:val="0"/>
            <w:vAlign w:val="center"/>
          </w:tcPr>
          <w:p w14:paraId="4C44D40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3"/>
                <w:sz w:val="21"/>
                <w:szCs w:val="21"/>
                <w:highlight w:val="none"/>
              </w:rPr>
              <w:t>禁</w:t>
            </w:r>
            <w:r>
              <w:rPr>
                <w:rFonts w:hint="default" w:ascii="Times New Roman" w:hAnsi="Times New Roman" w:eastAsia="宋体" w:cs="Times New Roman"/>
                <w:color w:val="auto"/>
                <w:spacing w:val="-2"/>
                <w:sz w:val="21"/>
                <w:szCs w:val="21"/>
                <w:highlight w:val="none"/>
              </w:rPr>
              <w:t>止捕猎，保护鸟</w:t>
            </w:r>
            <w:r>
              <w:rPr>
                <w:rFonts w:hint="default" w:ascii="Times New Roman" w:hAnsi="Times New Roman" w:eastAsia="宋体" w:cs="Times New Roman"/>
                <w:color w:val="auto"/>
                <w:spacing w:val="8"/>
                <w:sz w:val="21"/>
                <w:szCs w:val="21"/>
                <w:highlight w:val="none"/>
              </w:rPr>
              <w:t>类不受伤害</w:t>
            </w:r>
          </w:p>
        </w:tc>
      </w:tr>
      <w:tr w14:paraId="5DDC2DA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54" w:type="dxa"/>
            <w:vMerge w:val="continue"/>
            <w:tcBorders>
              <w:tl2br w:val="nil"/>
              <w:tr2bl w:val="nil"/>
            </w:tcBorders>
            <w:noWrap w:val="0"/>
            <w:textDirection w:val="tbRlV"/>
            <w:vAlign w:val="center"/>
          </w:tcPr>
          <w:p w14:paraId="14F5A05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p>
        </w:tc>
        <w:tc>
          <w:tcPr>
            <w:tcW w:w="560" w:type="dxa"/>
            <w:tcBorders>
              <w:tl2br w:val="nil"/>
              <w:tr2bl w:val="nil"/>
            </w:tcBorders>
            <w:noWrap w:val="0"/>
            <w:vAlign w:val="center"/>
          </w:tcPr>
          <w:p w14:paraId="17BC250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pacing w:val="4"/>
                <w:position w:val="4"/>
                <w:sz w:val="21"/>
                <w:szCs w:val="21"/>
                <w:highlight w:val="none"/>
                <w:lang w:eastAsia="zh-CN"/>
              </w:rPr>
              <w:t>保护林地</w:t>
            </w:r>
          </w:p>
        </w:tc>
        <w:tc>
          <w:tcPr>
            <w:tcW w:w="2597" w:type="dxa"/>
            <w:gridSpan w:val="2"/>
            <w:tcBorders>
              <w:tl2br w:val="nil"/>
              <w:tr2bl w:val="nil"/>
            </w:tcBorders>
            <w:noWrap w:val="0"/>
            <w:vAlign w:val="center"/>
          </w:tcPr>
          <w:p w14:paraId="1A15A3B4">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国家公益林及天然林有林地</w:t>
            </w:r>
          </w:p>
        </w:tc>
        <w:tc>
          <w:tcPr>
            <w:tcW w:w="2524" w:type="dxa"/>
            <w:tcBorders>
              <w:tl2br w:val="nil"/>
              <w:tr2bl w:val="nil"/>
            </w:tcBorders>
            <w:noWrap w:val="0"/>
            <w:vAlign w:val="center"/>
          </w:tcPr>
          <w:p w14:paraId="1BD5AC4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pacing w:val="12"/>
                <w:sz w:val="21"/>
                <w:szCs w:val="21"/>
                <w:highlight w:val="none"/>
                <w:lang w:val="en-US" w:eastAsia="zh-CN"/>
              </w:rPr>
              <w:t>本项目不占用保护林地，该保护林地主要指占地范围外，评价范围内</w:t>
            </w:r>
          </w:p>
        </w:tc>
        <w:tc>
          <w:tcPr>
            <w:tcW w:w="888" w:type="dxa"/>
            <w:tcBorders>
              <w:tl2br w:val="nil"/>
              <w:tr2bl w:val="nil"/>
            </w:tcBorders>
            <w:noWrap w:val="0"/>
            <w:vAlign w:val="center"/>
          </w:tcPr>
          <w:p w14:paraId="63AD8E5D">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9"/>
                <w:sz w:val="21"/>
                <w:szCs w:val="21"/>
                <w:highlight w:val="none"/>
              </w:rPr>
              <w:t>施</w:t>
            </w:r>
            <w:r>
              <w:rPr>
                <w:rFonts w:hint="default" w:ascii="Times New Roman" w:hAnsi="Times New Roman" w:eastAsia="宋体" w:cs="Times New Roman"/>
                <w:color w:val="auto"/>
                <w:spacing w:val="7"/>
                <w:sz w:val="21"/>
                <w:szCs w:val="21"/>
                <w:highlight w:val="none"/>
              </w:rPr>
              <w:t>工期和</w:t>
            </w:r>
            <w:r>
              <w:rPr>
                <w:rFonts w:hint="default" w:ascii="Times New Roman" w:hAnsi="Times New Roman" w:eastAsia="宋体" w:cs="Times New Roman"/>
                <w:color w:val="auto"/>
                <w:spacing w:val="8"/>
                <w:sz w:val="21"/>
                <w:szCs w:val="21"/>
                <w:highlight w:val="none"/>
              </w:rPr>
              <w:t>运</w:t>
            </w:r>
            <w:r>
              <w:rPr>
                <w:rFonts w:hint="default" w:ascii="Times New Roman" w:hAnsi="Times New Roman" w:eastAsia="宋体" w:cs="Times New Roman"/>
                <w:color w:val="auto"/>
                <w:spacing w:val="7"/>
                <w:sz w:val="21"/>
                <w:szCs w:val="21"/>
                <w:highlight w:val="none"/>
              </w:rPr>
              <w:t>行期工</w:t>
            </w:r>
            <w:r>
              <w:rPr>
                <w:rFonts w:hint="default" w:ascii="Times New Roman" w:hAnsi="Times New Roman" w:eastAsia="宋体" w:cs="Times New Roman"/>
                <w:color w:val="auto"/>
                <w:spacing w:val="9"/>
                <w:sz w:val="21"/>
                <w:szCs w:val="21"/>
                <w:highlight w:val="none"/>
              </w:rPr>
              <w:t>程</w:t>
            </w:r>
            <w:r>
              <w:rPr>
                <w:rFonts w:hint="default" w:ascii="Times New Roman" w:hAnsi="Times New Roman" w:eastAsia="宋体" w:cs="Times New Roman"/>
                <w:color w:val="auto"/>
                <w:spacing w:val="7"/>
                <w:sz w:val="21"/>
                <w:szCs w:val="21"/>
                <w:highlight w:val="none"/>
              </w:rPr>
              <w:t>占地的</w:t>
            </w:r>
            <w:r>
              <w:rPr>
                <w:rFonts w:hint="default" w:ascii="Times New Roman" w:hAnsi="Times New Roman" w:eastAsia="宋体" w:cs="Times New Roman"/>
                <w:color w:val="auto"/>
                <w:spacing w:val="5"/>
                <w:sz w:val="21"/>
                <w:szCs w:val="21"/>
                <w:highlight w:val="none"/>
              </w:rPr>
              <w:t>破坏</w:t>
            </w:r>
          </w:p>
        </w:tc>
        <w:tc>
          <w:tcPr>
            <w:tcW w:w="1304" w:type="dxa"/>
            <w:tcBorders>
              <w:tl2br w:val="nil"/>
              <w:tr2bl w:val="nil"/>
            </w:tcBorders>
            <w:noWrap w:val="0"/>
            <w:vAlign w:val="center"/>
          </w:tcPr>
          <w:p w14:paraId="6B4014BE">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1"/>
                <w:sz w:val="21"/>
                <w:szCs w:val="21"/>
                <w:highlight w:val="none"/>
              </w:rPr>
              <w:t>严</w:t>
            </w:r>
            <w:r>
              <w:rPr>
                <w:rFonts w:hint="default" w:ascii="Times New Roman" w:hAnsi="Times New Roman" w:eastAsia="宋体" w:cs="Times New Roman"/>
                <w:color w:val="auto"/>
                <w:spacing w:val="8"/>
                <w:sz w:val="21"/>
                <w:szCs w:val="21"/>
                <w:highlight w:val="none"/>
              </w:rPr>
              <w:t>格按施工红线</w:t>
            </w:r>
            <w:r>
              <w:rPr>
                <w:rFonts w:hint="default" w:ascii="Times New Roman" w:hAnsi="Times New Roman" w:eastAsia="宋体" w:cs="Times New Roman"/>
                <w:color w:val="auto"/>
                <w:spacing w:val="3"/>
                <w:sz w:val="21"/>
                <w:szCs w:val="21"/>
                <w:highlight w:val="none"/>
              </w:rPr>
              <w:t>施</w:t>
            </w:r>
            <w:r>
              <w:rPr>
                <w:rFonts w:hint="default" w:ascii="Times New Roman" w:hAnsi="Times New Roman" w:eastAsia="宋体" w:cs="Times New Roman"/>
                <w:color w:val="auto"/>
                <w:spacing w:val="2"/>
                <w:sz w:val="21"/>
                <w:szCs w:val="21"/>
                <w:highlight w:val="none"/>
              </w:rPr>
              <w:t>工，减少破坏；</w:t>
            </w:r>
            <w:r>
              <w:rPr>
                <w:rFonts w:hint="default" w:ascii="Times New Roman" w:hAnsi="Times New Roman" w:eastAsia="宋体" w:cs="Times New Roman"/>
                <w:color w:val="auto"/>
                <w:spacing w:val="9"/>
                <w:sz w:val="21"/>
                <w:szCs w:val="21"/>
                <w:highlight w:val="none"/>
              </w:rPr>
              <w:t>按相关规定补</w:t>
            </w:r>
            <w:r>
              <w:rPr>
                <w:rFonts w:hint="default" w:ascii="Times New Roman" w:hAnsi="Times New Roman" w:eastAsia="宋体" w:cs="Times New Roman"/>
                <w:color w:val="auto"/>
                <w:spacing w:val="7"/>
                <w:sz w:val="21"/>
                <w:szCs w:val="21"/>
                <w:highlight w:val="none"/>
              </w:rPr>
              <w:t>偿</w:t>
            </w:r>
          </w:p>
        </w:tc>
      </w:tr>
      <w:tr w14:paraId="0FD836C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54" w:type="dxa"/>
            <w:vMerge w:val="continue"/>
            <w:tcBorders>
              <w:tl2br w:val="nil"/>
              <w:tr2bl w:val="nil"/>
            </w:tcBorders>
            <w:noWrap w:val="0"/>
            <w:vAlign w:val="center"/>
          </w:tcPr>
          <w:p w14:paraId="597C5DA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p>
        </w:tc>
        <w:tc>
          <w:tcPr>
            <w:tcW w:w="560" w:type="dxa"/>
            <w:tcBorders>
              <w:tl2br w:val="nil"/>
              <w:tr2bl w:val="nil"/>
            </w:tcBorders>
            <w:noWrap w:val="0"/>
            <w:vAlign w:val="center"/>
          </w:tcPr>
          <w:p w14:paraId="7195384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9"/>
                <w:sz w:val="21"/>
                <w:szCs w:val="21"/>
                <w:highlight w:val="none"/>
              </w:rPr>
              <w:t>水</w:t>
            </w:r>
            <w:r>
              <w:rPr>
                <w:rFonts w:hint="default" w:ascii="Times New Roman" w:hAnsi="Times New Roman" w:eastAsia="宋体" w:cs="Times New Roman"/>
                <w:color w:val="auto"/>
                <w:spacing w:val="6"/>
                <w:sz w:val="21"/>
                <w:szCs w:val="21"/>
                <w:highlight w:val="none"/>
              </w:rPr>
              <w:t>土保持</w:t>
            </w:r>
          </w:p>
        </w:tc>
        <w:tc>
          <w:tcPr>
            <w:tcW w:w="2597" w:type="dxa"/>
            <w:gridSpan w:val="2"/>
            <w:tcBorders>
              <w:tl2br w:val="nil"/>
              <w:tr2bl w:val="nil"/>
            </w:tcBorders>
            <w:noWrap w:val="0"/>
            <w:vAlign w:val="center"/>
          </w:tcPr>
          <w:p w14:paraId="5A86392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6"/>
                <w:position w:val="1"/>
                <w:sz w:val="21"/>
                <w:szCs w:val="21"/>
                <w:highlight w:val="none"/>
              </w:rPr>
              <w:t>扰动</w:t>
            </w:r>
            <w:r>
              <w:rPr>
                <w:rFonts w:hint="default" w:ascii="Times New Roman" w:hAnsi="Times New Roman" w:eastAsia="宋体" w:cs="Times New Roman"/>
                <w:color w:val="auto"/>
                <w:spacing w:val="5"/>
                <w:position w:val="1"/>
                <w:sz w:val="21"/>
                <w:szCs w:val="21"/>
                <w:highlight w:val="none"/>
              </w:rPr>
              <w:t>地</w:t>
            </w:r>
            <w:r>
              <w:rPr>
                <w:rFonts w:hint="default" w:ascii="Times New Roman" w:hAnsi="Times New Roman" w:eastAsia="宋体" w:cs="Times New Roman"/>
                <w:color w:val="auto"/>
                <w:spacing w:val="3"/>
                <w:position w:val="1"/>
                <w:sz w:val="21"/>
                <w:szCs w:val="21"/>
                <w:highlight w:val="none"/>
              </w:rPr>
              <w:t>表面积</w:t>
            </w:r>
            <w:r>
              <w:rPr>
                <w:rFonts w:hint="eastAsia" w:ascii="Times New Roman" w:hAnsi="Times New Roman" w:eastAsia="宋体" w:cs="Times New Roman"/>
                <w:color w:val="auto"/>
                <w:spacing w:val="3"/>
                <w:position w:val="1"/>
                <w:sz w:val="21"/>
                <w:szCs w:val="21"/>
                <w:highlight w:val="none"/>
                <w:lang w:val="en-US" w:eastAsia="zh-CN"/>
              </w:rPr>
              <w:t>49.38</w:t>
            </w:r>
            <w:r>
              <w:rPr>
                <w:rFonts w:hint="default" w:ascii="Times New Roman" w:hAnsi="Times New Roman" w:eastAsia="宋体" w:cs="Times New Roman"/>
                <w:color w:val="auto"/>
                <w:position w:val="1"/>
                <w:sz w:val="21"/>
                <w:szCs w:val="21"/>
                <w:highlight w:val="none"/>
              </w:rPr>
              <w:t>hm</w:t>
            </w:r>
            <w:r>
              <w:rPr>
                <w:rFonts w:hint="default" w:ascii="Times New Roman" w:hAnsi="Times New Roman" w:eastAsia="宋体" w:cs="Times New Roman"/>
                <w:color w:val="auto"/>
                <w:spacing w:val="-2"/>
                <w:position w:val="6"/>
                <w:sz w:val="21"/>
                <w:szCs w:val="21"/>
                <w:highlight w:val="none"/>
                <w:vertAlign w:val="subscript"/>
              </w:rPr>
              <w:t>2</w:t>
            </w:r>
          </w:p>
        </w:tc>
        <w:tc>
          <w:tcPr>
            <w:tcW w:w="2524" w:type="dxa"/>
            <w:tcBorders>
              <w:tl2br w:val="nil"/>
              <w:tr2bl w:val="nil"/>
            </w:tcBorders>
            <w:noWrap w:val="0"/>
            <w:vAlign w:val="center"/>
          </w:tcPr>
          <w:p w14:paraId="16F2FA82">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8"/>
                <w:sz w:val="21"/>
                <w:szCs w:val="21"/>
                <w:highlight w:val="none"/>
              </w:rPr>
              <w:t>工程扰动范</w:t>
            </w:r>
            <w:r>
              <w:rPr>
                <w:rFonts w:hint="default" w:ascii="Times New Roman" w:hAnsi="Times New Roman" w:eastAsia="宋体" w:cs="Times New Roman"/>
                <w:color w:val="auto"/>
                <w:spacing w:val="7"/>
                <w:sz w:val="21"/>
                <w:szCs w:val="21"/>
                <w:highlight w:val="none"/>
              </w:rPr>
              <w:t>围</w:t>
            </w:r>
          </w:p>
        </w:tc>
        <w:tc>
          <w:tcPr>
            <w:tcW w:w="888" w:type="dxa"/>
            <w:tcBorders>
              <w:tl2br w:val="nil"/>
              <w:tr2bl w:val="nil"/>
            </w:tcBorders>
            <w:noWrap w:val="0"/>
            <w:vAlign w:val="center"/>
          </w:tcPr>
          <w:p w14:paraId="007CAE2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7"/>
                <w:sz w:val="21"/>
                <w:szCs w:val="21"/>
                <w:highlight w:val="none"/>
              </w:rPr>
              <w:t>施工期</w:t>
            </w:r>
          </w:p>
        </w:tc>
        <w:tc>
          <w:tcPr>
            <w:tcW w:w="1304" w:type="dxa"/>
            <w:tcBorders>
              <w:tl2br w:val="nil"/>
              <w:tr2bl w:val="nil"/>
            </w:tcBorders>
            <w:noWrap w:val="0"/>
            <w:vAlign w:val="center"/>
          </w:tcPr>
          <w:p w14:paraId="78B4D465">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1"/>
                <w:sz w:val="21"/>
                <w:szCs w:val="21"/>
                <w:highlight w:val="none"/>
              </w:rPr>
              <w:t>按</w:t>
            </w:r>
            <w:r>
              <w:rPr>
                <w:rFonts w:hint="default" w:ascii="Times New Roman" w:hAnsi="Times New Roman" w:eastAsia="宋体" w:cs="Times New Roman"/>
                <w:color w:val="auto"/>
                <w:spacing w:val="8"/>
                <w:sz w:val="21"/>
                <w:szCs w:val="21"/>
                <w:highlight w:val="none"/>
              </w:rPr>
              <w:t>水保要求恢复</w:t>
            </w:r>
          </w:p>
        </w:tc>
      </w:tr>
      <w:tr w14:paraId="338E499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54" w:type="dxa"/>
            <w:vMerge w:val="continue"/>
            <w:tcBorders>
              <w:tl2br w:val="nil"/>
              <w:tr2bl w:val="nil"/>
            </w:tcBorders>
            <w:noWrap w:val="0"/>
            <w:vAlign w:val="center"/>
          </w:tcPr>
          <w:p w14:paraId="3F36ACE8">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p>
        </w:tc>
        <w:tc>
          <w:tcPr>
            <w:tcW w:w="560" w:type="dxa"/>
            <w:tcBorders>
              <w:tl2br w:val="nil"/>
              <w:tr2bl w:val="nil"/>
            </w:tcBorders>
            <w:noWrap w:val="0"/>
            <w:vAlign w:val="center"/>
          </w:tcPr>
          <w:p w14:paraId="78BA837E">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7"/>
                <w:sz w:val="21"/>
                <w:szCs w:val="21"/>
                <w:highlight w:val="none"/>
              </w:rPr>
              <w:t>生态景</w:t>
            </w:r>
            <w:r>
              <w:rPr>
                <w:rFonts w:hint="default" w:ascii="Times New Roman" w:hAnsi="Times New Roman" w:eastAsia="宋体" w:cs="Times New Roman"/>
                <w:color w:val="auto"/>
                <w:spacing w:val="6"/>
                <w:sz w:val="21"/>
                <w:szCs w:val="21"/>
                <w:highlight w:val="none"/>
              </w:rPr>
              <w:t>观</w:t>
            </w:r>
          </w:p>
        </w:tc>
        <w:tc>
          <w:tcPr>
            <w:tcW w:w="2597" w:type="dxa"/>
            <w:gridSpan w:val="2"/>
            <w:tcBorders>
              <w:tl2br w:val="nil"/>
              <w:tr2bl w:val="nil"/>
            </w:tcBorders>
            <w:noWrap w:val="0"/>
            <w:vAlign w:val="center"/>
          </w:tcPr>
          <w:p w14:paraId="190EFCCD">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1"/>
                <w:sz w:val="21"/>
                <w:szCs w:val="21"/>
                <w:highlight w:val="none"/>
              </w:rPr>
              <w:t>生</w:t>
            </w:r>
            <w:r>
              <w:rPr>
                <w:rFonts w:hint="default" w:ascii="Times New Roman" w:hAnsi="Times New Roman" w:eastAsia="宋体" w:cs="Times New Roman"/>
                <w:color w:val="auto"/>
                <w:spacing w:val="8"/>
                <w:sz w:val="21"/>
                <w:szCs w:val="21"/>
                <w:highlight w:val="none"/>
              </w:rPr>
              <w:t>态评价范围内</w:t>
            </w:r>
          </w:p>
        </w:tc>
        <w:tc>
          <w:tcPr>
            <w:tcW w:w="2524" w:type="dxa"/>
            <w:tcBorders>
              <w:tl2br w:val="nil"/>
              <w:tr2bl w:val="nil"/>
            </w:tcBorders>
            <w:noWrap w:val="0"/>
            <w:vAlign w:val="center"/>
          </w:tcPr>
          <w:p w14:paraId="3CC9C4C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2"/>
                <w:position w:val="1"/>
                <w:sz w:val="21"/>
                <w:szCs w:val="21"/>
                <w:highlight w:val="none"/>
              </w:rPr>
              <w:t>/</w:t>
            </w:r>
          </w:p>
        </w:tc>
        <w:tc>
          <w:tcPr>
            <w:tcW w:w="888" w:type="dxa"/>
            <w:tcBorders>
              <w:tl2br w:val="nil"/>
              <w:tr2bl w:val="nil"/>
            </w:tcBorders>
            <w:noWrap w:val="0"/>
            <w:vAlign w:val="center"/>
          </w:tcPr>
          <w:p w14:paraId="36F1E60D">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9"/>
                <w:sz w:val="21"/>
                <w:szCs w:val="21"/>
                <w:highlight w:val="none"/>
              </w:rPr>
              <w:t>施</w:t>
            </w:r>
            <w:r>
              <w:rPr>
                <w:rFonts w:hint="default" w:ascii="Times New Roman" w:hAnsi="Times New Roman" w:eastAsia="宋体" w:cs="Times New Roman"/>
                <w:color w:val="auto"/>
                <w:spacing w:val="7"/>
                <w:sz w:val="21"/>
                <w:szCs w:val="21"/>
                <w:highlight w:val="none"/>
              </w:rPr>
              <w:t>工期及</w:t>
            </w:r>
            <w:r>
              <w:rPr>
                <w:rFonts w:hint="default" w:ascii="Times New Roman" w:hAnsi="Times New Roman" w:eastAsia="宋体" w:cs="Times New Roman"/>
                <w:color w:val="auto"/>
                <w:spacing w:val="6"/>
                <w:sz w:val="21"/>
                <w:szCs w:val="21"/>
                <w:highlight w:val="none"/>
              </w:rPr>
              <w:t>营</w:t>
            </w:r>
            <w:r>
              <w:rPr>
                <w:rFonts w:hint="default" w:ascii="Times New Roman" w:hAnsi="Times New Roman" w:eastAsia="宋体" w:cs="Times New Roman"/>
                <w:color w:val="auto"/>
                <w:spacing w:val="4"/>
                <w:sz w:val="21"/>
                <w:szCs w:val="21"/>
                <w:highlight w:val="none"/>
              </w:rPr>
              <w:t>运期</w:t>
            </w:r>
          </w:p>
        </w:tc>
        <w:tc>
          <w:tcPr>
            <w:tcW w:w="1304" w:type="dxa"/>
            <w:tcBorders>
              <w:tl2br w:val="nil"/>
              <w:tr2bl w:val="nil"/>
            </w:tcBorders>
            <w:noWrap w:val="0"/>
            <w:vAlign w:val="center"/>
          </w:tcPr>
          <w:p w14:paraId="28E03F7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1"/>
                <w:sz w:val="21"/>
                <w:szCs w:val="21"/>
                <w:highlight w:val="none"/>
              </w:rPr>
              <w:t>保</w:t>
            </w:r>
            <w:r>
              <w:rPr>
                <w:rFonts w:hint="default" w:ascii="Times New Roman" w:hAnsi="Times New Roman" w:eastAsia="宋体" w:cs="Times New Roman"/>
                <w:color w:val="auto"/>
                <w:spacing w:val="8"/>
                <w:sz w:val="21"/>
                <w:szCs w:val="21"/>
                <w:highlight w:val="none"/>
              </w:rPr>
              <w:t>持与周边景观</w:t>
            </w:r>
            <w:r>
              <w:rPr>
                <w:rFonts w:hint="default" w:ascii="Times New Roman" w:hAnsi="Times New Roman" w:eastAsia="宋体" w:cs="Times New Roman"/>
                <w:color w:val="auto"/>
                <w:spacing w:val="7"/>
                <w:sz w:val="21"/>
                <w:szCs w:val="21"/>
                <w:highlight w:val="none"/>
              </w:rPr>
              <w:t>协调一致</w:t>
            </w:r>
          </w:p>
        </w:tc>
      </w:tr>
    </w:tbl>
    <w:p w14:paraId="682BB32F">
      <w:pPr>
        <w:pStyle w:val="6"/>
        <w:rPr>
          <w:rFonts w:hint="default" w:ascii="Times New Roman" w:hAnsi="Times New Roman" w:cs="Times New Roman"/>
          <w:color w:val="auto"/>
          <w:highlight w:val="none"/>
        </w:rPr>
      </w:pPr>
      <w:r>
        <w:rPr>
          <w:rFonts w:hint="eastAsia" w:cs="Times New Roman"/>
          <w:color w:val="auto"/>
          <w:highlight w:val="none"/>
          <w:lang w:eastAsia="zh-CN"/>
        </w:rPr>
        <w:t>地表水环境保护目标</w:t>
      </w:r>
    </w:p>
    <w:p w14:paraId="69776AB2">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b/>
          <w:bCs/>
          <w:color w:val="auto"/>
          <w:sz w:val="24"/>
          <w:szCs w:val="24"/>
          <w:highlight w:val="none"/>
          <w:lang w:eastAsia="zh-CN"/>
        </w:rPr>
      </w:pPr>
      <w:r>
        <w:rPr>
          <w:rFonts w:hint="default" w:ascii="Times New Roman" w:hAnsi="Times New Roman" w:eastAsia="宋体" w:cs="Times New Roman"/>
          <w:b/>
          <w:bCs/>
          <w:color w:val="auto"/>
          <w:sz w:val="24"/>
          <w:szCs w:val="24"/>
          <w:highlight w:val="none"/>
        </w:rPr>
        <w:t>表</w:t>
      </w:r>
      <w:r>
        <w:rPr>
          <w:rFonts w:hint="eastAsia" w:ascii="Times New Roman" w:hAnsi="Times New Roman" w:eastAsia="宋体" w:cs="Times New Roman"/>
          <w:b/>
          <w:bCs/>
          <w:color w:val="auto"/>
          <w:sz w:val="24"/>
          <w:szCs w:val="24"/>
          <w:highlight w:val="none"/>
          <w:lang w:val="en-US" w:eastAsia="zh-CN"/>
        </w:rPr>
        <w:t xml:space="preserve">2.2-7  </w:t>
      </w:r>
      <w:r>
        <w:rPr>
          <w:rFonts w:hint="default" w:ascii="Times New Roman" w:hAnsi="Times New Roman" w:eastAsia="宋体" w:cs="Times New Roman"/>
          <w:b/>
          <w:bCs/>
          <w:color w:val="auto"/>
          <w:sz w:val="24"/>
          <w:szCs w:val="24"/>
          <w:highlight w:val="none"/>
        </w:rPr>
        <w:t>本项目</w:t>
      </w:r>
      <w:r>
        <w:rPr>
          <w:rFonts w:hint="eastAsia" w:ascii="Times New Roman" w:hAnsi="Times New Roman" w:eastAsia="宋体" w:cs="Times New Roman"/>
          <w:b/>
          <w:bCs/>
          <w:color w:val="auto"/>
          <w:sz w:val="24"/>
          <w:szCs w:val="24"/>
          <w:highlight w:val="none"/>
          <w:lang w:eastAsia="zh-CN"/>
        </w:rPr>
        <w:t>地表水</w:t>
      </w:r>
      <w:r>
        <w:rPr>
          <w:rFonts w:hint="default" w:ascii="Times New Roman" w:hAnsi="Times New Roman" w:eastAsia="宋体" w:cs="Times New Roman"/>
          <w:b/>
          <w:bCs/>
          <w:color w:val="auto"/>
          <w:sz w:val="24"/>
          <w:szCs w:val="24"/>
          <w:highlight w:val="none"/>
        </w:rPr>
        <w:t>环境保护目标一览表</w:t>
      </w:r>
    </w:p>
    <w:tbl>
      <w:tblPr>
        <w:tblStyle w:val="38"/>
        <w:tblW w:w="5054"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13"/>
        <w:gridCol w:w="993"/>
        <w:gridCol w:w="1965"/>
        <w:gridCol w:w="1977"/>
        <w:gridCol w:w="958"/>
        <w:gridCol w:w="1720"/>
      </w:tblGrid>
      <w:tr w14:paraId="6860C2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0" w:type="dxa"/>
            <w:tcBorders>
              <w:top w:val="single" w:color="000000" w:sz="12" w:space="0"/>
              <w:left w:val="single" w:color="000000" w:sz="12" w:space="0"/>
              <w:bottom w:val="single" w:color="000000" w:sz="4" w:space="0"/>
              <w:right w:val="single" w:color="000000" w:sz="4" w:space="0"/>
            </w:tcBorders>
            <w:noWrap w:val="0"/>
            <w:vAlign w:val="center"/>
          </w:tcPr>
          <w:p w14:paraId="4A318B6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环境</w:t>
            </w:r>
          </w:p>
          <w:p w14:paraId="67B7671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要素</w:t>
            </w:r>
          </w:p>
        </w:tc>
        <w:tc>
          <w:tcPr>
            <w:tcW w:w="989" w:type="dxa"/>
            <w:tcBorders>
              <w:top w:val="single" w:color="000000" w:sz="12" w:space="0"/>
              <w:left w:val="single" w:color="000000" w:sz="4" w:space="0"/>
              <w:bottom w:val="single" w:color="000000" w:sz="4" w:space="0"/>
              <w:right w:val="single" w:color="000000" w:sz="4" w:space="0"/>
            </w:tcBorders>
            <w:noWrap w:val="0"/>
            <w:vAlign w:val="center"/>
          </w:tcPr>
          <w:p w14:paraId="4D2D9FA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保护目标</w:t>
            </w:r>
          </w:p>
        </w:tc>
        <w:tc>
          <w:tcPr>
            <w:tcW w:w="1958" w:type="dxa"/>
            <w:tcBorders>
              <w:top w:val="single" w:color="000000" w:sz="12" w:space="0"/>
              <w:left w:val="single" w:color="000000" w:sz="4" w:space="0"/>
              <w:bottom w:val="single" w:color="000000" w:sz="4" w:space="0"/>
              <w:right w:val="single" w:color="000000" w:sz="4" w:space="0"/>
            </w:tcBorders>
            <w:noWrap w:val="0"/>
            <w:vAlign w:val="center"/>
          </w:tcPr>
          <w:p w14:paraId="2FE314F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规模及特征</w:t>
            </w:r>
          </w:p>
        </w:tc>
        <w:tc>
          <w:tcPr>
            <w:tcW w:w="1970" w:type="dxa"/>
            <w:tcBorders>
              <w:top w:val="single" w:color="000000" w:sz="12" w:space="0"/>
              <w:left w:val="single" w:color="000000" w:sz="4" w:space="0"/>
              <w:bottom w:val="single" w:color="000000" w:sz="4" w:space="0"/>
              <w:right w:val="single" w:color="000000" w:sz="4" w:space="0"/>
            </w:tcBorders>
            <w:noWrap w:val="0"/>
            <w:vAlign w:val="center"/>
          </w:tcPr>
          <w:p w14:paraId="652F35F7">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与工程</w:t>
            </w:r>
            <w:r>
              <w:rPr>
                <w:rFonts w:hint="eastAsia" w:cs="Times New Roman"/>
                <w:color w:val="auto"/>
                <w:sz w:val="21"/>
                <w:szCs w:val="21"/>
                <w:highlight w:val="none"/>
                <w:lang w:val="en-US" w:eastAsia="zh-CN"/>
              </w:rPr>
              <w:t>位置</w:t>
            </w:r>
            <w:r>
              <w:rPr>
                <w:rFonts w:hint="default" w:ascii="Times New Roman" w:hAnsi="Times New Roman" w:eastAsia="宋体" w:cs="Times New Roman"/>
                <w:color w:val="auto"/>
                <w:sz w:val="21"/>
                <w:szCs w:val="21"/>
                <w:highlight w:val="none"/>
                <w:lang w:val="en-US" w:eastAsia="zh-CN"/>
              </w:rPr>
              <w:t>关系及</w:t>
            </w:r>
            <w:r>
              <w:rPr>
                <w:rFonts w:hint="eastAsia" w:cs="Times New Roman"/>
                <w:color w:val="auto"/>
                <w:sz w:val="21"/>
                <w:szCs w:val="21"/>
                <w:highlight w:val="none"/>
                <w:lang w:val="en-US" w:eastAsia="zh-CN"/>
              </w:rPr>
              <w:t>水力联系</w:t>
            </w:r>
          </w:p>
        </w:tc>
        <w:tc>
          <w:tcPr>
            <w:tcW w:w="955" w:type="dxa"/>
            <w:tcBorders>
              <w:top w:val="single" w:color="000000" w:sz="12" w:space="0"/>
              <w:left w:val="single" w:color="000000" w:sz="4" w:space="0"/>
              <w:bottom w:val="single" w:color="000000" w:sz="4" w:space="0"/>
              <w:right w:val="single" w:color="000000" w:sz="4" w:space="0"/>
            </w:tcBorders>
            <w:noWrap w:val="0"/>
            <w:vAlign w:val="center"/>
          </w:tcPr>
          <w:p w14:paraId="17631C5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影响源和时段</w:t>
            </w:r>
          </w:p>
        </w:tc>
        <w:tc>
          <w:tcPr>
            <w:tcW w:w="1714" w:type="dxa"/>
            <w:tcBorders>
              <w:top w:val="single" w:color="000000" w:sz="12" w:space="0"/>
              <w:left w:val="single" w:color="000000" w:sz="4" w:space="0"/>
              <w:bottom w:val="single" w:color="000000" w:sz="4" w:space="0"/>
              <w:right w:val="single" w:color="000000" w:sz="12" w:space="0"/>
            </w:tcBorders>
            <w:noWrap w:val="0"/>
            <w:vAlign w:val="center"/>
          </w:tcPr>
          <w:p w14:paraId="26B7A975">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保护要求</w:t>
            </w:r>
          </w:p>
        </w:tc>
      </w:tr>
      <w:tr w14:paraId="0F38DE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0" w:type="dxa"/>
            <w:vMerge w:val="restart"/>
            <w:tcBorders>
              <w:top w:val="single" w:color="000000" w:sz="4" w:space="0"/>
              <w:left w:val="single" w:color="000000" w:sz="12" w:space="0"/>
              <w:bottom w:val="single" w:color="000000" w:sz="4" w:space="0"/>
              <w:right w:val="single" w:color="000000" w:sz="4" w:space="0"/>
            </w:tcBorders>
            <w:noWrap w:val="0"/>
            <w:textDirection w:val="tbRlV"/>
            <w:vAlign w:val="center"/>
          </w:tcPr>
          <w:p w14:paraId="5B91128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水环境</w:t>
            </w:r>
          </w:p>
        </w:tc>
        <w:tc>
          <w:tcPr>
            <w:tcW w:w="989" w:type="dxa"/>
            <w:tcBorders>
              <w:top w:val="single" w:color="000000" w:sz="4" w:space="0"/>
              <w:left w:val="single" w:color="000000" w:sz="4" w:space="0"/>
              <w:bottom w:val="single" w:color="000000" w:sz="4" w:space="0"/>
              <w:right w:val="single" w:color="000000" w:sz="4" w:space="0"/>
            </w:tcBorders>
            <w:noWrap w:val="0"/>
            <w:vAlign w:val="center"/>
          </w:tcPr>
          <w:p w14:paraId="6AB55A6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炳溪冲水库</w:t>
            </w:r>
          </w:p>
        </w:tc>
        <w:tc>
          <w:tcPr>
            <w:tcW w:w="1958" w:type="dxa"/>
            <w:tcBorders>
              <w:top w:val="single" w:color="000000" w:sz="4" w:space="0"/>
              <w:left w:val="single" w:color="000000" w:sz="4" w:space="0"/>
              <w:bottom w:val="single" w:color="000000" w:sz="4" w:space="0"/>
              <w:right w:val="single" w:color="000000" w:sz="4" w:space="0"/>
            </w:tcBorders>
            <w:noWrap w:val="0"/>
            <w:vAlign w:val="center"/>
          </w:tcPr>
          <w:p w14:paraId="380A60E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小(I)型水库，总库容350.50万m</w:t>
            </w:r>
            <w:r>
              <w:rPr>
                <w:rFonts w:hint="default" w:ascii="Times New Roman" w:hAnsi="Times New Roman" w:eastAsia="宋体" w:cs="Times New Roman"/>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val="en-US" w:eastAsia="zh-CN"/>
              </w:rPr>
              <w:t>；功能以灌溉为主，结合防洪、供水、发电等，供水人口约1.9万人；</w:t>
            </w:r>
            <w:r>
              <w:rPr>
                <w:rFonts w:hint="eastAsia" w:ascii="Times New Roman" w:hAnsi="Times New Roman" w:eastAsia="宋体" w:cs="Times New Roman"/>
                <w:color w:val="auto"/>
                <w:sz w:val="21"/>
                <w:szCs w:val="21"/>
                <w:highlight w:val="none"/>
                <w:lang w:val="en-US" w:eastAsia="zh-CN"/>
              </w:rPr>
              <w:t>饮用水源，</w:t>
            </w:r>
            <w:r>
              <w:rPr>
                <w:rFonts w:hint="default" w:ascii="Times New Roman" w:hAnsi="Times New Roman" w:eastAsia="宋体" w:cs="Times New Roman"/>
                <w:color w:val="auto"/>
                <w:sz w:val="21"/>
                <w:szCs w:val="21"/>
                <w:highlight w:val="none"/>
                <w:lang w:val="en-US" w:eastAsia="zh-CN"/>
              </w:rPr>
              <w:t>执行GB3838-2002中Ⅱ类标准</w:t>
            </w:r>
          </w:p>
        </w:tc>
        <w:tc>
          <w:tcPr>
            <w:tcW w:w="1970" w:type="dxa"/>
            <w:tcBorders>
              <w:top w:val="single" w:color="000000" w:sz="4" w:space="0"/>
              <w:left w:val="single" w:color="000000" w:sz="4" w:space="0"/>
              <w:bottom w:val="single" w:color="000000" w:sz="4" w:space="0"/>
              <w:right w:val="single" w:color="000000" w:sz="4" w:space="0"/>
            </w:tcBorders>
            <w:noWrap w:val="0"/>
            <w:vAlign w:val="center"/>
          </w:tcPr>
          <w:p w14:paraId="61E8D922">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本项目1#、11#、12#</w:t>
            </w:r>
            <w:r>
              <w:rPr>
                <w:rFonts w:hint="default" w:ascii="Times New Roman" w:hAnsi="Times New Roman" w:eastAsia="宋体" w:cs="Times New Roman"/>
                <w:color w:val="auto"/>
                <w:sz w:val="21"/>
                <w:szCs w:val="21"/>
                <w:highlight w:val="none"/>
                <w:lang w:val="en-US" w:eastAsia="zh-CN"/>
              </w:rPr>
              <w:t>风机机位、集电线路、道路工程均不在炳溪冲水库饮用水源二级保护区陆域范围之内</w:t>
            </w:r>
            <w:r>
              <w:rPr>
                <w:rFonts w:hint="eastAsia" w:cs="Times New Roman"/>
                <w:color w:val="auto"/>
                <w:sz w:val="21"/>
                <w:szCs w:val="21"/>
                <w:highlight w:val="none"/>
                <w:lang w:val="en-US" w:eastAsia="zh-CN"/>
              </w:rPr>
              <w:t>，与炳溪冲水库无水力联系。</w:t>
            </w:r>
          </w:p>
        </w:tc>
        <w:tc>
          <w:tcPr>
            <w:tcW w:w="955" w:type="dxa"/>
            <w:vMerge w:val="restart"/>
            <w:tcBorders>
              <w:top w:val="single" w:color="000000" w:sz="4" w:space="0"/>
              <w:left w:val="single" w:color="000000" w:sz="4" w:space="0"/>
              <w:right w:val="single" w:color="000000" w:sz="4" w:space="0"/>
            </w:tcBorders>
            <w:noWrap w:val="0"/>
            <w:vAlign w:val="center"/>
          </w:tcPr>
          <w:p w14:paraId="34E40D3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施工废水</w:t>
            </w:r>
          </w:p>
        </w:tc>
        <w:tc>
          <w:tcPr>
            <w:tcW w:w="1714" w:type="dxa"/>
            <w:vMerge w:val="restart"/>
            <w:tcBorders>
              <w:top w:val="single" w:color="000000" w:sz="4" w:space="0"/>
              <w:left w:val="single" w:color="000000" w:sz="4" w:space="0"/>
              <w:right w:val="single" w:color="000000" w:sz="12" w:space="0"/>
            </w:tcBorders>
            <w:noWrap w:val="0"/>
            <w:vAlign w:val="center"/>
          </w:tcPr>
          <w:p w14:paraId="17D20994">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严格划定施工边界，设置截、排、引流以及拦挡措施，确保所有废水不进入</w:t>
            </w:r>
            <w:r>
              <w:rPr>
                <w:rFonts w:hint="eastAsia" w:cs="Times New Roman"/>
                <w:color w:val="auto"/>
                <w:sz w:val="21"/>
                <w:szCs w:val="21"/>
                <w:highlight w:val="none"/>
                <w:lang w:val="en-US" w:eastAsia="zh-CN"/>
              </w:rPr>
              <w:t>饮用水源保护区；施工结束后及时做好植被恢复</w:t>
            </w:r>
            <w:r>
              <w:rPr>
                <w:rFonts w:hint="default" w:ascii="Times New Roman" w:hAnsi="Times New Roman" w:eastAsia="宋体" w:cs="Times New Roman"/>
                <w:color w:val="auto"/>
                <w:sz w:val="21"/>
                <w:szCs w:val="21"/>
                <w:highlight w:val="none"/>
                <w:lang w:val="en-US" w:eastAsia="zh-CN"/>
              </w:rPr>
              <w:t>。</w:t>
            </w:r>
          </w:p>
        </w:tc>
      </w:tr>
      <w:tr w14:paraId="441CF8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0" w:type="dxa"/>
            <w:vMerge w:val="continue"/>
            <w:tcBorders>
              <w:left w:val="single" w:color="000000" w:sz="12" w:space="0"/>
              <w:right w:val="single" w:color="000000" w:sz="4" w:space="0"/>
            </w:tcBorders>
            <w:noWrap w:val="0"/>
            <w:textDirection w:val="tbRlV"/>
            <w:vAlign w:val="center"/>
          </w:tcPr>
          <w:p w14:paraId="093AB707">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989" w:type="dxa"/>
            <w:tcBorders>
              <w:top w:val="single" w:color="000000" w:sz="4" w:space="0"/>
              <w:left w:val="single" w:color="000000" w:sz="4" w:space="0"/>
              <w:bottom w:val="single" w:color="000000" w:sz="4" w:space="0"/>
              <w:right w:val="single" w:color="000000" w:sz="4" w:space="0"/>
            </w:tcBorders>
            <w:noWrap w:val="0"/>
            <w:vAlign w:val="center"/>
          </w:tcPr>
          <w:p w14:paraId="33E805A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祁东县马杜桥乡星桥村刘家冲水库饮用水水源</w:t>
            </w:r>
            <w:r>
              <w:rPr>
                <w:rFonts w:hint="eastAsia" w:ascii="Times New Roman" w:hAnsi="Times New Roman" w:eastAsia="宋体" w:cs="Times New Roman"/>
                <w:color w:val="auto"/>
                <w:sz w:val="21"/>
                <w:szCs w:val="21"/>
                <w:highlight w:val="none"/>
                <w:lang w:val="en-US" w:eastAsia="zh-CN"/>
              </w:rPr>
              <w:t>地</w:t>
            </w:r>
            <w:r>
              <w:rPr>
                <w:rFonts w:hint="eastAsia" w:cs="Times New Roman"/>
                <w:color w:val="auto"/>
                <w:sz w:val="21"/>
                <w:szCs w:val="21"/>
                <w:highlight w:val="none"/>
                <w:lang w:val="en-US" w:eastAsia="zh-CN"/>
              </w:rPr>
              <w:t>及取水口</w:t>
            </w:r>
          </w:p>
        </w:tc>
        <w:tc>
          <w:tcPr>
            <w:tcW w:w="1958" w:type="dxa"/>
            <w:tcBorders>
              <w:top w:val="single" w:color="000000" w:sz="4" w:space="0"/>
              <w:left w:val="single" w:color="000000" w:sz="4" w:space="0"/>
              <w:bottom w:val="single" w:color="000000" w:sz="4" w:space="0"/>
              <w:right w:val="single" w:color="000000" w:sz="4" w:space="0"/>
            </w:tcBorders>
            <w:noWrap w:val="0"/>
            <w:vAlign w:val="center"/>
          </w:tcPr>
          <w:p w14:paraId="3C3BF4F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小(</w:t>
            </w:r>
            <w:r>
              <w:rPr>
                <w:rFonts w:hint="default" w:ascii="Times New Roman" w:hAnsi="Times New Roman" w:eastAsia="宋体" w:cs="Times New Roman"/>
                <w:color w:val="auto"/>
                <w:sz w:val="21"/>
                <w:szCs w:val="21"/>
                <w:highlight w:val="none"/>
                <w:lang w:val="en-US" w:eastAsia="zh-CN"/>
              </w:rPr>
              <w:t>Ⅱ</w:t>
            </w:r>
            <w:r>
              <w:rPr>
                <w:rFonts w:hint="eastAsia" w:ascii="Times New Roman" w:hAnsi="Times New Roman" w:eastAsia="宋体" w:cs="Times New Roman"/>
                <w:color w:val="auto"/>
                <w:sz w:val="21"/>
                <w:szCs w:val="21"/>
                <w:highlight w:val="none"/>
                <w:lang w:val="en-US" w:eastAsia="zh-CN"/>
              </w:rPr>
              <w:t>)型水库，总库容97.50万m</w:t>
            </w:r>
            <w:r>
              <w:rPr>
                <w:rFonts w:hint="eastAsia" w:ascii="Times New Roman" w:hAnsi="Times New Roman" w:eastAsia="宋体" w:cs="Times New Roman"/>
                <w:color w:val="auto"/>
                <w:sz w:val="21"/>
                <w:szCs w:val="21"/>
                <w:highlight w:val="none"/>
                <w:vertAlign w:val="superscript"/>
                <w:lang w:val="en-US" w:eastAsia="zh-CN"/>
              </w:rPr>
              <w:t>3</w:t>
            </w:r>
            <w:r>
              <w:rPr>
                <w:rFonts w:hint="eastAsia" w:ascii="Times New Roman" w:hAnsi="Times New Roman" w:eastAsia="宋体" w:cs="Times New Roman"/>
                <w:color w:val="auto"/>
                <w:sz w:val="21"/>
                <w:szCs w:val="21"/>
                <w:highlight w:val="none"/>
                <w:lang w:val="en-US" w:eastAsia="zh-CN"/>
              </w:rPr>
              <w:t>；功能以灌溉为主，结合防洪、供水、发电等；饮用水源，执行</w:t>
            </w:r>
            <w:r>
              <w:rPr>
                <w:rFonts w:hint="default" w:ascii="Times New Roman" w:hAnsi="Times New Roman" w:eastAsia="宋体" w:cs="Times New Roman"/>
                <w:color w:val="auto"/>
                <w:sz w:val="21"/>
                <w:szCs w:val="21"/>
                <w:highlight w:val="none"/>
                <w:lang w:val="en-US" w:eastAsia="zh-CN"/>
              </w:rPr>
              <w:t>GB3838-2002中Ⅱ类标准</w:t>
            </w:r>
          </w:p>
        </w:tc>
        <w:tc>
          <w:tcPr>
            <w:tcW w:w="1970" w:type="dxa"/>
            <w:tcBorders>
              <w:top w:val="single" w:color="000000" w:sz="4" w:space="0"/>
              <w:left w:val="single" w:color="000000" w:sz="4" w:space="0"/>
              <w:bottom w:val="single" w:color="000000" w:sz="4" w:space="0"/>
              <w:right w:val="single" w:color="000000" w:sz="4" w:space="0"/>
            </w:tcBorders>
            <w:noWrap w:val="0"/>
            <w:vAlign w:val="center"/>
          </w:tcPr>
          <w:p w14:paraId="247F0EC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5#风机机位</w:t>
            </w:r>
            <w:r>
              <w:rPr>
                <w:rFonts w:hint="eastAsia" w:cs="Times New Roman"/>
                <w:color w:val="auto"/>
                <w:sz w:val="21"/>
                <w:szCs w:val="21"/>
                <w:highlight w:val="none"/>
                <w:lang w:val="en-US" w:eastAsia="zh-CN"/>
              </w:rPr>
              <w:t>、集电线路及</w:t>
            </w:r>
            <w:r>
              <w:rPr>
                <w:rFonts w:hint="default" w:ascii="Times New Roman" w:hAnsi="Times New Roman" w:eastAsia="宋体" w:cs="Times New Roman"/>
                <w:color w:val="auto"/>
                <w:sz w:val="21"/>
                <w:szCs w:val="21"/>
                <w:highlight w:val="none"/>
                <w:lang w:val="en-US" w:eastAsia="zh-CN"/>
              </w:rPr>
              <w:t>道路工程均不在刘家冲水库饮用水源保护区范围内</w:t>
            </w:r>
            <w:r>
              <w:rPr>
                <w:rFonts w:hint="eastAsia" w:cs="Times New Roman"/>
                <w:color w:val="auto"/>
                <w:sz w:val="21"/>
                <w:szCs w:val="21"/>
                <w:highlight w:val="none"/>
                <w:lang w:val="en-US" w:eastAsia="zh-CN"/>
              </w:rPr>
              <w:t>，与</w:t>
            </w:r>
            <w:r>
              <w:rPr>
                <w:rFonts w:hint="default" w:ascii="Times New Roman" w:hAnsi="Times New Roman" w:eastAsia="宋体" w:cs="Times New Roman"/>
                <w:color w:val="auto"/>
                <w:sz w:val="21"/>
                <w:szCs w:val="21"/>
                <w:highlight w:val="none"/>
                <w:lang w:val="en-US" w:eastAsia="zh-CN"/>
              </w:rPr>
              <w:t>刘家冲水库饮用水源保护区</w:t>
            </w:r>
            <w:r>
              <w:rPr>
                <w:rFonts w:hint="eastAsia" w:cs="Times New Roman"/>
                <w:color w:val="auto"/>
                <w:sz w:val="21"/>
                <w:szCs w:val="21"/>
                <w:highlight w:val="none"/>
                <w:lang w:val="en-US" w:eastAsia="zh-CN"/>
              </w:rPr>
              <w:t>无水力联系</w:t>
            </w:r>
            <w:r>
              <w:rPr>
                <w:rFonts w:hint="default" w:ascii="Times New Roman" w:hAnsi="Times New Roman" w:eastAsia="宋体" w:cs="Times New Roman"/>
                <w:color w:val="auto"/>
                <w:sz w:val="21"/>
                <w:szCs w:val="21"/>
                <w:highlight w:val="none"/>
                <w:lang w:val="en-US" w:eastAsia="zh-CN"/>
              </w:rPr>
              <w:t>。</w:t>
            </w:r>
          </w:p>
        </w:tc>
        <w:tc>
          <w:tcPr>
            <w:tcW w:w="955" w:type="dxa"/>
            <w:vMerge w:val="continue"/>
            <w:tcBorders>
              <w:left w:val="single" w:color="000000" w:sz="4" w:space="0"/>
              <w:right w:val="single" w:color="000000" w:sz="4" w:space="0"/>
            </w:tcBorders>
            <w:noWrap w:val="0"/>
            <w:vAlign w:val="center"/>
          </w:tcPr>
          <w:p w14:paraId="5CC3ACD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1714" w:type="dxa"/>
            <w:vMerge w:val="continue"/>
            <w:tcBorders>
              <w:left w:val="single" w:color="000000" w:sz="4" w:space="0"/>
              <w:right w:val="single" w:color="000000" w:sz="12" w:space="0"/>
            </w:tcBorders>
            <w:noWrap w:val="0"/>
            <w:vAlign w:val="center"/>
          </w:tcPr>
          <w:p w14:paraId="7005843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r>
      <w:tr w14:paraId="03ED3C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0" w:type="dxa"/>
            <w:vMerge w:val="continue"/>
            <w:tcBorders>
              <w:left w:val="single" w:color="000000" w:sz="12" w:space="0"/>
              <w:right w:val="single" w:color="000000" w:sz="4" w:space="0"/>
            </w:tcBorders>
            <w:noWrap w:val="0"/>
            <w:textDirection w:val="tbRlV"/>
            <w:vAlign w:val="center"/>
          </w:tcPr>
          <w:p w14:paraId="534957B7">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989" w:type="dxa"/>
            <w:tcBorders>
              <w:top w:val="single" w:color="000000" w:sz="4" w:space="0"/>
              <w:left w:val="single" w:color="000000" w:sz="4" w:space="0"/>
              <w:bottom w:val="single" w:color="000000" w:sz="4" w:space="0"/>
              <w:right w:val="single" w:color="000000" w:sz="4" w:space="0"/>
            </w:tcBorders>
            <w:noWrap w:val="0"/>
            <w:vAlign w:val="center"/>
          </w:tcPr>
          <w:p w14:paraId="2B62FC4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祁东县马杜桥乡延塘村山溪饮用水水源</w:t>
            </w:r>
            <w:r>
              <w:rPr>
                <w:rFonts w:hint="eastAsia" w:ascii="Times New Roman" w:hAnsi="Times New Roman" w:eastAsia="宋体" w:cs="Times New Roman"/>
                <w:color w:val="auto"/>
                <w:sz w:val="21"/>
                <w:szCs w:val="21"/>
                <w:highlight w:val="none"/>
                <w:lang w:val="en-US" w:eastAsia="zh-CN"/>
              </w:rPr>
              <w:t>地</w:t>
            </w:r>
            <w:r>
              <w:rPr>
                <w:rFonts w:hint="eastAsia" w:cs="Times New Roman"/>
                <w:color w:val="auto"/>
                <w:sz w:val="21"/>
                <w:szCs w:val="21"/>
                <w:highlight w:val="none"/>
                <w:lang w:val="en-US" w:eastAsia="zh-CN"/>
              </w:rPr>
              <w:t>及取水口</w:t>
            </w:r>
          </w:p>
        </w:tc>
        <w:tc>
          <w:tcPr>
            <w:tcW w:w="1958" w:type="dxa"/>
            <w:tcBorders>
              <w:top w:val="single" w:color="000000" w:sz="4" w:space="0"/>
              <w:left w:val="single" w:color="000000" w:sz="4" w:space="0"/>
              <w:bottom w:val="single" w:color="000000" w:sz="4" w:space="0"/>
              <w:right w:val="single" w:color="000000" w:sz="4" w:space="0"/>
            </w:tcBorders>
            <w:noWrap w:val="0"/>
            <w:vAlign w:val="center"/>
          </w:tcPr>
          <w:p w14:paraId="619B6BA4">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山间小溪，宽0.5m；饮用水源，执行</w:t>
            </w:r>
            <w:r>
              <w:rPr>
                <w:rFonts w:hint="default" w:ascii="Times New Roman" w:hAnsi="Times New Roman" w:eastAsia="宋体" w:cs="Times New Roman"/>
                <w:color w:val="auto"/>
                <w:sz w:val="21"/>
                <w:szCs w:val="21"/>
                <w:highlight w:val="none"/>
                <w:lang w:val="en-US" w:eastAsia="zh-CN"/>
              </w:rPr>
              <w:t>GB3838-2002中Ⅱ类标准</w:t>
            </w:r>
          </w:p>
        </w:tc>
        <w:tc>
          <w:tcPr>
            <w:tcW w:w="1970" w:type="dxa"/>
            <w:tcBorders>
              <w:top w:val="single" w:color="000000" w:sz="4" w:space="0"/>
              <w:left w:val="single" w:color="000000" w:sz="4" w:space="0"/>
              <w:bottom w:val="single" w:color="000000" w:sz="4" w:space="0"/>
              <w:right w:val="single" w:color="000000" w:sz="4" w:space="0"/>
            </w:tcBorders>
            <w:noWrap w:val="0"/>
            <w:vAlign w:val="center"/>
          </w:tcPr>
          <w:p w14:paraId="10350E6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w:t>
            </w:r>
            <w:r>
              <w:rPr>
                <w:rFonts w:hint="default" w:ascii="Times New Roman" w:hAnsi="Times New Roman" w:eastAsia="宋体" w:cs="Times New Roman"/>
                <w:color w:val="auto"/>
                <w:sz w:val="21"/>
                <w:szCs w:val="21"/>
                <w:highlight w:val="none"/>
                <w:lang w:val="en-US" w:eastAsia="zh-CN"/>
              </w:rPr>
              <w:t>3#机位</w:t>
            </w:r>
            <w:r>
              <w:rPr>
                <w:rFonts w:hint="eastAsia" w:cs="Times New Roman"/>
                <w:color w:val="auto"/>
                <w:sz w:val="21"/>
                <w:szCs w:val="21"/>
                <w:highlight w:val="none"/>
                <w:lang w:val="en-US" w:eastAsia="zh-CN"/>
              </w:rPr>
              <w:t>与饮用水源无水力联系；13#机位道路（集电线路）位于饮用水源北侧，与饮用水源二级保护区陆域边界最近距离为20m，与取水口最近距离为95m，有水力联系的道路长度为710m</w:t>
            </w:r>
            <w:r>
              <w:rPr>
                <w:rFonts w:hint="default" w:ascii="Times New Roman" w:hAnsi="Times New Roman" w:eastAsia="宋体" w:cs="Times New Roman"/>
                <w:color w:val="auto"/>
                <w:sz w:val="21"/>
                <w:szCs w:val="21"/>
                <w:highlight w:val="none"/>
                <w:lang w:val="en-US" w:eastAsia="zh-CN"/>
              </w:rPr>
              <w:t>。</w:t>
            </w:r>
          </w:p>
        </w:tc>
        <w:tc>
          <w:tcPr>
            <w:tcW w:w="955" w:type="dxa"/>
            <w:vMerge w:val="continue"/>
            <w:tcBorders>
              <w:left w:val="single" w:color="000000" w:sz="4" w:space="0"/>
              <w:right w:val="single" w:color="000000" w:sz="4" w:space="0"/>
            </w:tcBorders>
            <w:noWrap w:val="0"/>
            <w:vAlign w:val="center"/>
          </w:tcPr>
          <w:p w14:paraId="12169F82">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1714" w:type="dxa"/>
            <w:vMerge w:val="continue"/>
            <w:tcBorders>
              <w:left w:val="single" w:color="000000" w:sz="4" w:space="0"/>
              <w:right w:val="single" w:color="000000" w:sz="12" w:space="0"/>
            </w:tcBorders>
            <w:noWrap w:val="0"/>
            <w:vAlign w:val="center"/>
          </w:tcPr>
          <w:p w14:paraId="413194D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r>
      <w:tr w14:paraId="438FBD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0" w:type="dxa"/>
            <w:vMerge w:val="continue"/>
            <w:tcBorders>
              <w:left w:val="single" w:color="000000" w:sz="12" w:space="0"/>
              <w:right w:val="single" w:color="000000" w:sz="4" w:space="0"/>
            </w:tcBorders>
            <w:noWrap w:val="0"/>
            <w:textDirection w:val="tbRlV"/>
            <w:vAlign w:val="center"/>
          </w:tcPr>
          <w:p w14:paraId="6CF6752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989" w:type="dxa"/>
            <w:tcBorders>
              <w:top w:val="single" w:color="000000" w:sz="4" w:space="0"/>
              <w:left w:val="single" w:color="000000" w:sz="4" w:space="0"/>
              <w:bottom w:val="single" w:color="000000" w:sz="4" w:space="0"/>
              <w:right w:val="single" w:color="000000" w:sz="4" w:space="0"/>
            </w:tcBorders>
            <w:noWrap w:val="0"/>
            <w:vAlign w:val="center"/>
          </w:tcPr>
          <w:p w14:paraId="7329ACE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祁东县马杜桥乡马杜桥村（罗江桥）山溪饮用水水源</w:t>
            </w:r>
            <w:r>
              <w:rPr>
                <w:rFonts w:hint="eastAsia" w:ascii="Times New Roman" w:hAnsi="Times New Roman" w:eastAsia="宋体" w:cs="Times New Roman"/>
                <w:color w:val="auto"/>
                <w:sz w:val="21"/>
                <w:szCs w:val="21"/>
                <w:highlight w:val="none"/>
                <w:lang w:val="en-US" w:eastAsia="zh-CN"/>
              </w:rPr>
              <w:t>地</w:t>
            </w:r>
            <w:r>
              <w:rPr>
                <w:rFonts w:hint="eastAsia" w:cs="Times New Roman"/>
                <w:color w:val="auto"/>
                <w:sz w:val="21"/>
                <w:szCs w:val="21"/>
                <w:highlight w:val="none"/>
                <w:lang w:val="en-US" w:eastAsia="zh-CN"/>
              </w:rPr>
              <w:t>及取水口</w:t>
            </w:r>
          </w:p>
        </w:tc>
        <w:tc>
          <w:tcPr>
            <w:tcW w:w="1958" w:type="dxa"/>
            <w:tcBorders>
              <w:top w:val="single" w:color="000000" w:sz="4" w:space="0"/>
              <w:left w:val="single" w:color="000000" w:sz="4" w:space="0"/>
              <w:bottom w:val="single" w:color="000000" w:sz="4" w:space="0"/>
              <w:right w:val="single" w:color="000000" w:sz="4" w:space="0"/>
            </w:tcBorders>
            <w:noWrap w:val="0"/>
            <w:vAlign w:val="center"/>
          </w:tcPr>
          <w:p w14:paraId="2D61634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山间小溪，宽0.5m；饮用水源，执行</w:t>
            </w:r>
            <w:r>
              <w:rPr>
                <w:rFonts w:hint="default" w:ascii="Times New Roman" w:hAnsi="Times New Roman" w:eastAsia="宋体" w:cs="Times New Roman"/>
                <w:color w:val="auto"/>
                <w:sz w:val="21"/>
                <w:szCs w:val="21"/>
                <w:highlight w:val="none"/>
                <w:lang w:val="en-US" w:eastAsia="zh-CN"/>
              </w:rPr>
              <w:t>GB3838-2002中Ⅱ类标准</w:t>
            </w:r>
          </w:p>
        </w:tc>
        <w:tc>
          <w:tcPr>
            <w:tcW w:w="1970" w:type="dxa"/>
            <w:tcBorders>
              <w:top w:val="single" w:color="000000" w:sz="4" w:space="0"/>
              <w:left w:val="single" w:color="000000" w:sz="4" w:space="0"/>
              <w:bottom w:val="single" w:color="000000" w:sz="4" w:space="0"/>
              <w:right w:val="single" w:color="000000" w:sz="4" w:space="0"/>
            </w:tcBorders>
            <w:noWrap w:val="0"/>
            <w:vAlign w:val="center"/>
          </w:tcPr>
          <w:p w14:paraId="20174DA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14</w:t>
            </w:r>
            <w:r>
              <w:rPr>
                <w:rFonts w:hint="default" w:ascii="Times New Roman" w:hAnsi="Times New Roman" w:eastAsia="宋体" w:cs="Times New Roman"/>
                <w:color w:val="auto"/>
                <w:sz w:val="21"/>
                <w:szCs w:val="21"/>
                <w:highlight w:val="none"/>
                <w:lang w:val="en-US" w:eastAsia="zh-CN"/>
              </w:rPr>
              <w:t>#风机机位、集电线路及道路工程均</w:t>
            </w:r>
            <w:r>
              <w:rPr>
                <w:rFonts w:hint="eastAsia" w:cs="Times New Roman"/>
                <w:color w:val="auto"/>
                <w:sz w:val="21"/>
                <w:szCs w:val="21"/>
                <w:highlight w:val="none"/>
                <w:lang w:val="en-US" w:eastAsia="zh-CN"/>
              </w:rPr>
              <w:t>不在</w:t>
            </w:r>
            <w:r>
              <w:rPr>
                <w:rFonts w:hint="default" w:ascii="Times New Roman" w:hAnsi="Times New Roman" w:eastAsia="宋体" w:cs="Times New Roman"/>
                <w:color w:val="auto"/>
                <w:sz w:val="21"/>
                <w:szCs w:val="21"/>
                <w:highlight w:val="none"/>
                <w:lang w:val="en-US" w:eastAsia="zh-CN"/>
              </w:rPr>
              <w:t>马杜桥村（罗江桥）山溪饮用水水源汇水范围内，与水源地</w:t>
            </w:r>
            <w:r>
              <w:rPr>
                <w:rFonts w:hint="eastAsia" w:cs="Times New Roman"/>
                <w:color w:val="auto"/>
                <w:sz w:val="21"/>
                <w:szCs w:val="21"/>
                <w:highlight w:val="none"/>
                <w:lang w:val="en-US" w:eastAsia="zh-CN"/>
              </w:rPr>
              <w:t>无水力联系</w:t>
            </w:r>
            <w:r>
              <w:rPr>
                <w:rFonts w:hint="default" w:ascii="Times New Roman" w:hAnsi="Times New Roman" w:eastAsia="宋体" w:cs="Times New Roman"/>
                <w:color w:val="auto"/>
                <w:sz w:val="21"/>
                <w:szCs w:val="21"/>
                <w:highlight w:val="none"/>
                <w:lang w:val="en-US" w:eastAsia="zh-CN"/>
              </w:rPr>
              <w:t>。</w:t>
            </w:r>
          </w:p>
        </w:tc>
        <w:tc>
          <w:tcPr>
            <w:tcW w:w="955" w:type="dxa"/>
            <w:vMerge w:val="continue"/>
            <w:tcBorders>
              <w:left w:val="single" w:color="000000" w:sz="4" w:space="0"/>
              <w:right w:val="single" w:color="000000" w:sz="4" w:space="0"/>
            </w:tcBorders>
            <w:noWrap w:val="0"/>
            <w:vAlign w:val="center"/>
          </w:tcPr>
          <w:p w14:paraId="6E53CEB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1714" w:type="dxa"/>
            <w:vMerge w:val="continue"/>
            <w:tcBorders>
              <w:left w:val="single" w:color="000000" w:sz="4" w:space="0"/>
              <w:right w:val="single" w:color="000000" w:sz="12" w:space="0"/>
            </w:tcBorders>
            <w:noWrap w:val="0"/>
            <w:vAlign w:val="center"/>
          </w:tcPr>
          <w:p w14:paraId="3833B8B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r>
      <w:tr w14:paraId="4B9AF5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0" w:type="dxa"/>
            <w:vMerge w:val="continue"/>
            <w:tcBorders>
              <w:left w:val="single" w:color="000000" w:sz="12" w:space="0"/>
              <w:right w:val="single" w:color="000000" w:sz="4" w:space="0"/>
            </w:tcBorders>
            <w:noWrap w:val="0"/>
            <w:textDirection w:val="tbRlV"/>
            <w:vAlign w:val="center"/>
          </w:tcPr>
          <w:p w14:paraId="01967C7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989" w:type="dxa"/>
            <w:tcBorders>
              <w:top w:val="single" w:color="000000" w:sz="4" w:space="0"/>
              <w:left w:val="single" w:color="000000" w:sz="4" w:space="0"/>
              <w:bottom w:val="single" w:color="000000" w:sz="4" w:space="0"/>
              <w:right w:val="single" w:color="000000" w:sz="4" w:space="0"/>
            </w:tcBorders>
            <w:noWrap w:val="0"/>
            <w:vAlign w:val="center"/>
          </w:tcPr>
          <w:p w14:paraId="55CA3EA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祁东县马杜桥乡山溪水饮用水水源</w:t>
            </w:r>
            <w:r>
              <w:rPr>
                <w:rFonts w:hint="eastAsia" w:ascii="Times New Roman" w:hAnsi="Times New Roman" w:eastAsia="宋体" w:cs="Times New Roman"/>
                <w:color w:val="auto"/>
                <w:sz w:val="21"/>
                <w:szCs w:val="21"/>
                <w:highlight w:val="none"/>
                <w:lang w:val="en-US" w:eastAsia="zh-CN"/>
              </w:rPr>
              <w:t>地</w:t>
            </w:r>
            <w:r>
              <w:rPr>
                <w:rFonts w:hint="eastAsia" w:cs="Times New Roman"/>
                <w:color w:val="auto"/>
                <w:sz w:val="21"/>
                <w:szCs w:val="21"/>
                <w:highlight w:val="none"/>
                <w:lang w:val="en-US" w:eastAsia="zh-CN"/>
              </w:rPr>
              <w:t>及取水口</w:t>
            </w:r>
          </w:p>
        </w:tc>
        <w:tc>
          <w:tcPr>
            <w:tcW w:w="1958" w:type="dxa"/>
            <w:tcBorders>
              <w:top w:val="single" w:color="000000" w:sz="4" w:space="0"/>
              <w:left w:val="single" w:color="000000" w:sz="4" w:space="0"/>
              <w:bottom w:val="single" w:color="000000" w:sz="4" w:space="0"/>
              <w:right w:val="single" w:color="000000" w:sz="4" w:space="0"/>
            </w:tcBorders>
            <w:noWrap w:val="0"/>
            <w:vAlign w:val="center"/>
          </w:tcPr>
          <w:p w14:paraId="46C3493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山间小溪，宽0.5m；饮用水源，执行</w:t>
            </w:r>
            <w:r>
              <w:rPr>
                <w:rFonts w:hint="default" w:ascii="Times New Roman" w:hAnsi="Times New Roman" w:eastAsia="宋体" w:cs="Times New Roman"/>
                <w:color w:val="auto"/>
                <w:sz w:val="21"/>
                <w:szCs w:val="21"/>
                <w:highlight w:val="none"/>
                <w:lang w:val="en-US" w:eastAsia="zh-CN"/>
              </w:rPr>
              <w:t>GB3838-2002中Ⅱ类标准</w:t>
            </w:r>
          </w:p>
        </w:tc>
        <w:tc>
          <w:tcPr>
            <w:tcW w:w="1970" w:type="dxa"/>
            <w:tcBorders>
              <w:top w:val="single" w:color="000000" w:sz="4" w:space="0"/>
              <w:left w:val="single" w:color="000000" w:sz="4" w:space="0"/>
              <w:bottom w:val="single" w:color="000000" w:sz="4" w:space="0"/>
              <w:right w:val="single" w:color="000000" w:sz="4" w:space="0"/>
            </w:tcBorders>
            <w:noWrap w:val="0"/>
            <w:vAlign w:val="center"/>
          </w:tcPr>
          <w:p w14:paraId="76B6A2E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14#、</w:t>
            </w:r>
            <w:r>
              <w:rPr>
                <w:rFonts w:hint="default" w:ascii="Times New Roman" w:hAnsi="Times New Roman" w:eastAsia="宋体" w:cs="Times New Roman"/>
                <w:color w:val="auto"/>
                <w:sz w:val="21"/>
                <w:szCs w:val="21"/>
                <w:highlight w:val="none"/>
                <w:lang w:val="en-US" w:eastAsia="zh-CN"/>
              </w:rPr>
              <w:t>15#机位</w:t>
            </w:r>
            <w:r>
              <w:rPr>
                <w:rFonts w:hint="eastAsia" w:cs="Times New Roman"/>
                <w:color w:val="auto"/>
                <w:sz w:val="21"/>
                <w:szCs w:val="21"/>
                <w:highlight w:val="none"/>
                <w:lang w:val="en-US" w:eastAsia="zh-CN"/>
              </w:rPr>
              <w:t>与饮用水源无水力联系；道路工程三面环绕饮用水源，与饮用水源二级水域最近距离45m，与取水口最近距离1045m，有水力联系的道路长度为1125m</w:t>
            </w:r>
            <w:r>
              <w:rPr>
                <w:rFonts w:hint="default" w:ascii="Times New Roman" w:hAnsi="Times New Roman" w:eastAsia="宋体" w:cs="Times New Roman"/>
                <w:color w:val="auto"/>
                <w:sz w:val="21"/>
                <w:szCs w:val="21"/>
                <w:highlight w:val="none"/>
                <w:lang w:val="en-US" w:eastAsia="zh-CN"/>
              </w:rPr>
              <w:t>。</w:t>
            </w:r>
          </w:p>
        </w:tc>
        <w:tc>
          <w:tcPr>
            <w:tcW w:w="955" w:type="dxa"/>
            <w:vMerge w:val="continue"/>
            <w:tcBorders>
              <w:left w:val="single" w:color="000000" w:sz="4" w:space="0"/>
              <w:right w:val="single" w:color="000000" w:sz="4" w:space="0"/>
            </w:tcBorders>
            <w:noWrap w:val="0"/>
            <w:vAlign w:val="center"/>
          </w:tcPr>
          <w:p w14:paraId="3358D53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1714" w:type="dxa"/>
            <w:vMerge w:val="continue"/>
            <w:tcBorders>
              <w:left w:val="single" w:color="000000" w:sz="4" w:space="0"/>
              <w:right w:val="single" w:color="000000" w:sz="12" w:space="0"/>
            </w:tcBorders>
            <w:noWrap w:val="0"/>
            <w:vAlign w:val="center"/>
          </w:tcPr>
          <w:p w14:paraId="5420175A">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r>
      <w:tr w14:paraId="4D7918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0" w:type="dxa"/>
            <w:vMerge w:val="continue"/>
            <w:tcBorders>
              <w:top w:val="single" w:color="000000" w:sz="4" w:space="0"/>
              <w:left w:val="single" w:color="000000" w:sz="12" w:space="0"/>
              <w:bottom w:val="single" w:color="000000" w:sz="4" w:space="0"/>
              <w:right w:val="single" w:color="000000" w:sz="4" w:space="0"/>
            </w:tcBorders>
            <w:noWrap w:val="0"/>
            <w:textDirection w:val="tbRlV"/>
            <w:vAlign w:val="center"/>
          </w:tcPr>
          <w:p w14:paraId="11AE119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989" w:type="dxa"/>
            <w:tcBorders>
              <w:top w:val="single" w:color="000000" w:sz="4" w:space="0"/>
              <w:left w:val="single" w:color="000000" w:sz="4" w:space="0"/>
              <w:bottom w:val="single" w:color="000000" w:sz="4" w:space="0"/>
              <w:right w:val="single" w:color="000000" w:sz="4" w:space="0"/>
            </w:tcBorders>
            <w:noWrap w:val="0"/>
            <w:vAlign w:val="center"/>
          </w:tcPr>
          <w:p w14:paraId="78B50A3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寿岭冲</w:t>
            </w:r>
          </w:p>
          <w:p w14:paraId="5B80507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水库</w:t>
            </w:r>
          </w:p>
        </w:tc>
        <w:tc>
          <w:tcPr>
            <w:tcW w:w="1958" w:type="dxa"/>
            <w:tcBorders>
              <w:top w:val="single" w:color="000000" w:sz="4" w:space="0"/>
              <w:left w:val="single" w:color="000000" w:sz="4" w:space="0"/>
              <w:bottom w:val="single" w:color="000000" w:sz="4" w:space="0"/>
              <w:right w:val="single" w:color="000000" w:sz="4" w:space="0"/>
            </w:tcBorders>
            <w:noWrap w:val="0"/>
            <w:vAlign w:val="center"/>
          </w:tcPr>
          <w:p w14:paraId="03C0424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小(I)型水库，总库容269.85万m</w:t>
            </w:r>
            <w:r>
              <w:rPr>
                <w:rFonts w:hint="default" w:ascii="Times New Roman" w:hAnsi="Times New Roman" w:eastAsia="宋体" w:cs="Times New Roman"/>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val="en-US" w:eastAsia="zh-CN"/>
              </w:rPr>
              <w:t>；非饮用水源，功能以灌溉为主，兼有防洪。执行GB3838-2002中Ⅲ类标准。</w:t>
            </w:r>
          </w:p>
        </w:tc>
        <w:tc>
          <w:tcPr>
            <w:tcW w:w="1970" w:type="dxa"/>
            <w:tcBorders>
              <w:top w:val="single" w:color="000000" w:sz="4" w:space="0"/>
              <w:left w:val="single" w:color="000000" w:sz="4" w:space="0"/>
              <w:bottom w:val="single" w:color="000000" w:sz="4" w:space="0"/>
              <w:right w:val="single" w:color="000000" w:sz="4" w:space="0"/>
            </w:tcBorders>
            <w:noWrap w:val="0"/>
            <w:vAlign w:val="center"/>
          </w:tcPr>
          <w:p w14:paraId="17EF7E94">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寿岭冲水库</w:t>
            </w:r>
            <w:r>
              <w:rPr>
                <w:rFonts w:hint="eastAsia" w:ascii="Times New Roman" w:hAnsi="Times New Roman" w:eastAsia="宋体" w:cs="Times New Roman"/>
                <w:color w:val="auto"/>
                <w:sz w:val="21"/>
                <w:szCs w:val="21"/>
                <w:highlight w:val="none"/>
                <w:lang w:val="en-US" w:eastAsia="zh-CN"/>
              </w:rPr>
              <w:t>库尾</w:t>
            </w:r>
            <w:r>
              <w:rPr>
                <w:rFonts w:hint="default" w:ascii="Times New Roman" w:hAnsi="Times New Roman" w:eastAsia="宋体" w:cs="Times New Roman"/>
                <w:color w:val="auto"/>
                <w:sz w:val="21"/>
                <w:szCs w:val="21"/>
                <w:highlight w:val="none"/>
                <w:lang w:val="en-US" w:eastAsia="zh-CN"/>
              </w:rPr>
              <w:t>距离</w:t>
            </w:r>
            <w:r>
              <w:rPr>
                <w:rFonts w:hint="eastAsia" w:ascii="Times New Roman" w:hAnsi="Times New Roman" w:eastAsia="宋体" w:cs="Times New Roman"/>
                <w:color w:val="auto"/>
                <w:sz w:val="21"/>
                <w:szCs w:val="21"/>
                <w:highlight w:val="none"/>
                <w:lang w:val="en-US" w:eastAsia="zh-CN"/>
              </w:rPr>
              <w:t>升压站最近距离</w:t>
            </w:r>
            <w:r>
              <w:rPr>
                <w:rFonts w:hint="default" w:ascii="Times New Roman" w:hAnsi="Times New Roman" w:eastAsia="宋体" w:cs="Times New Roman"/>
                <w:color w:val="auto"/>
                <w:sz w:val="21"/>
                <w:szCs w:val="21"/>
                <w:highlight w:val="none"/>
                <w:lang w:val="en-US" w:eastAsia="zh-CN"/>
              </w:rPr>
              <w:t>约</w:t>
            </w:r>
            <w:r>
              <w:rPr>
                <w:rFonts w:hint="eastAsia" w:ascii="Times New Roman" w:hAnsi="Times New Roman" w:eastAsia="宋体" w:cs="Times New Roman"/>
                <w:color w:val="auto"/>
                <w:sz w:val="21"/>
                <w:szCs w:val="21"/>
                <w:highlight w:val="none"/>
                <w:lang w:val="en-US" w:eastAsia="zh-CN"/>
              </w:rPr>
              <w:t>180</w:t>
            </w:r>
            <w:r>
              <w:rPr>
                <w:rFonts w:hint="default" w:ascii="Times New Roman" w:hAnsi="Times New Roman" w:eastAsia="宋体" w:cs="Times New Roman"/>
                <w:color w:val="auto"/>
                <w:sz w:val="21"/>
                <w:szCs w:val="21"/>
                <w:highlight w:val="none"/>
                <w:lang w:val="en-US" w:eastAsia="zh-CN"/>
              </w:rPr>
              <w:t>m，</w:t>
            </w:r>
            <w:r>
              <w:rPr>
                <w:rFonts w:hint="eastAsia" w:ascii="Times New Roman" w:hAnsi="Times New Roman" w:eastAsia="宋体" w:cs="Times New Roman"/>
                <w:color w:val="auto"/>
                <w:sz w:val="21"/>
                <w:szCs w:val="21"/>
                <w:highlight w:val="none"/>
                <w:lang w:val="en-US" w:eastAsia="zh-CN"/>
              </w:rPr>
              <w:t>库尾</w:t>
            </w:r>
            <w:r>
              <w:rPr>
                <w:rFonts w:hint="default" w:ascii="Times New Roman" w:hAnsi="Times New Roman" w:eastAsia="宋体" w:cs="Times New Roman"/>
                <w:color w:val="auto"/>
                <w:sz w:val="21"/>
                <w:szCs w:val="21"/>
                <w:highlight w:val="none"/>
                <w:lang w:val="en-US" w:eastAsia="zh-CN"/>
              </w:rPr>
              <w:t>与</w:t>
            </w:r>
            <w:r>
              <w:rPr>
                <w:rFonts w:hint="eastAsia" w:ascii="Times New Roman" w:hAnsi="Times New Roman" w:eastAsia="宋体" w:cs="Times New Roman"/>
                <w:color w:val="auto"/>
                <w:sz w:val="21"/>
                <w:szCs w:val="21"/>
                <w:highlight w:val="none"/>
                <w:lang w:val="en-US" w:eastAsia="zh-CN"/>
              </w:rPr>
              <w:t>升压站</w:t>
            </w:r>
            <w:r>
              <w:rPr>
                <w:rFonts w:hint="default" w:ascii="Times New Roman" w:hAnsi="Times New Roman" w:eastAsia="宋体" w:cs="Times New Roman"/>
                <w:color w:val="auto"/>
                <w:sz w:val="21"/>
                <w:szCs w:val="21"/>
                <w:highlight w:val="none"/>
                <w:lang w:val="en-US" w:eastAsia="zh-CN"/>
              </w:rPr>
              <w:t>高程差约为</w:t>
            </w:r>
            <w:r>
              <w:rPr>
                <w:rFonts w:hint="eastAsia" w:ascii="Times New Roman" w:hAnsi="Times New Roman" w:eastAsia="宋体" w:cs="Times New Roman"/>
                <w:color w:val="auto"/>
                <w:sz w:val="21"/>
                <w:szCs w:val="21"/>
                <w:highlight w:val="none"/>
                <w:lang w:val="en-US" w:eastAsia="zh-CN"/>
              </w:rPr>
              <w:t>74.5</w:t>
            </w:r>
            <w:r>
              <w:rPr>
                <w:rFonts w:hint="default" w:ascii="Times New Roman" w:hAnsi="Times New Roman" w:eastAsia="宋体" w:cs="Times New Roman"/>
                <w:color w:val="auto"/>
                <w:sz w:val="21"/>
                <w:szCs w:val="21"/>
                <w:highlight w:val="none"/>
                <w:lang w:val="en-US" w:eastAsia="zh-CN"/>
              </w:rPr>
              <w:t>m。</w:t>
            </w:r>
            <w:r>
              <w:rPr>
                <w:rFonts w:hint="eastAsia" w:cs="Times New Roman"/>
                <w:color w:val="auto"/>
                <w:sz w:val="21"/>
                <w:szCs w:val="21"/>
                <w:highlight w:val="none"/>
                <w:lang w:val="en-US" w:eastAsia="zh-CN"/>
              </w:rPr>
              <w:t>本项目1#机位及升压站均位于寿岭冲水库汇水范围内。</w:t>
            </w:r>
          </w:p>
        </w:tc>
        <w:tc>
          <w:tcPr>
            <w:tcW w:w="955" w:type="dxa"/>
            <w:tcBorders>
              <w:top w:val="single" w:color="000000" w:sz="4" w:space="0"/>
              <w:left w:val="single" w:color="000000" w:sz="4" w:space="0"/>
              <w:bottom w:val="single" w:color="000000" w:sz="4" w:space="0"/>
              <w:right w:val="single" w:color="000000" w:sz="4" w:space="0"/>
            </w:tcBorders>
            <w:noWrap w:val="0"/>
            <w:vAlign w:val="center"/>
          </w:tcPr>
          <w:p w14:paraId="666F5D74">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营运期生活废水</w:t>
            </w:r>
          </w:p>
        </w:tc>
        <w:tc>
          <w:tcPr>
            <w:tcW w:w="1714" w:type="dxa"/>
            <w:tcBorders>
              <w:top w:val="single" w:color="000000" w:sz="4" w:space="0"/>
              <w:left w:val="single" w:color="000000" w:sz="4" w:space="0"/>
              <w:bottom w:val="single" w:color="000000" w:sz="4" w:space="0"/>
              <w:right w:val="single" w:color="000000" w:sz="12" w:space="0"/>
            </w:tcBorders>
            <w:noWrap w:val="0"/>
            <w:vAlign w:val="center"/>
          </w:tcPr>
          <w:p w14:paraId="4901154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升压站生活废水经地埋式一体化污水处理设施处理达标后用于绿化浇灌</w:t>
            </w:r>
            <w:r>
              <w:rPr>
                <w:rFonts w:hint="default" w:ascii="Times New Roman" w:hAnsi="Times New Roman" w:eastAsia="宋体" w:cs="Times New Roman"/>
                <w:color w:val="auto"/>
                <w:sz w:val="21"/>
                <w:szCs w:val="21"/>
                <w:highlight w:val="none"/>
                <w:lang w:val="en-US" w:eastAsia="zh-CN"/>
              </w:rPr>
              <w:t>，禁止外排。</w:t>
            </w:r>
          </w:p>
        </w:tc>
      </w:tr>
      <w:tr w14:paraId="5D871D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0" w:type="dxa"/>
            <w:vMerge w:val="continue"/>
            <w:tcBorders>
              <w:top w:val="single" w:color="000000" w:sz="4" w:space="0"/>
              <w:left w:val="single" w:color="000000" w:sz="12" w:space="0"/>
              <w:bottom w:val="single" w:color="000000" w:sz="4" w:space="0"/>
              <w:right w:val="single" w:color="000000" w:sz="4" w:space="0"/>
            </w:tcBorders>
            <w:noWrap w:val="0"/>
            <w:textDirection w:val="tbRlV"/>
            <w:vAlign w:val="center"/>
          </w:tcPr>
          <w:p w14:paraId="0710E338">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989" w:type="dxa"/>
            <w:tcBorders>
              <w:top w:val="single" w:color="000000" w:sz="4" w:space="0"/>
              <w:left w:val="single" w:color="000000" w:sz="4" w:space="0"/>
              <w:bottom w:val="single" w:color="000000" w:sz="4" w:space="0"/>
              <w:right w:val="single" w:color="000000" w:sz="4" w:space="0"/>
            </w:tcBorders>
            <w:noWrap w:val="0"/>
            <w:vAlign w:val="center"/>
          </w:tcPr>
          <w:p w14:paraId="6C5762F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双江口小溪</w:t>
            </w:r>
          </w:p>
        </w:tc>
        <w:tc>
          <w:tcPr>
            <w:tcW w:w="1958" w:type="dxa"/>
            <w:tcBorders>
              <w:top w:val="single" w:color="000000" w:sz="4" w:space="0"/>
              <w:left w:val="single" w:color="000000" w:sz="4" w:space="0"/>
              <w:bottom w:val="single" w:color="000000" w:sz="4" w:space="0"/>
              <w:right w:val="single" w:color="000000" w:sz="4" w:space="0"/>
            </w:tcBorders>
            <w:noWrap w:val="0"/>
            <w:vAlign w:val="center"/>
          </w:tcPr>
          <w:p w14:paraId="02CA75E2">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农村小溪沟，宽</w:t>
            </w:r>
            <w:r>
              <w:rPr>
                <w:rFonts w:hint="eastAsia" w:ascii="Times New Roman" w:hAnsi="Times New Roman" w:eastAsia="宋体" w:cs="Times New Roman"/>
                <w:color w:val="auto"/>
                <w:sz w:val="21"/>
                <w:szCs w:val="21"/>
                <w:highlight w:val="none"/>
                <w:lang w:val="en-US" w:eastAsia="zh-CN"/>
              </w:rPr>
              <w:t>0</w:t>
            </w:r>
            <w:r>
              <w:rPr>
                <w:rFonts w:hint="default" w:ascii="Times New Roman" w:hAnsi="Times New Roman" w:eastAsia="宋体" w:cs="Times New Roman"/>
                <w:color w:val="auto"/>
                <w:sz w:val="21"/>
                <w:szCs w:val="21"/>
                <w:highlight w:val="none"/>
                <w:lang w:val="en-US" w:eastAsia="zh-CN"/>
              </w:rPr>
              <w:t>.5m；农业用水，无饮水功能，执行GB3838-2002中Ⅲ类标准。</w:t>
            </w:r>
          </w:p>
        </w:tc>
        <w:tc>
          <w:tcPr>
            <w:tcW w:w="1970" w:type="dxa"/>
            <w:tcBorders>
              <w:top w:val="single" w:color="000000" w:sz="4" w:space="0"/>
              <w:left w:val="single" w:color="000000" w:sz="4" w:space="0"/>
              <w:bottom w:val="single" w:color="000000" w:sz="4" w:space="0"/>
              <w:right w:val="single" w:color="000000" w:sz="4" w:space="0"/>
            </w:tcBorders>
            <w:noWrap w:val="0"/>
            <w:vAlign w:val="center"/>
          </w:tcPr>
          <w:p w14:paraId="32D347B5">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发源于项目北部</w:t>
            </w:r>
            <w:r>
              <w:rPr>
                <w:rFonts w:hint="eastAsia" w:ascii="Times New Roman" w:hAnsi="Times New Roman" w:eastAsia="宋体" w:cs="Times New Roman"/>
                <w:color w:val="auto"/>
                <w:sz w:val="21"/>
                <w:szCs w:val="21"/>
                <w:highlight w:val="none"/>
                <w:lang w:val="en-US" w:eastAsia="zh-CN"/>
              </w:rPr>
              <w:t>6#~12#风机机位所在</w:t>
            </w:r>
            <w:r>
              <w:rPr>
                <w:rFonts w:hint="default" w:ascii="Times New Roman" w:hAnsi="Times New Roman" w:eastAsia="宋体" w:cs="Times New Roman"/>
                <w:color w:val="auto"/>
                <w:sz w:val="21"/>
                <w:szCs w:val="21"/>
                <w:highlight w:val="none"/>
                <w:lang w:val="en-US" w:eastAsia="zh-CN"/>
              </w:rPr>
              <w:t>山区，汇入</w:t>
            </w:r>
            <w:r>
              <w:rPr>
                <w:rFonts w:hint="eastAsia" w:ascii="Times New Roman" w:hAnsi="Times New Roman" w:eastAsia="宋体" w:cs="Times New Roman"/>
                <w:color w:val="auto"/>
                <w:sz w:val="21"/>
                <w:szCs w:val="21"/>
                <w:highlight w:val="none"/>
                <w:lang w:val="en-US" w:eastAsia="zh-CN"/>
              </w:rPr>
              <w:t>上福冲</w:t>
            </w:r>
            <w:r>
              <w:rPr>
                <w:rFonts w:hint="default" w:ascii="Times New Roman" w:hAnsi="Times New Roman" w:eastAsia="宋体" w:cs="Times New Roman"/>
                <w:color w:val="auto"/>
                <w:sz w:val="21"/>
                <w:szCs w:val="21"/>
                <w:highlight w:val="none"/>
                <w:lang w:val="en-US" w:eastAsia="zh-CN"/>
              </w:rPr>
              <w:t>水库</w:t>
            </w:r>
            <w:r>
              <w:rPr>
                <w:rFonts w:hint="eastAsia" w:ascii="Times New Roman" w:hAnsi="Times New Roman" w:eastAsia="宋体" w:cs="Times New Roman"/>
                <w:color w:val="auto"/>
                <w:sz w:val="21"/>
                <w:szCs w:val="21"/>
                <w:highlight w:val="none"/>
                <w:lang w:val="en-US" w:eastAsia="zh-CN"/>
              </w:rPr>
              <w:t>。</w:t>
            </w:r>
          </w:p>
        </w:tc>
        <w:tc>
          <w:tcPr>
            <w:tcW w:w="955" w:type="dxa"/>
            <w:vMerge w:val="restart"/>
            <w:tcBorders>
              <w:top w:val="single" w:color="000000" w:sz="4" w:space="0"/>
              <w:left w:val="single" w:color="000000" w:sz="4" w:space="0"/>
              <w:bottom w:val="single" w:color="000000" w:sz="4" w:space="0"/>
              <w:right w:val="single" w:color="000000" w:sz="4" w:space="0"/>
            </w:tcBorders>
            <w:noWrap w:val="0"/>
            <w:vAlign w:val="center"/>
          </w:tcPr>
          <w:p w14:paraId="6F8726C8">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施工废水</w:t>
            </w:r>
          </w:p>
        </w:tc>
        <w:tc>
          <w:tcPr>
            <w:tcW w:w="1714" w:type="dxa"/>
            <w:tcBorders>
              <w:top w:val="single" w:color="000000" w:sz="4" w:space="0"/>
              <w:left w:val="single" w:color="000000" w:sz="4" w:space="0"/>
              <w:bottom w:val="single" w:color="000000" w:sz="4" w:space="0"/>
              <w:right w:val="single" w:color="000000" w:sz="12" w:space="0"/>
            </w:tcBorders>
            <w:noWrap w:val="0"/>
            <w:vAlign w:val="center"/>
          </w:tcPr>
          <w:p w14:paraId="479FB348">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施工期废水经沉淀隔油后回用，禁止外排，做好水土保持。</w:t>
            </w:r>
          </w:p>
        </w:tc>
      </w:tr>
      <w:tr w14:paraId="1487BF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44" w:hRule="atLeast"/>
        </w:trPr>
        <w:tc>
          <w:tcPr>
            <w:tcW w:w="810" w:type="dxa"/>
            <w:vMerge w:val="continue"/>
            <w:tcBorders>
              <w:top w:val="single" w:color="000000" w:sz="4" w:space="0"/>
              <w:left w:val="single" w:color="000000" w:sz="12" w:space="0"/>
              <w:bottom w:val="single" w:color="000000" w:sz="4" w:space="0"/>
              <w:right w:val="single" w:color="000000" w:sz="4" w:space="0"/>
            </w:tcBorders>
            <w:noWrap w:val="0"/>
            <w:textDirection w:val="tbRlV"/>
            <w:vAlign w:val="center"/>
          </w:tcPr>
          <w:p w14:paraId="5D711798">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989" w:type="dxa"/>
            <w:tcBorders>
              <w:top w:val="single" w:color="000000" w:sz="4" w:space="0"/>
              <w:left w:val="single" w:color="000000" w:sz="4" w:space="0"/>
              <w:bottom w:val="single" w:color="000000" w:sz="4" w:space="0"/>
              <w:right w:val="single" w:color="000000" w:sz="4" w:space="0"/>
            </w:tcBorders>
            <w:noWrap w:val="0"/>
            <w:vAlign w:val="center"/>
          </w:tcPr>
          <w:p w14:paraId="01B5C63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车壁塘河</w:t>
            </w:r>
          </w:p>
        </w:tc>
        <w:tc>
          <w:tcPr>
            <w:tcW w:w="1958" w:type="dxa"/>
            <w:tcBorders>
              <w:top w:val="single" w:color="000000" w:sz="4" w:space="0"/>
              <w:left w:val="single" w:color="000000" w:sz="4" w:space="0"/>
              <w:bottom w:val="single" w:color="000000" w:sz="4" w:space="0"/>
              <w:right w:val="single" w:color="000000" w:sz="4" w:space="0"/>
            </w:tcBorders>
            <w:noWrap w:val="0"/>
            <w:vAlign w:val="center"/>
          </w:tcPr>
          <w:p w14:paraId="586D1D5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小河</w:t>
            </w:r>
            <w:r>
              <w:rPr>
                <w:rFonts w:hint="default" w:ascii="Times New Roman" w:hAnsi="Times New Roman" w:eastAsia="宋体" w:cs="Times New Roman"/>
                <w:color w:val="auto"/>
                <w:sz w:val="21"/>
                <w:szCs w:val="21"/>
                <w:highlight w:val="none"/>
                <w:lang w:val="en-US" w:eastAsia="zh-CN"/>
              </w:rPr>
              <w:t>，宽</w:t>
            </w:r>
            <w:r>
              <w:rPr>
                <w:rFonts w:hint="eastAsia" w:ascii="Times New Roman" w:hAnsi="Times New Roman" w:eastAsia="宋体" w:cs="Times New Roman"/>
                <w:color w:val="auto"/>
                <w:sz w:val="21"/>
                <w:szCs w:val="21"/>
                <w:highlight w:val="none"/>
                <w:lang w:val="en-US" w:eastAsia="zh-CN"/>
              </w:rPr>
              <w:t>11~24</w:t>
            </w:r>
            <w:r>
              <w:rPr>
                <w:rFonts w:hint="default" w:ascii="Times New Roman" w:hAnsi="Times New Roman" w:eastAsia="宋体" w:cs="Times New Roman"/>
                <w:color w:val="auto"/>
                <w:sz w:val="21"/>
                <w:szCs w:val="21"/>
                <w:highlight w:val="none"/>
                <w:lang w:val="en-US" w:eastAsia="zh-CN"/>
              </w:rPr>
              <w:t>m；农业用水，无饮水功能，执行GB3838-2002中Ⅲ类标准。</w:t>
            </w:r>
          </w:p>
        </w:tc>
        <w:tc>
          <w:tcPr>
            <w:tcW w:w="1970" w:type="dxa"/>
            <w:tcBorders>
              <w:top w:val="single" w:color="000000" w:sz="4" w:space="0"/>
              <w:left w:val="single" w:color="000000" w:sz="4" w:space="0"/>
              <w:bottom w:val="single" w:color="000000" w:sz="4" w:space="0"/>
              <w:right w:val="single" w:color="000000" w:sz="4" w:space="0"/>
            </w:tcBorders>
            <w:noWrap w:val="0"/>
            <w:vAlign w:val="center"/>
          </w:tcPr>
          <w:p w14:paraId="2D1A8A1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发源于项目北部</w:t>
            </w:r>
            <w:r>
              <w:rPr>
                <w:rFonts w:hint="eastAsia" w:ascii="Times New Roman" w:hAnsi="Times New Roman" w:eastAsia="宋体" w:cs="Times New Roman"/>
                <w:color w:val="auto"/>
                <w:sz w:val="21"/>
                <w:szCs w:val="21"/>
                <w:highlight w:val="none"/>
                <w:lang w:val="en-US" w:eastAsia="zh-CN"/>
              </w:rPr>
              <w:t>13#~19#风机机位所在</w:t>
            </w:r>
            <w:r>
              <w:rPr>
                <w:rFonts w:hint="default" w:ascii="Times New Roman" w:hAnsi="Times New Roman" w:eastAsia="宋体" w:cs="Times New Roman"/>
                <w:color w:val="auto"/>
                <w:sz w:val="21"/>
                <w:szCs w:val="21"/>
                <w:highlight w:val="none"/>
                <w:lang w:val="en-US" w:eastAsia="zh-CN"/>
              </w:rPr>
              <w:t>山区，汇入</w:t>
            </w:r>
            <w:r>
              <w:rPr>
                <w:rFonts w:hint="eastAsia" w:ascii="Times New Roman" w:hAnsi="Times New Roman" w:eastAsia="宋体" w:cs="Times New Roman"/>
                <w:color w:val="auto"/>
                <w:sz w:val="21"/>
                <w:szCs w:val="21"/>
                <w:highlight w:val="none"/>
                <w:lang w:val="en-US" w:eastAsia="zh-CN"/>
              </w:rPr>
              <w:t>铁塘</w:t>
            </w:r>
            <w:r>
              <w:rPr>
                <w:rFonts w:hint="default" w:ascii="Times New Roman" w:hAnsi="Times New Roman" w:eastAsia="宋体" w:cs="Times New Roman"/>
                <w:color w:val="auto"/>
                <w:sz w:val="21"/>
                <w:szCs w:val="21"/>
                <w:highlight w:val="none"/>
                <w:lang w:val="en-US" w:eastAsia="zh-CN"/>
              </w:rPr>
              <w:t>水库</w:t>
            </w:r>
            <w:r>
              <w:rPr>
                <w:rFonts w:hint="eastAsia" w:ascii="Times New Roman" w:hAnsi="Times New Roman" w:eastAsia="宋体" w:cs="Times New Roman"/>
                <w:color w:val="auto"/>
                <w:sz w:val="21"/>
                <w:szCs w:val="21"/>
                <w:highlight w:val="none"/>
                <w:lang w:val="en-US" w:eastAsia="zh-CN"/>
              </w:rPr>
              <w:t>。</w:t>
            </w:r>
          </w:p>
        </w:tc>
        <w:tc>
          <w:tcPr>
            <w:tcW w:w="955" w:type="dxa"/>
            <w:vMerge w:val="continue"/>
            <w:tcBorders>
              <w:top w:val="single" w:color="000000" w:sz="4" w:space="0"/>
              <w:left w:val="single" w:color="000000" w:sz="4" w:space="0"/>
              <w:bottom w:val="single" w:color="000000" w:sz="4" w:space="0"/>
              <w:right w:val="single" w:color="000000" w:sz="4" w:space="0"/>
            </w:tcBorders>
            <w:noWrap w:val="0"/>
            <w:vAlign w:val="center"/>
          </w:tcPr>
          <w:p w14:paraId="052E114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1714" w:type="dxa"/>
            <w:tcBorders>
              <w:top w:val="single" w:color="000000" w:sz="4" w:space="0"/>
              <w:left w:val="single" w:color="000000" w:sz="4" w:space="0"/>
              <w:bottom w:val="single" w:color="000000" w:sz="4" w:space="0"/>
              <w:right w:val="single" w:color="000000" w:sz="12" w:space="0"/>
            </w:tcBorders>
            <w:noWrap w:val="0"/>
            <w:vAlign w:val="center"/>
          </w:tcPr>
          <w:p w14:paraId="3A47959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施工期废水经沉淀隔油后回用，禁止外排，做好水土保持。</w:t>
            </w:r>
          </w:p>
        </w:tc>
      </w:tr>
    </w:tbl>
    <w:p w14:paraId="056DC2AE">
      <w:pPr>
        <w:pStyle w:val="6"/>
        <w:rPr>
          <w:rFonts w:hint="default" w:ascii="Times New Roman" w:hAnsi="Times New Roman" w:cs="Times New Roman"/>
          <w:color w:val="auto"/>
          <w:highlight w:val="none"/>
        </w:rPr>
      </w:pPr>
      <w:r>
        <w:rPr>
          <w:rFonts w:hint="eastAsia" w:cs="Times New Roman"/>
          <w:color w:val="auto"/>
          <w:highlight w:val="none"/>
          <w:lang w:eastAsia="zh-CN"/>
        </w:rPr>
        <w:t>进场道路大气和声环境保护目标</w:t>
      </w:r>
    </w:p>
    <w:p w14:paraId="39EE16D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b/>
          <w:bCs/>
          <w:color w:val="auto"/>
          <w:sz w:val="24"/>
          <w:szCs w:val="24"/>
          <w:highlight w:val="none"/>
          <w:lang w:eastAsia="zh-CN"/>
        </w:rPr>
      </w:pPr>
      <w:r>
        <w:rPr>
          <w:rFonts w:hint="default" w:ascii="Times New Roman" w:hAnsi="Times New Roman" w:eastAsia="宋体" w:cs="Times New Roman"/>
          <w:b/>
          <w:bCs/>
          <w:color w:val="auto"/>
          <w:sz w:val="24"/>
          <w:szCs w:val="24"/>
          <w:highlight w:val="none"/>
        </w:rPr>
        <w:t>表</w:t>
      </w:r>
      <w:r>
        <w:rPr>
          <w:rFonts w:hint="eastAsia" w:ascii="Times New Roman" w:hAnsi="Times New Roman" w:eastAsia="宋体" w:cs="Times New Roman"/>
          <w:b/>
          <w:bCs/>
          <w:color w:val="auto"/>
          <w:sz w:val="24"/>
          <w:szCs w:val="24"/>
          <w:highlight w:val="none"/>
          <w:lang w:val="en-US" w:eastAsia="zh-CN"/>
        </w:rPr>
        <w:t xml:space="preserve">2.2-8  </w:t>
      </w:r>
      <w:r>
        <w:rPr>
          <w:rFonts w:hint="default" w:ascii="Times New Roman" w:hAnsi="Times New Roman" w:eastAsia="宋体" w:cs="Times New Roman"/>
          <w:b/>
          <w:bCs/>
          <w:color w:val="auto"/>
          <w:sz w:val="24"/>
          <w:szCs w:val="24"/>
          <w:highlight w:val="none"/>
        </w:rPr>
        <w:t>本项目</w:t>
      </w:r>
      <w:r>
        <w:rPr>
          <w:rFonts w:hint="eastAsia" w:cs="Times New Roman"/>
          <w:b/>
          <w:bCs/>
          <w:color w:val="auto"/>
          <w:sz w:val="24"/>
          <w:szCs w:val="24"/>
          <w:highlight w:val="none"/>
          <w:lang w:eastAsia="zh-CN"/>
        </w:rPr>
        <w:t>进场</w:t>
      </w:r>
      <w:r>
        <w:rPr>
          <w:rFonts w:hint="default" w:ascii="Times New Roman" w:hAnsi="Times New Roman" w:eastAsia="宋体" w:cs="Times New Roman"/>
          <w:b/>
          <w:bCs/>
          <w:color w:val="auto"/>
          <w:sz w:val="24"/>
          <w:szCs w:val="24"/>
          <w:highlight w:val="none"/>
          <w:lang w:eastAsia="zh-CN"/>
        </w:rPr>
        <w:t>道路大气和声</w:t>
      </w:r>
      <w:r>
        <w:rPr>
          <w:rFonts w:hint="default" w:ascii="Times New Roman" w:hAnsi="Times New Roman" w:eastAsia="宋体" w:cs="Times New Roman"/>
          <w:b/>
          <w:bCs/>
          <w:color w:val="auto"/>
          <w:sz w:val="24"/>
          <w:szCs w:val="24"/>
          <w:highlight w:val="none"/>
        </w:rPr>
        <w:t>环境保护目标一览表</w:t>
      </w:r>
    </w:p>
    <w:tbl>
      <w:tblPr>
        <w:tblStyle w:val="38"/>
        <w:tblW w:w="5072" w:type="pct"/>
        <w:tblInd w:w="2"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104"/>
        <w:gridCol w:w="2271"/>
        <w:gridCol w:w="1873"/>
        <w:gridCol w:w="1494"/>
        <w:gridCol w:w="1714"/>
      </w:tblGrid>
      <w:tr w14:paraId="1C604F2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00" w:type="dxa"/>
            <w:tcBorders>
              <w:tl2br w:val="nil"/>
              <w:tr2bl w:val="nil"/>
            </w:tcBorders>
            <w:noWrap w:val="0"/>
            <w:vAlign w:val="center"/>
          </w:tcPr>
          <w:p w14:paraId="2FDE36CD">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本工程</w:t>
            </w:r>
          </w:p>
        </w:tc>
        <w:tc>
          <w:tcPr>
            <w:tcW w:w="2263" w:type="dxa"/>
            <w:tcBorders>
              <w:tl2br w:val="nil"/>
              <w:tr2bl w:val="nil"/>
            </w:tcBorders>
            <w:noWrap w:val="0"/>
            <w:vAlign w:val="center"/>
          </w:tcPr>
          <w:p w14:paraId="143E2E4A">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敏感目标/规模及特征</w:t>
            </w:r>
          </w:p>
        </w:tc>
        <w:tc>
          <w:tcPr>
            <w:tcW w:w="1866" w:type="dxa"/>
            <w:tcBorders>
              <w:tl2br w:val="nil"/>
              <w:tr2bl w:val="nil"/>
            </w:tcBorders>
            <w:noWrap w:val="0"/>
            <w:vAlign w:val="center"/>
          </w:tcPr>
          <w:p w14:paraId="3653344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与本工程位置关系</w:t>
            </w:r>
          </w:p>
        </w:tc>
        <w:tc>
          <w:tcPr>
            <w:tcW w:w="1489" w:type="dxa"/>
            <w:tcBorders>
              <w:tl2br w:val="nil"/>
              <w:tr2bl w:val="nil"/>
            </w:tcBorders>
            <w:noWrap w:val="0"/>
            <w:vAlign w:val="center"/>
          </w:tcPr>
          <w:p w14:paraId="0C1697A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影响源和</w:t>
            </w:r>
          </w:p>
          <w:p w14:paraId="55B815A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影响时段</w:t>
            </w:r>
          </w:p>
        </w:tc>
        <w:tc>
          <w:tcPr>
            <w:tcW w:w="1708" w:type="dxa"/>
            <w:tcBorders>
              <w:tl2br w:val="nil"/>
              <w:tr2bl w:val="nil"/>
            </w:tcBorders>
            <w:noWrap w:val="0"/>
            <w:vAlign w:val="center"/>
          </w:tcPr>
          <w:p w14:paraId="081730D2">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保护要求</w:t>
            </w:r>
          </w:p>
        </w:tc>
      </w:tr>
      <w:tr w14:paraId="067A9FA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00" w:type="dxa"/>
            <w:tcBorders>
              <w:tl2br w:val="nil"/>
              <w:tr2bl w:val="nil"/>
            </w:tcBorders>
            <w:noWrap w:val="0"/>
            <w:vAlign w:val="center"/>
          </w:tcPr>
          <w:p w14:paraId="617EC528">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新建道路</w:t>
            </w:r>
          </w:p>
        </w:tc>
        <w:tc>
          <w:tcPr>
            <w:tcW w:w="2263" w:type="dxa"/>
            <w:tcBorders>
              <w:tl2br w:val="nil"/>
              <w:tr2bl w:val="nil"/>
            </w:tcBorders>
            <w:noWrap w:val="0"/>
            <w:vAlign w:val="center"/>
          </w:tcPr>
          <w:p w14:paraId="5B6AA84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祁东县马杜桥乡老屋塘村</w:t>
            </w:r>
            <w:r>
              <w:rPr>
                <w:rFonts w:hint="default" w:ascii="Times New Roman" w:hAnsi="Times New Roman" w:eastAsia="宋体" w:cs="Times New Roman"/>
                <w:color w:val="auto"/>
                <w:sz w:val="21"/>
                <w:szCs w:val="21"/>
                <w:highlight w:val="none"/>
                <w:lang w:val="en-US" w:eastAsia="zh-CN"/>
              </w:rPr>
              <w:t>居民点/约</w:t>
            </w:r>
            <w:r>
              <w:rPr>
                <w:rFonts w:hint="eastAsia" w:ascii="Times New Roman" w:hAnsi="Times New Roman" w:eastAsia="宋体" w:cs="Times New Roman"/>
                <w:color w:val="auto"/>
                <w:sz w:val="21"/>
                <w:szCs w:val="21"/>
                <w:highlight w:val="none"/>
                <w:lang w:val="en-US" w:eastAsia="zh-CN"/>
              </w:rPr>
              <w:t>8</w:t>
            </w:r>
            <w:r>
              <w:rPr>
                <w:rFonts w:hint="default" w:ascii="Times New Roman" w:hAnsi="Times New Roman" w:eastAsia="宋体" w:cs="Times New Roman"/>
                <w:color w:val="auto"/>
                <w:sz w:val="21"/>
                <w:szCs w:val="21"/>
                <w:highlight w:val="none"/>
                <w:lang w:val="en-US" w:eastAsia="zh-CN"/>
              </w:rPr>
              <w:t>户</w:t>
            </w:r>
          </w:p>
        </w:tc>
        <w:tc>
          <w:tcPr>
            <w:tcW w:w="1866" w:type="dxa"/>
            <w:tcBorders>
              <w:tl2br w:val="nil"/>
              <w:tr2bl w:val="nil"/>
            </w:tcBorders>
            <w:noWrap w:val="0"/>
            <w:vAlign w:val="center"/>
          </w:tcPr>
          <w:p w14:paraId="255F4E1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位于12#风机进场道路东侧，距道路中心线最近距离为30m</w:t>
            </w:r>
          </w:p>
        </w:tc>
        <w:tc>
          <w:tcPr>
            <w:tcW w:w="1489" w:type="dxa"/>
            <w:vMerge w:val="restart"/>
            <w:tcBorders>
              <w:top w:val="single" w:color="auto" w:sz="4" w:space="0"/>
              <w:tl2br w:val="nil"/>
              <w:tr2bl w:val="nil"/>
            </w:tcBorders>
            <w:noWrap w:val="0"/>
            <w:vAlign w:val="center"/>
          </w:tcPr>
          <w:p w14:paraId="5F1CC0F9">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left"/>
              <w:textAlignment w:val="baseline"/>
              <w:rPr>
                <w:rFonts w:hint="eastAsia" w:ascii="Times New Roman" w:hAnsi="Times New Roman"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施工期运输扬尘</w:t>
            </w:r>
            <w:r>
              <w:rPr>
                <w:rFonts w:hint="eastAsia" w:ascii="Times New Roman" w:hAnsi="Times New Roman" w:cs="Times New Roman"/>
                <w:color w:val="auto"/>
                <w:sz w:val="21"/>
                <w:szCs w:val="21"/>
                <w:highlight w:val="none"/>
                <w:lang w:val="en-US" w:eastAsia="zh-CN"/>
              </w:rPr>
              <w:t>；</w:t>
            </w:r>
          </w:p>
          <w:p w14:paraId="046CA149">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left"/>
              <w:textAlignment w:val="baseline"/>
              <w:rPr>
                <w:rFonts w:hint="default" w:ascii="Times New Roman" w:hAnsi="Times New Roman" w:eastAsia="宋体" w:cs="Times New Roman"/>
                <w:color w:val="auto"/>
                <w:sz w:val="21"/>
                <w:szCs w:val="21"/>
                <w:highlight w:val="none"/>
              </w:rPr>
            </w:pPr>
            <w:r>
              <w:rPr>
                <w:rFonts w:hint="eastAsia" w:ascii="Times New Roman" w:hAnsi="Times New Roman" w:cs="Times New Roman"/>
                <w:color w:val="auto"/>
                <w:sz w:val="21"/>
                <w:szCs w:val="21"/>
                <w:highlight w:val="none"/>
                <w:lang w:val="en-US" w:eastAsia="zh-CN"/>
              </w:rPr>
              <w:t>施工期车辆运输噪声、运营期检修车辆噪声。</w:t>
            </w:r>
          </w:p>
        </w:tc>
        <w:tc>
          <w:tcPr>
            <w:tcW w:w="1708" w:type="dxa"/>
            <w:vMerge w:val="restart"/>
            <w:tcBorders>
              <w:top w:val="single" w:color="auto" w:sz="4" w:space="0"/>
              <w:tl2br w:val="nil"/>
              <w:tr2bl w:val="nil"/>
            </w:tcBorders>
            <w:noWrap w:val="0"/>
            <w:vAlign w:val="center"/>
          </w:tcPr>
          <w:p w14:paraId="1487EF28">
            <w:pPr>
              <w:keepNext w:val="0"/>
              <w:keepLines w:val="0"/>
              <w:pageBreakBefore w:val="0"/>
              <w:widowControl/>
              <w:kinsoku w:val="0"/>
              <w:wordWrap/>
              <w:overflowPunct/>
              <w:topLinePunct w:val="0"/>
              <w:autoSpaceDE w:val="0"/>
              <w:autoSpaceDN w:val="0"/>
              <w:bidi w:val="0"/>
              <w:adjustRightInd w:val="0"/>
              <w:snapToGrid w:val="0"/>
              <w:spacing w:line="240" w:lineRule="auto"/>
              <w:ind w:left="0" w:leftChars="0" w:firstLine="0" w:firstLineChars="0"/>
              <w:jc w:val="left"/>
              <w:textAlignment w:val="baseline"/>
              <w:rPr>
                <w:rFonts w:hint="eastAsia"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洒水降尘，减少粉尘和扬尘的产生，达到GB3095-2012二级标准要求</w:t>
            </w:r>
            <w:r>
              <w:rPr>
                <w:rFonts w:hint="eastAsia" w:cs="Times New Roman"/>
                <w:color w:val="auto"/>
                <w:sz w:val="21"/>
                <w:szCs w:val="21"/>
                <w:highlight w:val="none"/>
                <w:lang w:val="en-US" w:eastAsia="zh-CN"/>
              </w:rPr>
              <w:t>；</w:t>
            </w:r>
          </w:p>
          <w:p w14:paraId="10E1A8CF">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left"/>
              <w:textAlignment w:val="baseline"/>
              <w:rPr>
                <w:rFonts w:hint="default" w:ascii="Times New Roman" w:hAnsi="Times New Roman" w:eastAsia="宋体" w:cs="Times New Roman"/>
                <w:color w:val="auto"/>
                <w:sz w:val="21"/>
                <w:szCs w:val="21"/>
                <w:highlight w:val="none"/>
              </w:rPr>
            </w:pPr>
            <w:r>
              <w:rPr>
                <w:rFonts w:hint="eastAsia" w:cs="Times New Roman"/>
                <w:color w:val="auto"/>
                <w:sz w:val="21"/>
                <w:szCs w:val="21"/>
                <w:highlight w:val="none"/>
                <w:lang w:eastAsia="zh-CN"/>
              </w:rPr>
              <w:t>施工期运输车辆控制车速，严禁夜间运输；运营期检修车辆减速慢行。</w:t>
            </w:r>
          </w:p>
        </w:tc>
      </w:tr>
      <w:tr w14:paraId="668853B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00" w:type="dxa"/>
            <w:tcBorders>
              <w:tl2br w:val="nil"/>
              <w:tr2bl w:val="nil"/>
            </w:tcBorders>
            <w:noWrap w:val="0"/>
            <w:vAlign w:val="center"/>
          </w:tcPr>
          <w:p w14:paraId="482AA9D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改造道路</w:t>
            </w:r>
          </w:p>
        </w:tc>
        <w:tc>
          <w:tcPr>
            <w:tcW w:w="2263" w:type="dxa"/>
            <w:tcBorders>
              <w:tl2br w:val="nil"/>
              <w:tr2bl w:val="nil"/>
            </w:tcBorders>
            <w:noWrap w:val="0"/>
            <w:vAlign w:val="center"/>
          </w:tcPr>
          <w:p w14:paraId="01BFF45E">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无</w:t>
            </w:r>
          </w:p>
        </w:tc>
        <w:tc>
          <w:tcPr>
            <w:tcW w:w="1866" w:type="dxa"/>
            <w:tcBorders>
              <w:tl2br w:val="nil"/>
              <w:tr2bl w:val="nil"/>
            </w:tcBorders>
            <w:noWrap w:val="0"/>
            <w:vAlign w:val="center"/>
          </w:tcPr>
          <w:p w14:paraId="273ACBDD">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w:t>
            </w:r>
          </w:p>
        </w:tc>
        <w:tc>
          <w:tcPr>
            <w:tcW w:w="1489" w:type="dxa"/>
            <w:vMerge w:val="continue"/>
            <w:tcBorders>
              <w:tl2br w:val="nil"/>
              <w:tr2bl w:val="nil"/>
            </w:tcBorders>
            <w:noWrap w:val="0"/>
            <w:vAlign w:val="center"/>
          </w:tcPr>
          <w:p w14:paraId="6AEEDF0B">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c>
          <w:tcPr>
            <w:tcW w:w="1708" w:type="dxa"/>
            <w:vMerge w:val="continue"/>
            <w:tcBorders>
              <w:tl2br w:val="nil"/>
              <w:tr2bl w:val="nil"/>
            </w:tcBorders>
            <w:noWrap w:val="0"/>
            <w:vAlign w:val="center"/>
          </w:tcPr>
          <w:p w14:paraId="23DA85FB">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r>
      <w:tr w14:paraId="49374C4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00" w:type="dxa"/>
            <w:vMerge w:val="restart"/>
            <w:tcBorders>
              <w:tl2br w:val="nil"/>
              <w:tr2bl w:val="nil"/>
            </w:tcBorders>
            <w:noWrap w:val="0"/>
            <w:vAlign w:val="center"/>
          </w:tcPr>
          <w:p w14:paraId="11B18DED">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利用段道路</w:t>
            </w:r>
          </w:p>
        </w:tc>
        <w:tc>
          <w:tcPr>
            <w:tcW w:w="2263" w:type="dxa"/>
            <w:tcBorders>
              <w:tl2br w:val="nil"/>
              <w:tr2bl w:val="nil"/>
            </w:tcBorders>
            <w:noWrap w:val="0"/>
            <w:vAlign w:val="center"/>
          </w:tcPr>
          <w:p w14:paraId="4B0AB66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祁东县黄土铺镇</w:t>
            </w:r>
            <w:r>
              <w:rPr>
                <w:rFonts w:hint="default" w:ascii="Times New Roman" w:hAnsi="Times New Roman" w:eastAsia="宋体" w:cs="Times New Roman"/>
                <w:color w:val="auto"/>
                <w:sz w:val="21"/>
                <w:szCs w:val="21"/>
                <w:highlight w:val="none"/>
                <w:lang w:val="en-US" w:eastAsia="zh-CN"/>
              </w:rPr>
              <w:t>四马村居民点/约32户</w:t>
            </w:r>
          </w:p>
        </w:tc>
        <w:tc>
          <w:tcPr>
            <w:tcW w:w="1866" w:type="dxa"/>
            <w:tcBorders>
              <w:tl2br w:val="nil"/>
              <w:tr2bl w:val="nil"/>
            </w:tcBorders>
            <w:noWrap w:val="0"/>
            <w:vAlign w:val="center"/>
          </w:tcPr>
          <w:p w14:paraId="55B97A1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沿道路两侧布置，</w:t>
            </w:r>
            <w:r>
              <w:rPr>
                <w:rFonts w:hint="default" w:ascii="Times New Roman" w:hAnsi="Times New Roman" w:eastAsia="宋体" w:cs="Times New Roman"/>
                <w:color w:val="auto"/>
                <w:sz w:val="21"/>
                <w:szCs w:val="21"/>
                <w:highlight w:val="none"/>
                <w:lang w:val="en-US" w:eastAsia="zh-CN"/>
              </w:rPr>
              <w:t>临路第一排房屋距</w:t>
            </w:r>
          </w:p>
          <w:p w14:paraId="55EF74B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离利用路段道路中</w:t>
            </w:r>
          </w:p>
          <w:p w14:paraId="30861947">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心线</w:t>
            </w:r>
            <w:r>
              <w:rPr>
                <w:rFonts w:hint="eastAsia" w:ascii="Times New Roman" w:hAnsi="Times New Roman" w:eastAsia="宋体" w:cs="Times New Roman"/>
                <w:color w:val="auto"/>
                <w:sz w:val="21"/>
                <w:szCs w:val="21"/>
                <w:highlight w:val="none"/>
                <w:lang w:val="en-US" w:eastAsia="zh-CN"/>
              </w:rPr>
              <w:t>最近</w:t>
            </w:r>
            <w:r>
              <w:rPr>
                <w:rFonts w:hint="default" w:ascii="Times New Roman" w:hAnsi="Times New Roman" w:eastAsia="宋体" w:cs="Times New Roman"/>
                <w:color w:val="auto"/>
                <w:sz w:val="21"/>
                <w:szCs w:val="21"/>
                <w:highlight w:val="none"/>
                <w:lang w:val="en-US" w:eastAsia="zh-CN"/>
              </w:rPr>
              <w:t>距离为</w:t>
            </w:r>
            <w:r>
              <w:rPr>
                <w:rFonts w:hint="eastAsia" w:cs="Times New Roman"/>
                <w:color w:val="auto"/>
                <w:sz w:val="21"/>
                <w:szCs w:val="21"/>
                <w:highlight w:val="none"/>
                <w:lang w:val="en-US" w:eastAsia="zh-CN"/>
              </w:rPr>
              <w:t>10</w:t>
            </w:r>
            <w:r>
              <w:rPr>
                <w:rFonts w:hint="eastAsia" w:ascii="Times New Roman" w:hAnsi="Times New Roman" w:eastAsia="宋体" w:cs="Times New Roman"/>
                <w:color w:val="auto"/>
                <w:sz w:val="21"/>
                <w:szCs w:val="21"/>
                <w:highlight w:val="none"/>
                <w:lang w:val="en-US" w:eastAsia="zh-CN"/>
              </w:rPr>
              <w:t>m</w:t>
            </w:r>
          </w:p>
        </w:tc>
        <w:tc>
          <w:tcPr>
            <w:tcW w:w="1489" w:type="dxa"/>
            <w:vMerge w:val="continue"/>
            <w:tcBorders>
              <w:tl2br w:val="nil"/>
              <w:tr2bl w:val="nil"/>
            </w:tcBorders>
            <w:noWrap w:val="0"/>
            <w:vAlign w:val="center"/>
          </w:tcPr>
          <w:p w14:paraId="608682CF">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c>
          <w:tcPr>
            <w:tcW w:w="1708" w:type="dxa"/>
            <w:vMerge w:val="continue"/>
            <w:tcBorders>
              <w:tl2br w:val="nil"/>
              <w:tr2bl w:val="nil"/>
            </w:tcBorders>
            <w:noWrap w:val="0"/>
            <w:vAlign w:val="center"/>
          </w:tcPr>
          <w:p w14:paraId="55216A3B">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r>
      <w:tr w14:paraId="5043610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00" w:type="dxa"/>
            <w:vMerge w:val="continue"/>
            <w:tcBorders>
              <w:tl2br w:val="nil"/>
              <w:tr2bl w:val="nil"/>
            </w:tcBorders>
            <w:noWrap w:val="0"/>
            <w:vAlign w:val="center"/>
          </w:tcPr>
          <w:p w14:paraId="5A8B35A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2263" w:type="dxa"/>
            <w:tcBorders>
              <w:tl2br w:val="nil"/>
              <w:tr2bl w:val="nil"/>
            </w:tcBorders>
            <w:noWrap w:val="0"/>
            <w:vAlign w:val="center"/>
          </w:tcPr>
          <w:p w14:paraId="42DC318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祁东县黄土铺镇中学</w:t>
            </w:r>
          </w:p>
        </w:tc>
        <w:tc>
          <w:tcPr>
            <w:tcW w:w="1866" w:type="dxa"/>
            <w:tcBorders>
              <w:tl2br w:val="nil"/>
              <w:tr2bl w:val="nil"/>
            </w:tcBorders>
            <w:noWrap w:val="0"/>
            <w:vAlign w:val="center"/>
          </w:tcPr>
          <w:p w14:paraId="4652528A">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位于道路起点南侧，</w:t>
            </w:r>
            <w:r>
              <w:rPr>
                <w:rFonts w:hint="default" w:ascii="Times New Roman" w:hAnsi="Times New Roman" w:eastAsia="宋体" w:cs="Times New Roman"/>
                <w:color w:val="auto"/>
                <w:sz w:val="21"/>
                <w:szCs w:val="21"/>
                <w:highlight w:val="none"/>
                <w:lang w:val="en-US" w:eastAsia="zh-CN"/>
              </w:rPr>
              <w:t>距离利用路段道路中心线</w:t>
            </w:r>
            <w:r>
              <w:rPr>
                <w:rFonts w:hint="eastAsia" w:ascii="Times New Roman" w:hAnsi="Times New Roman" w:eastAsia="宋体" w:cs="Times New Roman"/>
                <w:color w:val="auto"/>
                <w:sz w:val="21"/>
                <w:szCs w:val="21"/>
                <w:highlight w:val="none"/>
                <w:lang w:val="en-US" w:eastAsia="zh-CN"/>
              </w:rPr>
              <w:t>最近</w:t>
            </w:r>
            <w:r>
              <w:rPr>
                <w:rFonts w:hint="default" w:ascii="Times New Roman" w:hAnsi="Times New Roman" w:eastAsia="宋体" w:cs="Times New Roman"/>
                <w:color w:val="auto"/>
                <w:sz w:val="21"/>
                <w:szCs w:val="21"/>
                <w:highlight w:val="none"/>
                <w:lang w:val="en-US" w:eastAsia="zh-CN"/>
              </w:rPr>
              <w:t>距离</w:t>
            </w:r>
            <w:r>
              <w:rPr>
                <w:rFonts w:hint="eastAsia" w:ascii="Times New Roman" w:hAnsi="Times New Roman" w:eastAsia="宋体" w:cs="Times New Roman"/>
                <w:color w:val="auto"/>
                <w:sz w:val="21"/>
                <w:szCs w:val="21"/>
                <w:highlight w:val="none"/>
                <w:lang w:val="en-US" w:eastAsia="zh-CN"/>
              </w:rPr>
              <w:t>为50m</w:t>
            </w:r>
          </w:p>
        </w:tc>
        <w:tc>
          <w:tcPr>
            <w:tcW w:w="1489" w:type="dxa"/>
            <w:vMerge w:val="continue"/>
            <w:tcBorders>
              <w:tl2br w:val="nil"/>
              <w:tr2bl w:val="nil"/>
            </w:tcBorders>
            <w:noWrap w:val="0"/>
            <w:vAlign w:val="center"/>
          </w:tcPr>
          <w:p w14:paraId="1B007DE4">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c>
          <w:tcPr>
            <w:tcW w:w="1708" w:type="dxa"/>
            <w:vMerge w:val="continue"/>
            <w:tcBorders>
              <w:tl2br w:val="nil"/>
              <w:tr2bl w:val="nil"/>
            </w:tcBorders>
            <w:noWrap w:val="0"/>
            <w:vAlign w:val="center"/>
          </w:tcPr>
          <w:p w14:paraId="28826003">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r>
      <w:tr w14:paraId="418483E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00" w:type="dxa"/>
            <w:vMerge w:val="continue"/>
            <w:tcBorders>
              <w:tl2br w:val="nil"/>
              <w:tr2bl w:val="nil"/>
            </w:tcBorders>
            <w:noWrap w:val="0"/>
            <w:vAlign w:val="center"/>
          </w:tcPr>
          <w:p w14:paraId="55C15EB4">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2263" w:type="dxa"/>
            <w:tcBorders>
              <w:tl2br w:val="nil"/>
              <w:tr2bl w:val="nil"/>
            </w:tcBorders>
            <w:noWrap w:val="0"/>
            <w:vAlign w:val="center"/>
          </w:tcPr>
          <w:p w14:paraId="1AF575C7">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祁东县黄土铺镇</w:t>
            </w:r>
            <w:r>
              <w:rPr>
                <w:rFonts w:hint="eastAsia" w:cs="Times New Roman"/>
                <w:color w:val="auto"/>
                <w:sz w:val="21"/>
                <w:szCs w:val="21"/>
                <w:highlight w:val="none"/>
                <w:lang w:val="en-US" w:eastAsia="zh-CN"/>
              </w:rPr>
              <w:t>双溪村</w:t>
            </w:r>
            <w:r>
              <w:rPr>
                <w:rFonts w:hint="eastAsia" w:ascii="Times New Roman" w:hAnsi="Times New Roman" w:eastAsia="宋体" w:cs="Times New Roman"/>
                <w:color w:val="auto"/>
                <w:sz w:val="21"/>
                <w:szCs w:val="21"/>
                <w:highlight w:val="none"/>
                <w:lang w:val="en-US" w:eastAsia="zh-CN"/>
              </w:rPr>
              <w:t>村观音坪居民点/约2户</w:t>
            </w:r>
          </w:p>
        </w:tc>
        <w:tc>
          <w:tcPr>
            <w:tcW w:w="1866" w:type="dxa"/>
            <w:tcBorders>
              <w:tl2br w:val="nil"/>
              <w:tr2bl w:val="nil"/>
            </w:tcBorders>
            <w:noWrap w:val="0"/>
            <w:vAlign w:val="center"/>
          </w:tcPr>
          <w:p w14:paraId="3E24A3A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位于道路西侧，最近距离为164m</w:t>
            </w:r>
          </w:p>
        </w:tc>
        <w:tc>
          <w:tcPr>
            <w:tcW w:w="1489" w:type="dxa"/>
            <w:vMerge w:val="continue"/>
            <w:tcBorders>
              <w:tl2br w:val="nil"/>
              <w:tr2bl w:val="nil"/>
            </w:tcBorders>
            <w:noWrap w:val="0"/>
            <w:vAlign w:val="center"/>
          </w:tcPr>
          <w:p w14:paraId="0AF69DF5">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c>
          <w:tcPr>
            <w:tcW w:w="1708" w:type="dxa"/>
            <w:vMerge w:val="continue"/>
            <w:tcBorders>
              <w:tl2br w:val="nil"/>
              <w:tr2bl w:val="nil"/>
            </w:tcBorders>
            <w:noWrap w:val="0"/>
            <w:vAlign w:val="center"/>
          </w:tcPr>
          <w:p w14:paraId="7C19515A">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r>
      <w:tr w14:paraId="4BE0A8F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00" w:type="dxa"/>
            <w:vMerge w:val="continue"/>
            <w:tcBorders>
              <w:tl2br w:val="nil"/>
              <w:tr2bl w:val="nil"/>
            </w:tcBorders>
            <w:noWrap w:val="0"/>
            <w:vAlign w:val="center"/>
          </w:tcPr>
          <w:p w14:paraId="7F29A06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2263" w:type="dxa"/>
            <w:tcBorders>
              <w:tl2br w:val="nil"/>
              <w:tr2bl w:val="nil"/>
            </w:tcBorders>
            <w:noWrap w:val="0"/>
            <w:vAlign w:val="center"/>
          </w:tcPr>
          <w:p w14:paraId="6CFDB5A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祁东县马杜桥乡堆子坪</w:t>
            </w:r>
            <w:r>
              <w:rPr>
                <w:rFonts w:hint="default" w:ascii="Times New Roman" w:hAnsi="Times New Roman" w:eastAsia="宋体" w:cs="Times New Roman"/>
                <w:color w:val="auto"/>
                <w:sz w:val="21"/>
                <w:szCs w:val="21"/>
                <w:highlight w:val="none"/>
                <w:lang w:val="en-US" w:eastAsia="zh-CN"/>
              </w:rPr>
              <w:t>居民点/约</w:t>
            </w:r>
            <w:r>
              <w:rPr>
                <w:rFonts w:hint="eastAsia" w:ascii="Times New Roman" w:hAnsi="Times New Roman" w:eastAsia="宋体" w:cs="Times New Roman"/>
                <w:color w:val="auto"/>
                <w:sz w:val="21"/>
                <w:szCs w:val="21"/>
                <w:highlight w:val="none"/>
                <w:lang w:val="en-US" w:eastAsia="zh-CN"/>
              </w:rPr>
              <w:t>20</w:t>
            </w:r>
            <w:r>
              <w:rPr>
                <w:rFonts w:hint="default" w:ascii="Times New Roman" w:hAnsi="Times New Roman" w:eastAsia="宋体" w:cs="Times New Roman"/>
                <w:color w:val="auto"/>
                <w:sz w:val="21"/>
                <w:szCs w:val="21"/>
                <w:highlight w:val="none"/>
                <w:lang w:val="en-US" w:eastAsia="zh-CN"/>
              </w:rPr>
              <w:t>户</w:t>
            </w:r>
          </w:p>
        </w:tc>
        <w:tc>
          <w:tcPr>
            <w:tcW w:w="1866" w:type="dxa"/>
            <w:tcBorders>
              <w:tl2br w:val="nil"/>
              <w:tr2bl w:val="nil"/>
            </w:tcBorders>
            <w:noWrap w:val="0"/>
            <w:vAlign w:val="center"/>
          </w:tcPr>
          <w:p w14:paraId="1C360FFD">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沿道路两侧布置，</w:t>
            </w:r>
            <w:r>
              <w:rPr>
                <w:rFonts w:hint="default" w:ascii="Times New Roman" w:hAnsi="Times New Roman" w:eastAsia="宋体" w:cs="Times New Roman"/>
                <w:color w:val="auto"/>
                <w:sz w:val="21"/>
                <w:szCs w:val="21"/>
                <w:highlight w:val="none"/>
                <w:lang w:val="en-US" w:eastAsia="zh-CN"/>
              </w:rPr>
              <w:t>临路第一排房屋距</w:t>
            </w:r>
          </w:p>
          <w:p w14:paraId="71AF1F0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离利用路段道路中</w:t>
            </w:r>
          </w:p>
          <w:p w14:paraId="6CC42E3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心线</w:t>
            </w:r>
            <w:r>
              <w:rPr>
                <w:rFonts w:hint="eastAsia" w:ascii="Times New Roman" w:hAnsi="Times New Roman" w:eastAsia="宋体" w:cs="Times New Roman"/>
                <w:color w:val="auto"/>
                <w:sz w:val="21"/>
                <w:szCs w:val="21"/>
                <w:highlight w:val="none"/>
                <w:lang w:val="en-US" w:eastAsia="zh-CN"/>
              </w:rPr>
              <w:t>最近</w:t>
            </w:r>
            <w:r>
              <w:rPr>
                <w:rFonts w:hint="default" w:ascii="Times New Roman" w:hAnsi="Times New Roman" w:eastAsia="宋体" w:cs="Times New Roman"/>
                <w:color w:val="auto"/>
                <w:sz w:val="21"/>
                <w:szCs w:val="21"/>
                <w:highlight w:val="none"/>
                <w:lang w:val="en-US" w:eastAsia="zh-CN"/>
              </w:rPr>
              <w:t>距离</w:t>
            </w:r>
            <w:r>
              <w:rPr>
                <w:rFonts w:hint="eastAsia" w:ascii="Times New Roman" w:hAnsi="Times New Roman" w:eastAsia="宋体" w:cs="Times New Roman"/>
                <w:color w:val="auto"/>
                <w:sz w:val="21"/>
                <w:szCs w:val="21"/>
                <w:highlight w:val="none"/>
                <w:lang w:val="en-US" w:eastAsia="zh-CN"/>
              </w:rPr>
              <w:t>为</w:t>
            </w:r>
            <w:r>
              <w:rPr>
                <w:rFonts w:hint="eastAsia" w:cs="Times New Roman"/>
                <w:color w:val="auto"/>
                <w:sz w:val="21"/>
                <w:szCs w:val="21"/>
                <w:highlight w:val="none"/>
                <w:lang w:val="en-US" w:eastAsia="zh-CN"/>
              </w:rPr>
              <w:t>10</w:t>
            </w:r>
            <w:r>
              <w:rPr>
                <w:rFonts w:hint="eastAsia" w:ascii="Times New Roman" w:hAnsi="Times New Roman" w:eastAsia="宋体" w:cs="Times New Roman"/>
                <w:color w:val="auto"/>
                <w:sz w:val="21"/>
                <w:szCs w:val="21"/>
                <w:highlight w:val="none"/>
                <w:lang w:val="en-US" w:eastAsia="zh-CN"/>
              </w:rPr>
              <w:t>m</w:t>
            </w:r>
          </w:p>
        </w:tc>
        <w:tc>
          <w:tcPr>
            <w:tcW w:w="1489" w:type="dxa"/>
            <w:vMerge w:val="continue"/>
            <w:tcBorders>
              <w:tl2br w:val="nil"/>
              <w:tr2bl w:val="nil"/>
            </w:tcBorders>
            <w:noWrap w:val="0"/>
            <w:vAlign w:val="center"/>
          </w:tcPr>
          <w:p w14:paraId="00CF6F3D">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c>
          <w:tcPr>
            <w:tcW w:w="1708" w:type="dxa"/>
            <w:vMerge w:val="continue"/>
            <w:tcBorders>
              <w:tl2br w:val="nil"/>
              <w:tr2bl w:val="nil"/>
            </w:tcBorders>
            <w:noWrap w:val="0"/>
            <w:vAlign w:val="center"/>
          </w:tcPr>
          <w:p w14:paraId="514B8B7B">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r>
      <w:tr w14:paraId="0429212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00" w:type="dxa"/>
            <w:vMerge w:val="continue"/>
            <w:tcBorders>
              <w:tl2br w:val="nil"/>
              <w:tr2bl w:val="nil"/>
            </w:tcBorders>
            <w:noWrap w:val="0"/>
            <w:vAlign w:val="center"/>
          </w:tcPr>
          <w:p w14:paraId="5E22DA2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2263" w:type="dxa"/>
            <w:tcBorders>
              <w:tl2br w:val="nil"/>
              <w:tr2bl w:val="nil"/>
            </w:tcBorders>
            <w:noWrap w:val="0"/>
            <w:vAlign w:val="center"/>
          </w:tcPr>
          <w:p w14:paraId="47D24B6A">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祁东县马杜桥乡老屋塘村</w:t>
            </w:r>
            <w:r>
              <w:rPr>
                <w:rFonts w:hint="default" w:ascii="Times New Roman" w:hAnsi="Times New Roman" w:eastAsia="宋体" w:cs="Times New Roman"/>
                <w:color w:val="auto"/>
                <w:sz w:val="21"/>
                <w:szCs w:val="21"/>
                <w:highlight w:val="none"/>
                <w:lang w:val="en-US" w:eastAsia="zh-CN"/>
              </w:rPr>
              <w:t>居民点/约</w:t>
            </w:r>
            <w:r>
              <w:rPr>
                <w:rFonts w:hint="eastAsia" w:ascii="Times New Roman" w:hAnsi="Times New Roman" w:eastAsia="宋体" w:cs="Times New Roman"/>
                <w:color w:val="auto"/>
                <w:sz w:val="21"/>
                <w:szCs w:val="21"/>
                <w:highlight w:val="none"/>
                <w:lang w:val="en-US" w:eastAsia="zh-CN"/>
              </w:rPr>
              <w:t>8</w:t>
            </w:r>
            <w:r>
              <w:rPr>
                <w:rFonts w:hint="default" w:ascii="Times New Roman" w:hAnsi="Times New Roman" w:eastAsia="宋体" w:cs="Times New Roman"/>
                <w:color w:val="auto"/>
                <w:sz w:val="21"/>
                <w:szCs w:val="21"/>
                <w:highlight w:val="none"/>
                <w:lang w:val="en-US" w:eastAsia="zh-CN"/>
              </w:rPr>
              <w:t>户</w:t>
            </w:r>
          </w:p>
        </w:tc>
        <w:tc>
          <w:tcPr>
            <w:tcW w:w="1866" w:type="dxa"/>
            <w:tcBorders>
              <w:tl2br w:val="nil"/>
              <w:tr2bl w:val="nil"/>
            </w:tcBorders>
            <w:noWrap w:val="0"/>
            <w:vAlign w:val="center"/>
          </w:tcPr>
          <w:p w14:paraId="4585D7C2">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沿道路两侧布置，</w:t>
            </w:r>
            <w:r>
              <w:rPr>
                <w:rFonts w:hint="default" w:ascii="Times New Roman" w:hAnsi="Times New Roman" w:eastAsia="宋体" w:cs="Times New Roman"/>
                <w:color w:val="auto"/>
                <w:sz w:val="21"/>
                <w:szCs w:val="21"/>
                <w:highlight w:val="none"/>
                <w:lang w:val="en-US" w:eastAsia="zh-CN"/>
              </w:rPr>
              <w:t>临路第一排房屋距</w:t>
            </w:r>
          </w:p>
          <w:p w14:paraId="36B0AAB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离利用路段道路中</w:t>
            </w:r>
          </w:p>
          <w:p w14:paraId="0016765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心线</w:t>
            </w:r>
            <w:r>
              <w:rPr>
                <w:rFonts w:hint="eastAsia" w:ascii="Times New Roman" w:hAnsi="Times New Roman" w:eastAsia="宋体" w:cs="Times New Roman"/>
                <w:color w:val="auto"/>
                <w:sz w:val="21"/>
                <w:szCs w:val="21"/>
                <w:highlight w:val="none"/>
                <w:lang w:val="en-US" w:eastAsia="zh-CN"/>
              </w:rPr>
              <w:t>最近</w:t>
            </w:r>
            <w:r>
              <w:rPr>
                <w:rFonts w:hint="default" w:ascii="Times New Roman" w:hAnsi="Times New Roman" w:eastAsia="宋体" w:cs="Times New Roman"/>
                <w:color w:val="auto"/>
                <w:sz w:val="21"/>
                <w:szCs w:val="21"/>
                <w:highlight w:val="none"/>
                <w:lang w:val="en-US" w:eastAsia="zh-CN"/>
              </w:rPr>
              <w:t>距离</w:t>
            </w:r>
            <w:r>
              <w:rPr>
                <w:rFonts w:hint="eastAsia" w:ascii="Times New Roman" w:hAnsi="Times New Roman" w:eastAsia="宋体" w:cs="Times New Roman"/>
                <w:color w:val="auto"/>
                <w:sz w:val="21"/>
                <w:szCs w:val="21"/>
                <w:highlight w:val="none"/>
                <w:lang w:val="en-US" w:eastAsia="zh-CN"/>
              </w:rPr>
              <w:t>为10m</w:t>
            </w:r>
          </w:p>
        </w:tc>
        <w:tc>
          <w:tcPr>
            <w:tcW w:w="1489" w:type="dxa"/>
            <w:vMerge w:val="continue"/>
            <w:tcBorders>
              <w:tl2br w:val="nil"/>
              <w:tr2bl w:val="nil"/>
            </w:tcBorders>
            <w:noWrap w:val="0"/>
            <w:vAlign w:val="center"/>
          </w:tcPr>
          <w:p w14:paraId="7BDF8566">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c>
          <w:tcPr>
            <w:tcW w:w="1708" w:type="dxa"/>
            <w:vMerge w:val="continue"/>
            <w:tcBorders>
              <w:tl2br w:val="nil"/>
              <w:tr2bl w:val="nil"/>
            </w:tcBorders>
            <w:noWrap w:val="0"/>
            <w:vAlign w:val="center"/>
          </w:tcPr>
          <w:p w14:paraId="2FC59D84">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r>
      <w:tr w14:paraId="42C511B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00" w:type="dxa"/>
            <w:vMerge w:val="continue"/>
            <w:tcBorders>
              <w:tl2br w:val="nil"/>
              <w:tr2bl w:val="nil"/>
            </w:tcBorders>
            <w:noWrap w:val="0"/>
            <w:vAlign w:val="center"/>
          </w:tcPr>
          <w:p w14:paraId="780E126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2263" w:type="dxa"/>
            <w:tcBorders>
              <w:tl2br w:val="nil"/>
              <w:tr2bl w:val="nil"/>
            </w:tcBorders>
            <w:noWrap w:val="0"/>
            <w:vAlign w:val="center"/>
          </w:tcPr>
          <w:p w14:paraId="53CCE5D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祁东县马杜桥乡两头塘村居民点/约25户</w:t>
            </w:r>
          </w:p>
        </w:tc>
        <w:tc>
          <w:tcPr>
            <w:tcW w:w="1866" w:type="dxa"/>
            <w:tcBorders>
              <w:tl2br w:val="nil"/>
              <w:tr2bl w:val="nil"/>
            </w:tcBorders>
            <w:noWrap w:val="0"/>
            <w:vAlign w:val="center"/>
          </w:tcPr>
          <w:p w14:paraId="5833D5D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沿道路两侧布置，</w:t>
            </w:r>
            <w:r>
              <w:rPr>
                <w:rFonts w:hint="default" w:ascii="Times New Roman" w:hAnsi="Times New Roman" w:eastAsia="宋体" w:cs="Times New Roman"/>
                <w:color w:val="auto"/>
                <w:sz w:val="21"/>
                <w:szCs w:val="21"/>
                <w:highlight w:val="none"/>
                <w:lang w:val="en-US" w:eastAsia="zh-CN"/>
              </w:rPr>
              <w:t>临路第一排房屋距</w:t>
            </w:r>
          </w:p>
          <w:p w14:paraId="75573734">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离利用路段道路中</w:t>
            </w:r>
          </w:p>
          <w:p w14:paraId="2DCFAE44">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心线</w:t>
            </w:r>
            <w:r>
              <w:rPr>
                <w:rFonts w:hint="eastAsia" w:ascii="Times New Roman" w:hAnsi="Times New Roman" w:eastAsia="宋体" w:cs="Times New Roman"/>
                <w:color w:val="auto"/>
                <w:sz w:val="21"/>
                <w:szCs w:val="21"/>
                <w:highlight w:val="none"/>
                <w:lang w:val="en-US" w:eastAsia="zh-CN"/>
              </w:rPr>
              <w:t>最近</w:t>
            </w:r>
            <w:r>
              <w:rPr>
                <w:rFonts w:hint="default" w:ascii="Times New Roman" w:hAnsi="Times New Roman" w:eastAsia="宋体" w:cs="Times New Roman"/>
                <w:color w:val="auto"/>
                <w:sz w:val="21"/>
                <w:szCs w:val="21"/>
                <w:highlight w:val="none"/>
                <w:lang w:val="en-US" w:eastAsia="zh-CN"/>
              </w:rPr>
              <w:t>距离</w:t>
            </w:r>
            <w:r>
              <w:rPr>
                <w:rFonts w:hint="eastAsia" w:ascii="Times New Roman" w:hAnsi="Times New Roman" w:eastAsia="宋体" w:cs="Times New Roman"/>
                <w:color w:val="auto"/>
                <w:sz w:val="21"/>
                <w:szCs w:val="21"/>
                <w:highlight w:val="none"/>
                <w:lang w:val="en-US" w:eastAsia="zh-CN"/>
              </w:rPr>
              <w:t>为5m</w:t>
            </w:r>
          </w:p>
        </w:tc>
        <w:tc>
          <w:tcPr>
            <w:tcW w:w="1489" w:type="dxa"/>
            <w:vMerge w:val="continue"/>
            <w:tcBorders>
              <w:tl2br w:val="nil"/>
              <w:tr2bl w:val="nil"/>
            </w:tcBorders>
            <w:noWrap w:val="0"/>
            <w:vAlign w:val="center"/>
          </w:tcPr>
          <w:p w14:paraId="60991AF7">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c>
          <w:tcPr>
            <w:tcW w:w="1708" w:type="dxa"/>
            <w:vMerge w:val="continue"/>
            <w:tcBorders>
              <w:tl2br w:val="nil"/>
              <w:tr2bl w:val="nil"/>
            </w:tcBorders>
            <w:noWrap w:val="0"/>
            <w:vAlign w:val="center"/>
          </w:tcPr>
          <w:p w14:paraId="4C025BE3">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r>
      <w:tr w14:paraId="36E55AB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00" w:type="dxa"/>
            <w:vMerge w:val="continue"/>
            <w:tcBorders>
              <w:tl2br w:val="nil"/>
              <w:tr2bl w:val="nil"/>
            </w:tcBorders>
            <w:noWrap w:val="0"/>
            <w:vAlign w:val="center"/>
          </w:tcPr>
          <w:p w14:paraId="02825BC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2263" w:type="dxa"/>
            <w:tcBorders>
              <w:tl2br w:val="nil"/>
              <w:tr2bl w:val="nil"/>
            </w:tcBorders>
            <w:noWrap w:val="0"/>
            <w:vAlign w:val="center"/>
          </w:tcPr>
          <w:p w14:paraId="73DE9B7E">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祁东县马杜桥乡延甲村居民点/约25户</w:t>
            </w:r>
          </w:p>
        </w:tc>
        <w:tc>
          <w:tcPr>
            <w:tcW w:w="1866" w:type="dxa"/>
            <w:tcBorders>
              <w:tl2br w:val="nil"/>
              <w:tr2bl w:val="nil"/>
            </w:tcBorders>
            <w:noWrap w:val="0"/>
            <w:vAlign w:val="center"/>
          </w:tcPr>
          <w:p w14:paraId="1E602DF7">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沿道路两侧布置，</w:t>
            </w:r>
            <w:r>
              <w:rPr>
                <w:rFonts w:hint="default" w:ascii="Times New Roman" w:hAnsi="Times New Roman" w:eastAsia="宋体" w:cs="Times New Roman"/>
                <w:color w:val="auto"/>
                <w:sz w:val="21"/>
                <w:szCs w:val="21"/>
                <w:highlight w:val="none"/>
                <w:lang w:val="en-US" w:eastAsia="zh-CN"/>
              </w:rPr>
              <w:t>临路第一排房屋距</w:t>
            </w:r>
          </w:p>
          <w:p w14:paraId="5B76ECED">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离利用路段道路中</w:t>
            </w:r>
          </w:p>
          <w:p w14:paraId="53D58915">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心线</w:t>
            </w:r>
            <w:r>
              <w:rPr>
                <w:rFonts w:hint="eastAsia" w:ascii="Times New Roman" w:hAnsi="Times New Roman" w:eastAsia="宋体" w:cs="Times New Roman"/>
                <w:color w:val="auto"/>
                <w:sz w:val="21"/>
                <w:szCs w:val="21"/>
                <w:highlight w:val="none"/>
                <w:lang w:val="en-US" w:eastAsia="zh-CN"/>
              </w:rPr>
              <w:t>最近</w:t>
            </w:r>
            <w:r>
              <w:rPr>
                <w:rFonts w:hint="default" w:ascii="Times New Roman" w:hAnsi="Times New Roman" w:eastAsia="宋体" w:cs="Times New Roman"/>
                <w:color w:val="auto"/>
                <w:sz w:val="21"/>
                <w:szCs w:val="21"/>
                <w:highlight w:val="none"/>
                <w:lang w:val="en-US" w:eastAsia="zh-CN"/>
              </w:rPr>
              <w:t>距离</w:t>
            </w:r>
            <w:r>
              <w:rPr>
                <w:rFonts w:hint="eastAsia" w:ascii="Times New Roman" w:hAnsi="Times New Roman" w:eastAsia="宋体" w:cs="Times New Roman"/>
                <w:color w:val="auto"/>
                <w:sz w:val="21"/>
                <w:szCs w:val="21"/>
                <w:highlight w:val="none"/>
                <w:lang w:val="en-US" w:eastAsia="zh-CN"/>
              </w:rPr>
              <w:t>为</w:t>
            </w:r>
            <w:r>
              <w:rPr>
                <w:rFonts w:hint="eastAsia" w:cs="Times New Roman"/>
                <w:color w:val="auto"/>
                <w:sz w:val="21"/>
                <w:szCs w:val="21"/>
                <w:highlight w:val="none"/>
                <w:lang w:val="en-US" w:eastAsia="zh-CN"/>
              </w:rPr>
              <w:t>10</w:t>
            </w:r>
            <w:r>
              <w:rPr>
                <w:rFonts w:hint="eastAsia" w:ascii="Times New Roman" w:hAnsi="Times New Roman" w:eastAsia="宋体" w:cs="Times New Roman"/>
                <w:color w:val="auto"/>
                <w:sz w:val="21"/>
                <w:szCs w:val="21"/>
                <w:highlight w:val="none"/>
                <w:lang w:val="en-US" w:eastAsia="zh-CN"/>
              </w:rPr>
              <w:t>m</w:t>
            </w:r>
          </w:p>
        </w:tc>
        <w:tc>
          <w:tcPr>
            <w:tcW w:w="1489" w:type="dxa"/>
            <w:vMerge w:val="continue"/>
            <w:tcBorders>
              <w:tl2br w:val="nil"/>
              <w:tr2bl w:val="nil"/>
            </w:tcBorders>
            <w:noWrap w:val="0"/>
            <w:vAlign w:val="center"/>
          </w:tcPr>
          <w:p w14:paraId="5C107492">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c>
          <w:tcPr>
            <w:tcW w:w="1708" w:type="dxa"/>
            <w:vMerge w:val="continue"/>
            <w:tcBorders>
              <w:tl2br w:val="nil"/>
              <w:tr2bl w:val="nil"/>
            </w:tcBorders>
            <w:noWrap w:val="0"/>
            <w:vAlign w:val="center"/>
          </w:tcPr>
          <w:p w14:paraId="13D203D4">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r>
      <w:tr w14:paraId="7E55BC7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00" w:type="dxa"/>
            <w:vMerge w:val="continue"/>
            <w:tcBorders>
              <w:tl2br w:val="nil"/>
              <w:tr2bl w:val="nil"/>
            </w:tcBorders>
            <w:noWrap w:val="0"/>
            <w:vAlign w:val="center"/>
          </w:tcPr>
          <w:p w14:paraId="0EC1687E">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2263" w:type="dxa"/>
            <w:tcBorders>
              <w:tl2br w:val="nil"/>
              <w:tr2bl w:val="nil"/>
            </w:tcBorders>
            <w:noWrap w:val="0"/>
            <w:vAlign w:val="center"/>
          </w:tcPr>
          <w:p w14:paraId="39E2E1F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马杜桥小学</w:t>
            </w:r>
          </w:p>
        </w:tc>
        <w:tc>
          <w:tcPr>
            <w:tcW w:w="1866" w:type="dxa"/>
            <w:tcBorders>
              <w:tl2br w:val="nil"/>
              <w:tr2bl w:val="nil"/>
            </w:tcBorders>
            <w:noWrap w:val="0"/>
            <w:vAlign w:val="center"/>
          </w:tcPr>
          <w:p w14:paraId="6E10EA6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位于道路东侧，</w:t>
            </w:r>
            <w:r>
              <w:rPr>
                <w:rFonts w:hint="default" w:ascii="Times New Roman" w:hAnsi="Times New Roman" w:eastAsia="宋体" w:cs="Times New Roman"/>
                <w:color w:val="auto"/>
                <w:sz w:val="21"/>
                <w:szCs w:val="21"/>
                <w:highlight w:val="none"/>
                <w:lang w:val="en-US" w:eastAsia="zh-CN"/>
              </w:rPr>
              <w:t>距</w:t>
            </w:r>
          </w:p>
          <w:p w14:paraId="14A07104">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离利用路段道路中</w:t>
            </w:r>
          </w:p>
          <w:p w14:paraId="6EFBAC7E">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心线</w:t>
            </w:r>
            <w:r>
              <w:rPr>
                <w:rFonts w:hint="eastAsia" w:ascii="Times New Roman" w:hAnsi="Times New Roman" w:eastAsia="宋体" w:cs="Times New Roman"/>
                <w:color w:val="auto"/>
                <w:sz w:val="21"/>
                <w:szCs w:val="21"/>
                <w:highlight w:val="none"/>
                <w:lang w:val="en-US" w:eastAsia="zh-CN"/>
              </w:rPr>
              <w:t>最近</w:t>
            </w:r>
            <w:r>
              <w:rPr>
                <w:rFonts w:hint="default" w:ascii="Times New Roman" w:hAnsi="Times New Roman" w:eastAsia="宋体" w:cs="Times New Roman"/>
                <w:color w:val="auto"/>
                <w:sz w:val="21"/>
                <w:szCs w:val="21"/>
                <w:highlight w:val="none"/>
                <w:lang w:val="en-US" w:eastAsia="zh-CN"/>
              </w:rPr>
              <w:t>距离</w:t>
            </w:r>
            <w:r>
              <w:rPr>
                <w:rFonts w:hint="eastAsia" w:ascii="Times New Roman" w:hAnsi="Times New Roman" w:eastAsia="宋体" w:cs="Times New Roman"/>
                <w:color w:val="auto"/>
                <w:sz w:val="21"/>
                <w:szCs w:val="21"/>
                <w:highlight w:val="none"/>
                <w:lang w:val="en-US" w:eastAsia="zh-CN"/>
              </w:rPr>
              <w:t>为100m</w:t>
            </w:r>
          </w:p>
        </w:tc>
        <w:tc>
          <w:tcPr>
            <w:tcW w:w="1489" w:type="dxa"/>
            <w:vMerge w:val="continue"/>
            <w:tcBorders>
              <w:tl2br w:val="nil"/>
              <w:tr2bl w:val="nil"/>
            </w:tcBorders>
            <w:noWrap w:val="0"/>
            <w:vAlign w:val="center"/>
          </w:tcPr>
          <w:p w14:paraId="78685BA0">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c>
          <w:tcPr>
            <w:tcW w:w="1708" w:type="dxa"/>
            <w:vMerge w:val="continue"/>
            <w:tcBorders>
              <w:tl2br w:val="nil"/>
              <w:tr2bl w:val="nil"/>
            </w:tcBorders>
            <w:noWrap w:val="0"/>
            <w:vAlign w:val="center"/>
          </w:tcPr>
          <w:p w14:paraId="3F2395EA">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r>
      <w:tr w14:paraId="157B971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00" w:type="dxa"/>
            <w:vMerge w:val="continue"/>
            <w:tcBorders>
              <w:tl2br w:val="nil"/>
              <w:tr2bl w:val="nil"/>
            </w:tcBorders>
            <w:noWrap w:val="0"/>
            <w:vAlign w:val="center"/>
          </w:tcPr>
          <w:p w14:paraId="024655D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2263" w:type="dxa"/>
            <w:tcBorders>
              <w:tl2br w:val="nil"/>
              <w:tr2bl w:val="nil"/>
            </w:tcBorders>
            <w:noWrap w:val="0"/>
            <w:vAlign w:val="center"/>
          </w:tcPr>
          <w:p w14:paraId="649E9B8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马杜桥中学</w:t>
            </w:r>
          </w:p>
        </w:tc>
        <w:tc>
          <w:tcPr>
            <w:tcW w:w="1866" w:type="dxa"/>
            <w:tcBorders>
              <w:tl2br w:val="nil"/>
              <w:tr2bl w:val="nil"/>
            </w:tcBorders>
            <w:noWrap w:val="0"/>
            <w:vAlign w:val="center"/>
          </w:tcPr>
          <w:p w14:paraId="0D945CFA">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位于道路西侧，</w:t>
            </w:r>
            <w:r>
              <w:rPr>
                <w:rFonts w:hint="default" w:ascii="Times New Roman" w:hAnsi="Times New Roman" w:eastAsia="宋体" w:cs="Times New Roman"/>
                <w:color w:val="auto"/>
                <w:sz w:val="21"/>
                <w:szCs w:val="21"/>
                <w:highlight w:val="none"/>
                <w:lang w:val="en-US" w:eastAsia="zh-CN"/>
              </w:rPr>
              <w:t>距</w:t>
            </w:r>
          </w:p>
          <w:p w14:paraId="3080521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离利用路段道路中</w:t>
            </w:r>
          </w:p>
          <w:p w14:paraId="375B25B7">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心线</w:t>
            </w:r>
            <w:r>
              <w:rPr>
                <w:rFonts w:hint="eastAsia" w:ascii="Times New Roman" w:hAnsi="Times New Roman" w:eastAsia="宋体" w:cs="Times New Roman"/>
                <w:color w:val="auto"/>
                <w:sz w:val="21"/>
                <w:szCs w:val="21"/>
                <w:highlight w:val="none"/>
                <w:lang w:val="en-US" w:eastAsia="zh-CN"/>
              </w:rPr>
              <w:t>最近</w:t>
            </w:r>
            <w:r>
              <w:rPr>
                <w:rFonts w:hint="default" w:ascii="Times New Roman" w:hAnsi="Times New Roman" w:eastAsia="宋体" w:cs="Times New Roman"/>
                <w:color w:val="auto"/>
                <w:sz w:val="21"/>
                <w:szCs w:val="21"/>
                <w:highlight w:val="none"/>
                <w:lang w:val="en-US" w:eastAsia="zh-CN"/>
              </w:rPr>
              <w:t>距离</w:t>
            </w:r>
            <w:r>
              <w:rPr>
                <w:rFonts w:hint="eastAsia" w:ascii="Times New Roman" w:hAnsi="Times New Roman" w:eastAsia="宋体" w:cs="Times New Roman"/>
                <w:color w:val="auto"/>
                <w:sz w:val="21"/>
                <w:szCs w:val="21"/>
                <w:highlight w:val="none"/>
                <w:lang w:val="en-US" w:eastAsia="zh-CN"/>
              </w:rPr>
              <w:t>为98m</w:t>
            </w:r>
          </w:p>
        </w:tc>
        <w:tc>
          <w:tcPr>
            <w:tcW w:w="1489" w:type="dxa"/>
            <w:vMerge w:val="continue"/>
            <w:tcBorders>
              <w:tl2br w:val="nil"/>
              <w:tr2bl w:val="nil"/>
            </w:tcBorders>
            <w:noWrap w:val="0"/>
            <w:vAlign w:val="center"/>
          </w:tcPr>
          <w:p w14:paraId="3C8F7DF4">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c>
          <w:tcPr>
            <w:tcW w:w="1708" w:type="dxa"/>
            <w:vMerge w:val="continue"/>
            <w:tcBorders>
              <w:tl2br w:val="nil"/>
              <w:tr2bl w:val="nil"/>
            </w:tcBorders>
            <w:noWrap w:val="0"/>
            <w:vAlign w:val="center"/>
          </w:tcPr>
          <w:p w14:paraId="26FCA43D">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r>
      <w:tr w14:paraId="56D526A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00" w:type="dxa"/>
            <w:vMerge w:val="continue"/>
            <w:tcBorders>
              <w:tl2br w:val="nil"/>
              <w:tr2bl w:val="nil"/>
            </w:tcBorders>
            <w:noWrap w:val="0"/>
            <w:vAlign w:val="center"/>
          </w:tcPr>
          <w:p w14:paraId="36DB70C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2263" w:type="dxa"/>
            <w:tcBorders>
              <w:tl2br w:val="nil"/>
              <w:tr2bl w:val="nil"/>
            </w:tcBorders>
            <w:noWrap w:val="0"/>
            <w:vAlign w:val="center"/>
          </w:tcPr>
          <w:p w14:paraId="39858B5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祁东县马杜桥乡罗家桥村居民点/约15户</w:t>
            </w:r>
          </w:p>
        </w:tc>
        <w:tc>
          <w:tcPr>
            <w:tcW w:w="1866" w:type="dxa"/>
            <w:tcBorders>
              <w:tl2br w:val="nil"/>
              <w:tr2bl w:val="nil"/>
            </w:tcBorders>
            <w:noWrap w:val="0"/>
            <w:vAlign w:val="center"/>
          </w:tcPr>
          <w:p w14:paraId="0F3D52AE">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位于道路东侧，</w:t>
            </w:r>
            <w:r>
              <w:rPr>
                <w:rFonts w:hint="default" w:ascii="Times New Roman" w:hAnsi="Times New Roman" w:eastAsia="宋体" w:cs="Times New Roman"/>
                <w:color w:val="auto"/>
                <w:sz w:val="21"/>
                <w:szCs w:val="21"/>
                <w:highlight w:val="none"/>
                <w:lang w:val="en-US" w:eastAsia="zh-CN"/>
              </w:rPr>
              <w:t>距</w:t>
            </w:r>
          </w:p>
          <w:p w14:paraId="3770E3A2">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离利用路段道路中</w:t>
            </w:r>
          </w:p>
          <w:p w14:paraId="3D795918">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心线</w:t>
            </w:r>
            <w:r>
              <w:rPr>
                <w:rFonts w:hint="eastAsia" w:ascii="Times New Roman" w:hAnsi="Times New Roman" w:eastAsia="宋体" w:cs="Times New Roman"/>
                <w:color w:val="auto"/>
                <w:sz w:val="21"/>
                <w:szCs w:val="21"/>
                <w:highlight w:val="none"/>
                <w:lang w:val="en-US" w:eastAsia="zh-CN"/>
              </w:rPr>
              <w:t>最近</w:t>
            </w:r>
            <w:r>
              <w:rPr>
                <w:rFonts w:hint="default" w:ascii="Times New Roman" w:hAnsi="Times New Roman" w:eastAsia="宋体" w:cs="Times New Roman"/>
                <w:color w:val="auto"/>
                <w:sz w:val="21"/>
                <w:szCs w:val="21"/>
                <w:highlight w:val="none"/>
                <w:lang w:val="en-US" w:eastAsia="zh-CN"/>
              </w:rPr>
              <w:t>距离</w:t>
            </w:r>
            <w:r>
              <w:rPr>
                <w:rFonts w:hint="eastAsia" w:ascii="Times New Roman" w:hAnsi="Times New Roman" w:eastAsia="宋体" w:cs="Times New Roman"/>
                <w:color w:val="auto"/>
                <w:sz w:val="21"/>
                <w:szCs w:val="21"/>
                <w:highlight w:val="none"/>
                <w:lang w:val="en-US" w:eastAsia="zh-CN"/>
              </w:rPr>
              <w:t>为168m</w:t>
            </w:r>
          </w:p>
        </w:tc>
        <w:tc>
          <w:tcPr>
            <w:tcW w:w="1489" w:type="dxa"/>
            <w:vMerge w:val="continue"/>
            <w:tcBorders>
              <w:tl2br w:val="nil"/>
              <w:tr2bl w:val="nil"/>
            </w:tcBorders>
            <w:noWrap w:val="0"/>
            <w:vAlign w:val="center"/>
          </w:tcPr>
          <w:p w14:paraId="452CDC38">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c>
          <w:tcPr>
            <w:tcW w:w="1708" w:type="dxa"/>
            <w:vMerge w:val="continue"/>
            <w:tcBorders>
              <w:tl2br w:val="nil"/>
              <w:tr2bl w:val="nil"/>
            </w:tcBorders>
            <w:noWrap w:val="0"/>
            <w:vAlign w:val="center"/>
          </w:tcPr>
          <w:p w14:paraId="5DD45DAD">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r>
      <w:tr w14:paraId="7641903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trPr>
        <w:tc>
          <w:tcPr>
            <w:tcW w:w="1100" w:type="dxa"/>
            <w:vMerge w:val="continue"/>
            <w:tcBorders>
              <w:tl2br w:val="nil"/>
              <w:tr2bl w:val="nil"/>
            </w:tcBorders>
            <w:noWrap w:val="0"/>
            <w:vAlign w:val="center"/>
          </w:tcPr>
          <w:p w14:paraId="75CE9A4E">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2263" w:type="dxa"/>
            <w:tcBorders>
              <w:tl2br w:val="nil"/>
              <w:tr2bl w:val="nil"/>
            </w:tcBorders>
            <w:noWrap w:val="0"/>
            <w:vAlign w:val="center"/>
          </w:tcPr>
          <w:p w14:paraId="177D150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祁东县马杜桥乡光明村居民点/约45户</w:t>
            </w:r>
          </w:p>
        </w:tc>
        <w:tc>
          <w:tcPr>
            <w:tcW w:w="1866" w:type="dxa"/>
            <w:tcBorders>
              <w:tl2br w:val="nil"/>
              <w:tr2bl w:val="nil"/>
            </w:tcBorders>
            <w:noWrap w:val="0"/>
            <w:vAlign w:val="center"/>
          </w:tcPr>
          <w:p w14:paraId="7A9C9A0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位于道路东侧，</w:t>
            </w:r>
            <w:r>
              <w:rPr>
                <w:rFonts w:hint="default" w:ascii="Times New Roman" w:hAnsi="Times New Roman" w:eastAsia="宋体" w:cs="Times New Roman"/>
                <w:color w:val="auto"/>
                <w:sz w:val="21"/>
                <w:szCs w:val="21"/>
                <w:highlight w:val="none"/>
                <w:lang w:val="en-US" w:eastAsia="zh-CN"/>
              </w:rPr>
              <w:t>距</w:t>
            </w:r>
          </w:p>
          <w:p w14:paraId="265B813E">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离利用路段道路中</w:t>
            </w:r>
          </w:p>
          <w:p w14:paraId="3ED7B655">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心线</w:t>
            </w:r>
            <w:r>
              <w:rPr>
                <w:rFonts w:hint="eastAsia" w:ascii="Times New Roman" w:hAnsi="Times New Roman" w:eastAsia="宋体" w:cs="Times New Roman"/>
                <w:color w:val="auto"/>
                <w:sz w:val="21"/>
                <w:szCs w:val="21"/>
                <w:highlight w:val="none"/>
                <w:lang w:val="en-US" w:eastAsia="zh-CN"/>
              </w:rPr>
              <w:t>最近</w:t>
            </w:r>
            <w:r>
              <w:rPr>
                <w:rFonts w:hint="default" w:ascii="Times New Roman" w:hAnsi="Times New Roman" w:eastAsia="宋体" w:cs="Times New Roman"/>
                <w:color w:val="auto"/>
                <w:sz w:val="21"/>
                <w:szCs w:val="21"/>
                <w:highlight w:val="none"/>
                <w:lang w:val="en-US" w:eastAsia="zh-CN"/>
              </w:rPr>
              <w:t>距离</w:t>
            </w:r>
            <w:r>
              <w:rPr>
                <w:rFonts w:hint="eastAsia" w:ascii="Times New Roman" w:hAnsi="Times New Roman" w:eastAsia="宋体" w:cs="Times New Roman"/>
                <w:color w:val="auto"/>
                <w:sz w:val="21"/>
                <w:szCs w:val="21"/>
                <w:highlight w:val="none"/>
                <w:lang w:val="en-US" w:eastAsia="zh-CN"/>
              </w:rPr>
              <w:t>为138m</w:t>
            </w:r>
          </w:p>
        </w:tc>
        <w:tc>
          <w:tcPr>
            <w:tcW w:w="1489" w:type="dxa"/>
            <w:vMerge w:val="continue"/>
            <w:tcBorders>
              <w:tl2br w:val="nil"/>
              <w:tr2bl w:val="nil"/>
            </w:tcBorders>
            <w:noWrap w:val="0"/>
            <w:vAlign w:val="center"/>
          </w:tcPr>
          <w:p w14:paraId="5C3079C9">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c>
          <w:tcPr>
            <w:tcW w:w="1708" w:type="dxa"/>
            <w:vMerge w:val="continue"/>
            <w:tcBorders>
              <w:tl2br w:val="nil"/>
              <w:tr2bl w:val="nil"/>
            </w:tcBorders>
            <w:noWrap w:val="0"/>
            <w:vAlign w:val="center"/>
          </w:tcPr>
          <w:p w14:paraId="6BF8067C">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r>
      <w:tr w14:paraId="53F37B9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00" w:type="dxa"/>
            <w:vMerge w:val="continue"/>
            <w:tcBorders>
              <w:tl2br w:val="nil"/>
              <w:tr2bl w:val="nil"/>
            </w:tcBorders>
            <w:noWrap w:val="0"/>
            <w:vAlign w:val="center"/>
          </w:tcPr>
          <w:p w14:paraId="386BEC6E">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2263" w:type="dxa"/>
            <w:tcBorders>
              <w:tl2br w:val="nil"/>
              <w:tr2bl w:val="nil"/>
            </w:tcBorders>
            <w:noWrap w:val="0"/>
            <w:vAlign w:val="center"/>
          </w:tcPr>
          <w:p w14:paraId="72FB448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祁东县马杜桥乡石桥村居民点/约60户</w:t>
            </w:r>
          </w:p>
        </w:tc>
        <w:tc>
          <w:tcPr>
            <w:tcW w:w="1866" w:type="dxa"/>
            <w:tcBorders>
              <w:tl2br w:val="nil"/>
              <w:tr2bl w:val="nil"/>
            </w:tcBorders>
            <w:noWrap w:val="0"/>
            <w:vAlign w:val="center"/>
          </w:tcPr>
          <w:p w14:paraId="7D9CC45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沿道路两侧布置，</w:t>
            </w:r>
            <w:r>
              <w:rPr>
                <w:rFonts w:hint="default" w:ascii="Times New Roman" w:hAnsi="Times New Roman" w:eastAsia="宋体" w:cs="Times New Roman"/>
                <w:color w:val="auto"/>
                <w:sz w:val="21"/>
                <w:szCs w:val="21"/>
                <w:highlight w:val="none"/>
                <w:lang w:val="en-US" w:eastAsia="zh-CN"/>
              </w:rPr>
              <w:t>临路第一排房屋距</w:t>
            </w:r>
          </w:p>
          <w:p w14:paraId="05256DD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离利用路段道路中</w:t>
            </w:r>
          </w:p>
          <w:p w14:paraId="72CD208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心线</w:t>
            </w:r>
            <w:r>
              <w:rPr>
                <w:rFonts w:hint="eastAsia" w:ascii="Times New Roman" w:hAnsi="Times New Roman" w:eastAsia="宋体" w:cs="Times New Roman"/>
                <w:color w:val="auto"/>
                <w:sz w:val="21"/>
                <w:szCs w:val="21"/>
                <w:highlight w:val="none"/>
                <w:lang w:val="en-US" w:eastAsia="zh-CN"/>
              </w:rPr>
              <w:t>最近</w:t>
            </w:r>
            <w:r>
              <w:rPr>
                <w:rFonts w:hint="default" w:ascii="Times New Roman" w:hAnsi="Times New Roman" w:eastAsia="宋体" w:cs="Times New Roman"/>
                <w:color w:val="auto"/>
                <w:sz w:val="21"/>
                <w:szCs w:val="21"/>
                <w:highlight w:val="none"/>
                <w:lang w:val="en-US" w:eastAsia="zh-CN"/>
              </w:rPr>
              <w:t>距离</w:t>
            </w:r>
            <w:r>
              <w:rPr>
                <w:rFonts w:hint="eastAsia" w:ascii="Times New Roman" w:hAnsi="Times New Roman" w:eastAsia="宋体" w:cs="Times New Roman"/>
                <w:color w:val="auto"/>
                <w:sz w:val="21"/>
                <w:szCs w:val="21"/>
                <w:highlight w:val="none"/>
                <w:lang w:val="en-US" w:eastAsia="zh-CN"/>
              </w:rPr>
              <w:t>为</w:t>
            </w:r>
            <w:r>
              <w:rPr>
                <w:rFonts w:hint="eastAsia" w:cs="Times New Roman"/>
                <w:color w:val="auto"/>
                <w:sz w:val="21"/>
                <w:szCs w:val="21"/>
                <w:highlight w:val="none"/>
                <w:lang w:val="en-US" w:eastAsia="zh-CN"/>
              </w:rPr>
              <w:t>10</w:t>
            </w:r>
            <w:r>
              <w:rPr>
                <w:rFonts w:hint="eastAsia" w:ascii="Times New Roman" w:hAnsi="Times New Roman" w:eastAsia="宋体" w:cs="Times New Roman"/>
                <w:color w:val="auto"/>
                <w:sz w:val="21"/>
                <w:szCs w:val="21"/>
                <w:highlight w:val="none"/>
                <w:lang w:val="en-US" w:eastAsia="zh-CN"/>
              </w:rPr>
              <w:t>m</w:t>
            </w:r>
          </w:p>
        </w:tc>
        <w:tc>
          <w:tcPr>
            <w:tcW w:w="1489" w:type="dxa"/>
            <w:vMerge w:val="continue"/>
            <w:tcBorders>
              <w:tl2br w:val="nil"/>
              <w:tr2bl w:val="nil"/>
            </w:tcBorders>
            <w:noWrap w:val="0"/>
            <w:vAlign w:val="center"/>
          </w:tcPr>
          <w:p w14:paraId="6FC42E8A">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c>
          <w:tcPr>
            <w:tcW w:w="1708" w:type="dxa"/>
            <w:vMerge w:val="continue"/>
            <w:tcBorders>
              <w:tl2br w:val="nil"/>
              <w:tr2bl w:val="nil"/>
            </w:tcBorders>
            <w:noWrap w:val="0"/>
            <w:vAlign w:val="center"/>
          </w:tcPr>
          <w:p w14:paraId="584A08A6">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r>
      <w:tr w14:paraId="78D9FB8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00" w:type="dxa"/>
            <w:vMerge w:val="continue"/>
            <w:tcBorders>
              <w:tl2br w:val="nil"/>
              <w:tr2bl w:val="nil"/>
            </w:tcBorders>
            <w:noWrap w:val="0"/>
            <w:vAlign w:val="center"/>
          </w:tcPr>
          <w:p w14:paraId="5CA2699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2263" w:type="dxa"/>
            <w:tcBorders>
              <w:tl2br w:val="nil"/>
              <w:tr2bl w:val="nil"/>
            </w:tcBorders>
            <w:noWrap w:val="0"/>
            <w:vAlign w:val="center"/>
          </w:tcPr>
          <w:p w14:paraId="1CFA7B4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马杜桥乡石门山村居民点/约20户</w:t>
            </w:r>
          </w:p>
        </w:tc>
        <w:tc>
          <w:tcPr>
            <w:tcW w:w="1866" w:type="dxa"/>
            <w:tcBorders>
              <w:tl2br w:val="nil"/>
              <w:tr2bl w:val="nil"/>
            </w:tcBorders>
            <w:noWrap w:val="0"/>
            <w:vAlign w:val="center"/>
          </w:tcPr>
          <w:p w14:paraId="0EC8020D">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沿道路两侧布置，</w:t>
            </w:r>
            <w:r>
              <w:rPr>
                <w:rFonts w:hint="default" w:ascii="Times New Roman" w:hAnsi="Times New Roman" w:eastAsia="宋体" w:cs="Times New Roman"/>
                <w:color w:val="auto"/>
                <w:sz w:val="21"/>
                <w:szCs w:val="21"/>
                <w:highlight w:val="none"/>
                <w:lang w:val="en-US" w:eastAsia="zh-CN"/>
              </w:rPr>
              <w:t>临路第一排房屋距</w:t>
            </w:r>
          </w:p>
          <w:p w14:paraId="5B4CDE68">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离利用路段道路中</w:t>
            </w:r>
          </w:p>
          <w:p w14:paraId="70470A3E">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心线</w:t>
            </w:r>
            <w:r>
              <w:rPr>
                <w:rFonts w:hint="eastAsia" w:ascii="Times New Roman" w:hAnsi="Times New Roman" w:eastAsia="宋体" w:cs="Times New Roman"/>
                <w:color w:val="auto"/>
                <w:sz w:val="21"/>
                <w:szCs w:val="21"/>
                <w:highlight w:val="none"/>
                <w:lang w:val="en-US" w:eastAsia="zh-CN"/>
              </w:rPr>
              <w:t>最近</w:t>
            </w:r>
            <w:r>
              <w:rPr>
                <w:rFonts w:hint="default" w:ascii="Times New Roman" w:hAnsi="Times New Roman" w:eastAsia="宋体" w:cs="Times New Roman"/>
                <w:color w:val="auto"/>
                <w:sz w:val="21"/>
                <w:szCs w:val="21"/>
                <w:highlight w:val="none"/>
                <w:lang w:val="en-US" w:eastAsia="zh-CN"/>
              </w:rPr>
              <w:t>距离</w:t>
            </w:r>
            <w:r>
              <w:rPr>
                <w:rFonts w:hint="eastAsia" w:ascii="Times New Roman" w:hAnsi="Times New Roman" w:eastAsia="宋体" w:cs="Times New Roman"/>
                <w:color w:val="auto"/>
                <w:sz w:val="21"/>
                <w:szCs w:val="21"/>
                <w:highlight w:val="none"/>
                <w:lang w:val="en-US" w:eastAsia="zh-CN"/>
              </w:rPr>
              <w:t>为</w:t>
            </w:r>
            <w:r>
              <w:rPr>
                <w:rFonts w:hint="eastAsia" w:cs="Times New Roman"/>
                <w:color w:val="auto"/>
                <w:sz w:val="21"/>
                <w:szCs w:val="21"/>
                <w:highlight w:val="none"/>
                <w:lang w:val="en-US" w:eastAsia="zh-CN"/>
              </w:rPr>
              <w:t>10</w:t>
            </w:r>
            <w:r>
              <w:rPr>
                <w:rFonts w:hint="eastAsia" w:ascii="Times New Roman" w:hAnsi="Times New Roman" w:eastAsia="宋体" w:cs="Times New Roman"/>
                <w:color w:val="auto"/>
                <w:sz w:val="21"/>
                <w:szCs w:val="21"/>
                <w:highlight w:val="none"/>
                <w:lang w:val="en-US" w:eastAsia="zh-CN"/>
              </w:rPr>
              <w:t>m</w:t>
            </w:r>
          </w:p>
        </w:tc>
        <w:tc>
          <w:tcPr>
            <w:tcW w:w="1489" w:type="dxa"/>
            <w:vMerge w:val="continue"/>
            <w:tcBorders>
              <w:tl2br w:val="nil"/>
              <w:tr2bl w:val="nil"/>
            </w:tcBorders>
            <w:noWrap w:val="0"/>
            <w:vAlign w:val="center"/>
          </w:tcPr>
          <w:p w14:paraId="5773E4F7">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c>
          <w:tcPr>
            <w:tcW w:w="1708" w:type="dxa"/>
            <w:vMerge w:val="continue"/>
            <w:tcBorders>
              <w:tl2br w:val="nil"/>
              <w:tr2bl w:val="nil"/>
            </w:tcBorders>
            <w:noWrap w:val="0"/>
            <w:vAlign w:val="center"/>
          </w:tcPr>
          <w:p w14:paraId="5874CD5D">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r>
      <w:tr w14:paraId="13FA1BD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00" w:type="dxa"/>
            <w:vMerge w:val="continue"/>
            <w:tcBorders>
              <w:tl2br w:val="nil"/>
              <w:tr2bl w:val="nil"/>
            </w:tcBorders>
            <w:noWrap w:val="0"/>
            <w:vAlign w:val="center"/>
          </w:tcPr>
          <w:p w14:paraId="67902A1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2263" w:type="dxa"/>
            <w:tcBorders>
              <w:tl2br w:val="nil"/>
              <w:tr2bl w:val="nil"/>
            </w:tcBorders>
            <w:noWrap w:val="0"/>
            <w:vAlign w:val="center"/>
          </w:tcPr>
          <w:p w14:paraId="3215449A">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官家嘴镇庄稼村居民点/约12户</w:t>
            </w:r>
          </w:p>
        </w:tc>
        <w:tc>
          <w:tcPr>
            <w:tcW w:w="1866" w:type="dxa"/>
            <w:tcBorders>
              <w:tl2br w:val="nil"/>
              <w:tr2bl w:val="nil"/>
            </w:tcBorders>
            <w:noWrap w:val="0"/>
            <w:vAlign w:val="center"/>
          </w:tcPr>
          <w:p w14:paraId="2DBEB2E2">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沿道路两侧布置，</w:t>
            </w:r>
            <w:r>
              <w:rPr>
                <w:rFonts w:hint="default" w:ascii="Times New Roman" w:hAnsi="Times New Roman" w:eastAsia="宋体" w:cs="Times New Roman"/>
                <w:color w:val="auto"/>
                <w:sz w:val="21"/>
                <w:szCs w:val="21"/>
                <w:highlight w:val="none"/>
                <w:lang w:val="en-US" w:eastAsia="zh-CN"/>
              </w:rPr>
              <w:t>临路第一排房屋距</w:t>
            </w:r>
          </w:p>
          <w:p w14:paraId="73A55F01">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离利用路段道路中</w:t>
            </w:r>
          </w:p>
          <w:p w14:paraId="30DC790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心线</w:t>
            </w:r>
            <w:r>
              <w:rPr>
                <w:rFonts w:hint="eastAsia" w:ascii="Times New Roman" w:hAnsi="Times New Roman" w:eastAsia="宋体" w:cs="Times New Roman"/>
                <w:color w:val="auto"/>
                <w:sz w:val="21"/>
                <w:szCs w:val="21"/>
                <w:highlight w:val="none"/>
                <w:lang w:val="en-US" w:eastAsia="zh-CN"/>
              </w:rPr>
              <w:t>最近</w:t>
            </w:r>
            <w:r>
              <w:rPr>
                <w:rFonts w:hint="default" w:ascii="Times New Roman" w:hAnsi="Times New Roman" w:eastAsia="宋体" w:cs="Times New Roman"/>
                <w:color w:val="auto"/>
                <w:sz w:val="21"/>
                <w:szCs w:val="21"/>
                <w:highlight w:val="none"/>
                <w:lang w:val="en-US" w:eastAsia="zh-CN"/>
              </w:rPr>
              <w:t>距离</w:t>
            </w:r>
            <w:r>
              <w:rPr>
                <w:rFonts w:hint="eastAsia" w:ascii="Times New Roman" w:hAnsi="Times New Roman" w:eastAsia="宋体" w:cs="Times New Roman"/>
                <w:color w:val="auto"/>
                <w:sz w:val="21"/>
                <w:szCs w:val="21"/>
                <w:highlight w:val="none"/>
                <w:lang w:val="en-US" w:eastAsia="zh-CN"/>
              </w:rPr>
              <w:t>为30m</w:t>
            </w:r>
          </w:p>
        </w:tc>
        <w:tc>
          <w:tcPr>
            <w:tcW w:w="1489" w:type="dxa"/>
            <w:vMerge w:val="continue"/>
            <w:tcBorders>
              <w:tl2br w:val="nil"/>
              <w:tr2bl w:val="nil"/>
            </w:tcBorders>
            <w:noWrap w:val="0"/>
            <w:vAlign w:val="center"/>
          </w:tcPr>
          <w:p w14:paraId="732E0E83">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c>
          <w:tcPr>
            <w:tcW w:w="1708" w:type="dxa"/>
            <w:vMerge w:val="continue"/>
            <w:tcBorders>
              <w:tl2br w:val="nil"/>
              <w:tr2bl w:val="nil"/>
            </w:tcBorders>
            <w:noWrap w:val="0"/>
            <w:vAlign w:val="center"/>
          </w:tcPr>
          <w:p w14:paraId="642A5852">
            <w:pPr>
              <w:keepNext w:val="0"/>
              <w:keepLines w:val="0"/>
              <w:pageBreakBefore w:val="0"/>
              <w:widowControl/>
              <w:kinsoku w:val="0"/>
              <w:wordWrap/>
              <w:overflowPunct/>
              <w:topLinePunct w:val="0"/>
              <w:autoSpaceDE w:val="0"/>
              <w:autoSpaceDN w:val="0"/>
              <w:bidi w:val="0"/>
              <w:adjustRightInd w:val="0"/>
              <w:snapToGrid w:val="0"/>
              <w:jc w:val="center"/>
              <w:textAlignment w:val="baseline"/>
              <w:rPr>
                <w:rFonts w:hint="default" w:ascii="Times New Roman" w:hAnsi="Times New Roman" w:eastAsia="宋体" w:cs="Times New Roman"/>
                <w:color w:val="auto"/>
                <w:sz w:val="21"/>
                <w:szCs w:val="21"/>
                <w:highlight w:val="none"/>
              </w:rPr>
            </w:pPr>
          </w:p>
        </w:tc>
      </w:tr>
    </w:tbl>
    <w:p w14:paraId="3680379D">
      <w:pPr>
        <w:pStyle w:val="6"/>
        <w:rPr>
          <w:rFonts w:hint="default" w:ascii="Times New Roman" w:hAnsi="Times New Roman" w:cs="Times New Roman"/>
          <w:color w:val="auto"/>
          <w:highlight w:val="none"/>
        </w:rPr>
      </w:pPr>
      <w:r>
        <w:rPr>
          <w:rFonts w:hint="eastAsia" w:cs="Times New Roman"/>
          <w:color w:val="auto"/>
          <w:highlight w:val="none"/>
          <w:lang w:eastAsia="zh-CN"/>
        </w:rPr>
        <w:t>升压站和风机大气、声环境保护目标</w:t>
      </w:r>
    </w:p>
    <w:p w14:paraId="445BD416">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b/>
          <w:bCs/>
          <w:color w:val="auto"/>
          <w:sz w:val="24"/>
          <w:szCs w:val="24"/>
          <w:highlight w:val="none"/>
          <w:lang w:eastAsia="zh-CN"/>
        </w:rPr>
      </w:pPr>
      <w:r>
        <w:rPr>
          <w:rFonts w:hint="default" w:ascii="Times New Roman" w:hAnsi="Times New Roman" w:eastAsia="宋体" w:cs="Times New Roman"/>
          <w:b/>
          <w:bCs/>
          <w:color w:val="auto"/>
          <w:sz w:val="24"/>
          <w:szCs w:val="24"/>
          <w:highlight w:val="none"/>
        </w:rPr>
        <w:t>表</w:t>
      </w:r>
      <w:r>
        <w:rPr>
          <w:rFonts w:hint="eastAsia" w:ascii="Times New Roman" w:hAnsi="Times New Roman" w:eastAsia="宋体" w:cs="Times New Roman"/>
          <w:b/>
          <w:bCs/>
          <w:color w:val="auto"/>
          <w:sz w:val="24"/>
          <w:szCs w:val="24"/>
          <w:highlight w:val="none"/>
          <w:lang w:val="en-US" w:eastAsia="zh-CN"/>
        </w:rPr>
        <w:t xml:space="preserve">2.2-9  </w:t>
      </w:r>
      <w:r>
        <w:rPr>
          <w:rFonts w:hint="default" w:ascii="Times New Roman" w:hAnsi="Times New Roman" w:eastAsia="宋体" w:cs="Times New Roman"/>
          <w:b/>
          <w:bCs/>
          <w:color w:val="auto"/>
          <w:sz w:val="24"/>
          <w:szCs w:val="24"/>
          <w:highlight w:val="none"/>
        </w:rPr>
        <w:t>本项目</w:t>
      </w:r>
      <w:r>
        <w:rPr>
          <w:rFonts w:hint="default" w:ascii="Times New Roman" w:hAnsi="Times New Roman" w:eastAsia="宋体" w:cs="Times New Roman"/>
          <w:b/>
          <w:bCs/>
          <w:color w:val="auto"/>
          <w:sz w:val="24"/>
          <w:szCs w:val="24"/>
          <w:highlight w:val="none"/>
          <w:lang w:eastAsia="zh-CN"/>
        </w:rPr>
        <w:t>升压站和风机大气、</w:t>
      </w:r>
      <w:r>
        <w:rPr>
          <w:rFonts w:hint="eastAsia" w:cs="Times New Roman"/>
          <w:b/>
          <w:bCs/>
          <w:color w:val="auto"/>
          <w:sz w:val="24"/>
          <w:szCs w:val="24"/>
          <w:highlight w:val="none"/>
          <w:lang w:eastAsia="zh-CN"/>
        </w:rPr>
        <w:t>声</w:t>
      </w:r>
      <w:r>
        <w:rPr>
          <w:rFonts w:hint="default" w:ascii="Times New Roman" w:hAnsi="Times New Roman" w:eastAsia="宋体" w:cs="Times New Roman"/>
          <w:b/>
          <w:bCs/>
          <w:color w:val="auto"/>
          <w:sz w:val="24"/>
          <w:szCs w:val="24"/>
          <w:highlight w:val="none"/>
        </w:rPr>
        <w:t>环境保护目标一览表</w:t>
      </w:r>
    </w:p>
    <w:tbl>
      <w:tblPr>
        <w:tblStyle w:val="38"/>
        <w:tblW w:w="5342" w:type="pct"/>
        <w:tblInd w:w="2"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613"/>
        <w:gridCol w:w="1664"/>
        <w:gridCol w:w="2258"/>
        <w:gridCol w:w="1568"/>
        <w:gridCol w:w="1803"/>
      </w:tblGrid>
      <w:tr w14:paraId="21DEFAD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607" w:type="dxa"/>
            <w:tcBorders>
              <w:tl2br w:val="nil"/>
              <w:tr2bl w:val="nil"/>
            </w:tcBorders>
            <w:noWrap w:val="0"/>
            <w:vAlign w:val="center"/>
          </w:tcPr>
          <w:p w14:paraId="5D238A4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本工程</w:t>
            </w:r>
          </w:p>
        </w:tc>
        <w:tc>
          <w:tcPr>
            <w:tcW w:w="1658" w:type="dxa"/>
            <w:tcBorders>
              <w:tl2br w:val="nil"/>
              <w:tr2bl w:val="nil"/>
            </w:tcBorders>
            <w:noWrap w:val="0"/>
            <w:vAlign w:val="center"/>
          </w:tcPr>
          <w:p w14:paraId="30535688">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敏感目标/规模及特征</w:t>
            </w:r>
          </w:p>
        </w:tc>
        <w:tc>
          <w:tcPr>
            <w:tcW w:w="2250" w:type="dxa"/>
            <w:tcBorders>
              <w:tl2br w:val="nil"/>
              <w:tr2bl w:val="nil"/>
            </w:tcBorders>
            <w:noWrap w:val="0"/>
            <w:vAlign w:val="center"/>
          </w:tcPr>
          <w:p w14:paraId="1108639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与本工程位置关系</w:t>
            </w:r>
          </w:p>
        </w:tc>
        <w:tc>
          <w:tcPr>
            <w:tcW w:w="1563" w:type="dxa"/>
            <w:tcBorders>
              <w:tl2br w:val="nil"/>
              <w:tr2bl w:val="nil"/>
            </w:tcBorders>
            <w:noWrap w:val="0"/>
            <w:vAlign w:val="center"/>
          </w:tcPr>
          <w:p w14:paraId="694DE4ED">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影响源和</w:t>
            </w:r>
          </w:p>
          <w:p w14:paraId="2CE0EDC4">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影响时段</w:t>
            </w:r>
          </w:p>
        </w:tc>
        <w:tc>
          <w:tcPr>
            <w:tcW w:w="1797" w:type="dxa"/>
            <w:tcBorders>
              <w:tl2br w:val="nil"/>
              <w:tr2bl w:val="nil"/>
            </w:tcBorders>
            <w:noWrap w:val="0"/>
            <w:vAlign w:val="center"/>
          </w:tcPr>
          <w:p w14:paraId="637DF2F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保护要求</w:t>
            </w:r>
          </w:p>
        </w:tc>
      </w:tr>
      <w:tr w14:paraId="0C6FA48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607" w:type="dxa"/>
            <w:tcBorders>
              <w:tl2br w:val="nil"/>
              <w:tr2bl w:val="nil"/>
            </w:tcBorders>
            <w:noWrap w:val="0"/>
            <w:vAlign w:val="center"/>
          </w:tcPr>
          <w:p w14:paraId="76068C3F">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cs="Times New Roman"/>
                <w:b w:val="0"/>
                <w:bCs w:val="0"/>
                <w:color w:val="auto"/>
                <w:sz w:val="21"/>
                <w:szCs w:val="21"/>
                <w:highlight w:val="none"/>
                <w:lang w:val="en-US" w:eastAsia="zh-CN"/>
              </w:rPr>
            </w:pPr>
            <w:r>
              <w:rPr>
                <w:rFonts w:hint="eastAsia" w:cs="Times New Roman"/>
                <w:b w:val="0"/>
                <w:bCs w:val="0"/>
                <w:color w:val="auto"/>
                <w:sz w:val="21"/>
                <w:szCs w:val="21"/>
                <w:highlight w:val="none"/>
                <w:lang w:val="en-US" w:eastAsia="zh-CN"/>
              </w:rPr>
              <w:t>2#风机</w:t>
            </w:r>
          </w:p>
          <w:p w14:paraId="12116DED">
            <w:pPr>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color w:val="auto"/>
                <w:kern w:val="2"/>
                <w:sz w:val="21"/>
                <w:szCs w:val="21"/>
                <w:highlight w:val="none"/>
                <w:lang w:val="en-US" w:eastAsia="zh-CN" w:bidi="ar-SA"/>
              </w:rPr>
            </w:pPr>
            <w:r>
              <w:rPr>
                <w:rFonts w:hint="eastAsia" w:cs="Times New Roman"/>
                <w:b/>
                <w:bCs/>
                <w:color w:val="auto"/>
                <w:sz w:val="21"/>
                <w:szCs w:val="21"/>
                <w:highlight w:val="none"/>
                <w:lang w:val="en-US" w:eastAsia="zh-CN"/>
              </w:rPr>
              <w:t>（350m范围内有2户</w:t>
            </w:r>
            <w:r>
              <w:rPr>
                <w:rFonts w:hint="eastAsia" w:ascii="Times New Roman" w:hAnsi="Times New Roman" w:eastAsia="宋体" w:cs="Times New Roman"/>
                <w:b/>
                <w:bCs/>
                <w:color w:val="auto"/>
                <w:sz w:val="21"/>
                <w:szCs w:val="21"/>
                <w:highlight w:val="none"/>
                <w:lang w:val="en-US" w:eastAsia="zh-CN"/>
              </w:rPr>
              <w:t>黄土铺镇</w:t>
            </w:r>
            <w:r>
              <w:rPr>
                <w:rFonts w:hint="eastAsia" w:cs="Times New Roman"/>
                <w:b/>
                <w:bCs/>
                <w:color w:val="auto"/>
                <w:sz w:val="21"/>
                <w:szCs w:val="21"/>
                <w:highlight w:val="none"/>
                <w:lang w:val="en-US" w:eastAsia="zh-CN"/>
              </w:rPr>
              <w:t>双溪居民点）</w:t>
            </w:r>
          </w:p>
        </w:tc>
        <w:tc>
          <w:tcPr>
            <w:tcW w:w="1658" w:type="dxa"/>
            <w:tcBorders>
              <w:tl2br w:val="nil"/>
              <w:tr2bl w:val="nil"/>
            </w:tcBorders>
            <w:noWrap w:val="0"/>
            <w:vAlign w:val="center"/>
          </w:tcPr>
          <w:p w14:paraId="6E7E511F">
            <w:pPr>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祁东县黄土铺镇</w:t>
            </w:r>
            <w:r>
              <w:rPr>
                <w:rFonts w:hint="eastAsia" w:cs="Times New Roman"/>
                <w:color w:val="auto"/>
                <w:sz w:val="21"/>
                <w:szCs w:val="21"/>
                <w:highlight w:val="none"/>
                <w:lang w:val="en-US" w:eastAsia="zh-CN"/>
              </w:rPr>
              <w:t>双溪村</w:t>
            </w:r>
            <w:r>
              <w:rPr>
                <w:rFonts w:hint="eastAsia" w:ascii="Times New Roman" w:hAnsi="Times New Roman" w:eastAsia="宋体" w:cs="Times New Roman"/>
                <w:color w:val="auto"/>
                <w:sz w:val="21"/>
                <w:szCs w:val="21"/>
                <w:highlight w:val="none"/>
                <w:lang w:val="en-US" w:eastAsia="zh-CN"/>
              </w:rPr>
              <w:t>居民点/约</w:t>
            </w:r>
            <w:r>
              <w:rPr>
                <w:rFonts w:hint="eastAsia" w:cs="Times New Roman"/>
                <w:color w:val="auto"/>
                <w:sz w:val="21"/>
                <w:szCs w:val="21"/>
                <w:highlight w:val="none"/>
                <w:lang w:val="en-US" w:eastAsia="zh-CN"/>
              </w:rPr>
              <w:t>6</w:t>
            </w:r>
            <w:r>
              <w:rPr>
                <w:rFonts w:hint="eastAsia" w:ascii="Times New Roman" w:hAnsi="Times New Roman" w:eastAsia="宋体" w:cs="Times New Roman"/>
                <w:color w:val="auto"/>
                <w:sz w:val="21"/>
                <w:szCs w:val="21"/>
                <w:highlight w:val="none"/>
                <w:lang w:val="en-US" w:eastAsia="zh-CN"/>
              </w:rPr>
              <w:t>户</w:t>
            </w:r>
          </w:p>
        </w:tc>
        <w:tc>
          <w:tcPr>
            <w:tcW w:w="2250" w:type="dxa"/>
            <w:tcBorders>
              <w:tl2br w:val="nil"/>
              <w:tr2bl w:val="nil"/>
            </w:tcBorders>
            <w:noWrap w:val="0"/>
            <w:vAlign w:val="center"/>
          </w:tcPr>
          <w:p w14:paraId="1A2F989B">
            <w:pPr>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2#风机</w:t>
            </w:r>
            <w:r>
              <w:rPr>
                <w:rFonts w:hint="eastAsia" w:ascii="Times New Roman" w:hAnsi="Times New Roman" w:cs="Times New Roman"/>
                <w:color w:val="auto"/>
                <w:sz w:val="21"/>
                <w:szCs w:val="21"/>
                <w:highlight w:val="none"/>
                <w:lang w:val="en-US" w:eastAsia="zh-CN"/>
              </w:rPr>
              <w:t>基座</w:t>
            </w:r>
            <w:r>
              <w:rPr>
                <w:rFonts w:hint="eastAsia" w:ascii="Times New Roman" w:hAnsi="Times New Roman" w:eastAsia="宋体" w:cs="Times New Roman"/>
                <w:color w:val="auto"/>
                <w:sz w:val="21"/>
                <w:szCs w:val="21"/>
                <w:highlight w:val="none"/>
                <w:lang w:val="en-US" w:eastAsia="zh-CN"/>
              </w:rPr>
              <w:t>东南</w:t>
            </w:r>
            <w:r>
              <w:rPr>
                <w:rFonts w:hint="default" w:ascii="Times New Roman" w:hAnsi="Times New Roman" w:eastAsia="宋体" w:cs="Times New Roman"/>
                <w:color w:val="auto"/>
                <w:sz w:val="21"/>
                <w:szCs w:val="21"/>
                <w:highlight w:val="none"/>
                <w:lang w:val="en-US" w:eastAsia="zh-CN"/>
              </w:rPr>
              <w:t>侧约</w:t>
            </w:r>
            <w:r>
              <w:rPr>
                <w:rFonts w:hint="eastAsia" w:ascii="Times New Roman" w:hAnsi="Times New Roman" w:eastAsia="宋体" w:cs="Times New Roman"/>
                <w:color w:val="auto"/>
                <w:sz w:val="21"/>
                <w:szCs w:val="21"/>
                <w:highlight w:val="none"/>
                <w:lang w:val="en-US" w:eastAsia="zh-CN"/>
              </w:rPr>
              <w:t>3</w:t>
            </w:r>
            <w:r>
              <w:rPr>
                <w:rFonts w:hint="eastAsia" w:ascii="Times New Roman" w:hAnsi="Times New Roman" w:cs="Times New Roman"/>
                <w:color w:val="auto"/>
                <w:sz w:val="21"/>
                <w:szCs w:val="21"/>
                <w:highlight w:val="none"/>
                <w:lang w:val="en-US" w:eastAsia="zh-CN"/>
              </w:rPr>
              <w:t>3</w:t>
            </w:r>
            <w:r>
              <w:rPr>
                <w:rFonts w:hint="eastAsia" w:ascii="Times New Roman" w:hAnsi="Times New Roman" w:eastAsia="宋体" w:cs="Times New Roman"/>
                <w:color w:val="auto"/>
                <w:sz w:val="21"/>
                <w:szCs w:val="21"/>
                <w:highlight w:val="none"/>
                <w:lang w:val="en-US" w:eastAsia="zh-CN"/>
              </w:rPr>
              <w:t>0~</w:t>
            </w:r>
            <w:r>
              <w:rPr>
                <w:rFonts w:hint="eastAsia" w:ascii="Times New Roman" w:hAnsi="Times New Roman" w:cs="Times New Roman"/>
                <w:color w:val="auto"/>
                <w:sz w:val="21"/>
                <w:szCs w:val="21"/>
                <w:highlight w:val="none"/>
                <w:lang w:val="en-US" w:eastAsia="zh-CN"/>
              </w:rPr>
              <w:t>457</w:t>
            </w:r>
            <w:r>
              <w:rPr>
                <w:rFonts w:hint="default" w:ascii="Times New Roman" w:hAnsi="Times New Roman" w:eastAsia="宋体" w:cs="Times New Roman"/>
                <w:color w:val="auto"/>
                <w:sz w:val="21"/>
                <w:szCs w:val="21"/>
                <w:highlight w:val="none"/>
                <w:lang w:val="en-US" w:eastAsia="zh-CN"/>
              </w:rPr>
              <w:t>m</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与风机高程差约</w:t>
            </w:r>
            <w:r>
              <w:rPr>
                <w:rFonts w:hint="eastAsia" w:ascii="Times New Roman" w:hAnsi="Times New Roman" w:eastAsia="宋体" w:cs="Times New Roman"/>
                <w:color w:val="auto"/>
                <w:sz w:val="21"/>
                <w:szCs w:val="21"/>
                <w:highlight w:val="none"/>
                <w:lang w:val="en-US" w:eastAsia="zh-CN"/>
              </w:rPr>
              <w:t>114</w:t>
            </w:r>
            <w:r>
              <w:rPr>
                <w:rFonts w:hint="default" w:ascii="Times New Roman" w:hAnsi="Times New Roman" w:eastAsia="宋体" w:cs="Times New Roman"/>
                <w:color w:val="auto"/>
                <w:sz w:val="21"/>
                <w:szCs w:val="21"/>
                <w:highlight w:val="none"/>
                <w:lang w:val="en-US" w:eastAsia="zh-CN"/>
              </w:rPr>
              <w:t>m</w:t>
            </w:r>
          </w:p>
        </w:tc>
        <w:tc>
          <w:tcPr>
            <w:tcW w:w="1563" w:type="dxa"/>
            <w:vMerge w:val="restart"/>
            <w:tcBorders>
              <w:tl2br w:val="nil"/>
              <w:tr2bl w:val="nil"/>
            </w:tcBorders>
            <w:noWrap w:val="0"/>
            <w:vAlign w:val="center"/>
          </w:tcPr>
          <w:p w14:paraId="571F3DAE">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施工期扬尘；</w:t>
            </w:r>
          </w:p>
          <w:p w14:paraId="0E22AD70">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施工期机械设备噪声；</w:t>
            </w:r>
          </w:p>
          <w:p w14:paraId="17F5D242">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营运期风机运行噪声。</w:t>
            </w:r>
          </w:p>
        </w:tc>
        <w:tc>
          <w:tcPr>
            <w:tcW w:w="1797" w:type="dxa"/>
            <w:vMerge w:val="restart"/>
            <w:tcBorders>
              <w:tl2br w:val="nil"/>
              <w:tr2bl w:val="nil"/>
            </w:tcBorders>
            <w:noWrap w:val="0"/>
            <w:vAlign w:val="center"/>
          </w:tcPr>
          <w:p w14:paraId="6E363FED">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洒水降尘，减少粉尘和扬尘的产生，达到GB3095-2012二级标准要求</w:t>
            </w:r>
            <w:r>
              <w:rPr>
                <w:rFonts w:hint="eastAsia" w:cs="Times New Roman"/>
                <w:color w:val="auto"/>
                <w:sz w:val="21"/>
                <w:szCs w:val="21"/>
                <w:highlight w:val="none"/>
                <w:lang w:val="en-US" w:eastAsia="zh-CN"/>
              </w:rPr>
              <w:t>；</w:t>
            </w:r>
          </w:p>
          <w:p w14:paraId="70A9FD5A">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加强设备检修，保持设备正常运行。</w:t>
            </w:r>
          </w:p>
        </w:tc>
      </w:tr>
      <w:tr w14:paraId="467F705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607" w:type="dxa"/>
            <w:tcBorders>
              <w:tl2br w:val="nil"/>
              <w:tr2bl w:val="nil"/>
            </w:tcBorders>
            <w:noWrap w:val="0"/>
            <w:vAlign w:val="center"/>
          </w:tcPr>
          <w:p w14:paraId="3DAAA477">
            <w:pPr>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8</w:t>
            </w:r>
            <w:r>
              <w:rPr>
                <w:rFonts w:hint="default" w:ascii="Times New Roman" w:hAnsi="Times New Roman" w:eastAsia="宋体" w:cs="Times New Roman"/>
                <w:color w:val="auto"/>
                <w:sz w:val="21"/>
                <w:szCs w:val="21"/>
                <w:highlight w:val="none"/>
                <w:lang w:val="en-US" w:eastAsia="zh-CN"/>
              </w:rPr>
              <w:t>#风机</w:t>
            </w:r>
          </w:p>
          <w:p w14:paraId="27B5A2BD">
            <w:pPr>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b w:val="0"/>
                <w:bCs w:val="0"/>
                <w:color w:val="auto"/>
                <w:sz w:val="21"/>
                <w:szCs w:val="21"/>
                <w:highlight w:val="none"/>
                <w:lang w:val="en-US" w:eastAsia="zh-CN"/>
              </w:rPr>
              <w:t>（3</w:t>
            </w:r>
            <w:r>
              <w:rPr>
                <w:rFonts w:hint="eastAsia" w:cs="Times New Roman"/>
                <w:b w:val="0"/>
                <w:bCs w:val="0"/>
                <w:color w:val="auto"/>
                <w:sz w:val="21"/>
                <w:szCs w:val="21"/>
                <w:highlight w:val="none"/>
                <w:lang w:val="en-US" w:eastAsia="zh-CN"/>
              </w:rPr>
              <w:t>5</w:t>
            </w:r>
            <w:r>
              <w:rPr>
                <w:rFonts w:hint="eastAsia" w:ascii="Times New Roman" w:hAnsi="Times New Roman" w:cs="Times New Roman"/>
                <w:b w:val="0"/>
                <w:bCs w:val="0"/>
                <w:color w:val="auto"/>
                <w:sz w:val="21"/>
                <w:szCs w:val="21"/>
                <w:highlight w:val="none"/>
                <w:lang w:val="en-US" w:eastAsia="zh-CN"/>
              </w:rPr>
              <w:t>0m范围内无居民点）</w:t>
            </w:r>
          </w:p>
        </w:tc>
        <w:tc>
          <w:tcPr>
            <w:tcW w:w="1658" w:type="dxa"/>
            <w:tcBorders>
              <w:tl2br w:val="nil"/>
              <w:tr2bl w:val="nil"/>
            </w:tcBorders>
            <w:noWrap w:val="0"/>
            <w:vAlign w:val="center"/>
          </w:tcPr>
          <w:p w14:paraId="35746833">
            <w:pPr>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祁东县马杜桥乡</w:t>
            </w:r>
            <w:r>
              <w:rPr>
                <w:rFonts w:hint="eastAsia" w:cs="Times New Roman"/>
                <w:color w:val="auto"/>
                <w:sz w:val="21"/>
                <w:szCs w:val="21"/>
                <w:highlight w:val="none"/>
                <w:lang w:val="en-US" w:eastAsia="zh-CN"/>
              </w:rPr>
              <w:t>白源村</w:t>
            </w:r>
            <w:r>
              <w:rPr>
                <w:rFonts w:hint="default" w:ascii="Times New Roman" w:hAnsi="Times New Roman" w:eastAsia="宋体" w:cs="Times New Roman"/>
                <w:color w:val="auto"/>
                <w:sz w:val="21"/>
                <w:szCs w:val="21"/>
                <w:highlight w:val="none"/>
                <w:lang w:val="en-US" w:eastAsia="zh-CN"/>
              </w:rPr>
              <w:t>居民点/约</w:t>
            </w:r>
            <w:r>
              <w:rPr>
                <w:rFonts w:hint="eastAsia" w:cs="Times New Roman"/>
                <w:color w:val="auto"/>
                <w:sz w:val="21"/>
                <w:szCs w:val="21"/>
                <w:highlight w:val="none"/>
                <w:lang w:val="en-US" w:eastAsia="zh-CN"/>
              </w:rPr>
              <w:t>5</w:t>
            </w:r>
            <w:r>
              <w:rPr>
                <w:rFonts w:hint="default" w:ascii="Times New Roman" w:hAnsi="Times New Roman" w:eastAsia="宋体" w:cs="Times New Roman"/>
                <w:color w:val="auto"/>
                <w:sz w:val="21"/>
                <w:szCs w:val="21"/>
                <w:highlight w:val="none"/>
                <w:lang w:val="en-US" w:eastAsia="zh-CN"/>
              </w:rPr>
              <w:t>户</w:t>
            </w:r>
          </w:p>
        </w:tc>
        <w:tc>
          <w:tcPr>
            <w:tcW w:w="2250" w:type="dxa"/>
            <w:tcBorders>
              <w:tl2br w:val="nil"/>
              <w:tr2bl w:val="nil"/>
            </w:tcBorders>
            <w:noWrap w:val="0"/>
            <w:vAlign w:val="center"/>
          </w:tcPr>
          <w:p w14:paraId="7A9F69B5">
            <w:pPr>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8</w:t>
            </w:r>
            <w:r>
              <w:rPr>
                <w:rFonts w:hint="default" w:ascii="Times New Roman" w:hAnsi="Times New Roman" w:eastAsia="宋体" w:cs="Times New Roman"/>
                <w:color w:val="auto"/>
                <w:sz w:val="21"/>
                <w:szCs w:val="21"/>
                <w:highlight w:val="none"/>
                <w:lang w:val="en-US" w:eastAsia="zh-CN"/>
              </w:rPr>
              <w:t>#风机</w:t>
            </w:r>
            <w:r>
              <w:rPr>
                <w:rFonts w:hint="eastAsia" w:ascii="Times New Roman" w:hAnsi="Times New Roman" w:cs="Times New Roman"/>
                <w:color w:val="auto"/>
                <w:sz w:val="21"/>
                <w:szCs w:val="21"/>
                <w:highlight w:val="none"/>
                <w:lang w:val="en-US" w:eastAsia="zh-CN"/>
              </w:rPr>
              <w:t>基座</w:t>
            </w:r>
            <w:r>
              <w:rPr>
                <w:rFonts w:hint="eastAsia" w:ascii="Times New Roman" w:hAnsi="Times New Roman" w:eastAsia="宋体" w:cs="Times New Roman"/>
                <w:color w:val="auto"/>
                <w:sz w:val="21"/>
                <w:szCs w:val="21"/>
                <w:highlight w:val="none"/>
                <w:lang w:val="en-US" w:eastAsia="zh-CN"/>
              </w:rPr>
              <w:t>西北侧</w:t>
            </w:r>
            <w:r>
              <w:rPr>
                <w:rFonts w:hint="default" w:ascii="Times New Roman" w:hAnsi="Times New Roman" w:eastAsia="宋体" w:cs="Times New Roman"/>
                <w:color w:val="auto"/>
                <w:sz w:val="21"/>
                <w:szCs w:val="21"/>
                <w:highlight w:val="none"/>
                <w:lang w:val="en-US" w:eastAsia="zh-CN"/>
              </w:rPr>
              <w:t>约</w:t>
            </w:r>
            <w:r>
              <w:rPr>
                <w:rFonts w:hint="eastAsia" w:cs="Times New Roman"/>
                <w:color w:val="auto"/>
                <w:sz w:val="21"/>
                <w:szCs w:val="21"/>
                <w:highlight w:val="none"/>
                <w:lang w:val="en-US" w:eastAsia="zh-CN"/>
              </w:rPr>
              <w:t>403</w:t>
            </w:r>
            <w:r>
              <w:rPr>
                <w:rFonts w:hint="default" w:ascii="Times New Roman" w:hAnsi="Times New Roman" w:eastAsia="宋体" w:cs="Times New Roman"/>
                <w:color w:val="auto"/>
                <w:sz w:val="21"/>
                <w:szCs w:val="21"/>
                <w:highlight w:val="none"/>
                <w:lang w:val="en-US" w:eastAsia="zh-CN"/>
              </w:rPr>
              <w:t>m~</w:t>
            </w:r>
            <w:r>
              <w:rPr>
                <w:rFonts w:hint="eastAsia" w:ascii="Times New Roman" w:hAnsi="Times New Roman" w:eastAsia="宋体" w:cs="Times New Roman"/>
                <w:color w:val="auto"/>
                <w:sz w:val="21"/>
                <w:szCs w:val="21"/>
                <w:highlight w:val="none"/>
                <w:lang w:val="en-US" w:eastAsia="zh-CN"/>
              </w:rPr>
              <w:t>500</w:t>
            </w:r>
            <w:r>
              <w:rPr>
                <w:rFonts w:hint="default" w:ascii="Times New Roman" w:hAnsi="Times New Roman" w:eastAsia="宋体" w:cs="Times New Roman"/>
                <w:color w:val="auto"/>
                <w:sz w:val="21"/>
                <w:szCs w:val="21"/>
                <w:highlight w:val="none"/>
                <w:lang w:val="en-US" w:eastAsia="zh-CN"/>
              </w:rPr>
              <w:t>m，与风机高程差为</w:t>
            </w:r>
            <w:r>
              <w:rPr>
                <w:rFonts w:hint="eastAsia" w:ascii="Times New Roman" w:hAnsi="Times New Roman" w:eastAsia="宋体" w:cs="Times New Roman"/>
                <w:color w:val="auto"/>
                <w:sz w:val="21"/>
                <w:szCs w:val="21"/>
                <w:highlight w:val="none"/>
                <w:lang w:val="en-US" w:eastAsia="zh-CN"/>
              </w:rPr>
              <w:t>94.1</w:t>
            </w:r>
            <w:r>
              <w:rPr>
                <w:rFonts w:hint="default" w:ascii="Times New Roman" w:hAnsi="Times New Roman" w:eastAsia="宋体" w:cs="Times New Roman"/>
                <w:color w:val="auto"/>
                <w:sz w:val="21"/>
                <w:szCs w:val="21"/>
                <w:highlight w:val="none"/>
                <w:lang w:val="en-US" w:eastAsia="zh-CN"/>
              </w:rPr>
              <w:t>m</w:t>
            </w:r>
          </w:p>
        </w:tc>
        <w:tc>
          <w:tcPr>
            <w:tcW w:w="1563" w:type="dxa"/>
            <w:vMerge w:val="continue"/>
            <w:tcBorders>
              <w:tl2br w:val="nil"/>
              <w:tr2bl w:val="nil"/>
            </w:tcBorders>
            <w:noWrap w:val="0"/>
            <w:vAlign w:val="center"/>
          </w:tcPr>
          <w:p w14:paraId="242DD1D4">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1797" w:type="dxa"/>
            <w:vMerge w:val="continue"/>
            <w:tcBorders>
              <w:tl2br w:val="nil"/>
              <w:tr2bl w:val="nil"/>
            </w:tcBorders>
            <w:noWrap w:val="0"/>
            <w:vAlign w:val="center"/>
          </w:tcPr>
          <w:p w14:paraId="11F3BCE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r>
      <w:tr w14:paraId="49112FF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607" w:type="dxa"/>
            <w:tcBorders>
              <w:tl2br w:val="nil"/>
              <w:tr2bl w:val="nil"/>
            </w:tcBorders>
            <w:noWrap w:val="0"/>
            <w:vAlign w:val="center"/>
          </w:tcPr>
          <w:p w14:paraId="15AC3111">
            <w:pPr>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20#风机</w:t>
            </w:r>
          </w:p>
          <w:p w14:paraId="2CD50FA2">
            <w:pPr>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b w:val="0"/>
                <w:bCs w:val="0"/>
                <w:color w:val="auto"/>
                <w:sz w:val="21"/>
                <w:szCs w:val="21"/>
                <w:highlight w:val="none"/>
                <w:lang w:val="en-US" w:eastAsia="zh-CN"/>
              </w:rPr>
              <w:t>（3</w:t>
            </w:r>
            <w:r>
              <w:rPr>
                <w:rFonts w:hint="eastAsia" w:cs="Times New Roman"/>
                <w:b w:val="0"/>
                <w:bCs w:val="0"/>
                <w:color w:val="auto"/>
                <w:sz w:val="21"/>
                <w:szCs w:val="21"/>
                <w:highlight w:val="none"/>
                <w:lang w:val="en-US" w:eastAsia="zh-CN"/>
              </w:rPr>
              <w:t>5</w:t>
            </w:r>
            <w:r>
              <w:rPr>
                <w:rFonts w:hint="eastAsia" w:ascii="Times New Roman" w:hAnsi="Times New Roman" w:cs="Times New Roman"/>
                <w:b w:val="0"/>
                <w:bCs w:val="0"/>
                <w:color w:val="auto"/>
                <w:sz w:val="21"/>
                <w:szCs w:val="21"/>
                <w:highlight w:val="none"/>
                <w:lang w:val="en-US" w:eastAsia="zh-CN"/>
              </w:rPr>
              <w:t>0m范围内无居民点）</w:t>
            </w:r>
          </w:p>
        </w:tc>
        <w:tc>
          <w:tcPr>
            <w:tcW w:w="1658" w:type="dxa"/>
            <w:tcBorders>
              <w:tl2br w:val="nil"/>
              <w:tr2bl w:val="nil"/>
            </w:tcBorders>
            <w:noWrap w:val="0"/>
            <w:vAlign w:val="center"/>
          </w:tcPr>
          <w:p w14:paraId="5C13A657">
            <w:pPr>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祁东县马杜桥乡</w:t>
            </w:r>
            <w:r>
              <w:rPr>
                <w:rFonts w:hint="eastAsia" w:cs="Times New Roman"/>
                <w:color w:val="auto"/>
                <w:sz w:val="21"/>
                <w:szCs w:val="21"/>
                <w:highlight w:val="none"/>
                <w:lang w:val="en-US" w:eastAsia="zh-CN"/>
              </w:rPr>
              <w:t>白源村</w:t>
            </w:r>
            <w:r>
              <w:rPr>
                <w:rFonts w:hint="default" w:ascii="Times New Roman" w:hAnsi="Times New Roman" w:eastAsia="宋体" w:cs="Times New Roman"/>
                <w:color w:val="auto"/>
                <w:sz w:val="21"/>
                <w:szCs w:val="21"/>
                <w:highlight w:val="none"/>
                <w:lang w:val="en-US" w:eastAsia="zh-CN"/>
              </w:rPr>
              <w:t>居民点/约</w:t>
            </w:r>
            <w:r>
              <w:rPr>
                <w:rFonts w:hint="eastAsia" w:ascii="Times New Roman" w:hAnsi="Times New Roman" w:cs="Times New Roman"/>
                <w:color w:val="auto"/>
                <w:sz w:val="21"/>
                <w:szCs w:val="21"/>
                <w:highlight w:val="none"/>
                <w:lang w:val="en-US" w:eastAsia="zh-CN"/>
              </w:rPr>
              <w:t>4</w:t>
            </w:r>
            <w:r>
              <w:rPr>
                <w:rFonts w:hint="default" w:ascii="Times New Roman" w:hAnsi="Times New Roman" w:eastAsia="宋体" w:cs="Times New Roman"/>
                <w:color w:val="auto"/>
                <w:sz w:val="21"/>
                <w:szCs w:val="21"/>
                <w:highlight w:val="none"/>
                <w:lang w:val="en-US" w:eastAsia="zh-CN"/>
              </w:rPr>
              <w:t>户</w:t>
            </w:r>
          </w:p>
        </w:tc>
        <w:tc>
          <w:tcPr>
            <w:tcW w:w="2250" w:type="dxa"/>
            <w:tcBorders>
              <w:tl2br w:val="nil"/>
              <w:tr2bl w:val="nil"/>
            </w:tcBorders>
            <w:noWrap w:val="0"/>
            <w:vAlign w:val="center"/>
          </w:tcPr>
          <w:p w14:paraId="0F22566B">
            <w:pPr>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20#风机基座东侧445~500m，与风机高程差为82m</w:t>
            </w:r>
          </w:p>
        </w:tc>
        <w:tc>
          <w:tcPr>
            <w:tcW w:w="1563" w:type="dxa"/>
            <w:vMerge w:val="continue"/>
            <w:tcBorders>
              <w:tl2br w:val="nil"/>
              <w:tr2bl w:val="nil"/>
            </w:tcBorders>
            <w:noWrap w:val="0"/>
            <w:vAlign w:val="center"/>
          </w:tcPr>
          <w:p w14:paraId="1EDF60D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1797" w:type="dxa"/>
            <w:vMerge w:val="continue"/>
            <w:tcBorders>
              <w:tl2br w:val="nil"/>
              <w:tr2bl w:val="nil"/>
            </w:tcBorders>
            <w:noWrap w:val="0"/>
            <w:vAlign w:val="center"/>
          </w:tcPr>
          <w:p w14:paraId="71522842">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r>
      <w:tr w14:paraId="75F6078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607" w:type="dxa"/>
            <w:tcBorders>
              <w:tl2br w:val="nil"/>
              <w:tr2bl w:val="nil"/>
            </w:tcBorders>
            <w:noWrap w:val="0"/>
            <w:vAlign w:val="center"/>
          </w:tcPr>
          <w:p w14:paraId="3AC950F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w:t>
            </w:r>
            <w:r>
              <w:rPr>
                <w:rFonts w:hint="eastAsia" w:ascii="Times New Roman" w:hAnsi="Times New Roman" w:eastAsia="宋体" w:cs="Times New Roman"/>
                <w:color w:val="auto"/>
                <w:sz w:val="21"/>
                <w:szCs w:val="21"/>
                <w:highlight w:val="none"/>
                <w:lang w:val="en-US" w:eastAsia="zh-CN"/>
              </w:rPr>
              <w:t>6</w:t>
            </w:r>
            <w:r>
              <w:rPr>
                <w:rFonts w:hint="default" w:ascii="Times New Roman" w:hAnsi="Times New Roman" w:eastAsia="宋体" w:cs="Times New Roman"/>
                <w:color w:val="auto"/>
                <w:sz w:val="21"/>
                <w:szCs w:val="21"/>
                <w:highlight w:val="none"/>
                <w:lang w:val="en-US" w:eastAsia="zh-CN"/>
              </w:rPr>
              <w:t>#风机</w:t>
            </w:r>
          </w:p>
          <w:p w14:paraId="58BB6FF4">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cs="Times New Roman"/>
                <w:b/>
                <w:bCs/>
                <w:color w:val="auto"/>
                <w:sz w:val="21"/>
                <w:szCs w:val="21"/>
                <w:highlight w:val="none"/>
                <w:lang w:val="en-US" w:eastAsia="zh-CN"/>
              </w:rPr>
              <w:t>（350m范围内有2户居民）</w:t>
            </w:r>
          </w:p>
        </w:tc>
        <w:tc>
          <w:tcPr>
            <w:tcW w:w="1658" w:type="dxa"/>
            <w:tcBorders>
              <w:tl2br w:val="nil"/>
              <w:tr2bl w:val="nil"/>
            </w:tcBorders>
            <w:noWrap w:val="0"/>
            <w:vAlign w:val="center"/>
          </w:tcPr>
          <w:p w14:paraId="567F836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祁东县马杜桥乡</w:t>
            </w:r>
            <w:r>
              <w:rPr>
                <w:rFonts w:hint="eastAsia" w:cs="Times New Roman"/>
                <w:color w:val="auto"/>
                <w:sz w:val="21"/>
                <w:szCs w:val="21"/>
                <w:highlight w:val="none"/>
                <w:lang w:val="en-US" w:eastAsia="zh-CN"/>
              </w:rPr>
              <w:t>石门山村</w:t>
            </w:r>
            <w:r>
              <w:rPr>
                <w:rFonts w:hint="default" w:ascii="Times New Roman" w:hAnsi="Times New Roman" w:eastAsia="宋体" w:cs="Times New Roman"/>
                <w:color w:val="auto"/>
                <w:sz w:val="21"/>
                <w:szCs w:val="21"/>
                <w:highlight w:val="none"/>
                <w:lang w:val="en-US" w:eastAsia="zh-CN"/>
              </w:rPr>
              <w:t>居民点</w:t>
            </w:r>
            <w:r>
              <w:rPr>
                <w:rFonts w:hint="eastAsia" w:cs="Times New Roman"/>
                <w:color w:val="auto"/>
                <w:sz w:val="21"/>
                <w:szCs w:val="21"/>
                <w:highlight w:val="none"/>
                <w:lang w:val="en-US" w:eastAsia="zh-CN"/>
              </w:rPr>
              <w:t>①</w:t>
            </w:r>
            <w:r>
              <w:rPr>
                <w:rFonts w:hint="default"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3</w:t>
            </w:r>
            <w:r>
              <w:rPr>
                <w:rFonts w:hint="default" w:ascii="Times New Roman" w:hAnsi="Times New Roman" w:eastAsia="宋体" w:cs="Times New Roman"/>
                <w:color w:val="auto"/>
                <w:sz w:val="21"/>
                <w:szCs w:val="21"/>
                <w:highlight w:val="none"/>
                <w:lang w:val="en-US" w:eastAsia="zh-CN"/>
              </w:rPr>
              <w:t>户</w:t>
            </w:r>
          </w:p>
        </w:tc>
        <w:tc>
          <w:tcPr>
            <w:tcW w:w="2250" w:type="dxa"/>
            <w:tcBorders>
              <w:tl2br w:val="nil"/>
              <w:tr2bl w:val="nil"/>
            </w:tcBorders>
            <w:noWrap w:val="0"/>
            <w:vAlign w:val="center"/>
          </w:tcPr>
          <w:p w14:paraId="0EB7F78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位于1</w:t>
            </w:r>
            <w:r>
              <w:rPr>
                <w:rFonts w:hint="eastAsia" w:ascii="Times New Roman" w:hAnsi="Times New Roman" w:eastAsia="宋体" w:cs="Times New Roman"/>
                <w:color w:val="auto"/>
                <w:sz w:val="21"/>
                <w:szCs w:val="21"/>
                <w:highlight w:val="none"/>
                <w:lang w:val="en-US" w:eastAsia="zh-CN"/>
              </w:rPr>
              <w:t>6</w:t>
            </w:r>
            <w:r>
              <w:rPr>
                <w:rFonts w:hint="default" w:ascii="Times New Roman" w:hAnsi="Times New Roman" w:eastAsia="宋体" w:cs="Times New Roman"/>
                <w:color w:val="auto"/>
                <w:sz w:val="21"/>
                <w:szCs w:val="21"/>
                <w:highlight w:val="none"/>
                <w:lang w:val="en-US" w:eastAsia="zh-CN"/>
              </w:rPr>
              <w:t>#风机</w:t>
            </w:r>
            <w:r>
              <w:rPr>
                <w:rFonts w:hint="eastAsia" w:ascii="Times New Roman" w:hAnsi="Times New Roman" w:cs="Times New Roman"/>
                <w:color w:val="auto"/>
                <w:sz w:val="21"/>
                <w:szCs w:val="21"/>
                <w:highlight w:val="none"/>
                <w:lang w:val="en-US" w:eastAsia="zh-CN"/>
              </w:rPr>
              <w:t>基座</w:t>
            </w:r>
            <w:r>
              <w:rPr>
                <w:rFonts w:hint="eastAsia" w:ascii="Times New Roman" w:hAnsi="Times New Roman" w:eastAsia="宋体" w:cs="Times New Roman"/>
                <w:color w:val="auto"/>
                <w:sz w:val="21"/>
                <w:szCs w:val="21"/>
                <w:highlight w:val="none"/>
                <w:lang w:val="en-US" w:eastAsia="zh-CN"/>
              </w:rPr>
              <w:t>西南</w:t>
            </w:r>
            <w:r>
              <w:rPr>
                <w:rFonts w:hint="default" w:ascii="Times New Roman" w:hAnsi="Times New Roman" w:eastAsia="宋体" w:cs="Times New Roman"/>
                <w:color w:val="auto"/>
                <w:sz w:val="21"/>
                <w:szCs w:val="21"/>
                <w:highlight w:val="none"/>
                <w:lang w:val="en-US" w:eastAsia="zh-CN"/>
              </w:rPr>
              <w:t>侧约</w:t>
            </w:r>
            <w:r>
              <w:rPr>
                <w:rFonts w:hint="eastAsia" w:ascii="Times New Roman" w:hAnsi="Times New Roman" w:eastAsia="宋体" w:cs="Times New Roman"/>
                <w:color w:val="auto"/>
                <w:sz w:val="21"/>
                <w:szCs w:val="21"/>
                <w:highlight w:val="none"/>
                <w:lang w:val="en-US" w:eastAsia="zh-CN"/>
              </w:rPr>
              <w:t>30</w:t>
            </w:r>
            <w:r>
              <w:rPr>
                <w:rFonts w:hint="eastAsia" w:cs="Times New Roman"/>
                <w:color w:val="auto"/>
                <w:sz w:val="21"/>
                <w:szCs w:val="21"/>
                <w:highlight w:val="none"/>
                <w:lang w:val="en-US" w:eastAsia="zh-CN"/>
              </w:rPr>
              <w:t>5</w:t>
            </w:r>
            <w:r>
              <w:rPr>
                <w:rFonts w:hint="eastAsia"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385</w:t>
            </w:r>
            <w:r>
              <w:rPr>
                <w:rFonts w:hint="default" w:ascii="Times New Roman" w:hAnsi="Times New Roman" w:eastAsia="宋体" w:cs="Times New Roman"/>
                <w:color w:val="auto"/>
                <w:sz w:val="21"/>
                <w:szCs w:val="21"/>
                <w:highlight w:val="none"/>
                <w:lang w:val="en-US" w:eastAsia="zh-CN"/>
              </w:rPr>
              <w:t>m，与风机高程差约为</w:t>
            </w:r>
            <w:r>
              <w:rPr>
                <w:rFonts w:hint="eastAsia" w:cs="Times New Roman"/>
                <w:color w:val="auto"/>
                <w:sz w:val="21"/>
                <w:szCs w:val="21"/>
                <w:highlight w:val="none"/>
                <w:lang w:val="en-US" w:eastAsia="zh-CN"/>
              </w:rPr>
              <w:t>46</w:t>
            </w:r>
            <w:r>
              <w:rPr>
                <w:rFonts w:hint="default" w:ascii="Times New Roman" w:hAnsi="Times New Roman" w:eastAsia="宋体" w:cs="Times New Roman"/>
                <w:color w:val="auto"/>
                <w:sz w:val="21"/>
                <w:szCs w:val="21"/>
                <w:highlight w:val="none"/>
                <w:lang w:val="en-US" w:eastAsia="zh-CN"/>
              </w:rPr>
              <w:t>m</w:t>
            </w:r>
          </w:p>
        </w:tc>
        <w:tc>
          <w:tcPr>
            <w:tcW w:w="1563" w:type="dxa"/>
            <w:vMerge w:val="continue"/>
            <w:tcBorders>
              <w:tl2br w:val="nil"/>
              <w:tr2bl w:val="nil"/>
            </w:tcBorders>
            <w:noWrap w:val="0"/>
            <w:vAlign w:val="center"/>
          </w:tcPr>
          <w:p w14:paraId="3FD13D4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1797" w:type="dxa"/>
            <w:vMerge w:val="continue"/>
            <w:tcBorders>
              <w:tl2br w:val="nil"/>
              <w:tr2bl w:val="nil"/>
            </w:tcBorders>
            <w:noWrap w:val="0"/>
            <w:vAlign w:val="center"/>
          </w:tcPr>
          <w:p w14:paraId="678D362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r>
      <w:tr w14:paraId="64D245A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607" w:type="dxa"/>
            <w:vMerge w:val="restart"/>
            <w:tcBorders>
              <w:tl2br w:val="nil"/>
              <w:tr2bl w:val="nil"/>
            </w:tcBorders>
            <w:noWrap w:val="0"/>
            <w:vAlign w:val="center"/>
          </w:tcPr>
          <w:p w14:paraId="50366AC8">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w:t>
            </w:r>
            <w:r>
              <w:rPr>
                <w:rFonts w:hint="eastAsia" w:cs="Times New Roman"/>
                <w:color w:val="auto"/>
                <w:sz w:val="21"/>
                <w:szCs w:val="21"/>
                <w:highlight w:val="none"/>
                <w:lang w:val="en-US" w:eastAsia="zh-CN"/>
              </w:rPr>
              <w:t>7</w:t>
            </w:r>
            <w:r>
              <w:rPr>
                <w:rFonts w:hint="default" w:ascii="Times New Roman" w:hAnsi="Times New Roman" w:eastAsia="宋体" w:cs="Times New Roman"/>
                <w:color w:val="auto"/>
                <w:sz w:val="21"/>
                <w:szCs w:val="21"/>
                <w:highlight w:val="none"/>
                <w:lang w:val="en-US" w:eastAsia="zh-CN"/>
              </w:rPr>
              <w:t>#风机</w:t>
            </w:r>
          </w:p>
          <w:p w14:paraId="1E7CAC04">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cs="Times New Roman"/>
                <w:b/>
                <w:bCs/>
                <w:color w:val="auto"/>
                <w:sz w:val="21"/>
                <w:szCs w:val="21"/>
                <w:highlight w:val="none"/>
                <w:lang w:val="en-US" w:eastAsia="zh-CN"/>
              </w:rPr>
            </w:pPr>
            <w:r>
              <w:rPr>
                <w:rFonts w:hint="eastAsia" w:cs="Times New Roman"/>
                <w:b w:val="0"/>
                <w:bCs w:val="0"/>
                <w:color w:val="auto"/>
                <w:sz w:val="21"/>
                <w:szCs w:val="21"/>
                <w:highlight w:val="none"/>
                <w:lang w:val="en-US" w:eastAsia="zh-CN"/>
              </w:rPr>
              <w:t>（350m范围内无居民）</w:t>
            </w:r>
          </w:p>
        </w:tc>
        <w:tc>
          <w:tcPr>
            <w:tcW w:w="1658" w:type="dxa"/>
            <w:tcBorders>
              <w:tl2br w:val="nil"/>
              <w:tr2bl w:val="nil"/>
            </w:tcBorders>
            <w:noWrap w:val="0"/>
            <w:vAlign w:val="center"/>
          </w:tcPr>
          <w:p w14:paraId="0B8FF037">
            <w:pPr>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祁东县马杜桥乡</w:t>
            </w:r>
            <w:r>
              <w:rPr>
                <w:rFonts w:hint="eastAsia" w:cs="Times New Roman"/>
                <w:color w:val="auto"/>
                <w:sz w:val="21"/>
                <w:szCs w:val="21"/>
                <w:highlight w:val="none"/>
                <w:lang w:val="en-US" w:eastAsia="zh-CN"/>
              </w:rPr>
              <w:t>石门山村</w:t>
            </w:r>
            <w:r>
              <w:rPr>
                <w:rFonts w:hint="default" w:ascii="Times New Roman" w:hAnsi="Times New Roman" w:eastAsia="宋体" w:cs="Times New Roman"/>
                <w:color w:val="auto"/>
                <w:sz w:val="21"/>
                <w:szCs w:val="21"/>
                <w:highlight w:val="none"/>
                <w:lang w:val="en-US" w:eastAsia="zh-CN"/>
              </w:rPr>
              <w:t>居民点</w:t>
            </w:r>
            <w:r>
              <w:rPr>
                <w:rFonts w:hint="eastAsia" w:cs="Times New Roman"/>
                <w:color w:val="auto"/>
                <w:sz w:val="21"/>
                <w:szCs w:val="21"/>
                <w:highlight w:val="none"/>
                <w:lang w:val="en-US" w:eastAsia="zh-CN"/>
              </w:rPr>
              <w:t>②</w:t>
            </w:r>
            <w:r>
              <w:rPr>
                <w:rFonts w:hint="default"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1</w:t>
            </w:r>
            <w:r>
              <w:rPr>
                <w:rFonts w:hint="default" w:ascii="Times New Roman" w:hAnsi="Times New Roman" w:eastAsia="宋体" w:cs="Times New Roman"/>
                <w:color w:val="auto"/>
                <w:sz w:val="21"/>
                <w:szCs w:val="21"/>
                <w:highlight w:val="none"/>
                <w:lang w:val="en-US" w:eastAsia="zh-CN"/>
              </w:rPr>
              <w:t>户</w:t>
            </w:r>
          </w:p>
        </w:tc>
        <w:tc>
          <w:tcPr>
            <w:tcW w:w="2250" w:type="dxa"/>
            <w:tcBorders>
              <w:tl2br w:val="nil"/>
              <w:tr2bl w:val="nil"/>
            </w:tcBorders>
            <w:noWrap w:val="0"/>
            <w:vAlign w:val="center"/>
          </w:tcPr>
          <w:p w14:paraId="6C9A829D">
            <w:pPr>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位于1</w:t>
            </w:r>
            <w:r>
              <w:rPr>
                <w:rFonts w:hint="eastAsia" w:cs="Times New Roman"/>
                <w:color w:val="auto"/>
                <w:sz w:val="21"/>
                <w:szCs w:val="21"/>
                <w:highlight w:val="none"/>
                <w:lang w:val="en-US" w:eastAsia="zh-CN"/>
              </w:rPr>
              <w:t>7</w:t>
            </w:r>
            <w:r>
              <w:rPr>
                <w:rFonts w:hint="default" w:ascii="Times New Roman" w:hAnsi="Times New Roman" w:eastAsia="宋体" w:cs="Times New Roman"/>
                <w:color w:val="auto"/>
                <w:sz w:val="21"/>
                <w:szCs w:val="21"/>
                <w:highlight w:val="none"/>
                <w:lang w:val="en-US" w:eastAsia="zh-CN"/>
              </w:rPr>
              <w:t>#风机</w:t>
            </w:r>
            <w:r>
              <w:rPr>
                <w:rFonts w:hint="eastAsia" w:ascii="Times New Roman" w:hAnsi="Times New Roman" w:cs="Times New Roman"/>
                <w:color w:val="auto"/>
                <w:sz w:val="21"/>
                <w:szCs w:val="21"/>
                <w:highlight w:val="none"/>
                <w:lang w:val="en-US" w:eastAsia="zh-CN"/>
              </w:rPr>
              <w:t>基座</w:t>
            </w:r>
            <w:r>
              <w:rPr>
                <w:rFonts w:hint="eastAsia" w:ascii="Times New Roman" w:hAnsi="Times New Roman" w:eastAsia="宋体" w:cs="Times New Roman"/>
                <w:color w:val="auto"/>
                <w:sz w:val="21"/>
                <w:szCs w:val="21"/>
                <w:highlight w:val="none"/>
                <w:lang w:val="en-US" w:eastAsia="zh-CN"/>
              </w:rPr>
              <w:t>西</w:t>
            </w:r>
            <w:r>
              <w:rPr>
                <w:rFonts w:hint="eastAsia" w:cs="Times New Roman"/>
                <w:color w:val="auto"/>
                <w:sz w:val="21"/>
                <w:szCs w:val="21"/>
                <w:highlight w:val="none"/>
                <w:lang w:val="en-US" w:eastAsia="zh-CN"/>
              </w:rPr>
              <w:t>南</w:t>
            </w:r>
            <w:r>
              <w:rPr>
                <w:rFonts w:hint="default" w:ascii="Times New Roman" w:hAnsi="Times New Roman" w:eastAsia="宋体" w:cs="Times New Roman"/>
                <w:color w:val="auto"/>
                <w:sz w:val="21"/>
                <w:szCs w:val="21"/>
                <w:highlight w:val="none"/>
                <w:lang w:val="en-US" w:eastAsia="zh-CN"/>
              </w:rPr>
              <w:t>侧约</w:t>
            </w:r>
            <w:r>
              <w:rPr>
                <w:rFonts w:hint="eastAsia" w:cs="Times New Roman"/>
                <w:color w:val="auto"/>
                <w:sz w:val="21"/>
                <w:szCs w:val="21"/>
                <w:highlight w:val="none"/>
                <w:lang w:val="en-US" w:eastAsia="zh-CN"/>
              </w:rPr>
              <w:t>355</w:t>
            </w:r>
            <w:r>
              <w:rPr>
                <w:rFonts w:hint="default" w:ascii="Times New Roman" w:hAnsi="Times New Roman" w:eastAsia="宋体" w:cs="Times New Roman"/>
                <w:color w:val="auto"/>
                <w:sz w:val="21"/>
                <w:szCs w:val="21"/>
                <w:highlight w:val="none"/>
                <w:lang w:val="en-US" w:eastAsia="zh-CN"/>
              </w:rPr>
              <w:t>m，与风机高程差约为</w:t>
            </w:r>
            <w:r>
              <w:rPr>
                <w:rFonts w:hint="eastAsia" w:cs="Times New Roman"/>
                <w:color w:val="auto"/>
                <w:sz w:val="21"/>
                <w:szCs w:val="21"/>
                <w:highlight w:val="none"/>
                <w:lang w:val="en-US" w:eastAsia="zh-CN"/>
              </w:rPr>
              <w:t>31</w:t>
            </w:r>
            <w:r>
              <w:rPr>
                <w:rFonts w:hint="default" w:ascii="Times New Roman" w:hAnsi="Times New Roman" w:eastAsia="宋体" w:cs="Times New Roman"/>
                <w:color w:val="auto"/>
                <w:sz w:val="21"/>
                <w:szCs w:val="21"/>
                <w:highlight w:val="none"/>
                <w:lang w:val="en-US" w:eastAsia="zh-CN"/>
              </w:rPr>
              <w:t>m</w:t>
            </w:r>
          </w:p>
        </w:tc>
        <w:tc>
          <w:tcPr>
            <w:tcW w:w="1563" w:type="dxa"/>
            <w:vMerge w:val="continue"/>
            <w:tcBorders>
              <w:tl2br w:val="nil"/>
              <w:tr2bl w:val="nil"/>
            </w:tcBorders>
            <w:noWrap w:val="0"/>
            <w:vAlign w:val="center"/>
          </w:tcPr>
          <w:p w14:paraId="5C23704E">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1797" w:type="dxa"/>
            <w:vMerge w:val="continue"/>
            <w:tcBorders>
              <w:tl2br w:val="nil"/>
              <w:tr2bl w:val="nil"/>
            </w:tcBorders>
            <w:noWrap w:val="0"/>
            <w:vAlign w:val="center"/>
          </w:tcPr>
          <w:p w14:paraId="66EF70DE">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r>
      <w:tr w14:paraId="6976BF1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607" w:type="dxa"/>
            <w:vMerge w:val="continue"/>
            <w:tcBorders>
              <w:tl2br w:val="nil"/>
              <w:tr2bl w:val="nil"/>
            </w:tcBorders>
            <w:noWrap w:val="0"/>
            <w:vAlign w:val="center"/>
          </w:tcPr>
          <w:p w14:paraId="0289E16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cs="Times New Roman"/>
                <w:b/>
                <w:bCs/>
                <w:color w:val="auto"/>
                <w:sz w:val="21"/>
                <w:szCs w:val="21"/>
                <w:highlight w:val="none"/>
                <w:lang w:val="en-US" w:eastAsia="zh-CN"/>
              </w:rPr>
            </w:pPr>
          </w:p>
        </w:tc>
        <w:tc>
          <w:tcPr>
            <w:tcW w:w="1658" w:type="dxa"/>
            <w:tcBorders>
              <w:tl2br w:val="nil"/>
              <w:tr2bl w:val="nil"/>
            </w:tcBorders>
            <w:noWrap w:val="0"/>
            <w:vAlign w:val="center"/>
          </w:tcPr>
          <w:p w14:paraId="4A72F30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祁东县马杜桥乡</w:t>
            </w:r>
            <w:r>
              <w:rPr>
                <w:rFonts w:hint="eastAsia" w:cs="Times New Roman"/>
                <w:color w:val="auto"/>
                <w:sz w:val="21"/>
                <w:szCs w:val="21"/>
                <w:highlight w:val="none"/>
                <w:lang w:val="en-US" w:eastAsia="zh-CN"/>
              </w:rPr>
              <w:t>石门山村</w:t>
            </w:r>
            <w:r>
              <w:rPr>
                <w:rFonts w:hint="default" w:ascii="Times New Roman" w:hAnsi="Times New Roman" w:eastAsia="宋体" w:cs="Times New Roman"/>
                <w:color w:val="auto"/>
                <w:sz w:val="21"/>
                <w:szCs w:val="21"/>
                <w:highlight w:val="none"/>
                <w:lang w:val="en-US" w:eastAsia="zh-CN"/>
              </w:rPr>
              <w:t>居民点</w:t>
            </w:r>
            <w:r>
              <w:rPr>
                <w:rFonts w:hint="eastAsia" w:cs="Times New Roman"/>
                <w:color w:val="auto"/>
                <w:sz w:val="21"/>
                <w:szCs w:val="21"/>
                <w:highlight w:val="none"/>
                <w:lang w:val="en-US" w:eastAsia="zh-CN"/>
              </w:rPr>
              <w:t>③</w:t>
            </w:r>
            <w:r>
              <w:rPr>
                <w:rFonts w:hint="default"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1</w:t>
            </w:r>
            <w:r>
              <w:rPr>
                <w:rFonts w:hint="default" w:ascii="Times New Roman" w:hAnsi="Times New Roman" w:eastAsia="宋体" w:cs="Times New Roman"/>
                <w:color w:val="auto"/>
                <w:sz w:val="21"/>
                <w:szCs w:val="21"/>
                <w:highlight w:val="none"/>
                <w:lang w:val="en-US" w:eastAsia="zh-CN"/>
              </w:rPr>
              <w:t>户</w:t>
            </w:r>
          </w:p>
        </w:tc>
        <w:tc>
          <w:tcPr>
            <w:tcW w:w="2250" w:type="dxa"/>
            <w:tcBorders>
              <w:tl2br w:val="nil"/>
              <w:tr2bl w:val="nil"/>
            </w:tcBorders>
            <w:noWrap w:val="0"/>
            <w:vAlign w:val="center"/>
          </w:tcPr>
          <w:p w14:paraId="3C0E9AB4">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位于1</w:t>
            </w:r>
            <w:r>
              <w:rPr>
                <w:rFonts w:hint="eastAsia" w:cs="Times New Roman"/>
                <w:color w:val="auto"/>
                <w:sz w:val="21"/>
                <w:szCs w:val="21"/>
                <w:highlight w:val="none"/>
                <w:lang w:val="en-US" w:eastAsia="zh-CN"/>
              </w:rPr>
              <w:t>7</w:t>
            </w:r>
            <w:r>
              <w:rPr>
                <w:rFonts w:hint="default" w:ascii="Times New Roman" w:hAnsi="Times New Roman" w:eastAsia="宋体" w:cs="Times New Roman"/>
                <w:color w:val="auto"/>
                <w:sz w:val="21"/>
                <w:szCs w:val="21"/>
                <w:highlight w:val="none"/>
                <w:lang w:val="en-US" w:eastAsia="zh-CN"/>
              </w:rPr>
              <w:t>#风机</w:t>
            </w:r>
            <w:r>
              <w:rPr>
                <w:rFonts w:hint="eastAsia" w:ascii="Times New Roman" w:hAnsi="Times New Roman" w:cs="Times New Roman"/>
                <w:color w:val="auto"/>
                <w:sz w:val="21"/>
                <w:szCs w:val="21"/>
                <w:highlight w:val="none"/>
                <w:lang w:val="en-US" w:eastAsia="zh-CN"/>
              </w:rPr>
              <w:t>基座</w:t>
            </w:r>
            <w:r>
              <w:rPr>
                <w:rFonts w:hint="eastAsia" w:ascii="Times New Roman" w:hAnsi="Times New Roman" w:eastAsia="宋体" w:cs="Times New Roman"/>
                <w:color w:val="auto"/>
                <w:sz w:val="21"/>
                <w:szCs w:val="21"/>
                <w:highlight w:val="none"/>
                <w:lang w:val="en-US" w:eastAsia="zh-CN"/>
              </w:rPr>
              <w:t>西</w:t>
            </w:r>
            <w:r>
              <w:rPr>
                <w:rFonts w:hint="eastAsia" w:cs="Times New Roman"/>
                <w:color w:val="auto"/>
                <w:sz w:val="21"/>
                <w:szCs w:val="21"/>
                <w:highlight w:val="none"/>
                <w:lang w:val="en-US" w:eastAsia="zh-CN"/>
              </w:rPr>
              <w:t>南</w:t>
            </w:r>
            <w:r>
              <w:rPr>
                <w:rFonts w:hint="default" w:ascii="Times New Roman" w:hAnsi="Times New Roman" w:eastAsia="宋体" w:cs="Times New Roman"/>
                <w:color w:val="auto"/>
                <w:sz w:val="21"/>
                <w:szCs w:val="21"/>
                <w:highlight w:val="none"/>
                <w:lang w:val="en-US" w:eastAsia="zh-CN"/>
              </w:rPr>
              <w:t>侧约</w:t>
            </w:r>
            <w:r>
              <w:rPr>
                <w:rFonts w:hint="eastAsia" w:cs="Times New Roman"/>
                <w:color w:val="auto"/>
                <w:sz w:val="21"/>
                <w:szCs w:val="21"/>
                <w:highlight w:val="none"/>
                <w:lang w:val="en-US" w:eastAsia="zh-CN"/>
              </w:rPr>
              <w:t>400</w:t>
            </w:r>
            <w:r>
              <w:rPr>
                <w:rFonts w:hint="default" w:ascii="Times New Roman" w:hAnsi="Times New Roman" w:eastAsia="宋体" w:cs="Times New Roman"/>
                <w:color w:val="auto"/>
                <w:sz w:val="21"/>
                <w:szCs w:val="21"/>
                <w:highlight w:val="none"/>
                <w:lang w:val="en-US" w:eastAsia="zh-CN"/>
              </w:rPr>
              <w:t>m，与风机高程差约为</w:t>
            </w:r>
            <w:r>
              <w:rPr>
                <w:rFonts w:hint="eastAsia" w:cs="Times New Roman"/>
                <w:color w:val="auto"/>
                <w:sz w:val="21"/>
                <w:szCs w:val="21"/>
                <w:highlight w:val="none"/>
                <w:lang w:val="en-US" w:eastAsia="zh-CN"/>
              </w:rPr>
              <w:t>43</w:t>
            </w:r>
            <w:r>
              <w:rPr>
                <w:rFonts w:hint="default" w:ascii="Times New Roman" w:hAnsi="Times New Roman" w:eastAsia="宋体" w:cs="Times New Roman"/>
                <w:color w:val="auto"/>
                <w:sz w:val="21"/>
                <w:szCs w:val="21"/>
                <w:highlight w:val="none"/>
                <w:lang w:val="en-US" w:eastAsia="zh-CN"/>
              </w:rPr>
              <w:t>m</w:t>
            </w:r>
          </w:p>
        </w:tc>
        <w:tc>
          <w:tcPr>
            <w:tcW w:w="1563" w:type="dxa"/>
            <w:vMerge w:val="continue"/>
            <w:tcBorders>
              <w:tl2br w:val="nil"/>
              <w:tr2bl w:val="nil"/>
            </w:tcBorders>
            <w:noWrap w:val="0"/>
            <w:vAlign w:val="center"/>
          </w:tcPr>
          <w:p w14:paraId="0BF14257">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1797" w:type="dxa"/>
            <w:vMerge w:val="continue"/>
            <w:tcBorders>
              <w:tl2br w:val="nil"/>
              <w:tr2bl w:val="nil"/>
            </w:tcBorders>
            <w:noWrap w:val="0"/>
            <w:vAlign w:val="center"/>
          </w:tcPr>
          <w:p w14:paraId="18C7807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r>
      <w:tr w14:paraId="04A9625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607" w:type="dxa"/>
            <w:tcBorders>
              <w:tl2br w:val="nil"/>
              <w:tr2bl w:val="nil"/>
            </w:tcBorders>
            <w:noWrap w:val="0"/>
            <w:vAlign w:val="center"/>
          </w:tcPr>
          <w:p w14:paraId="0265CF7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18#风机</w:t>
            </w:r>
          </w:p>
          <w:p w14:paraId="359EDED7">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cs="Times New Roman"/>
                <w:b/>
                <w:bCs/>
                <w:color w:val="auto"/>
                <w:sz w:val="21"/>
                <w:szCs w:val="21"/>
                <w:highlight w:val="none"/>
                <w:lang w:val="en-US" w:eastAsia="zh-CN"/>
              </w:rPr>
              <w:t>（350m范围内有2户居民）</w:t>
            </w:r>
          </w:p>
        </w:tc>
        <w:tc>
          <w:tcPr>
            <w:tcW w:w="1658" w:type="dxa"/>
            <w:tcBorders>
              <w:tl2br w:val="nil"/>
              <w:tr2bl w:val="nil"/>
            </w:tcBorders>
            <w:noWrap w:val="0"/>
            <w:vAlign w:val="center"/>
          </w:tcPr>
          <w:p w14:paraId="39AA110D">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祁东县马杜桥乡</w:t>
            </w:r>
            <w:r>
              <w:rPr>
                <w:rFonts w:hint="eastAsia" w:cs="Times New Roman"/>
                <w:color w:val="auto"/>
                <w:sz w:val="21"/>
                <w:szCs w:val="21"/>
                <w:highlight w:val="none"/>
                <w:lang w:val="en-US" w:eastAsia="zh-CN"/>
              </w:rPr>
              <w:t>石门山村</w:t>
            </w:r>
            <w:r>
              <w:rPr>
                <w:rFonts w:hint="default" w:ascii="Times New Roman" w:hAnsi="Times New Roman" w:eastAsia="宋体" w:cs="Times New Roman"/>
                <w:color w:val="auto"/>
                <w:sz w:val="21"/>
                <w:szCs w:val="21"/>
                <w:highlight w:val="none"/>
                <w:lang w:val="en-US" w:eastAsia="zh-CN"/>
              </w:rPr>
              <w:t>居民点</w:t>
            </w:r>
            <w:r>
              <w:rPr>
                <w:rFonts w:hint="eastAsia" w:cs="Times New Roman"/>
                <w:color w:val="auto"/>
                <w:sz w:val="21"/>
                <w:szCs w:val="21"/>
                <w:highlight w:val="none"/>
                <w:lang w:val="en-US" w:eastAsia="zh-CN"/>
              </w:rPr>
              <w:t>③</w:t>
            </w:r>
            <w:r>
              <w:rPr>
                <w:rFonts w:hint="default" w:ascii="Times New Roman" w:hAnsi="Times New Roman" w:eastAsia="宋体" w:cs="Times New Roman"/>
                <w:color w:val="auto"/>
                <w:sz w:val="21"/>
                <w:szCs w:val="21"/>
                <w:highlight w:val="none"/>
                <w:lang w:val="en-US" w:eastAsia="zh-CN"/>
              </w:rPr>
              <w:t>/约</w:t>
            </w:r>
            <w:r>
              <w:rPr>
                <w:rFonts w:hint="eastAsia" w:cs="Times New Roman"/>
                <w:color w:val="auto"/>
                <w:sz w:val="21"/>
                <w:szCs w:val="21"/>
                <w:highlight w:val="none"/>
                <w:lang w:val="en-US" w:eastAsia="zh-CN"/>
              </w:rPr>
              <w:t>2</w:t>
            </w:r>
            <w:r>
              <w:rPr>
                <w:rFonts w:hint="default" w:ascii="Times New Roman" w:hAnsi="Times New Roman" w:eastAsia="宋体" w:cs="Times New Roman"/>
                <w:color w:val="auto"/>
                <w:sz w:val="21"/>
                <w:szCs w:val="21"/>
                <w:highlight w:val="none"/>
                <w:lang w:val="en-US" w:eastAsia="zh-CN"/>
              </w:rPr>
              <w:t>户</w:t>
            </w:r>
          </w:p>
        </w:tc>
        <w:tc>
          <w:tcPr>
            <w:tcW w:w="2250" w:type="dxa"/>
            <w:tcBorders>
              <w:tl2br w:val="nil"/>
              <w:tr2bl w:val="nil"/>
            </w:tcBorders>
            <w:noWrap w:val="0"/>
            <w:vAlign w:val="center"/>
          </w:tcPr>
          <w:p w14:paraId="2A4C8AA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位于</w:t>
            </w:r>
            <w:r>
              <w:rPr>
                <w:rFonts w:hint="default" w:ascii="Times New Roman" w:hAnsi="Times New Roman" w:eastAsia="宋体" w:cs="Times New Roman"/>
                <w:color w:val="auto"/>
                <w:sz w:val="21"/>
                <w:szCs w:val="21"/>
                <w:highlight w:val="none"/>
                <w:lang w:val="en-US" w:eastAsia="zh-CN"/>
              </w:rPr>
              <w:t>1</w:t>
            </w:r>
            <w:r>
              <w:rPr>
                <w:rFonts w:hint="eastAsia" w:ascii="Times New Roman" w:hAnsi="Times New Roman" w:eastAsia="宋体" w:cs="Times New Roman"/>
                <w:color w:val="auto"/>
                <w:sz w:val="21"/>
                <w:szCs w:val="21"/>
                <w:highlight w:val="none"/>
                <w:lang w:val="en-US" w:eastAsia="zh-CN"/>
              </w:rPr>
              <w:t>8</w:t>
            </w:r>
            <w:r>
              <w:rPr>
                <w:rFonts w:hint="default" w:ascii="Times New Roman" w:hAnsi="Times New Roman" w:eastAsia="宋体" w:cs="Times New Roman"/>
                <w:color w:val="auto"/>
                <w:sz w:val="21"/>
                <w:szCs w:val="21"/>
                <w:highlight w:val="none"/>
                <w:lang w:val="en-US" w:eastAsia="zh-CN"/>
              </w:rPr>
              <w:t>#风机</w:t>
            </w:r>
            <w:r>
              <w:rPr>
                <w:rFonts w:hint="eastAsia" w:ascii="Times New Roman" w:hAnsi="Times New Roman" w:cs="Times New Roman"/>
                <w:color w:val="auto"/>
                <w:sz w:val="21"/>
                <w:szCs w:val="21"/>
                <w:highlight w:val="none"/>
                <w:lang w:val="en-US" w:eastAsia="zh-CN"/>
              </w:rPr>
              <w:t>基座</w:t>
            </w:r>
            <w:r>
              <w:rPr>
                <w:rFonts w:hint="eastAsia" w:ascii="Times New Roman" w:hAnsi="Times New Roman" w:eastAsia="宋体" w:cs="Times New Roman"/>
                <w:color w:val="auto"/>
                <w:sz w:val="21"/>
                <w:szCs w:val="21"/>
                <w:highlight w:val="none"/>
                <w:lang w:val="en-US" w:eastAsia="zh-CN"/>
              </w:rPr>
              <w:t>西北</w:t>
            </w:r>
            <w:r>
              <w:rPr>
                <w:rFonts w:hint="default" w:ascii="Times New Roman" w:hAnsi="Times New Roman" w:eastAsia="宋体" w:cs="Times New Roman"/>
                <w:color w:val="auto"/>
                <w:sz w:val="21"/>
                <w:szCs w:val="21"/>
                <w:highlight w:val="none"/>
                <w:lang w:val="en-US" w:eastAsia="zh-CN"/>
              </w:rPr>
              <w:t>侧约</w:t>
            </w:r>
            <w:r>
              <w:rPr>
                <w:rFonts w:hint="eastAsia" w:cs="Times New Roman"/>
                <w:color w:val="auto"/>
                <w:sz w:val="21"/>
                <w:szCs w:val="21"/>
                <w:highlight w:val="none"/>
                <w:lang w:val="en-US" w:eastAsia="zh-CN"/>
              </w:rPr>
              <w:t>320~340</w:t>
            </w:r>
            <w:r>
              <w:rPr>
                <w:rFonts w:hint="eastAsia" w:ascii="Times New Roman" w:hAnsi="Times New Roman" w:eastAsia="宋体" w:cs="Times New Roman"/>
                <w:color w:val="auto"/>
                <w:sz w:val="21"/>
                <w:szCs w:val="21"/>
                <w:highlight w:val="none"/>
                <w:lang w:val="en-US" w:eastAsia="zh-CN"/>
              </w:rPr>
              <w:t>m，</w:t>
            </w:r>
            <w:r>
              <w:rPr>
                <w:rFonts w:hint="default" w:ascii="Times New Roman" w:hAnsi="Times New Roman" w:eastAsia="宋体" w:cs="Times New Roman"/>
                <w:color w:val="auto"/>
                <w:sz w:val="21"/>
                <w:szCs w:val="21"/>
                <w:highlight w:val="none"/>
                <w:lang w:val="en-US" w:eastAsia="zh-CN"/>
              </w:rPr>
              <w:t>与风机高程差约为</w:t>
            </w:r>
            <w:r>
              <w:rPr>
                <w:rFonts w:hint="eastAsia" w:cs="Times New Roman"/>
                <w:color w:val="auto"/>
                <w:sz w:val="21"/>
                <w:szCs w:val="21"/>
                <w:highlight w:val="none"/>
                <w:lang w:val="en-US" w:eastAsia="zh-CN"/>
              </w:rPr>
              <w:t>97</w:t>
            </w:r>
            <w:r>
              <w:rPr>
                <w:rFonts w:hint="default" w:ascii="Times New Roman" w:hAnsi="Times New Roman" w:eastAsia="宋体" w:cs="Times New Roman"/>
                <w:color w:val="auto"/>
                <w:sz w:val="21"/>
                <w:szCs w:val="21"/>
                <w:highlight w:val="none"/>
                <w:lang w:val="en-US" w:eastAsia="zh-CN"/>
              </w:rPr>
              <w:t>m</w:t>
            </w:r>
          </w:p>
        </w:tc>
        <w:tc>
          <w:tcPr>
            <w:tcW w:w="1563" w:type="dxa"/>
            <w:vMerge w:val="continue"/>
            <w:tcBorders>
              <w:tl2br w:val="nil"/>
              <w:tr2bl w:val="nil"/>
            </w:tcBorders>
            <w:noWrap w:val="0"/>
            <w:vAlign w:val="center"/>
          </w:tcPr>
          <w:p w14:paraId="074CE6EE">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1797" w:type="dxa"/>
            <w:vMerge w:val="continue"/>
            <w:tcBorders>
              <w:tl2br w:val="nil"/>
              <w:tr2bl w:val="nil"/>
            </w:tcBorders>
            <w:noWrap w:val="0"/>
            <w:vAlign w:val="center"/>
          </w:tcPr>
          <w:p w14:paraId="366C6DCA">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r>
      <w:tr w14:paraId="64B5E9A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607" w:type="dxa"/>
            <w:vMerge w:val="restart"/>
            <w:tcBorders>
              <w:tl2br w:val="nil"/>
              <w:tr2bl w:val="nil"/>
            </w:tcBorders>
            <w:noWrap w:val="0"/>
            <w:vAlign w:val="center"/>
          </w:tcPr>
          <w:p w14:paraId="44DE92E5">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bookmarkStart w:id="51" w:name="_Toc16975"/>
            <w:bookmarkStart w:id="52" w:name="_Toc366221310"/>
            <w:bookmarkStart w:id="53" w:name="_Toc18563"/>
            <w:bookmarkStart w:id="54" w:name="_Toc13260"/>
            <w:r>
              <w:rPr>
                <w:rFonts w:hint="default" w:ascii="Times New Roman" w:hAnsi="Times New Roman" w:eastAsia="宋体" w:cs="Times New Roman"/>
                <w:color w:val="auto"/>
                <w:sz w:val="21"/>
                <w:szCs w:val="21"/>
                <w:highlight w:val="none"/>
                <w:lang w:val="en-US" w:eastAsia="zh-CN"/>
              </w:rPr>
              <w:t>1</w:t>
            </w:r>
            <w:r>
              <w:rPr>
                <w:rFonts w:hint="eastAsia" w:cs="Times New Roman"/>
                <w:color w:val="auto"/>
                <w:sz w:val="21"/>
                <w:szCs w:val="21"/>
                <w:highlight w:val="none"/>
                <w:lang w:val="en-US" w:eastAsia="zh-CN"/>
              </w:rPr>
              <w:t>9</w:t>
            </w:r>
            <w:r>
              <w:rPr>
                <w:rFonts w:hint="default" w:ascii="Times New Roman" w:hAnsi="Times New Roman" w:eastAsia="宋体" w:cs="Times New Roman"/>
                <w:color w:val="auto"/>
                <w:sz w:val="21"/>
                <w:szCs w:val="21"/>
                <w:highlight w:val="none"/>
                <w:lang w:val="en-US" w:eastAsia="zh-CN"/>
              </w:rPr>
              <w:t>#风机</w:t>
            </w:r>
          </w:p>
          <w:p w14:paraId="681FA464">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cs="Times New Roman"/>
                <w:b/>
                <w:bCs/>
                <w:color w:val="auto"/>
                <w:sz w:val="21"/>
                <w:szCs w:val="21"/>
                <w:highlight w:val="none"/>
                <w:lang w:val="en-US" w:eastAsia="zh-CN"/>
              </w:rPr>
            </w:pPr>
            <w:r>
              <w:rPr>
                <w:rFonts w:hint="eastAsia" w:cs="Times New Roman"/>
                <w:b w:val="0"/>
                <w:bCs w:val="0"/>
                <w:color w:val="auto"/>
                <w:sz w:val="21"/>
                <w:szCs w:val="21"/>
                <w:highlight w:val="none"/>
                <w:lang w:val="en-US" w:eastAsia="zh-CN"/>
              </w:rPr>
              <w:t>（350m范围内无居民）</w:t>
            </w:r>
          </w:p>
        </w:tc>
        <w:tc>
          <w:tcPr>
            <w:tcW w:w="1658" w:type="dxa"/>
            <w:tcBorders>
              <w:tl2br w:val="nil"/>
              <w:tr2bl w:val="nil"/>
            </w:tcBorders>
            <w:noWrap w:val="0"/>
            <w:vAlign w:val="center"/>
          </w:tcPr>
          <w:p w14:paraId="716F27D0">
            <w:pPr>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祁东县马杜桥乡</w:t>
            </w:r>
            <w:r>
              <w:rPr>
                <w:rFonts w:hint="eastAsia" w:cs="Times New Roman"/>
                <w:color w:val="auto"/>
                <w:sz w:val="21"/>
                <w:szCs w:val="21"/>
                <w:highlight w:val="none"/>
                <w:lang w:val="en-US" w:eastAsia="zh-CN"/>
              </w:rPr>
              <w:t>石门山村</w:t>
            </w:r>
            <w:r>
              <w:rPr>
                <w:rFonts w:hint="default" w:ascii="Times New Roman" w:hAnsi="Times New Roman" w:eastAsia="宋体" w:cs="Times New Roman"/>
                <w:color w:val="auto"/>
                <w:sz w:val="21"/>
                <w:szCs w:val="21"/>
                <w:highlight w:val="none"/>
                <w:lang w:val="en-US" w:eastAsia="zh-CN"/>
              </w:rPr>
              <w:t>居民点</w:t>
            </w:r>
            <w:r>
              <w:rPr>
                <w:rFonts w:hint="eastAsia" w:cs="Times New Roman"/>
                <w:color w:val="auto"/>
                <w:sz w:val="21"/>
                <w:szCs w:val="21"/>
                <w:highlight w:val="none"/>
                <w:lang w:val="en-US" w:eastAsia="zh-CN"/>
              </w:rPr>
              <w:t>③</w:t>
            </w:r>
            <w:r>
              <w:rPr>
                <w:rFonts w:hint="default"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1</w:t>
            </w:r>
            <w:r>
              <w:rPr>
                <w:rFonts w:hint="default" w:ascii="Times New Roman" w:hAnsi="Times New Roman" w:eastAsia="宋体" w:cs="Times New Roman"/>
                <w:color w:val="auto"/>
                <w:sz w:val="21"/>
                <w:szCs w:val="21"/>
                <w:highlight w:val="none"/>
                <w:lang w:val="en-US" w:eastAsia="zh-CN"/>
              </w:rPr>
              <w:t>户</w:t>
            </w:r>
          </w:p>
        </w:tc>
        <w:tc>
          <w:tcPr>
            <w:tcW w:w="2250" w:type="dxa"/>
            <w:tcBorders>
              <w:tl2br w:val="nil"/>
              <w:tr2bl w:val="nil"/>
            </w:tcBorders>
            <w:noWrap w:val="0"/>
            <w:vAlign w:val="center"/>
          </w:tcPr>
          <w:p w14:paraId="4AFF0E03">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位于19</w:t>
            </w:r>
            <w:r>
              <w:rPr>
                <w:rFonts w:hint="default" w:ascii="Times New Roman" w:hAnsi="Times New Roman" w:eastAsia="宋体" w:cs="Times New Roman"/>
                <w:color w:val="auto"/>
                <w:sz w:val="21"/>
                <w:szCs w:val="21"/>
                <w:highlight w:val="none"/>
                <w:lang w:val="en-US" w:eastAsia="zh-CN"/>
              </w:rPr>
              <w:t>#风机</w:t>
            </w:r>
            <w:r>
              <w:rPr>
                <w:rFonts w:hint="eastAsia" w:ascii="Times New Roman" w:hAnsi="Times New Roman" w:cs="Times New Roman"/>
                <w:color w:val="auto"/>
                <w:sz w:val="21"/>
                <w:szCs w:val="21"/>
                <w:highlight w:val="none"/>
                <w:lang w:val="en-US" w:eastAsia="zh-CN"/>
              </w:rPr>
              <w:t>基座</w:t>
            </w:r>
            <w:r>
              <w:rPr>
                <w:rFonts w:hint="eastAsia" w:ascii="Times New Roman" w:hAnsi="Times New Roman" w:eastAsia="宋体" w:cs="Times New Roman"/>
                <w:color w:val="auto"/>
                <w:sz w:val="21"/>
                <w:szCs w:val="21"/>
                <w:highlight w:val="none"/>
                <w:lang w:val="en-US" w:eastAsia="zh-CN"/>
              </w:rPr>
              <w:t>西</w:t>
            </w:r>
            <w:r>
              <w:rPr>
                <w:rFonts w:hint="eastAsia" w:cs="Times New Roman"/>
                <w:color w:val="auto"/>
                <w:sz w:val="21"/>
                <w:szCs w:val="21"/>
                <w:highlight w:val="none"/>
                <w:lang w:val="en-US" w:eastAsia="zh-CN"/>
              </w:rPr>
              <w:t>南</w:t>
            </w:r>
            <w:r>
              <w:rPr>
                <w:rFonts w:hint="default" w:ascii="Times New Roman" w:hAnsi="Times New Roman" w:eastAsia="宋体" w:cs="Times New Roman"/>
                <w:color w:val="auto"/>
                <w:sz w:val="21"/>
                <w:szCs w:val="21"/>
                <w:highlight w:val="none"/>
                <w:lang w:val="en-US" w:eastAsia="zh-CN"/>
              </w:rPr>
              <w:t>侧约</w:t>
            </w:r>
            <w:r>
              <w:rPr>
                <w:rFonts w:hint="eastAsia" w:cs="Times New Roman"/>
                <w:color w:val="auto"/>
                <w:sz w:val="21"/>
                <w:szCs w:val="21"/>
                <w:highlight w:val="none"/>
                <w:lang w:val="en-US" w:eastAsia="zh-CN"/>
              </w:rPr>
              <w:t>445</w:t>
            </w:r>
            <w:r>
              <w:rPr>
                <w:rFonts w:hint="eastAsia" w:ascii="Times New Roman" w:hAnsi="Times New Roman" w:eastAsia="宋体" w:cs="Times New Roman"/>
                <w:color w:val="auto"/>
                <w:sz w:val="21"/>
                <w:szCs w:val="21"/>
                <w:highlight w:val="none"/>
                <w:lang w:val="en-US" w:eastAsia="zh-CN"/>
              </w:rPr>
              <w:t>m，</w:t>
            </w:r>
            <w:r>
              <w:rPr>
                <w:rFonts w:hint="default" w:ascii="Times New Roman" w:hAnsi="Times New Roman" w:eastAsia="宋体" w:cs="Times New Roman"/>
                <w:color w:val="auto"/>
                <w:sz w:val="21"/>
                <w:szCs w:val="21"/>
                <w:highlight w:val="none"/>
                <w:lang w:val="en-US" w:eastAsia="zh-CN"/>
              </w:rPr>
              <w:t>与风机高程差约为</w:t>
            </w:r>
            <w:r>
              <w:rPr>
                <w:rFonts w:hint="eastAsia" w:cs="Times New Roman"/>
                <w:color w:val="auto"/>
                <w:sz w:val="21"/>
                <w:szCs w:val="21"/>
                <w:highlight w:val="none"/>
                <w:lang w:val="en-US" w:eastAsia="zh-CN"/>
              </w:rPr>
              <w:t>78</w:t>
            </w:r>
            <w:r>
              <w:rPr>
                <w:rFonts w:hint="default" w:ascii="Times New Roman" w:hAnsi="Times New Roman" w:eastAsia="宋体" w:cs="Times New Roman"/>
                <w:color w:val="auto"/>
                <w:sz w:val="21"/>
                <w:szCs w:val="21"/>
                <w:highlight w:val="none"/>
                <w:lang w:val="en-US" w:eastAsia="zh-CN"/>
              </w:rPr>
              <w:t>m</w:t>
            </w:r>
          </w:p>
        </w:tc>
        <w:tc>
          <w:tcPr>
            <w:tcW w:w="1563" w:type="dxa"/>
            <w:vMerge w:val="continue"/>
            <w:tcBorders>
              <w:tl2br w:val="nil"/>
              <w:tr2bl w:val="nil"/>
            </w:tcBorders>
            <w:noWrap w:val="0"/>
            <w:vAlign w:val="center"/>
          </w:tcPr>
          <w:p w14:paraId="100338B9">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c>
          <w:tcPr>
            <w:tcW w:w="1797" w:type="dxa"/>
            <w:vMerge w:val="continue"/>
            <w:tcBorders>
              <w:tl2br w:val="nil"/>
              <w:tr2bl w:val="nil"/>
            </w:tcBorders>
            <w:noWrap w:val="0"/>
            <w:vAlign w:val="center"/>
          </w:tcPr>
          <w:p w14:paraId="6160AA14">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r>
      <w:tr w14:paraId="5BF3037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607" w:type="dxa"/>
            <w:tcBorders>
              <w:tl2br w:val="nil"/>
              <w:tr2bl w:val="nil"/>
            </w:tcBorders>
            <w:noWrap w:val="0"/>
            <w:vAlign w:val="center"/>
          </w:tcPr>
          <w:p w14:paraId="22C9DFDE">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升压站</w:t>
            </w:r>
          </w:p>
        </w:tc>
        <w:tc>
          <w:tcPr>
            <w:tcW w:w="1658" w:type="dxa"/>
            <w:tcBorders>
              <w:tl2br w:val="nil"/>
              <w:tr2bl w:val="nil"/>
            </w:tcBorders>
            <w:noWrap w:val="0"/>
            <w:vAlign w:val="center"/>
          </w:tcPr>
          <w:p w14:paraId="0FD4318D">
            <w:pPr>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祁东县黄土铺镇</w:t>
            </w:r>
            <w:r>
              <w:rPr>
                <w:rFonts w:hint="eastAsia" w:cs="Times New Roman"/>
                <w:color w:val="auto"/>
                <w:sz w:val="21"/>
                <w:szCs w:val="21"/>
                <w:highlight w:val="none"/>
                <w:lang w:val="en-US" w:eastAsia="zh-CN"/>
              </w:rPr>
              <w:t>双溪村</w:t>
            </w:r>
            <w:r>
              <w:rPr>
                <w:rFonts w:hint="eastAsia" w:ascii="Times New Roman" w:hAnsi="Times New Roman" w:eastAsia="宋体" w:cs="Times New Roman"/>
                <w:color w:val="auto"/>
                <w:sz w:val="21"/>
                <w:szCs w:val="21"/>
                <w:highlight w:val="none"/>
                <w:lang w:val="en-US" w:eastAsia="zh-CN"/>
              </w:rPr>
              <w:t>观音亭居民点/约2户</w:t>
            </w:r>
          </w:p>
        </w:tc>
        <w:tc>
          <w:tcPr>
            <w:tcW w:w="2250" w:type="dxa"/>
            <w:tcBorders>
              <w:tl2br w:val="nil"/>
              <w:tr2bl w:val="nil"/>
            </w:tcBorders>
            <w:noWrap w:val="0"/>
            <w:vAlign w:val="center"/>
          </w:tcPr>
          <w:p w14:paraId="4C422D6B">
            <w:pPr>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升压站西南侧约125m，与升压站高程差约为68m</w:t>
            </w:r>
          </w:p>
        </w:tc>
        <w:tc>
          <w:tcPr>
            <w:tcW w:w="1563" w:type="dxa"/>
            <w:tcBorders>
              <w:tl2br w:val="nil"/>
              <w:tr2bl w:val="nil"/>
            </w:tcBorders>
            <w:noWrap w:val="0"/>
            <w:vAlign w:val="center"/>
          </w:tcPr>
          <w:p w14:paraId="5C026736">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施工期扬尘；</w:t>
            </w:r>
          </w:p>
          <w:p w14:paraId="3A442B2C">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left"/>
              <w:textAlignment w:val="baseline"/>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施工期机械设备噪声；</w:t>
            </w:r>
          </w:p>
          <w:p w14:paraId="37291848">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left"/>
              <w:textAlignment w:val="baseline"/>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营运期变压器运行噪声。</w:t>
            </w:r>
          </w:p>
        </w:tc>
        <w:tc>
          <w:tcPr>
            <w:tcW w:w="1797" w:type="dxa"/>
            <w:vMerge w:val="continue"/>
            <w:tcBorders>
              <w:tl2br w:val="nil"/>
              <w:tr2bl w:val="nil"/>
            </w:tcBorders>
            <w:noWrap w:val="0"/>
            <w:vAlign w:val="center"/>
          </w:tcPr>
          <w:p w14:paraId="29962FEB">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auto"/>
                <w:sz w:val="21"/>
                <w:szCs w:val="21"/>
                <w:highlight w:val="none"/>
                <w:lang w:val="en-US" w:eastAsia="zh-CN"/>
              </w:rPr>
            </w:pPr>
          </w:p>
        </w:tc>
      </w:tr>
      <w:tr w14:paraId="6739921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8875" w:type="dxa"/>
            <w:gridSpan w:val="5"/>
            <w:tcBorders>
              <w:tl2br w:val="nil"/>
              <w:tr2bl w:val="nil"/>
            </w:tcBorders>
            <w:noWrap w:val="0"/>
            <w:vAlign w:val="center"/>
          </w:tcPr>
          <w:p w14:paraId="0EFD93C4">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firstLineChars="0"/>
              <w:jc w:val="both"/>
              <w:textAlignment w:val="baseline"/>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备注：</w:t>
            </w:r>
            <w:r>
              <w:rPr>
                <w:rFonts w:hint="eastAsia" w:cs="Times New Roman"/>
                <w:b/>
                <w:bCs/>
                <w:color w:val="auto"/>
                <w:sz w:val="21"/>
                <w:szCs w:val="21"/>
                <w:highlight w:val="none"/>
                <w:lang w:val="en-US" w:eastAsia="zh-CN"/>
              </w:rPr>
              <w:t>本项目其余13个机位500m范围内无大气、声环境保护目标。</w:t>
            </w:r>
          </w:p>
        </w:tc>
      </w:tr>
    </w:tbl>
    <w:p w14:paraId="68639AEE">
      <w:pPr>
        <w:pStyle w:val="4"/>
        <w:rPr>
          <w:rFonts w:hint="default" w:ascii="Times New Roman" w:hAnsi="Times New Roman" w:cs="Times New Roman"/>
          <w:color w:val="auto"/>
          <w:highlight w:val="none"/>
        </w:rPr>
      </w:pPr>
      <w:bookmarkStart w:id="55" w:name="_Toc10949"/>
      <w:r>
        <w:rPr>
          <w:rFonts w:hint="default" w:ascii="Times New Roman" w:hAnsi="Times New Roman" w:cs="Times New Roman"/>
          <w:color w:val="auto"/>
          <w:highlight w:val="none"/>
        </w:rPr>
        <w:t>评价</w:t>
      </w:r>
      <w:r>
        <w:rPr>
          <w:rFonts w:hint="eastAsia" w:ascii="Times New Roman" w:hAnsi="Times New Roman" w:cs="Times New Roman"/>
          <w:color w:val="auto"/>
          <w:highlight w:val="none"/>
          <w:lang w:eastAsia="zh-CN"/>
        </w:rPr>
        <w:t>执行</w:t>
      </w:r>
      <w:r>
        <w:rPr>
          <w:rFonts w:hint="default" w:ascii="Times New Roman" w:hAnsi="Times New Roman" w:cs="Times New Roman"/>
          <w:color w:val="auto"/>
          <w:highlight w:val="none"/>
        </w:rPr>
        <w:t>标准</w:t>
      </w:r>
      <w:bookmarkEnd w:id="51"/>
      <w:bookmarkEnd w:id="52"/>
      <w:bookmarkEnd w:id="53"/>
      <w:bookmarkEnd w:id="54"/>
      <w:bookmarkEnd w:id="55"/>
    </w:p>
    <w:p w14:paraId="3A6ADCD0">
      <w:pPr>
        <w:rPr>
          <w:color w:val="auto"/>
          <w:highlight w:val="none"/>
        </w:rPr>
      </w:pPr>
      <w:r>
        <w:rPr>
          <w:rFonts w:hint="eastAsia"/>
          <w:color w:val="auto"/>
          <w:highlight w:val="none"/>
          <w:lang w:val="en-US" w:eastAsia="zh-CN"/>
        </w:rPr>
        <w:t>按照当地环境功能区规划，以及相关《环境影响评价技术导则》的要求，采用以下标准进行评价工作。</w:t>
      </w:r>
    </w:p>
    <w:p w14:paraId="2289A805">
      <w:pPr>
        <w:pStyle w:val="5"/>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环境质量标准</w:t>
      </w:r>
    </w:p>
    <w:p w14:paraId="10E2370F">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eastAsia="宋体" w:cs="Times New Roman"/>
          <w:b/>
          <w:bCs w:val="0"/>
          <w:color w:val="auto"/>
          <w:kern w:val="2"/>
          <w:sz w:val="24"/>
          <w:szCs w:val="24"/>
          <w:highlight w:val="none"/>
          <w:lang w:val="en-US" w:eastAsia="zh-CN" w:bidi="ar-SA"/>
        </w:rPr>
      </w:pPr>
      <w:r>
        <w:rPr>
          <w:rFonts w:hint="eastAsia" w:ascii="Times New Roman" w:hAnsi="Times New Roman" w:eastAsia="宋体" w:cs="Times New Roman"/>
          <w:b/>
          <w:bCs w:val="0"/>
          <w:color w:val="auto"/>
          <w:kern w:val="2"/>
          <w:sz w:val="24"/>
          <w:szCs w:val="24"/>
          <w:highlight w:val="none"/>
          <w:lang w:val="en-US" w:eastAsia="zh-CN" w:bidi="ar-SA"/>
        </w:rPr>
        <w:t>（1）</w:t>
      </w:r>
      <w:r>
        <w:rPr>
          <w:rFonts w:hint="default" w:ascii="Times New Roman" w:hAnsi="Times New Roman" w:eastAsia="宋体" w:cs="Times New Roman"/>
          <w:b/>
          <w:bCs w:val="0"/>
          <w:color w:val="auto"/>
          <w:kern w:val="2"/>
          <w:sz w:val="24"/>
          <w:szCs w:val="24"/>
          <w:highlight w:val="none"/>
          <w:lang w:val="en-US" w:eastAsia="zh-CN" w:bidi="ar-SA"/>
        </w:rPr>
        <w:t>环境空气</w:t>
      </w:r>
    </w:p>
    <w:p w14:paraId="09288B00">
      <w:pPr>
        <w:keepNext w:val="0"/>
        <w:keepLines w:val="0"/>
        <w:pageBreakBefore w:val="0"/>
        <w:widowControl w:val="0"/>
        <w:kinsoku/>
        <w:wordWrap/>
        <w:overflowPunct/>
        <w:topLinePunct w:val="0"/>
        <w:autoSpaceDE/>
        <w:autoSpaceDN/>
        <w:bidi w:val="0"/>
        <w:adjustRightInd w:val="0"/>
        <w:snapToGrid w:val="0"/>
        <w:spacing w:line="360" w:lineRule="auto"/>
        <w:ind w:left="0" w:firstLine="480" w:firstLineChars="200"/>
        <w:textAlignment w:val="auto"/>
        <w:rPr>
          <w:rFonts w:hint="default" w:ascii="Times New Roman" w:hAnsi="Times New Roman" w:cs="Times New Roman"/>
          <w:color w:val="auto"/>
          <w:sz w:val="24"/>
          <w:szCs w:val="24"/>
          <w:highlight w:val="none"/>
          <w:lang w:bidi="ar"/>
        </w:rPr>
      </w:pPr>
      <w:r>
        <w:rPr>
          <w:rFonts w:hint="default" w:ascii="Times New Roman" w:hAnsi="Times New Roman" w:cs="Times New Roman"/>
          <w:color w:val="auto"/>
          <w:sz w:val="24"/>
          <w:szCs w:val="24"/>
          <w:highlight w:val="none"/>
        </w:rPr>
        <w:t>项目所在区域为二类环境空气质量功能区，</w:t>
      </w:r>
      <w:r>
        <w:rPr>
          <w:rFonts w:hint="default" w:ascii="Times New Roman" w:hAnsi="Times New Roman" w:cs="Times New Roman"/>
          <w:color w:val="auto"/>
          <w:kern w:val="0"/>
          <w:sz w:val="24"/>
          <w:szCs w:val="24"/>
          <w:highlight w:val="none"/>
          <w:lang w:bidi="ar"/>
        </w:rPr>
        <w:t>执行《环境空气质量标准》(GB3095-2012)及2018年修改单</w:t>
      </w:r>
      <w:r>
        <w:rPr>
          <w:rFonts w:hint="default" w:ascii="Times New Roman" w:hAnsi="Times New Roman" w:cs="Times New Roman"/>
          <w:color w:val="auto"/>
          <w:sz w:val="24"/>
          <w:szCs w:val="24"/>
          <w:highlight w:val="none"/>
        </w:rPr>
        <w:t>。具体值详见</w:t>
      </w:r>
      <w:r>
        <w:rPr>
          <w:rFonts w:hint="eastAsia" w:ascii="Times New Roman" w:hAnsi="Times New Roman" w:cs="Times New Roman"/>
          <w:color w:val="auto"/>
          <w:sz w:val="24"/>
          <w:szCs w:val="24"/>
          <w:highlight w:val="none"/>
          <w:lang w:eastAsia="zh-CN"/>
        </w:rPr>
        <w:t>下</w:t>
      </w:r>
      <w:r>
        <w:rPr>
          <w:rFonts w:hint="default" w:ascii="Times New Roman" w:hAnsi="Times New Roman" w:cs="Times New Roman"/>
          <w:color w:val="auto"/>
          <w:sz w:val="24"/>
          <w:szCs w:val="24"/>
          <w:highlight w:val="none"/>
          <w:lang w:bidi="ar"/>
        </w:rPr>
        <w:t>。</w:t>
      </w:r>
    </w:p>
    <w:p w14:paraId="626D9065">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sz w:val="24"/>
          <w:szCs w:val="24"/>
          <w:highlight w:val="none"/>
        </w:rPr>
      </w:pPr>
    </w:p>
    <w:p w14:paraId="5F81BC3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sz w:val="24"/>
          <w:szCs w:val="24"/>
          <w:highlight w:val="none"/>
          <w:vertAlign w:val="superscript"/>
        </w:rPr>
      </w:pPr>
      <w:r>
        <w:rPr>
          <w:rFonts w:hint="default" w:ascii="Times New Roman" w:hAnsi="Times New Roman" w:eastAsia="宋体" w:cs="Times New Roman"/>
          <w:b/>
          <w:bCs/>
          <w:color w:val="auto"/>
          <w:sz w:val="24"/>
          <w:szCs w:val="24"/>
          <w:highlight w:val="none"/>
        </w:rPr>
        <w:t>表</w:t>
      </w:r>
      <w:r>
        <w:rPr>
          <w:rFonts w:hint="eastAsia" w:ascii="Times New Roman" w:hAnsi="Times New Roman" w:eastAsia="宋体" w:cs="Times New Roman"/>
          <w:b/>
          <w:bCs/>
          <w:color w:val="auto"/>
          <w:sz w:val="24"/>
          <w:szCs w:val="24"/>
          <w:highlight w:val="none"/>
          <w:lang w:val="en-US" w:eastAsia="zh-CN"/>
        </w:rPr>
        <w:t>2.</w:t>
      </w:r>
      <w:r>
        <w:rPr>
          <w:rFonts w:hint="eastAsia" w:cs="Times New Roman"/>
          <w:b/>
          <w:bCs/>
          <w:color w:val="auto"/>
          <w:sz w:val="24"/>
          <w:szCs w:val="24"/>
          <w:highlight w:val="none"/>
          <w:lang w:val="en-US" w:eastAsia="zh-CN"/>
        </w:rPr>
        <w:t>4-1</w:t>
      </w:r>
      <w:r>
        <w:rPr>
          <w:rFonts w:hint="eastAsia" w:ascii="Times New Roman" w:hAnsi="Times New Roman" w:eastAsia="宋体" w:cs="Times New Roman"/>
          <w:b/>
          <w:bCs/>
          <w:color w:val="auto"/>
          <w:sz w:val="24"/>
          <w:szCs w:val="24"/>
          <w:highlight w:val="none"/>
          <w:lang w:val="en-US" w:eastAsia="zh-CN"/>
        </w:rPr>
        <w:t xml:space="preserve">  </w:t>
      </w:r>
      <w:r>
        <w:rPr>
          <w:rFonts w:hint="default" w:ascii="Times New Roman" w:hAnsi="Times New Roman" w:eastAsia="宋体" w:cs="Times New Roman"/>
          <w:b/>
          <w:bCs/>
          <w:color w:val="auto"/>
          <w:sz w:val="24"/>
          <w:szCs w:val="24"/>
          <w:highlight w:val="none"/>
        </w:rPr>
        <w:t>环境空气质量标准单位：μg/m</w:t>
      </w:r>
      <w:r>
        <w:rPr>
          <w:rFonts w:hint="default" w:ascii="Times New Roman" w:hAnsi="Times New Roman" w:eastAsia="宋体" w:cs="Times New Roman"/>
          <w:b/>
          <w:bCs/>
          <w:color w:val="auto"/>
          <w:sz w:val="24"/>
          <w:szCs w:val="24"/>
          <w:highlight w:val="none"/>
          <w:vertAlign w:val="superscript"/>
        </w:rPr>
        <w:t>3</w:t>
      </w:r>
    </w:p>
    <w:tbl>
      <w:tblPr>
        <w:tblStyle w:val="1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878"/>
        <w:gridCol w:w="2603"/>
        <w:gridCol w:w="1409"/>
        <w:gridCol w:w="2632"/>
      </w:tblGrid>
      <w:tr w14:paraId="7E0A5DD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78" w:type="dxa"/>
            <w:tcBorders>
              <w:tl2br w:val="nil"/>
              <w:tr2bl w:val="nil"/>
            </w:tcBorders>
            <w:noWrap w:val="0"/>
            <w:vAlign w:val="center"/>
          </w:tcPr>
          <w:p w14:paraId="67B50B1F">
            <w:pPr>
              <w:pStyle w:val="23"/>
              <w:bidi w:val="0"/>
              <w:rPr>
                <w:rFonts w:hint="default"/>
                <w:sz w:val="21"/>
                <w:szCs w:val="21"/>
                <w:highlight w:val="none"/>
              </w:rPr>
            </w:pPr>
            <w:r>
              <w:rPr>
                <w:rFonts w:hint="default"/>
                <w:sz w:val="21"/>
                <w:szCs w:val="21"/>
                <w:highlight w:val="none"/>
              </w:rPr>
              <w:t>污染物名称</w:t>
            </w:r>
          </w:p>
        </w:tc>
        <w:tc>
          <w:tcPr>
            <w:tcW w:w="4012" w:type="dxa"/>
            <w:gridSpan w:val="2"/>
            <w:tcBorders>
              <w:tl2br w:val="nil"/>
              <w:tr2bl w:val="nil"/>
            </w:tcBorders>
            <w:noWrap w:val="0"/>
            <w:vAlign w:val="center"/>
          </w:tcPr>
          <w:p w14:paraId="0F123017">
            <w:pPr>
              <w:pStyle w:val="23"/>
              <w:bidi w:val="0"/>
              <w:rPr>
                <w:rFonts w:hint="default"/>
                <w:sz w:val="21"/>
                <w:szCs w:val="21"/>
                <w:highlight w:val="none"/>
              </w:rPr>
            </w:pPr>
            <w:r>
              <w:rPr>
                <w:rFonts w:hint="default"/>
                <w:sz w:val="21"/>
                <w:szCs w:val="21"/>
                <w:highlight w:val="none"/>
              </w:rPr>
              <w:t>标准值（µg/m</w:t>
            </w:r>
            <w:r>
              <w:rPr>
                <w:rFonts w:hint="default"/>
                <w:sz w:val="21"/>
                <w:szCs w:val="21"/>
                <w:highlight w:val="none"/>
                <w:vertAlign w:val="superscript"/>
              </w:rPr>
              <w:t>3</w:t>
            </w:r>
            <w:r>
              <w:rPr>
                <w:rFonts w:hint="default"/>
                <w:sz w:val="21"/>
                <w:szCs w:val="21"/>
                <w:highlight w:val="none"/>
              </w:rPr>
              <w:t>）</w:t>
            </w:r>
          </w:p>
        </w:tc>
        <w:tc>
          <w:tcPr>
            <w:tcW w:w="2632" w:type="dxa"/>
            <w:tcBorders>
              <w:tl2br w:val="nil"/>
              <w:tr2bl w:val="nil"/>
            </w:tcBorders>
            <w:noWrap w:val="0"/>
            <w:vAlign w:val="center"/>
          </w:tcPr>
          <w:p w14:paraId="70E6FC21">
            <w:pPr>
              <w:pStyle w:val="23"/>
              <w:bidi w:val="0"/>
              <w:rPr>
                <w:rFonts w:hint="default"/>
                <w:sz w:val="21"/>
                <w:szCs w:val="21"/>
                <w:highlight w:val="none"/>
              </w:rPr>
            </w:pPr>
            <w:r>
              <w:rPr>
                <w:rFonts w:hint="default"/>
                <w:sz w:val="21"/>
                <w:szCs w:val="21"/>
                <w:highlight w:val="none"/>
              </w:rPr>
              <w:t>标准来源</w:t>
            </w:r>
          </w:p>
        </w:tc>
      </w:tr>
      <w:tr w14:paraId="26680C4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78" w:type="dxa"/>
            <w:vMerge w:val="restart"/>
            <w:tcBorders>
              <w:tl2br w:val="nil"/>
              <w:tr2bl w:val="nil"/>
            </w:tcBorders>
            <w:noWrap w:val="0"/>
            <w:vAlign w:val="center"/>
          </w:tcPr>
          <w:p w14:paraId="48CD9E6A">
            <w:pPr>
              <w:pStyle w:val="23"/>
              <w:bidi w:val="0"/>
              <w:rPr>
                <w:rFonts w:hint="default"/>
                <w:sz w:val="21"/>
                <w:szCs w:val="21"/>
                <w:highlight w:val="none"/>
              </w:rPr>
            </w:pPr>
            <w:r>
              <w:rPr>
                <w:rFonts w:hint="default"/>
                <w:sz w:val="21"/>
                <w:szCs w:val="21"/>
                <w:highlight w:val="none"/>
              </w:rPr>
              <w:t>SO</w:t>
            </w:r>
            <w:r>
              <w:rPr>
                <w:rFonts w:hint="default"/>
                <w:sz w:val="21"/>
                <w:szCs w:val="21"/>
                <w:highlight w:val="none"/>
                <w:vertAlign w:val="subscript"/>
              </w:rPr>
              <w:t>2</w:t>
            </w:r>
          </w:p>
        </w:tc>
        <w:tc>
          <w:tcPr>
            <w:tcW w:w="2603" w:type="dxa"/>
            <w:tcBorders>
              <w:tl2br w:val="nil"/>
              <w:tr2bl w:val="nil"/>
            </w:tcBorders>
            <w:noWrap w:val="0"/>
            <w:vAlign w:val="center"/>
          </w:tcPr>
          <w:p w14:paraId="41544E65">
            <w:pPr>
              <w:pStyle w:val="23"/>
              <w:bidi w:val="0"/>
              <w:rPr>
                <w:rFonts w:hint="default"/>
                <w:sz w:val="21"/>
                <w:szCs w:val="21"/>
                <w:highlight w:val="none"/>
              </w:rPr>
            </w:pPr>
            <w:r>
              <w:rPr>
                <w:rFonts w:hint="default"/>
                <w:sz w:val="21"/>
                <w:szCs w:val="21"/>
                <w:highlight w:val="none"/>
              </w:rPr>
              <w:t>1小时平均</w:t>
            </w:r>
          </w:p>
        </w:tc>
        <w:tc>
          <w:tcPr>
            <w:tcW w:w="1409" w:type="dxa"/>
            <w:tcBorders>
              <w:tl2br w:val="nil"/>
              <w:tr2bl w:val="nil"/>
            </w:tcBorders>
            <w:noWrap w:val="0"/>
            <w:vAlign w:val="center"/>
          </w:tcPr>
          <w:p w14:paraId="476A62F8">
            <w:pPr>
              <w:pStyle w:val="23"/>
              <w:bidi w:val="0"/>
              <w:rPr>
                <w:rFonts w:hint="default"/>
                <w:sz w:val="21"/>
                <w:szCs w:val="21"/>
                <w:highlight w:val="none"/>
              </w:rPr>
            </w:pPr>
            <w:r>
              <w:rPr>
                <w:rFonts w:hint="default"/>
                <w:sz w:val="21"/>
                <w:szCs w:val="21"/>
                <w:highlight w:val="none"/>
              </w:rPr>
              <w:t>500</w:t>
            </w:r>
          </w:p>
        </w:tc>
        <w:tc>
          <w:tcPr>
            <w:tcW w:w="2632" w:type="dxa"/>
            <w:vMerge w:val="restart"/>
            <w:tcBorders>
              <w:tl2br w:val="nil"/>
              <w:tr2bl w:val="nil"/>
            </w:tcBorders>
            <w:noWrap w:val="0"/>
            <w:vAlign w:val="center"/>
          </w:tcPr>
          <w:p w14:paraId="7C3E8AC3">
            <w:pPr>
              <w:pStyle w:val="23"/>
              <w:bidi w:val="0"/>
              <w:rPr>
                <w:rFonts w:hint="default"/>
                <w:sz w:val="21"/>
                <w:szCs w:val="21"/>
                <w:highlight w:val="none"/>
              </w:rPr>
            </w:pPr>
            <w:r>
              <w:rPr>
                <w:rFonts w:hint="default"/>
                <w:sz w:val="21"/>
                <w:szCs w:val="21"/>
                <w:highlight w:val="none"/>
              </w:rPr>
              <w:t>《环境空气质量标准》(GB3095-2012)及2018年修改单</w:t>
            </w:r>
          </w:p>
        </w:tc>
      </w:tr>
      <w:tr w14:paraId="1FCC6B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78" w:type="dxa"/>
            <w:vMerge w:val="continue"/>
            <w:tcBorders>
              <w:tl2br w:val="nil"/>
              <w:tr2bl w:val="nil"/>
            </w:tcBorders>
            <w:noWrap w:val="0"/>
            <w:vAlign w:val="center"/>
          </w:tcPr>
          <w:p w14:paraId="5D063035">
            <w:pPr>
              <w:pStyle w:val="23"/>
              <w:bidi w:val="0"/>
              <w:rPr>
                <w:rFonts w:hint="default"/>
                <w:sz w:val="21"/>
                <w:szCs w:val="21"/>
                <w:highlight w:val="none"/>
              </w:rPr>
            </w:pPr>
          </w:p>
        </w:tc>
        <w:tc>
          <w:tcPr>
            <w:tcW w:w="2603" w:type="dxa"/>
            <w:tcBorders>
              <w:tl2br w:val="nil"/>
              <w:tr2bl w:val="nil"/>
            </w:tcBorders>
            <w:noWrap w:val="0"/>
            <w:vAlign w:val="center"/>
          </w:tcPr>
          <w:p w14:paraId="59E0C6EE">
            <w:pPr>
              <w:pStyle w:val="23"/>
              <w:bidi w:val="0"/>
              <w:rPr>
                <w:rFonts w:hint="default"/>
                <w:sz w:val="21"/>
                <w:szCs w:val="21"/>
                <w:highlight w:val="none"/>
              </w:rPr>
            </w:pPr>
            <w:r>
              <w:rPr>
                <w:rFonts w:hint="default"/>
                <w:sz w:val="21"/>
                <w:szCs w:val="21"/>
                <w:highlight w:val="none"/>
              </w:rPr>
              <w:t>年平均</w:t>
            </w:r>
          </w:p>
        </w:tc>
        <w:tc>
          <w:tcPr>
            <w:tcW w:w="1409" w:type="dxa"/>
            <w:tcBorders>
              <w:tl2br w:val="nil"/>
              <w:tr2bl w:val="nil"/>
            </w:tcBorders>
            <w:noWrap w:val="0"/>
            <w:vAlign w:val="center"/>
          </w:tcPr>
          <w:p w14:paraId="475E5ABE">
            <w:pPr>
              <w:pStyle w:val="23"/>
              <w:bidi w:val="0"/>
              <w:rPr>
                <w:rFonts w:hint="default"/>
                <w:sz w:val="21"/>
                <w:szCs w:val="21"/>
                <w:highlight w:val="none"/>
              </w:rPr>
            </w:pPr>
            <w:r>
              <w:rPr>
                <w:rFonts w:hint="default"/>
                <w:sz w:val="21"/>
                <w:szCs w:val="21"/>
                <w:highlight w:val="none"/>
              </w:rPr>
              <w:t>60</w:t>
            </w:r>
          </w:p>
        </w:tc>
        <w:tc>
          <w:tcPr>
            <w:tcW w:w="2632" w:type="dxa"/>
            <w:vMerge w:val="continue"/>
            <w:tcBorders>
              <w:tl2br w:val="nil"/>
              <w:tr2bl w:val="nil"/>
            </w:tcBorders>
            <w:noWrap w:val="0"/>
            <w:vAlign w:val="center"/>
          </w:tcPr>
          <w:p w14:paraId="3E9D66E4">
            <w:pPr>
              <w:pStyle w:val="23"/>
              <w:bidi w:val="0"/>
              <w:rPr>
                <w:rFonts w:hint="default"/>
                <w:sz w:val="21"/>
                <w:szCs w:val="21"/>
                <w:highlight w:val="none"/>
              </w:rPr>
            </w:pPr>
          </w:p>
        </w:tc>
      </w:tr>
      <w:tr w14:paraId="43EFA2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78" w:type="dxa"/>
            <w:vMerge w:val="restart"/>
            <w:tcBorders>
              <w:tl2br w:val="nil"/>
              <w:tr2bl w:val="nil"/>
            </w:tcBorders>
            <w:noWrap w:val="0"/>
            <w:vAlign w:val="center"/>
          </w:tcPr>
          <w:p w14:paraId="1B7353CE">
            <w:pPr>
              <w:pStyle w:val="23"/>
              <w:bidi w:val="0"/>
              <w:rPr>
                <w:rFonts w:hint="default"/>
                <w:sz w:val="21"/>
                <w:szCs w:val="21"/>
                <w:highlight w:val="none"/>
              </w:rPr>
            </w:pPr>
            <w:r>
              <w:rPr>
                <w:rFonts w:hint="default"/>
                <w:sz w:val="21"/>
                <w:szCs w:val="21"/>
                <w:highlight w:val="none"/>
              </w:rPr>
              <w:t>PM</w:t>
            </w:r>
            <w:r>
              <w:rPr>
                <w:rFonts w:hint="default"/>
                <w:sz w:val="21"/>
                <w:szCs w:val="21"/>
                <w:highlight w:val="none"/>
                <w:vertAlign w:val="subscript"/>
              </w:rPr>
              <w:t>2.5</w:t>
            </w:r>
          </w:p>
        </w:tc>
        <w:tc>
          <w:tcPr>
            <w:tcW w:w="2603" w:type="dxa"/>
            <w:tcBorders>
              <w:tl2br w:val="nil"/>
              <w:tr2bl w:val="nil"/>
            </w:tcBorders>
            <w:noWrap w:val="0"/>
            <w:vAlign w:val="center"/>
          </w:tcPr>
          <w:p w14:paraId="5C99992E">
            <w:pPr>
              <w:pStyle w:val="23"/>
              <w:bidi w:val="0"/>
              <w:rPr>
                <w:rFonts w:hint="default"/>
                <w:sz w:val="21"/>
                <w:szCs w:val="21"/>
                <w:highlight w:val="none"/>
              </w:rPr>
            </w:pPr>
            <w:r>
              <w:rPr>
                <w:rFonts w:hint="default"/>
                <w:sz w:val="21"/>
                <w:szCs w:val="21"/>
                <w:highlight w:val="none"/>
              </w:rPr>
              <w:t>24小时平均值</w:t>
            </w:r>
          </w:p>
        </w:tc>
        <w:tc>
          <w:tcPr>
            <w:tcW w:w="1409" w:type="dxa"/>
            <w:tcBorders>
              <w:tl2br w:val="nil"/>
              <w:tr2bl w:val="nil"/>
            </w:tcBorders>
            <w:noWrap w:val="0"/>
            <w:vAlign w:val="center"/>
          </w:tcPr>
          <w:p w14:paraId="625BDCB4">
            <w:pPr>
              <w:pStyle w:val="23"/>
              <w:bidi w:val="0"/>
              <w:rPr>
                <w:rFonts w:hint="default"/>
                <w:sz w:val="21"/>
                <w:szCs w:val="21"/>
                <w:highlight w:val="none"/>
              </w:rPr>
            </w:pPr>
            <w:r>
              <w:rPr>
                <w:rFonts w:hint="default"/>
                <w:sz w:val="21"/>
                <w:szCs w:val="21"/>
                <w:highlight w:val="none"/>
              </w:rPr>
              <w:t>75</w:t>
            </w:r>
          </w:p>
        </w:tc>
        <w:tc>
          <w:tcPr>
            <w:tcW w:w="2632" w:type="dxa"/>
            <w:vMerge w:val="continue"/>
            <w:tcBorders>
              <w:tl2br w:val="nil"/>
              <w:tr2bl w:val="nil"/>
            </w:tcBorders>
            <w:noWrap w:val="0"/>
            <w:vAlign w:val="center"/>
          </w:tcPr>
          <w:p w14:paraId="10635CCB">
            <w:pPr>
              <w:pStyle w:val="23"/>
              <w:bidi w:val="0"/>
              <w:rPr>
                <w:rFonts w:hint="default"/>
                <w:sz w:val="21"/>
                <w:szCs w:val="21"/>
                <w:highlight w:val="none"/>
              </w:rPr>
            </w:pPr>
          </w:p>
        </w:tc>
      </w:tr>
      <w:tr w14:paraId="7E51BC8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78" w:type="dxa"/>
            <w:vMerge w:val="continue"/>
            <w:tcBorders>
              <w:tl2br w:val="nil"/>
              <w:tr2bl w:val="nil"/>
            </w:tcBorders>
            <w:noWrap w:val="0"/>
            <w:vAlign w:val="center"/>
          </w:tcPr>
          <w:p w14:paraId="200AA511">
            <w:pPr>
              <w:pStyle w:val="23"/>
              <w:bidi w:val="0"/>
              <w:rPr>
                <w:rFonts w:hint="default"/>
                <w:sz w:val="21"/>
                <w:szCs w:val="21"/>
                <w:highlight w:val="none"/>
              </w:rPr>
            </w:pPr>
          </w:p>
        </w:tc>
        <w:tc>
          <w:tcPr>
            <w:tcW w:w="2603" w:type="dxa"/>
            <w:tcBorders>
              <w:tl2br w:val="nil"/>
              <w:tr2bl w:val="nil"/>
            </w:tcBorders>
            <w:noWrap w:val="0"/>
            <w:vAlign w:val="center"/>
          </w:tcPr>
          <w:p w14:paraId="3721CB54">
            <w:pPr>
              <w:pStyle w:val="23"/>
              <w:bidi w:val="0"/>
              <w:rPr>
                <w:rFonts w:hint="default"/>
                <w:sz w:val="21"/>
                <w:szCs w:val="21"/>
                <w:highlight w:val="none"/>
              </w:rPr>
            </w:pPr>
            <w:r>
              <w:rPr>
                <w:rFonts w:hint="default"/>
                <w:sz w:val="21"/>
                <w:szCs w:val="21"/>
                <w:highlight w:val="none"/>
              </w:rPr>
              <w:t>年平均</w:t>
            </w:r>
          </w:p>
        </w:tc>
        <w:tc>
          <w:tcPr>
            <w:tcW w:w="1409" w:type="dxa"/>
            <w:tcBorders>
              <w:tl2br w:val="nil"/>
              <w:tr2bl w:val="nil"/>
            </w:tcBorders>
            <w:noWrap w:val="0"/>
            <w:vAlign w:val="center"/>
          </w:tcPr>
          <w:p w14:paraId="174B5127">
            <w:pPr>
              <w:pStyle w:val="23"/>
              <w:bidi w:val="0"/>
              <w:rPr>
                <w:rFonts w:hint="default"/>
                <w:sz w:val="21"/>
                <w:szCs w:val="21"/>
                <w:highlight w:val="none"/>
              </w:rPr>
            </w:pPr>
            <w:r>
              <w:rPr>
                <w:rFonts w:hint="default"/>
                <w:sz w:val="21"/>
                <w:szCs w:val="21"/>
                <w:highlight w:val="none"/>
              </w:rPr>
              <w:t>35</w:t>
            </w:r>
          </w:p>
        </w:tc>
        <w:tc>
          <w:tcPr>
            <w:tcW w:w="2632" w:type="dxa"/>
            <w:vMerge w:val="continue"/>
            <w:tcBorders>
              <w:tl2br w:val="nil"/>
              <w:tr2bl w:val="nil"/>
            </w:tcBorders>
            <w:noWrap w:val="0"/>
            <w:vAlign w:val="center"/>
          </w:tcPr>
          <w:p w14:paraId="0AAACAC4">
            <w:pPr>
              <w:pStyle w:val="23"/>
              <w:bidi w:val="0"/>
              <w:rPr>
                <w:rFonts w:hint="default"/>
                <w:sz w:val="21"/>
                <w:szCs w:val="21"/>
                <w:highlight w:val="none"/>
              </w:rPr>
            </w:pPr>
          </w:p>
        </w:tc>
      </w:tr>
      <w:tr w14:paraId="30E630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78" w:type="dxa"/>
            <w:tcBorders>
              <w:tl2br w:val="nil"/>
              <w:tr2bl w:val="nil"/>
            </w:tcBorders>
            <w:noWrap w:val="0"/>
            <w:vAlign w:val="center"/>
          </w:tcPr>
          <w:p w14:paraId="0BBEE2FF">
            <w:pPr>
              <w:pStyle w:val="23"/>
              <w:bidi w:val="0"/>
              <w:rPr>
                <w:rFonts w:hint="default"/>
                <w:sz w:val="21"/>
                <w:szCs w:val="21"/>
                <w:highlight w:val="none"/>
              </w:rPr>
            </w:pPr>
            <w:r>
              <w:rPr>
                <w:rFonts w:hint="default"/>
                <w:sz w:val="21"/>
                <w:szCs w:val="21"/>
                <w:highlight w:val="none"/>
              </w:rPr>
              <w:t>O</w:t>
            </w:r>
            <w:r>
              <w:rPr>
                <w:rFonts w:hint="default"/>
                <w:sz w:val="21"/>
                <w:szCs w:val="21"/>
                <w:highlight w:val="none"/>
                <w:vertAlign w:val="subscript"/>
              </w:rPr>
              <w:t>3</w:t>
            </w:r>
          </w:p>
        </w:tc>
        <w:tc>
          <w:tcPr>
            <w:tcW w:w="2603" w:type="dxa"/>
            <w:tcBorders>
              <w:tl2br w:val="nil"/>
              <w:tr2bl w:val="nil"/>
            </w:tcBorders>
            <w:noWrap w:val="0"/>
            <w:vAlign w:val="center"/>
          </w:tcPr>
          <w:p w14:paraId="1914428A">
            <w:pPr>
              <w:pStyle w:val="23"/>
              <w:bidi w:val="0"/>
              <w:rPr>
                <w:rFonts w:hint="default"/>
                <w:sz w:val="21"/>
                <w:szCs w:val="21"/>
                <w:highlight w:val="none"/>
              </w:rPr>
            </w:pPr>
            <w:r>
              <w:rPr>
                <w:rFonts w:hint="default"/>
                <w:sz w:val="21"/>
                <w:szCs w:val="21"/>
                <w:highlight w:val="none"/>
              </w:rPr>
              <w:t>日最大8小时平均</w:t>
            </w:r>
          </w:p>
        </w:tc>
        <w:tc>
          <w:tcPr>
            <w:tcW w:w="1409" w:type="dxa"/>
            <w:tcBorders>
              <w:tl2br w:val="nil"/>
              <w:tr2bl w:val="nil"/>
            </w:tcBorders>
            <w:noWrap w:val="0"/>
            <w:vAlign w:val="center"/>
          </w:tcPr>
          <w:p w14:paraId="2840DAE0">
            <w:pPr>
              <w:pStyle w:val="23"/>
              <w:bidi w:val="0"/>
              <w:rPr>
                <w:rFonts w:hint="default"/>
                <w:sz w:val="21"/>
                <w:szCs w:val="21"/>
                <w:highlight w:val="none"/>
              </w:rPr>
            </w:pPr>
            <w:r>
              <w:rPr>
                <w:rFonts w:hint="default"/>
                <w:sz w:val="21"/>
                <w:szCs w:val="21"/>
                <w:highlight w:val="none"/>
              </w:rPr>
              <w:t>160</w:t>
            </w:r>
          </w:p>
        </w:tc>
        <w:tc>
          <w:tcPr>
            <w:tcW w:w="2632" w:type="dxa"/>
            <w:vMerge w:val="continue"/>
            <w:tcBorders>
              <w:tl2br w:val="nil"/>
              <w:tr2bl w:val="nil"/>
            </w:tcBorders>
            <w:noWrap w:val="0"/>
            <w:vAlign w:val="center"/>
          </w:tcPr>
          <w:p w14:paraId="68A38312">
            <w:pPr>
              <w:pStyle w:val="23"/>
              <w:bidi w:val="0"/>
              <w:rPr>
                <w:rFonts w:hint="default"/>
                <w:sz w:val="21"/>
                <w:szCs w:val="21"/>
                <w:highlight w:val="none"/>
              </w:rPr>
            </w:pPr>
          </w:p>
        </w:tc>
      </w:tr>
      <w:tr w14:paraId="47E64D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78" w:type="dxa"/>
            <w:vMerge w:val="restart"/>
            <w:tcBorders>
              <w:tl2br w:val="nil"/>
              <w:tr2bl w:val="nil"/>
            </w:tcBorders>
            <w:noWrap w:val="0"/>
            <w:vAlign w:val="center"/>
          </w:tcPr>
          <w:p w14:paraId="2B77C712">
            <w:pPr>
              <w:pStyle w:val="23"/>
              <w:bidi w:val="0"/>
              <w:rPr>
                <w:rFonts w:hint="default"/>
                <w:sz w:val="21"/>
                <w:szCs w:val="21"/>
                <w:highlight w:val="none"/>
              </w:rPr>
            </w:pPr>
            <w:r>
              <w:rPr>
                <w:rFonts w:hint="default"/>
                <w:sz w:val="21"/>
                <w:szCs w:val="21"/>
                <w:highlight w:val="none"/>
              </w:rPr>
              <w:t>NO</w:t>
            </w:r>
            <w:r>
              <w:rPr>
                <w:rFonts w:hint="default"/>
                <w:sz w:val="21"/>
                <w:szCs w:val="21"/>
                <w:highlight w:val="none"/>
                <w:vertAlign w:val="subscript"/>
              </w:rPr>
              <w:t>2</w:t>
            </w:r>
          </w:p>
        </w:tc>
        <w:tc>
          <w:tcPr>
            <w:tcW w:w="2603" w:type="dxa"/>
            <w:tcBorders>
              <w:tl2br w:val="nil"/>
              <w:tr2bl w:val="nil"/>
            </w:tcBorders>
            <w:noWrap w:val="0"/>
            <w:vAlign w:val="center"/>
          </w:tcPr>
          <w:p w14:paraId="5469DBAD">
            <w:pPr>
              <w:pStyle w:val="23"/>
              <w:bidi w:val="0"/>
              <w:rPr>
                <w:rFonts w:hint="default"/>
                <w:sz w:val="21"/>
                <w:szCs w:val="21"/>
                <w:highlight w:val="none"/>
              </w:rPr>
            </w:pPr>
            <w:r>
              <w:rPr>
                <w:rFonts w:hint="default"/>
                <w:sz w:val="21"/>
                <w:szCs w:val="21"/>
                <w:highlight w:val="none"/>
              </w:rPr>
              <w:t>1小时平均</w:t>
            </w:r>
          </w:p>
        </w:tc>
        <w:tc>
          <w:tcPr>
            <w:tcW w:w="1409" w:type="dxa"/>
            <w:tcBorders>
              <w:tl2br w:val="nil"/>
              <w:tr2bl w:val="nil"/>
            </w:tcBorders>
            <w:noWrap w:val="0"/>
            <w:vAlign w:val="center"/>
          </w:tcPr>
          <w:p w14:paraId="22BF6487">
            <w:pPr>
              <w:pStyle w:val="23"/>
              <w:bidi w:val="0"/>
              <w:rPr>
                <w:rFonts w:hint="default"/>
                <w:sz w:val="21"/>
                <w:szCs w:val="21"/>
                <w:highlight w:val="none"/>
              </w:rPr>
            </w:pPr>
            <w:r>
              <w:rPr>
                <w:rFonts w:hint="default"/>
                <w:sz w:val="21"/>
                <w:szCs w:val="21"/>
                <w:highlight w:val="none"/>
              </w:rPr>
              <w:t>200</w:t>
            </w:r>
          </w:p>
        </w:tc>
        <w:tc>
          <w:tcPr>
            <w:tcW w:w="2632" w:type="dxa"/>
            <w:vMerge w:val="continue"/>
            <w:tcBorders>
              <w:tl2br w:val="nil"/>
              <w:tr2bl w:val="nil"/>
            </w:tcBorders>
            <w:noWrap w:val="0"/>
            <w:vAlign w:val="center"/>
          </w:tcPr>
          <w:p w14:paraId="51B3F3CE">
            <w:pPr>
              <w:pStyle w:val="23"/>
              <w:bidi w:val="0"/>
              <w:rPr>
                <w:rFonts w:hint="default"/>
                <w:sz w:val="21"/>
                <w:szCs w:val="21"/>
                <w:highlight w:val="none"/>
              </w:rPr>
            </w:pPr>
          </w:p>
        </w:tc>
      </w:tr>
      <w:tr w14:paraId="165154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1878" w:type="dxa"/>
            <w:vMerge w:val="continue"/>
            <w:tcBorders>
              <w:tl2br w:val="nil"/>
              <w:tr2bl w:val="nil"/>
            </w:tcBorders>
            <w:noWrap w:val="0"/>
            <w:vAlign w:val="center"/>
          </w:tcPr>
          <w:p w14:paraId="7DFCCF53">
            <w:pPr>
              <w:pStyle w:val="23"/>
              <w:bidi w:val="0"/>
              <w:rPr>
                <w:rFonts w:hint="default"/>
                <w:sz w:val="21"/>
                <w:szCs w:val="21"/>
                <w:highlight w:val="none"/>
              </w:rPr>
            </w:pPr>
          </w:p>
        </w:tc>
        <w:tc>
          <w:tcPr>
            <w:tcW w:w="2603" w:type="dxa"/>
            <w:tcBorders>
              <w:tl2br w:val="nil"/>
              <w:tr2bl w:val="nil"/>
            </w:tcBorders>
            <w:noWrap w:val="0"/>
            <w:vAlign w:val="center"/>
          </w:tcPr>
          <w:p w14:paraId="06932643">
            <w:pPr>
              <w:pStyle w:val="23"/>
              <w:bidi w:val="0"/>
              <w:rPr>
                <w:rFonts w:hint="default"/>
                <w:sz w:val="21"/>
                <w:szCs w:val="21"/>
                <w:highlight w:val="none"/>
              </w:rPr>
            </w:pPr>
            <w:r>
              <w:rPr>
                <w:rFonts w:hint="default"/>
                <w:sz w:val="21"/>
                <w:szCs w:val="21"/>
                <w:highlight w:val="none"/>
              </w:rPr>
              <w:t>年平均</w:t>
            </w:r>
          </w:p>
        </w:tc>
        <w:tc>
          <w:tcPr>
            <w:tcW w:w="1409" w:type="dxa"/>
            <w:tcBorders>
              <w:tl2br w:val="nil"/>
              <w:tr2bl w:val="nil"/>
            </w:tcBorders>
            <w:noWrap w:val="0"/>
            <w:vAlign w:val="center"/>
          </w:tcPr>
          <w:p w14:paraId="238343BD">
            <w:pPr>
              <w:pStyle w:val="23"/>
              <w:bidi w:val="0"/>
              <w:rPr>
                <w:rFonts w:hint="default"/>
                <w:sz w:val="21"/>
                <w:szCs w:val="21"/>
                <w:highlight w:val="none"/>
              </w:rPr>
            </w:pPr>
            <w:r>
              <w:rPr>
                <w:rFonts w:hint="default"/>
                <w:sz w:val="21"/>
                <w:szCs w:val="21"/>
                <w:highlight w:val="none"/>
              </w:rPr>
              <w:t>40</w:t>
            </w:r>
          </w:p>
        </w:tc>
        <w:tc>
          <w:tcPr>
            <w:tcW w:w="2632" w:type="dxa"/>
            <w:vMerge w:val="continue"/>
            <w:tcBorders>
              <w:tl2br w:val="nil"/>
              <w:tr2bl w:val="nil"/>
            </w:tcBorders>
            <w:noWrap w:val="0"/>
            <w:vAlign w:val="center"/>
          </w:tcPr>
          <w:p w14:paraId="20D0C00A">
            <w:pPr>
              <w:pStyle w:val="23"/>
              <w:bidi w:val="0"/>
              <w:rPr>
                <w:rFonts w:hint="default"/>
                <w:sz w:val="21"/>
                <w:szCs w:val="21"/>
                <w:highlight w:val="none"/>
              </w:rPr>
            </w:pPr>
          </w:p>
        </w:tc>
      </w:tr>
      <w:tr w14:paraId="0B795C8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78" w:type="dxa"/>
            <w:vMerge w:val="restart"/>
            <w:tcBorders>
              <w:tl2br w:val="nil"/>
              <w:tr2bl w:val="nil"/>
            </w:tcBorders>
            <w:noWrap w:val="0"/>
            <w:vAlign w:val="center"/>
          </w:tcPr>
          <w:p w14:paraId="6E738474">
            <w:pPr>
              <w:pStyle w:val="23"/>
              <w:bidi w:val="0"/>
              <w:rPr>
                <w:rFonts w:hint="default"/>
                <w:sz w:val="21"/>
                <w:szCs w:val="21"/>
                <w:highlight w:val="none"/>
              </w:rPr>
            </w:pPr>
            <w:r>
              <w:rPr>
                <w:rFonts w:hint="default"/>
                <w:sz w:val="21"/>
                <w:szCs w:val="21"/>
                <w:highlight w:val="none"/>
              </w:rPr>
              <w:t>PM</w:t>
            </w:r>
            <w:r>
              <w:rPr>
                <w:rFonts w:hint="default"/>
                <w:sz w:val="21"/>
                <w:szCs w:val="21"/>
                <w:highlight w:val="none"/>
                <w:vertAlign w:val="subscript"/>
              </w:rPr>
              <w:t>10</w:t>
            </w:r>
          </w:p>
        </w:tc>
        <w:tc>
          <w:tcPr>
            <w:tcW w:w="2603" w:type="dxa"/>
            <w:tcBorders>
              <w:tl2br w:val="nil"/>
              <w:tr2bl w:val="nil"/>
            </w:tcBorders>
            <w:noWrap w:val="0"/>
            <w:vAlign w:val="center"/>
          </w:tcPr>
          <w:p w14:paraId="07CA877F">
            <w:pPr>
              <w:pStyle w:val="23"/>
              <w:bidi w:val="0"/>
              <w:rPr>
                <w:rFonts w:hint="default"/>
                <w:sz w:val="21"/>
                <w:szCs w:val="21"/>
                <w:highlight w:val="none"/>
              </w:rPr>
            </w:pPr>
            <w:r>
              <w:rPr>
                <w:rFonts w:hint="default"/>
                <w:sz w:val="21"/>
                <w:szCs w:val="21"/>
                <w:highlight w:val="none"/>
              </w:rPr>
              <w:t>24小时平均</w:t>
            </w:r>
          </w:p>
        </w:tc>
        <w:tc>
          <w:tcPr>
            <w:tcW w:w="1409" w:type="dxa"/>
            <w:tcBorders>
              <w:tl2br w:val="nil"/>
              <w:tr2bl w:val="nil"/>
            </w:tcBorders>
            <w:noWrap w:val="0"/>
            <w:vAlign w:val="center"/>
          </w:tcPr>
          <w:p w14:paraId="55CFC4BB">
            <w:pPr>
              <w:pStyle w:val="23"/>
              <w:bidi w:val="0"/>
              <w:rPr>
                <w:rFonts w:hint="default"/>
                <w:sz w:val="21"/>
                <w:szCs w:val="21"/>
                <w:highlight w:val="none"/>
              </w:rPr>
            </w:pPr>
            <w:r>
              <w:rPr>
                <w:rFonts w:hint="default"/>
                <w:sz w:val="21"/>
                <w:szCs w:val="21"/>
                <w:highlight w:val="none"/>
              </w:rPr>
              <w:t>150</w:t>
            </w:r>
          </w:p>
        </w:tc>
        <w:tc>
          <w:tcPr>
            <w:tcW w:w="2632" w:type="dxa"/>
            <w:vMerge w:val="continue"/>
            <w:tcBorders>
              <w:tl2br w:val="nil"/>
              <w:tr2bl w:val="nil"/>
            </w:tcBorders>
            <w:noWrap w:val="0"/>
            <w:vAlign w:val="center"/>
          </w:tcPr>
          <w:p w14:paraId="74D69EA6">
            <w:pPr>
              <w:pStyle w:val="23"/>
              <w:bidi w:val="0"/>
              <w:rPr>
                <w:rFonts w:hint="default"/>
                <w:sz w:val="21"/>
                <w:szCs w:val="21"/>
                <w:highlight w:val="none"/>
              </w:rPr>
            </w:pPr>
          </w:p>
        </w:tc>
      </w:tr>
      <w:tr w14:paraId="4A7CC8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78" w:type="dxa"/>
            <w:vMerge w:val="continue"/>
            <w:tcBorders>
              <w:tl2br w:val="nil"/>
              <w:tr2bl w:val="nil"/>
            </w:tcBorders>
            <w:noWrap w:val="0"/>
            <w:vAlign w:val="center"/>
          </w:tcPr>
          <w:p w14:paraId="1C293BAA">
            <w:pPr>
              <w:pStyle w:val="23"/>
              <w:bidi w:val="0"/>
              <w:rPr>
                <w:rFonts w:hint="default"/>
                <w:sz w:val="21"/>
                <w:szCs w:val="21"/>
                <w:highlight w:val="none"/>
              </w:rPr>
            </w:pPr>
          </w:p>
        </w:tc>
        <w:tc>
          <w:tcPr>
            <w:tcW w:w="2603" w:type="dxa"/>
            <w:tcBorders>
              <w:tl2br w:val="nil"/>
              <w:tr2bl w:val="nil"/>
            </w:tcBorders>
            <w:noWrap w:val="0"/>
            <w:vAlign w:val="center"/>
          </w:tcPr>
          <w:p w14:paraId="610C19F8">
            <w:pPr>
              <w:pStyle w:val="23"/>
              <w:bidi w:val="0"/>
              <w:rPr>
                <w:rFonts w:hint="default"/>
                <w:sz w:val="21"/>
                <w:szCs w:val="21"/>
                <w:highlight w:val="none"/>
              </w:rPr>
            </w:pPr>
            <w:r>
              <w:rPr>
                <w:rFonts w:hint="default"/>
                <w:sz w:val="21"/>
                <w:szCs w:val="21"/>
                <w:highlight w:val="none"/>
              </w:rPr>
              <w:t>年平均</w:t>
            </w:r>
          </w:p>
        </w:tc>
        <w:tc>
          <w:tcPr>
            <w:tcW w:w="1409" w:type="dxa"/>
            <w:tcBorders>
              <w:tl2br w:val="nil"/>
              <w:tr2bl w:val="nil"/>
            </w:tcBorders>
            <w:noWrap w:val="0"/>
            <w:vAlign w:val="center"/>
          </w:tcPr>
          <w:p w14:paraId="45D0585E">
            <w:pPr>
              <w:pStyle w:val="23"/>
              <w:bidi w:val="0"/>
              <w:rPr>
                <w:rFonts w:hint="default"/>
                <w:sz w:val="21"/>
                <w:szCs w:val="21"/>
                <w:highlight w:val="none"/>
              </w:rPr>
            </w:pPr>
            <w:r>
              <w:rPr>
                <w:rFonts w:hint="default"/>
                <w:sz w:val="21"/>
                <w:szCs w:val="21"/>
                <w:highlight w:val="none"/>
              </w:rPr>
              <w:t>70</w:t>
            </w:r>
          </w:p>
        </w:tc>
        <w:tc>
          <w:tcPr>
            <w:tcW w:w="2632" w:type="dxa"/>
            <w:vMerge w:val="continue"/>
            <w:tcBorders>
              <w:tl2br w:val="nil"/>
              <w:tr2bl w:val="nil"/>
            </w:tcBorders>
            <w:noWrap w:val="0"/>
            <w:vAlign w:val="center"/>
          </w:tcPr>
          <w:p w14:paraId="0A74E776">
            <w:pPr>
              <w:pStyle w:val="23"/>
              <w:bidi w:val="0"/>
              <w:rPr>
                <w:rFonts w:hint="default"/>
                <w:sz w:val="21"/>
                <w:szCs w:val="21"/>
                <w:highlight w:val="none"/>
              </w:rPr>
            </w:pPr>
          </w:p>
        </w:tc>
      </w:tr>
      <w:tr w14:paraId="1CE64C7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1878" w:type="dxa"/>
            <w:vMerge w:val="restart"/>
            <w:tcBorders>
              <w:tl2br w:val="nil"/>
              <w:tr2bl w:val="nil"/>
            </w:tcBorders>
            <w:noWrap w:val="0"/>
            <w:vAlign w:val="center"/>
          </w:tcPr>
          <w:p w14:paraId="547E8EB2">
            <w:pPr>
              <w:pStyle w:val="23"/>
              <w:bidi w:val="0"/>
              <w:rPr>
                <w:rFonts w:hint="default" w:eastAsia="宋体"/>
                <w:sz w:val="21"/>
                <w:szCs w:val="21"/>
                <w:highlight w:val="none"/>
                <w:lang w:val="en-US" w:eastAsia="zh-CN"/>
              </w:rPr>
            </w:pPr>
            <w:r>
              <w:rPr>
                <w:rFonts w:hint="eastAsia"/>
                <w:sz w:val="21"/>
                <w:szCs w:val="21"/>
                <w:highlight w:val="none"/>
                <w:lang w:val="en-US" w:eastAsia="zh-CN"/>
              </w:rPr>
              <w:t>NOx</w:t>
            </w:r>
          </w:p>
        </w:tc>
        <w:tc>
          <w:tcPr>
            <w:tcW w:w="2603" w:type="dxa"/>
            <w:tcBorders>
              <w:tl2br w:val="nil"/>
              <w:tr2bl w:val="nil"/>
            </w:tcBorders>
            <w:noWrap w:val="0"/>
            <w:vAlign w:val="center"/>
          </w:tcPr>
          <w:p w14:paraId="647134F9">
            <w:pPr>
              <w:pStyle w:val="23"/>
              <w:bidi w:val="0"/>
              <w:ind w:right="0" w:rightChars="0" w:firstLine="0" w:firstLineChars="0"/>
              <w:rPr>
                <w:rFonts w:hint="default"/>
                <w:sz w:val="21"/>
                <w:szCs w:val="21"/>
                <w:highlight w:val="none"/>
              </w:rPr>
            </w:pPr>
            <w:r>
              <w:rPr>
                <w:rFonts w:hint="default"/>
                <w:sz w:val="21"/>
                <w:szCs w:val="21"/>
                <w:highlight w:val="none"/>
              </w:rPr>
              <w:t>1小时平均</w:t>
            </w:r>
          </w:p>
        </w:tc>
        <w:tc>
          <w:tcPr>
            <w:tcW w:w="1409" w:type="dxa"/>
            <w:tcBorders>
              <w:tl2br w:val="nil"/>
              <w:tr2bl w:val="nil"/>
            </w:tcBorders>
            <w:noWrap w:val="0"/>
            <w:vAlign w:val="center"/>
          </w:tcPr>
          <w:p w14:paraId="68FD047C">
            <w:pPr>
              <w:pStyle w:val="23"/>
              <w:bidi w:val="0"/>
              <w:rPr>
                <w:rFonts w:hint="default" w:eastAsia="宋体"/>
                <w:sz w:val="21"/>
                <w:szCs w:val="21"/>
                <w:highlight w:val="none"/>
                <w:lang w:val="en-US" w:eastAsia="zh-CN"/>
              </w:rPr>
            </w:pPr>
            <w:r>
              <w:rPr>
                <w:rFonts w:hint="eastAsia"/>
                <w:sz w:val="21"/>
                <w:szCs w:val="21"/>
                <w:highlight w:val="none"/>
                <w:lang w:val="en-US" w:eastAsia="zh-CN"/>
              </w:rPr>
              <w:t>250</w:t>
            </w:r>
          </w:p>
        </w:tc>
        <w:tc>
          <w:tcPr>
            <w:tcW w:w="2632" w:type="dxa"/>
            <w:vMerge w:val="continue"/>
            <w:tcBorders>
              <w:tl2br w:val="nil"/>
              <w:tr2bl w:val="nil"/>
            </w:tcBorders>
            <w:noWrap w:val="0"/>
            <w:vAlign w:val="center"/>
          </w:tcPr>
          <w:p w14:paraId="6C055780">
            <w:pPr>
              <w:pStyle w:val="23"/>
              <w:bidi w:val="0"/>
              <w:rPr>
                <w:rFonts w:hint="default"/>
                <w:sz w:val="21"/>
                <w:szCs w:val="21"/>
                <w:highlight w:val="none"/>
              </w:rPr>
            </w:pPr>
          </w:p>
        </w:tc>
      </w:tr>
      <w:tr w14:paraId="4B0F11A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78" w:type="dxa"/>
            <w:vMerge w:val="continue"/>
            <w:tcBorders>
              <w:tl2br w:val="nil"/>
              <w:tr2bl w:val="nil"/>
            </w:tcBorders>
            <w:noWrap w:val="0"/>
            <w:vAlign w:val="center"/>
          </w:tcPr>
          <w:p w14:paraId="03676E31">
            <w:pPr>
              <w:pStyle w:val="23"/>
              <w:bidi w:val="0"/>
              <w:rPr>
                <w:rFonts w:hint="eastAsia"/>
                <w:sz w:val="21"/>
                <w:szCs w:val="21"/>
                <w:highlight w:val="none"/>
                <w:lang w:val="en-US" w:eastAsia="zh-CN"/>
              </w:rPr>
            </w:pPr>
          </w:p>
        </w:tc>
        <w:tc>
          <w:tcPr>
            <w:tcW w:w="2603" w:type="dxa"/>
            <w:tcBorders>
              <w:tl2br w:val="nil"/>
              <w:tr2bl w:val="nil"/>
            </w:tcBorders>
            <w:noWrap w:val="0"/>
            <w:vAlign w:val="center"/>
          </w:tcPr>
          <w:p w14:paraId="5950720F">
            <w:pPr>
              <w:pStyle w:val="23"/>
              <w:bidi w:val="0"/>
              <w:ind w:right="0" w:rightChars="0" w:firstLine="0" w:firstLineChars="0"/>
              <w:rPr>
                <w:rFonts w:hint="default"/>
                <w:sz w:val="21"/>
                <w:szCs w:val="21"/>
                <w:highlight w:val="none"/>
              </w:rPr>
            </w:pPr>
            <w:r>
              <w:rPr>
                <w:rFonts w:hint="default"/>
                <w:sz w:val="21"/>
                <w:szCs w:val="21"/>
                <w:highlight w:val="none"/>
              </w:rPr>
              <w:t>年平均</w:t>
            </w:r>
          </w:p>
        </w:tc>
        <w:tc>
          <w:tcPr>
            <w:tcW w:w="1409" w:type="dxa"/>
            <w:tcBorders>
              <w:tl2br w:val="nil"/>
              <w:tr2bl w:val="nil"/>
            </w:tcBorders>
            <w:noWrap w:val="0"/>
            <w:vAlign w:val="center"/>
          </w:tcPr>
          <w:p w14:paraId="2AF32D41">
            <w:pPr>
              <w:pStyle w:val="23"/>
              <w:bidi w:val="0"/>
              <w:rPr>
                <w:rFonts w:hint="default" w:eastAsia="宋体"/>
                <w:sz w:val="21"/>
                <w:szCs w:val="21"/>
                <w:highlight w:val="none"/>
                <w:lang w:val="en-US" w:eastAsia="zh-CN"/>
              </w:rPr>
            </w:pPr>
            <w:r>
              <w:rPr>
                <w:rFonts w:hint="eastAsia"/>
                <w:sz w:val="21"/>
                <w:szCs w:val="21"/>
                <w:highlight w:val="none"/>
                <w:lang w:val="en-US" w:eastAsia="zh-CN"/>
              </w:rPr>
              <w:t>50</w:t>
            </w:r>
          </w:p>
        </w:tc>
        <w:tc>
          <w:tcPr>
            <w:tcW w:w="2632" w:type="dxa"/>
            <w:vMerge w:val="continue"/>
            <w:tcBorders>
              <w:tl2br w:val="nil"/>
              <w:tr2bl w:val="nil"/>
            </w:tcBorders>
            <w:noWrap w:val="0"/>
            <w:vAlign w:val="center"/>
          </w:tcPr>
          <w:p w14:paraId="2A7A162E">
            <w:pPr>
              <w:pStyle w:val="23"/>
              <w:bidi w:val="0"/>
              <w:rPr>
                <w:rFonts w:hint="default"/>
                <w:sz w:val="21"/>
                <w:szCs w:val="21"/>
                <w:highlight w:val="none"/>
              </w:rPr>
            </w:pPr>
          </w:p>
        </w:tc>
      </w:tr>
      <w:tr w14:paraId="600DC9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878" w:type="dxa"/>
            <w:tcBorders>
              <w:tl2br w:val="nil"/>
              <w:tr2bl w:val="nil"/>
            </w:tcBorders>
            <w:noWrap w:val="0"/>
            <w:vAlign w:val="center"/>
          </w:tcPr>
          <w:p w14:paraId="0A10755D">
            <w:pPr>
              <w:pStyle w:val="23"/>
              <w:bidi w:val="0"/>
              <w:rPr>
                <w:rFonts w:hint="default"/>
                <w:sz w:val="21"/>
                <w:szCs w:val="21"/>
                <w:highlight w:val="none"/>
              </w:rPr>
            </w:pPr>
            <w:r>
              <w:rPr>
                <w:rFonts w:hint="default"/>
                <w:sz w:val="21"/>
                <w:szCs w:val="21"/>
                <w:highlight w:val="none"/>
              </w:rPr>
              <w:t>TSP</w:t>
            </w:r>
          </w:p>
        </w:tc>
        <w:tc>
          <w:tcPr>
            <w:tcW w:w="2603" w:type="dxa"/>
            <w:tcBorders>
              <w:tl2br w:val="nil"/>
              <w:tr2bl w:val="nil"/>
            </w:tcBorders>
            <w:noWrap w:val="0"/>
            <w:vAlign w:val="center"/>
          </w:tcPr>
          <w:p w14:paraId="64398168">
            <w:pPr>
              <w:pStyle w:val="23"/>
              <w:bidi w:val="0"/>
              <w:rPr>
                <w:rFonts w:hint="default"/>
                <w:sz w:val="21"/>
                <w:szCs w:val="21"/>
                <w:highlight w:val="none"/>
              </w:rPr>
            </w:pPr>
            <w:r>
              <w:rPr>
                <w:rFonts w:hint="default"/>
                <w:sz w:val="21"/>
                <w:szCs w:val="21"/>
                <w:highlight w:val="none"/>
              </w:rPr>
              <w:t>24小时平均</w:t>
            </w:r>
          </w:p>
        </w:tc>
        <w:tc>
          <w:tcPr>
            <w:tcW w:w="1409" w:type="dxa"/>
            <w:tcBorders>
              <w:tl2br w:val="nil"/>
              <w:tr2bl w:val="nil"/>
            </w:tcBorders>
            <w:noWrap w:val="0"/>
            <w:vAlign w:val="center"/>
          </w:tcPr>
          <w:p w14:paraId="4A1E3F3A">
            <w:pPr>
              <w:pStyle w:val="23"/>
              <w:bidi w:val="0"/>
              <w:rPr>
                <w:rFonts w:hint="default"/>
                <w:sz w:val="21"/>
                <w:szCs w:val="21"/>
                <w:highlight w:val="none"/>
              </w:rPr>
            </w:pPr>
            <w:r>
              <w:rPr>
                <w:rFonts w:hint="default"/>
                <w:sz w:val="21"/>
                <w:szCs w:val="21"/>
                <w:highlight w:val="none"/>
              </w:rPr>
              <w:t>300</w:t>
            </w:r>
          </w:p>
        </w:tc>
        <w:tc>
          <w:tcPr>
            <w:tcW w:w="2632" w:type="dxa"/>
            <w:vMerge w:val="continue"/>
            <w:tcBorders>
              <w:tl2br w:val="nil"/>
              <w:tr2bl w:val="nil"/>
            </w:tcBorders>
            <w:noWrap w:val="0"/>
            <w:vAlign w:val="center"/>
          </w:tcPr>
          <w:p w14:paraId="3D6B4BD0">
            <w:pPr>
              <w:pStyle w:val="23"/>
              <w:bidi w:val="0"/>
              <w:rPr>
                <w:rFonts w:hint="default"/>
                <w:sz w:val="21"/>
                <w:szCs w:val="21"/>
                <w:highlight w:val="none"/>
              </w:rPr>
            </w:pPr>
          </w:p>
        </w:tc>
      </w:tr>
    </w:tbl>
    <w:p w14:paraId="42C9A646">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eastAsia="宋体" w:cs="Times New Roman"/>
          <w:b/>
          <w:bCs w:val="0"/>
          <w:color w:val="auto"/>
          <w:kern w:val="2"/>
          <w:sz w:val="24"/>
          <w:szCs w:val="24"/>
          <w:highlight w:val="none"/>
          <w:lang w:val="en-US" w:eastAsia="zh-CN" w:bidi="ar-SA"/>
        </w:rPr>
      </w:pPr>
      <w:r>
        <w:rPr>
          <w:rFonts w:hint="eastAsia" w:ascii="Times New Roman" w:hAnsi="Times New Roman" w:eastAsia="宋体" w:cs="Times New Roman"/>
          <w:b/>
          <w:bCs w:val="0"/>
          <w:color w:val="auto"/>
          <w:kern w:val="2"/>
          <w:sz w:val="24"/>
          <w:szCs w:val="24"/>
          <w:highlight w:val="none"/>
          <w:lang w:val="en-US" w:eastAsia="zh-CN" w:bidi="ar-SA"/>
        </w:rPr>
        <w:t>（2）</w:t>
      </w:r>
      <w:r>
        <w:rPr>
          <w:rFonts w:hint="default" w:ascii="Times New Roman" w:hAnsi="Times New Roman" w:eastAsia="宋体" w:cs="Times New Roman"/>
          <w:b/>
          <w:bCs w:val="0"/>
          <w:color w:val="auto"/>
          <w:kern w:val="2"/>
          <w:sz w:val="24"/>
          <w:szCs w:val="24"/>
          <w:highlight w:val="none"/>
          <w:lang w:val="en-US" w:eastAsia="zh-CN" w:bidi="ar-SA"/>
        </w:rPr>
        <w:t>地表水环境</w:t>
      </w:r>
    </w:p>
    <w:p w14:paraId="214EA274">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textAlignment w:val="auto"/>
        <w:rPr>
          <w:rFonts w:hint="default" w:ascii="Times New Roman" w:hAnsi="Times New Roman" w:cs="Times New Roman"/>
          <w:b/>
          <w:color w:val="auto"/>
          <w:spacing w:val="4"/>
          <w:sz w:val="24"/>
          <w:szCs w:val="24"/>
          <w:highlight w:val="none"/>
        </w:rPr>
      </w:pPr>
      <w:r>
        <w:rPr>
          <w:rFonts w:hint="eastAsia" w:ascii="Times New Roman" w:hAnsi="Times New Roman" w:cs="Times New Roman"/>
          <w:color w:val="auto"/>
          <w:sz w:val="24"/>
          <w:szCs w:val="24"/>
          <w:highlight w:val="none"/>
          <w:lang w:eastAsia="zh-CN"/>
        </w:rPr>
        <w:t>寿岭冲水库主要功能为防洪、灌溉，</w:t>
      </w:r>
      <w:r>
        <w:rPr>
          <w:rFonts w:hint="default" w:ascii="Times New Roman" w:hAnsi="Times New Roman" w:cs="Times New Roman"/>
          <w:color w:val="auto"/>
          <w:sz w:val="24"/>
          <w:szCs w:val="24"/>
          <w:highlight w:val="none"/>
        </w:rPr>
        <w:t>执行</w:t>
      </w:r>
      <w:r>
        <w:rPr>
          <w:rFonts w:hint="default" w:ascii="Times New Roman" w:hAnsi="Times New Roman" w:cs="Times New Roman"/>
          <w:bCs/>
          <w:color w:val="auto"/>
          <w:sz w:val="24"/>
          <w:szCs w:val="24"/>
          <w:highlight w:val="none"/>
        </w:rPr>
        <w:t>《地表水环境质量标准》</w:t>
      </w:r>
      <w:r>
        <w:rPr>
          <w:rFonts w:hint="default" w:ascii="Times New Roman" w:hAnsi="Times New Roman" w:cs="Times New Roman"/>
          <w:color w:val="auto"/>
          <w:sz w:val="24"/>
          <w:szCs w:val="24"/>
          <w:highlight w:val="none"/>
        </w:rPr>
        <w:t>（GB3838-2002）</w:t>
      </w:r>
      <w:r>
        <w:rPr>
          <w:rFonts w:hint="default" w:ascii="Times New Roman" w:hAnsi="Times New Roman" w:cs="Times New Roman"/>
          <w:bCs/>
          <w:color w:val="auto"/>
          <w:sz w:val="24"/>
          <w:szCs w:val="24"/>
          <w:highlight w:val="none"/>
        </w:rPr>
        <w:t>中</w:t>
      </w:r>
      <w:r>
        <w:rPr>
          <w:rFonts w:hint="default" w:ascii="Times New Roman" w:hAnsi="Times New Roman" w:cs="Times New Roman"/>
          <w:bCs/>
          <w:color w:val="auto"/>
          <w:sz w:val="24"/>
          <w:szCs w:val="24"/>
          <w:highlight w:val="none"/>
        </w:rPr>
        <w:fldChar w:fldCharType="begin"/>
      </w:r>
      <w:r>
        <w:rPr>
          <w:rFonts w:hint="default" w:ascii="Times New Roman" w:hAnsi="Times New Roman" w:cs="Times New Roman"/>
          <w:bCs/>
          <w:color w:val="auto"/>
          <w:sz w:val="24"/>
          <w:szCs w:val="24"/>
          <w:highlight w:val="none"/>
        </w:rPr>
        <w:instrText xml:space="preserve"> = 3 \* ROMAN </w:instrText>
      </w:r>
      <w:r>
        <w:rPr>
          <w:rFonts w:hint="default" w:ascii="Times New Roman" w:hAnsi="Times New Roman" w:cs="Times New Roman"/>
          <w:bCs/>
          <w:color w:val="auto"/>
          <w:sz w:val="24"/>
          <w:szCs w:val="24"/>
          <w:highlight w:val="none"/>
        </w:rPr>
        <w:fldChar w:fldCharType="separate"/>
      </w:r>
      <w:r>
        <w:rPr>
          <w:rFonts w:hint="default" w:ascii="Times New Roman" w:hAnsi="Times New Roman" w:cs="Times New Roman"/>
          <w:bCs/>
          <w:color w:val="auto"/>
          <w:sz w:val="24"/>
          <w:szCs w:val="24"/>
          <w:highlight w:val="none"/>
          <w:lang w:val="zh-CN"/>
        </w:rPr>
        <w:t>III</w:t>
      </w:r>
      <w:r>
        <w:rPr>
          <w:rFonts w:hint="default" w:ascii="Times New Roman" w:hAnsi="Times New Roman" w:cs="Times New Roman"/>
          <w:bCs/>
          <w:color w:val="auto"/>
          <w:sz w:val="24"/>
          <w:szCs w:val="24"/>
          <w:highlight w:val="none"/>
        </w:rPr>
        <w:fldChar w:fldCharType="end"/>
      </w:r>
      <w:r>
        <w:rPr>
          <w:rFonts w:hint="default" w:ascii="Times New Roman" w:hAnsi="Times New Roman" w:cs="Times New Roman"/>
          <w:bCs/>
          <w:color w:val="auto"/>
          <w:sz w:val="24"/>
          <w:szCs w:val="24"/>
          <w:highlight w:val="none"/>
        </w:rPr>
        <w:t>类标准</w:t>
      </w:r>
      <w:r>
        <w:rPr>
          <w:rFonts w:hint="eastAsia" w:ascii="Times New Roman" w:hAnsi="Times New Roman" w:cs="Times New Roman"/>
          <w:bCs/>
          <w:color w:val="auto"/>
          <w:sz w:val="24"/>
          <w:szCs w:val="24"/>
          <w:highlight w:val="none"/>
          <w:lang w:eastAsia="zh-CN"/>
        </w:rPr>
        <w:t>；双江口小溪和车壁塘河主要功能为灌溉，执行</w:t>
      </w:r>
      <w:r>
        <w:rPr>
          <w:rFonts w:hint="default" w:ascii="Times New Roman" w:hAnsi="Times New Roman" w:cs="Times New Roman"/>
          <w:bCs/>
          <w:color w:val="auto"/>
          <w:sz w:val="24"/>
          <w:szCs w:val="24"/>
          <w:highlight w:val="none"/>
        </w:rPr>
        <w:t>《地表水环境质量标准》</w:t>
      </w:r>
      <w:r>
        <w:rPr>
          <w:rFonts w:hint="default" w:ascii="Times New Roman" w:hAnsi="Times New Roman" w:cs="Times New Roman"/>
          <w:color w:val="auto"/>
          <w:sz w:val="24"/>
          <w:szCs w:val="24"/>
          <w:highlight w:val="none"/>
        </w:rPr>
        <w:t>（GB3838-2002）</w:t>
      </w:r>
      <w:r>
        <w:rPr>
          <w:rFonts w:hint="default" w:ascii="Times New Roman" w:hAnsi="Times New Roman" w:cs="Times New Roman"/>
          <w:bCs/>
          <w:color w:val="auto"/>
          <w:sz w:val="24"/>
          <w:szCs w:val="24"/>
          <w:highlight w:val="none"/>
        </w:rPr>
        <w:t>中</w:t>
      </w:r>
      <w:r>
        <w:rPr>
          <w:rFonts w:hint="default" w:ascii="Times New Roman" w:hAnsi="Times New Roman" w:cs="Times New Roman"/>
          <w:bCs/>
          <w:color w:val="auto"/>
          <w:sz w:val="24"/>
          <w:szCs w:val="24"/>
          <w:highlight w:val="none"/>
        </w:rPr>
        <w:fldChar w:fldCharType="begin"/>
      </w:r>
      <w:r>
        <w:rPr>
          <w:rFonts w:hint="default" w:ascii="Times New Roman" w:hAnsi="Times New Roman" w:cs="Times New Roman"/>
          <w:bCs/>
          <w:color w:val="auto"/>
          <w:sz w:val="24"/>
          <w:szCs w:val="24"/>
          <w:highlight w:val="none"/>
        </w:rPr>
        <w:instrText xml:space="preserve"> = 3 \* ROMAN </w:instrText>
      </w:r>
      <w:r>
        <w:rPr>
          <w:rFonts w:hint="default" w:ascii="Times New Roman" w:hAnsi="Times New Roman" w:cs="Times New Roman"/>
          <w:bCs/>
          <w:color w:val="auto"/>
          <w:sz w:val="24"/>
          <w:szCs w:val="24"/>
          <w:highlight w:val="none"/>
        </w:rPr>
        <w:fldChar w:fldCharType="separate"/>
      </w:r>
      <w:r>
        <w:rPr>
          <w:rFonts w:hint="default" w:ascii="Times New Roman" w:hAnsi="Times New Roman" w:cs="Times New Roman"/>
          <w:bCs/>
          <w:color w:val="auto"/>
          <w:sz w:val="24"/>
          <w:szCs w:val="24"/>
          <w:highlight w:val="none"/>
          <w:lang w:val="zh-CN"/>
        </w:rPr>
        <w:t>III</w:t>
      </w:r>
      <w:r>
        <w:rPr>
          <w:rFonts w:hint="default" w:ascii="Times New Roman" w:hAnsi="Times New Roman" w:cs="Times New Roman"/>
          <w:bCs/>
          <w:color w:val="auto"/>
          <w:sz w:val="24"/>
          <w:szCs w:val="24"/>
          <w:highlight w:val="none"/>
        </w:rPr>
        <w:fldChar w:fldCharType="end"/>
      </w:r>
      <w:r>
        <w:rPr>
          <w:rFonts w:hint="default" w:ascii="Times New Roman" w:hAnsi="Times New Roman" w:cs="Times New Roman"/>
          <w:bCs/>
          <w:color w:val="auto"/>
          <w:sz w:val="24"/>
          <w:szCs w:val="24"/>
          <w:highlight w:val="none"/>
        </w:rPr>
        <w:t>类标准</w:t>
      </w:r>
      <w:r>
        <w:rPr>
          <w:rFonts w:hint="eastAsia" w:cs="Times New Roman"/>
          <w:bCs/>
          <w:color w:val="auto"/>
          <w:sz w:val="24"/>
          <w:szCs w:val="24"/>
          <w:highlight w:val="none"/>
          <w:lang w:eastAsia="zh-CN"/>
        </w:rPr>
        <w:t>；</w:t>
      </w:r>
      <w:r>
        <w:rPr>
          <w:rFonts w:hint="eastAsia" w:ascii="Times New Roman" w:hAnsi="Times New Roman" w:cs="Times New Roman"/>
          <w:color w:val="auto"/>
          <w:sz w:val="24"/>
          <w:szCs w:val="24"/>
          <w:highlight w:val="none"/>
          <w:lang w:eastAsia="zh-CN"/>
        </w:rPr>
        <w:t>饮用水源一级保护区水域执行《地表水环境质量标准》（GB3838-2002）中II类标准，二级保护区水域执行《地表水环境质量标准》（GB3838-2002）中III类标准，</w:t>
      </w:r>
      <w:r>
        <w:rPr>
          <w:rFonts w:hint="default" w:ascii="Times New Roman" w:hAnsi="Times New Roman" w:cs="Times New Roman"/>
          <w:color w:val="auto"/>
          <w:sz w:val="24"/>
          <w:szCs w:val="24"/>
          <w:highlight w:val="none"/>
        </w:rPr>
        <w:t>具体标准值见下表。</w:t>
      </w:r>
    </w:p>
    <w:p w14:paraId="7668B6C6">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z w:val="24"/>
          <w:szCs w:val="24"/>
          <w:highlight w:val="none"/>
        </w:rPr>
        <w:t>表</w:t>
      </w:r>
      <w:r>
        <w:rPr>
          <w:rFonts w:hint="eastAsia" w:cs="Times New Roman"/>
          <w:b/>
          <w:bCs/>
          <w:color w:val="auto"/>
          <w:sz w:val="24"/>
          <w:szCs w:val="24"/>
          <w:highlight w:val="none"/>
          <w:lang w:val="en-US" w:eastAsia="zh-CN"/>
        </w:rPr>
        <w:t>2.4-2</w:t>
      </w:r>
      <w:r>
        <w:rPr>
          <w:rFonts w:hint="eastAsia" w:ascii="Times New Roman" w:hAnsi="Times New Roman" w:eastAsia="宋体" w:cs="Times New Roman"/>
          <w:b/>
          <w:bCs/>
          <w:color w:val="auto"/>
          <w:sz w:val="24"/>
          <w:szCs w:val="24"/>
          <w:highlight w:val="none"/>
          <w:lang w:val="en-US" w:eastAsia="zh-CN"/>
        </w:rPr>
        <w:t xml:space="preserve">  </w:t>
      </w:r>
      <w:r>
        <w:rPr>
          <w:rFonts w:hint="default" w:ascii="Times New Roman" w:hAnsi="Times New Roman" w:eastAsia="宋体" w:cs="Times New Roman"/>
          <w:b/>
          <w:bCs/>
          <w:color w:val="auto"/>
          <w:sz w:val="24"/>
          <w:szCs w:val="24"/>
          <w:highlight w:val="none"/>
        </w:rPr>
        <w:t>地表水环境质量标准单位：pH无量纲，其余均为mg/L</w:t>
      </w:r>
    </w:p>
    <w:tbl>
      <w:tblPr>
        <w:tblStyle w:val="19"/>
        <w:tblW w:w="5000" w:type="pct"/>
        <w:tblInd w:w="11"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
      <w:tblGrid>
        <w:gridCol w:w="869"/>
        <w:gridCol w:w="967"/>
        <w:gridCol w:w="1038"/>
        <w:gridCol w:w="1039"/>
        <w:gridCol w:w="825"/>
        <w:gridCol w:w="1023"/>
        <w:gridCol w:w="840"/>
        <w:gridCol w:w="853"/>
        <w:gridCol w:w="908"/>
      </w:tblGrid>
      <w:tr w14:paraId="513D92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835" w:type="dxa"/>
            <w:tcBorders>
              <w:tl2br w:val="nil"/>
              <w:tr2bl w:val="nil"/>
            </w:tcBorders>
            <w:noWrap w:val="0"/>
            <w:vAlign w:val="center"/>
          </w:tcPr>
          <w:p w14:paraId="74DCF934">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rPr>
            </w:pPr>
            <w:r>
              <w:rPr>
                <w:rFonts w:hint="default"/>
                <w:sz w:val="21"/>
                <w:szCs w:val="21"/>
                <w:highlight w:val="none"/>
              </w:rPr>
              <w:t>污染物名称</w:t>
            </w:r>
          </w:p>
        </w:tc>
        <w:tc>
          <w:tcPr>
            <w:tcW w:w="927" w:type="dxa"/>
            <w:tcBorders>
              <w:tl2br w:val="nil"/>
              <w:tr2bl w:val="nil"/>
            </w:tcBorders>
            <w:noWrap w:val="0"/>
            <w:vAlign w:val="center"/>
          </w:tcPr>
          <w:p w14:paraId="4E674782">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rPr>
            </w:pPr>
            <w:r>
              <w:rPr>
                <w:rFonts w:hint="default"/>
                <w:sz w:val="21"/>
                <w:szCs w:val="21"/>
                <w:highlight w:val="none"/>
              </w:rPr>
              <w:t>Ⅲ类标</w:t>
            </w:r>
          </w:p>
          <w:p w14:paraId="53E7C7D4">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rPr>
            </w:pPr>
            <w:r>
              <w:rPr>
                <w:rFonts w:hint="default"/>
                <w:sz w:val="21"/>
                <w:szCs w:val="21"/>
                <w:highlight w:val="none"/>
              </w:rPr>
              <w:t>准值</w:t>
            </w:r>
          </w:p>
        </w:tc>
        <w:tc>
          <w:tcPr>
            <w:tcW w:w="995" w:type="dxa"/>
            <w:tcBorders>
              <w:tl2br w:val="nil"/>
              <w:tr2bl w:val="nil"/>
            </w:tcBorders>
            <w:noWrap w:val="0"/>
            <w:vAlign w:val="center"/>
          </w:tcPr>
          <w:p w14:paraId="63590CCB">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default"/>
                <w:sz w:val="21"/>
                <w:szCs w:val="21"/>
                <w:highlight w:val="none"/>
                <w:lang w:val="en-US" w:eastAsia="zh-CN"/>
              </w:rPr>
              <w:t>II类标准值</w:t>
            </w:r>
          </w:p>
        </w:tc>
        <w:tc>
          <w:tcPr>
            <w:tcW w:w="996" w:type="dxa"/>
            <w:tcBorders>
              <w:tl2br w:val="nil"/>
              <w:tr2bl w:val="nil"/>
            </w:tcBorders>
            <w:noWrap w:val="0"/>
            <w:vAlign w:val="center"/>
          </w:tcPr>
          <w:p w14:paraId="6C21CE84">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rPr>
            </w:pPr>
            <w:r>
              <w:rPr>
                <w:rFonts w:hint="default"/>
                <w:sz w:val="21"/>
                <w:szCs w:val="21"/>
                <w:highlight w:val="none"/>
              </w:rPr>
              <w:t>污染物名称</w:t>
            </w:r>
          </w:p>
        </w:tc>
        <w:tc>
          <w:tcPr>
            <w:tcW w:w="791" w:type="dxa"/>
            <w:tcBorders>
              <w:tl2br w:val="nil"/>
              <w:tr2bl w:val="nil"/>
            </w:tcBorders>
            <w:noWrap w:val="0"/>
            <w:vAlign w:val="center"/>
          </w:tcPr>
          <w:p w14:paraId="71442AD5">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rPr>
            </w:pPr>
            <w:r>
              <w:rPr>
                <w:rFonts w:hint="default"/>
                <w:sz w:val="21"/>
                <w:szCs w:val="21"/>
                <w:highlight w:val="none"/>
              </w:rPr>
              <w:t>Ⅲ类标</w:t>
            </w:r>
          </w:p>
          <w:p w14:paraId="0307D64E">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rPr>
            </w:pPr>
            <w:r>
              <w:rPr>
                <w:rFonts w:hint="default"/>
                <w:sz w:val="21"/>
                <w:szCs w:val="21"/>
                <w:highlight w:val="none"/>
              </w:rPr>
              <w:t>准值</w:t>
            </w:r>
          </w:p>
        </w:tc>
        <w:tc>
          <w:tcPr>
            <w:tcW w:w="981" w:type="dxa"/>
            <w:tcBorders>
              <w:tl2br w:val="nil"/>
              <w:tr2bl w:val="nil"/>
            </w:tcBorders>
            <w:noWrap w:val="0"/>
            <w:vAlign w:val="center"/>
          </w:tcPr>
          <w:p w14:paraId="26CB5055">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rPr>
            </w:pPr>
            <w:r>
              <w:rPr>
                <w:rFonts w:hint="default"/>
                <w:sz w:val="21"/>
                <w:szCs w:val="21"/>
                <w:highlight w:val="none"/>
                <w:lang w:val="en-US" w:eastAsia="zh-CN"/>
              </w:rPr>
              <w:t>II类标准值</w:t>
            </w:r>
          </w:p>
        </w:tc>
        <w:tc>
          <w:tcPr>
            <w:tcW w:w="805" w:type="dxa"/>
            <w:tcBorders>
              <w:tl2br w:val="nil"/>
              <w:tr2bl w:val="nil"/>
            </w:tcBorders>
            <w:noWrap w:val="0"/>
            <w:vAlign w:val="center"/>
          </w:tcPr>
          <w:p w14:paraId="143F1A5F">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rPr>
            </w:pPr>
            <w:r>
              <w:rPr>
                <w:rFonts w:hint="default"/>
                <w:sz w:val="21"/>
                <w:szCs w:val="21"/>
                <w:highlight w:val="none"/>
              </w:rPr>
              <w:t>污染物名称</w:t>
            </w:r>
          </w:p>
        </w:tc>
        <w:tc>
          <w:tcPr>
            <w:tcW w:w="818" w:type="dxa"/>
            <w:tcBorders>
              <w:tl2br w:val="nil"/>
              <w:tr2bl w:val="nil"/>
            </w:tcBorders>
            <w:noWrap w:val="0"/>
            <w:vAlign w:val="center"/>
          </w:tcPr>
          <w:p w14:paraId="4B10B43F">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rPr>
            </w:pPr>
            <w:r>
              <w:rPr>
                <w:rFonts w:hint="default"/>
                <w:sz w:val="21"/>
                <w:szCs w:val="21"/>
                <w:highlight w:val="none"/>
              </w:rPr>
              <w:t>Ⅲ类标</w:t>
            </w:r>
          </w:p>
          <w:p w14:paraId="02BE7960">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rPr>
            </w:pPr>
            <w:r>
              <w:rPr>
                <w:rFonts w:hint="default"/>
                <w:sz w:val="21"/>
                <w:szCs w:val="21"/>
                <w:highlight w:val="none"/>
              </w:rPr>
              <w:t>准值</w:t>
            </w:r>
          </w:p>
        </w:tc>
        <w:tc>
          <w:tcPr>
            <w:tcW w:w="870" w:type="dxa"/>
            <w:tcBorders>
              <w:tl2br w:val="nil"/>
              <w:tr2bl w:val="nil"/>
            </w:tcBorders>
            <w:noWrap w:val="0"/>
            <w:vAlign w:val="center"/>
          </w:tcPr>
          <w:p w14:paraId="0B69778A">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rPr>
            </w:pPr>
            <w:r>
              <w:rPr>
                <w:rFonts w:hint="default"/>
                <w:sz w:val="21"/>
                <w:szCs w:val="21"/>
                <w:highlight w:val="none"/>
                <w:lang w:val="en-US" w:eastAsia="zh-CN"/>
              </w:rPr>
              <w:t>II类标准值</w:t>
            </w:r>
          </w:p>
        </w:tc>
      </w:tr>
      <w:tr w14:paraId="1BF23F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835" w:type="dxa"/>
            <w:tcBorders>
              <w:tl2br w:val="nil"/>
              <w:tr2bl w:val="nil"/>
            </w:tcBorders>
            <w:noWrap w:val="0"/>
            <w:vAlign w:val="center"/>
          </w:tcPr>
          <w:p w14:paraId="0ACB5227">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rPr>
            </w:pPr>
            <w:r>
              <w:rPr>
                <w:rFonts w:hint="default"/>
                <w:sz w:val="21"/>
                <w:szCs w:val="21"/>
                <w:highlight w:val="none"/>
              </w:rPr>
              <w:t>pH</w:t>
            </w:r>
          </w:p>
        </w:tc>
        <w:tc>
          <w:tcPr>
            <w:tcW w:w="927" w:type="dxa"/>
            <w:tcBorders>
              <w:tl2br w:val="nil"/>
              <w:tr2bl w:val="nil"/>
            </w:tcBorders>
            <w:noWrap w:val="0"/>
            <w:vAlign w:val="center"/>
          </w:tcPr>
          <w:p w14:paraId="283A5F77">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rPr>
            </w:pPr>
            <w:r>
              <w:rPr>
                <w:rFonts w:hint="default"/>
                <w:sz w:val="21"/>
                <w:szCs w:val="21"/>
                <w:highlight w:val="none"/>
              </w:rPr>
              <w:t>6~9</w:t>
            </w:r>
          </w:p>
        </w:tc>
        <w:tc>
          <w:tcPr>
            <w:tcW w:w="995" w:type="dxa"/>
            <w:tcBorders>
              <w:tl2br w:val="nil"/>
              <w:tr2bl w:val="nil"/>
            </w:tcBorders>
            <w:noWrap w:val="0"/>
            <w:vAlign w:val="center"/>
          </w:tcPr>
          <w:p w14:paraId="32521467">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eastAsia"/>
                <w:sz w:val="21"/>
                <w:szCs w:val="21"/>
                <w:highlight w:val="none"/>
                <w:lang w:val="en-US" w:eastAsia="zh-CN"/>
              </w:rPr>
              <w:t>6~9</w:t>
            </w:r>
          </w:p>
        </w:tc>
        <w:tc>
          <w:tcPr>
            <w:tcW w:w="996" w:type="dxa"/>
            <w:tcBorders>
              <w:tl2br w:val="nil"/>
              <w:tr2bl w:val="nil"/>
            </w:tcBorders>
            <w:noWrap w:val="0"/>
            <w:vAlign w:val="center"/>
          </w:tcPr>
          <w:p w14:paraId="65B5E475">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default"/>
                <w:sz w:val="21"/>
                <w:szCs w:val="21"/>
                <w:highlight w:val="none"/>
              </w:rPr>
              <w:t>CODcr</w:t>
            </w:r>
          </w:p>
        </w:tc>
        <w:tc>
          <w:tcPr>
            <w:tcW w:w="791" w:type="dxa"/>
            <w:tcBorders>
              <w:tl2br w:val="nil"/>
              <w:tr2bl w:val="nil"/>
            </w:tcBorders>
            <w:noWrap w:val="0"/>
            <w:vAlign w:val="center"/>
          </w:tcPr>
          <w:p w14:paraId="5D917132">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default"/>
                <w:sz w:val="21"/>
                <w:szCs w:val="21"/>
                <w:highlight w:val="none"/>
              </w:rPr>
              <w:t>20</w:t>
            </w:r>
          </w:p>
        </w:tc>
        <w:tc>
          <w:tcPr>
            <w:tcW w:w="981" w:type="dxa"/>
            <w:tcBorders>
              <w:tl2br w:val="nil"/>
              <w:tr2bl w:val="nil"/>
            </w:tcBorders>
            <w:noWrap w:val="0"/>
            <w:vAlign w:val="center"/>
          </w:tcPr>
          <w:p w14:paraId="749096A8">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eastAsia"/>
                <w:sz w:val="21"/>
                <w:szCs w:val="21"/>
                <w:highlight w:val="none"/>
                <w:lang w:val="en-US" w:eastAsia="zh-CN"/>
              </w:rPr>
              <w:t>15</w:t>
            </w:r>
          </w:p>
        </w:tc>
        <w:tc>
          <w:tcPr>
            <w:tcW w:w="805" w:type="dxa"/>
            <w:tcBorders>
              <w:tl2br w:val="nil"/>
              <w:tr2bl w:val="nil"/>
            </w:tcBorders>
            <w:noWrap w:val="0"/>
            <w:vAlign w:val="center"/>
          </w:tcPr>
          <w:p w14:paraId="7D39F5D6">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default"/>
                <w:sz w:val="21"/>
                <w:szCs w:val="21"/>
                <w:highlight w:val="none"/>
              </w:rPr>
              <w:t>BOD</w:t>
            </w:r>
            <w:r>
              <w:rPr>
                <w:rFonts w:hint="default"/>
                <w:sz w:val="21"/>
                <w:szCs w:val="21"/>
                <w:highlight w:val="none"/>
                <w:vertAlign w:val="subscript"/>
              </w:rPr>
              <w:t>5</w:t>
            </w:r>
          </w:p>
        </w:tc>
        <w:tc>
          <w:tcPr>
            <w:tcW w:w="818" w:type="dxa"/>
            <w:tcBorders>
              <w:tl2br w:val="nil"/>
              <w:tr2bl w:val="nil"/>
            </w:tcBorders>
            <w:noWrap w:val="0"/>
            <w:vAlign w:val="center"/>
          </w:tcPr>
          <w:p w14:paraId="2717FAA2">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default"/>
                <w:sz w:val="21"/>
                <w:szCs w:val="21"/>
                <w:highlight w:val="none"/>
              </w:rPr>
              <w:t>4</w:t>
            </w:r>
          </w:p>
        </w:tc>
        <w:tc>
          <w:tcPr>
            <w:tcW w:w="870" w:type="dxa"/>
            <w:tcBorders>
              <w:tl2br w:val="nil"/>
              <w:tr2bl w:val="nil"/>
            </w:tcBorders>
            <w:noWrap w:val="0"/>
            <w:vAlign w:val="center"/>
          </w:tcPr>
          <w:p w14:paraId="056D546F">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eastAsia"/>
                <w:sz w:val="21"/>
                <w:szCs w:val="21"/>
                <w:highlight w:val="none"/>
                <w:lang w:val="en-US" w:eastAsia="zh-CN"/>
              </w:rPr>
            </w:pPr>
            <w:r>
              <w:rPr>
                <w:rFonts w:hint="eastAsia"/>
                <w:sz w:val="21"/>
                <w:szCs w:val="21"/>
                <w:highlight w:val="none"/>
                <w:lang w:val="en-US" w:eastAsia="zh-CN"/>
              </w:rPr>
              <w:t>3</w:t>
            </w:r>
          </w:p>
        </w:tc>
      </w:tr>
      <w:tr w14:paraId="1E2F1B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835" w:type="dxa"/>
            <w:tcBorders>
              <w:tl2br w:val="nil"/>
              <w:tr2bl w:val="nil"/>
            </w:tcBorders>
            <w:noWrap w:val="0"/>
            <w:vAlign w:val="center"/>
          </w:tcPr>
          <w:p w14:paraId="2996F3E3">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default"/>
                <w:sz w:val="21"/>
                <w:szCs w:val="21"/>
                <w:highlight w:val="none"/>
                <w:lang w:val="en-US" w:eastAsia="zh-CN"/>
              </w:rPr>
              <w:t>SS</w:t>
            </w:r>
          </w:p>
        </w:tc>
        <w:tc>
          <w:tcPr>
            <w:tcW w:w="927" w:type="dxa"/>
            <w:tcBorders>
              <w:tl2br w:val="nil"/>
              <w:tr2bl w:val="nil"/>
            </w:tcBorders>
            <w:noWrap w:val="0"/>
            <w:vAlign w:val="center"/>
          </w:tcPr>
          <w:p w14:paraId="79F44ADA">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default"/>
                <w:sz w:val="21"/>
                <w:szCs w:val="21"/>
                <w:highlight w:val="none"/>
                <w:lang w:val="en-US" w:eastAsia="zh-CN"/>
              </w:rPr>
              <w:t>/</w:t>
            </w:r>
          </w:p>
        </w:tc>
        <w:tc>
          <w:tcPr>
            <w:tcW w:w="995" w:type="dxa"/>
            <w:tcBorders>
              <w:tl2br w:val="nil"/>
              <w:tr2bl w:val="nil"/>
            </w:tcBorders>
            <w:noWrap w:val="0"/>
            <w:vAlign w:val="center"/>
          </w:tcPr>
          <w:p w14:paraId="77CA67F2">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eastAsia"/>
                <w:sz w:val="21"/>
                <w:szCs w:val="21"/>
                <w:highlight w:val="none"/>
                <w:lang w:val="en-US" w:eastAsia="zh-CN"/>
              </w:rPr>
              <w:t>/</w:t>
            </w:r>
          </w:p>
        </w:tc>
        <w:tc>
          <w:tcPr>
            <w:tcW w:w="996" w:type="dxa"/>
            <w:tcBorders>
              <w:tl2br w:val="nil"/>
              <w:tr2bl w:val="nil"/>
            </w:tcBorders>
            <w:noWrap w:val="0"/>
            <w:vAlign w:val="center"/>
          </w:tcPr>
          <w:p w14:paraId="6F7520E4">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default"/>
                <w:sz w:val="21"/>
                <w:szCs w:val="21"/>
                <w:highlight w:val="none"/>
              </w:rPr>
              <w:t>石油类</w:t>
            </w:r>
          </w:p>
        </w:tc>
        <w:tc>
          <w:tcPr>
            <w:tcW w:w="791" w:type="dxa"/>
            <w:tcBorders>
              <w:tl2br w:val="nil"/>
              <w:tr2bl w:val="nil"/>
            </w:tcBorders>
            <w:noWrap w:val="0"/>
            <w:vAlign w:val="center"/>
          </w:tcPr>
          <w:p w14:paraId="6ACD920C">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default"/>
                <w:sz w:val="21"/>
                <w:szCs w:val="21"/>
                <w:highlight w:val="none"/>
              </w:rPr>
              <w:t>0.05</w:t>
            </w:r>
          </w:p>
        </w:tc>
        <w:tc>
          <w:tcPr>
            <w:tcW w:w="981" w:type="dxa"/>
            <w:tcBorders>
              <w:tl2br w:val="nil"/>
              <w:tr2bl w:val="nil"/>
            </w:tcBorders>
            <w:noWrap w:val="0"/>
            <w:vAlign w:val="center"/>
          </w:tcPr>
          <w:p w14:paraId="482AD013">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eastAsia"/>
                <w:sz w:val="21"/>
                <w:szCs w:val="21"/>
                <w:highlight w:val="none"/>
                <w:lang w:val="en-US" w:eastAsia="zh-CN"/>
              </w:rPr>
              <w:t>0.05</w:t>
            </w:r>
          </w:p>
        </w:tc>
        <w:tc>
          <w:tcPr>
            <w:tcW w:w="805" w:type="dxa"/>
            <w:tcBorders>
              <w:tl2br w:val="nil"/>
              <w:tr2bl w:val="nil"/>
            </w:tcBorders>
            <w:noWrap w:val="0"/>
            <w:vAlign w:val="center"/>
          </w:tcPr>
          <w:p w14:paraId="394C5BD5">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default"/>
                <w:sz w:val="21"/>
                <w:szCs w:val="21"/>
                <w:highlight w:val="none"/>
              </w:rPr>
              <w:t>粪大肠菌群</w:t>
            </w:r>
          </w:p>
        </w:tc>
        <w:tc>
          <w:tcPr>
            <w:tcW w:w="818" w:type="dxa"/>
            <w:tcBorders>
              <w:tl2br w:val="nil"/>
              <w:tr2bl w:val="nil"/>
            </w:tcBorders>
            <w:noWrap w:val="0"/>
            <w:vAlign w:val="center"/>
          </w:tcPr>
          <w:p w14:paraId="448FFF34">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default"/>
                <w:sz w:val="21"/>
                <w:szCs w:val="21"/>
                <w:highlight w:val="none"/>
              </w:rPr>
              <w:t>10000</w:t>
            </w:r>
          </w:p>
        </w:tc>
        <w:tc>
          <w:tcPr>
            <w:tcW w:w="870" w:type="dxa"/>
            <w:tcBorders>
              <w:tl2br w:val="nil"/>
              <w:tr2bl w:val="nil"/>
            </w:tcBorders>
            <w:noWrap w:val="0"/>
            <w:vAlign w:val="center"/>
          </w:tcPr>
          <w:p w14:paraId="503B8E60">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eastAsia"/>
                <w:sz w:val="21"/>
                <w:szCs w:val="21"/>
                <w:highlight w:val="none"/>
                <w:lang w:val="en-US" w:eastAsia="zh-CN"/>
              </w:rPr>
              <w:t>2000</w:t>
            </w:r>
          </w:p>
        </w:tc>
      </w:tr>
      <w:tr w14:paraId="59B91F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835" w:type="dxa"/>
            <w:tcBorders>
              <w:tl2br w:val="nil"/>
              <w:tr2bl w:val="nil"/>
            </w:tcBorders>
            <w:noWrap w:val="0"/>
            <w:vAlign w:val="center"/>
          </w:tcPr>
          <w:p w14:paraId="3C647423">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default"/>
                <w:sz w:val="21"/>
                <w:szCs w:val="21"/>
                <w:highlight w:val="none"/>
              </w:rPr>
              <w:t>氨氮</w:t>
            </w:r>
          </w:p>
        </w:tc>
        <w:tc>
          <w:tcPr>
            <w:tcW w:w="927" w:type="dxa"/>
            <w:tcBorders>
              <w:tl2br w:val="nil"/>
              <w:tr2bl w:val="nil"/>
            </w:tcBorders>
            <w:noWrap w:val="0"/>
            <w:vAlign w:val="center"/>
          </w:tcPr>
          <w:p w14:paraId="00573549">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default"/>
                <w:sz w:val="21"/>
                <w:szCs w:val="21"/>
                <w:highlight w:val="none"/>
              </w:rPr>
              <w:t>1.0</w:t>
            </w:r>
          </w:p>
        </w:tc>
        <w:tc>
          <w:tcPr>
            <w:tcW w:w="995" w:type="dxa"/>
            <w:tcBorders>
              <w:tl2br w:val="nil"/>
              <w:tr2bl w:val="nil"/>
            </w:tcBorders>
            <w:noWrap w:val="0"/>
            <w:vAlign w:val="center"/>
          </w:tcPr>
          <w:p w14:paraId="5F7DC34C">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eastAsia"/>
                <w:sz w:val="21"/>
                <w:szCs w:val="21"/>
                <w:highlight w:val="none"/>
                <w:lang w:val="en-US" w:eastAsia="zh-CN"/>
              </w:rPr>
              <w:t>0.5</w:t>
            </w:r>
          </w:p>
        </w:tc>
        <w:tc>
          <w:tcPr>
            <w:tcW w:w="996" w:type="dxa"/>
            <w:tcBorders>
              <w:tl2br w:val="nil"/>
              <w:tr2bl w:val="nil"/>
            </w:tcBorders>
            <w:noWrap w:val="0"/>
            <w:vAlign w:val="center"/>
          </w:tcPr>
          <w:p w14:paraId="2EC53FFC">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default"/>
                <w:sz w:val="21"/>
                <w:szCs w:val="21"/>
                <w:highlight w:val="none"/>
              </w:rPr>
              <w:t>总磷</w:t>
            </w:r>
          </w:p>
        </w:tc>
        <w:tc>
          <w:tcPr>
            <w:tcW w:w="791" w:type="dxa"/>
            <w:tcBorders>
              <w:tl2br w:val="nil"/>
              <w:tr2bl w:val="nil"/>
            </w:tcBorders>
            <w:noWrap w:val="0"/>
            <w:vAlign w:val="center"/>
          </w:tcPr>
          <w:p w14:paraId="01F7EF70">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default"/>
                <w:sz w:val="21"/>
                <w:szCs w:val="21"/>
                <w:highlight w:val="none"/>
                <w:lang w:val="en-US" w:eastAsia="zh-CN"/>
              </w:rPr>
              <w:t>0.</w:t>
            </w:r>
            <w:r>
              <w:rPr>
                <w:rFonts w:hint="eastAsia"/>
                <w:sz w:val="21"/>
                <w:szCs w:val="21"/>
                <w:highlight w:val="none"/>
                <w:lang w:val="en-US" w:eastAsia="zh-CN"/>
              </w:rPr>
              <w:t>2（水库0.05）</w:t>
            </w:r>
          </w:p>
        </w:tc>
        <w:tc>
          <w:tcPr>
            <w:tcW w:w="981" w:type="dxa"/>
            <w:tcBorders>
              <w:tl2br w:val="nil"/>
              <w:tr2bl w:val="nil"/>
            </w:tcBorders>
            <w:noWrap w:val="0"/>
            <w:vAlign w:val="center"/>
          </w:tcPr>
          <w:p w14:paraId="40910291">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eastAsia"/>
                <w:sz w:val="21"/>
                <w:szCs w:val="21"/>
                <w:highlight w:val="none"/>
                <w:lang w:val="en-US" w:eastAsia="zh-CN"/>
              </w:rPr>
              <w:t>0.1（水库0.025）</w:t>
            </w:r>
          </w:p>
        </w:tc>
        <w:tc>
          <w:tcPr>
            <w:tcW w:w="805" w:type="dxa"/>
            <w:tcBorders>
              <w:tl2br w:val="nil"/>
              <w:tr2bl w:val="nil"/>
            </w:tcBorders>
            <w:noWrap w:val="0"/>
            <w:vAlign w:val="center"/>
          </w:tcPr>
          <w:p w14:paraId="7393D71B">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default"/>
                <w:sz w:val="21"/>
                <w:szCs w:val="21"/>
                <w:highlight w:val="none"/>
                <w:lang w:eastAsia="zh-CN"/>
              </w:rPr>
              <w:t>总氮</w:t>
            </w:r>
          </w:p>
        </w:tc>
        <w:tc>
          <w:tcPr>
            <w:tcW w:w="818" w:type="dxa"/>
            <w:tcBorders>
              <w:tl2br w:val="nil"/>
              <w:tr2bl w:val="nil"/>
            </w:tcBorders>
            <w:noWrap w:val="0"/>
            <w:vAlign w:val="center"/>
          </w:tcPr>
          <w:p w14:paraId="245FA4B7">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default"/>
                <w:sz w:val="21"/>
                <w:szCs w:val="21"/>
                <w:highlight w:val="none"/>
                <w:lang w:val="en-US" w:eastAsia="zh-CN"/>
              </w:rPr>
              <w:t>1.0</w:t>
            </w:r>
          </w:p>
        </w:tc>
        <w:tc>
          <w:tcPr>
            <w:tcW w:w="870" w:type="dxa"/>
            <w:tcBorders>
              <w:tl2br w:val="nil"/>
              <w:tr2bl w:val="nil"/>
            </w:tcBorders>
            <w:noWrap w:val="0"/>
            <w:vAlign w:val="center"/>
          </w:tcPr>
          <w:p w14:paraId="7B1FB220">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eastAsia"/>
                <w:sz w:val="21"/>
                <w:szCs w:val="21"/>
                <w:highlight w:val="none"/>
                <w:lang w:val="en-US" w:eastAsia="zh-CN"/>
              </w:rPr>
              <w:t>0.5</w:t>
            </w:r>
          </w:p>
        </w:tc>
      </w:tr>
      <w:tr w14:paraId="7F128F7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835" w:type="dxa"/>
            <w:tcBorders>
              <w:tl2br w:val="nil"/>
              <w:tr2bl w:val="nil"/>
            </w:tcBorders>
            <w:noWrap w:val="0"/>
            <w:vAlign w:val="center"/>
          </w:tcPr>
          <w:p w14:paraId="7257B3C4">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eastAsia="zh-CN"/>
              </w:rPr>
            </w:pPr>
            <w:r>
              <w:rPr>
                <w:rFonts w:hint="default"/>
                <w:sz w:val="21"/>
                <w:szCs w:val="21"/>
                <w:highlight w:val="none"/>
                <w:lang w:val="en-US" w:eastAsia="zh-CN"/>
              </w:rPr>
              <w:t>叶绿素a</w:t>
            </w:r>
          </w:p>
        </w:tc>
        <w:tc>
          <w:tcPr>
            <w:tcW w:w="927" w:type="dxa"/>
            <w:tcBorders>
              <w:tl2br w:val="nil"/>
              <w:tr2bl w:val="nil"/>
            </w:tcBorders>
            <w:noWrap w:val="0"/>
            <w:vAlign w:val="center"/>
          </w:tcPr>
          <w:p w14:paraId="49DEDC21">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default"/>
                <w:sz w:val="21"/>
                <w:szCs w:val="21"/>
                <w:highlight w:val="none"/>
                <w:lang w:val="en-US" w:eastAsia="zh-CN"/>
              </w:rPr>
              <w:t>/</w:t>
            </w:r>
          </w:p>
        </w:tc>
        <w:tc>
          <w:tcPr>
            <w:tcW w:w="995" w:type="dxa"/>
            <w:tcBorders>
              <w:tl2br w:val="nil"/>
              <w:tr2bl w:val="nil"/>
            </w:tcBorders>
            <w:noWrap w:val="0"/>
            <w:vAlign w:val="center"/>
          </w:tcPr>
          <w:p w14:paraId="1464E72B">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eastAsia"/>
                <w:sz w:val="21"/>
                <w:szCs w:val="21"/>
                <w:highlight w:val="none"/>
                <w:lang w:val="en-US" w:eastAsia="zh-CN"/>
              </w:rPr>
              <w:t>/</w:t>
            </w:r>
          </w:p>
        </w:tc>
        <w:tc>
          <w:tcPr>
            <w:tcW w:w="996" w:type="dxa"/>
            <w:tcBorders>
              <w:tl2br w:val="nil"/>
              <w:tr2bl w:val="nil"/>
            </w:tcBorders>
            <w:noWrap w:val="0"/>
            <w:vAlign w:val="center"/>
          </w:tcPr>
          <w:p w14:paraId="0A73B42D">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eastAsia="zh-CN"/>
              </w:rPr>
            </w:pPr>
            <w:r>
              <w:rPr>
                <w:rFonts w:hint="default"/>
                <w:sz w:val="21"/>
                <w:szCs w:val="21"/>
                <w:highlight w:val="none"/>
                <w:lang w:val="en-US" w:eastAsia="zh-CN"/>
              </w:rPr>
              <w:t>透明度</w:t>
            </w:r>
          </w:p>
        </w:tc>
        <w:tc>
          <w:tcPr>
            <w:tcW w:w="791" w:type="dxa"/>
            <w:tcBorders>
              <w:tl2br w:val="nil"/>
              <w:tr2bl w:val="nil"/>
            </w:tcBorders>
            <w:noWrap w:val="0"/>
            <w:vAlign w:val="center"/>
          </w:tcPr>
          <w:p w14:paraId="56556F9E">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default"/>
                <w:sz w:val="21"/>
                <w:szCs w:val="21"/>
                <w:highlight w:val="none"/>
                <w:lang w:val="en-US" w:eastAsia="zh-CN"/>
              </w:rPr>
              <w:t>/</w:t>
            </w:r>
          </w:p>
        </w:tc>
        <w:tc>
          <w:tcPr>
            <w:tcW w:w="981" w:type="dxa"/>
            <w:tcBorders>
              <w:tl2br w:val="nil"/>
              <w:tr2bl w:val="nil"/>
            </w:tcBorders>
            <w:noWrap w:val="0"/>
            <w:vAlign w:val="center"/>
          </w:tcPr>
          <w:p w14:paraId="279B297C">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eastAsia"/>
                <w:sz w:val="21"/>
                <w:szCs w:val="21"/>
                <w:highlight w:val="none"/>
                <w:lang w:val="en-US" w:eastAsia="zh-CN"/>
              </w:rPr>
              <w:t>/</w:t>
            </w:r>
          </w:p>
        </w:tc>
        <w:tc>
          <w:tcPr>
            <w:tcW w:w="805" w:type="dxa"/>
            <w:tcBorders>
              <w:tl2br w:val="nil"/>
              <w:tr2bl w:val="nil"/>
            </w:tcBorders>
            <w:noWrap w:val="0"/>
            <w:vAlign w:val="center"/>
          </w:tcPr>
          <w:p w14:paraId="07935D03">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rPr>
            </w:pPr>
            <w:r>
              <w:rPr>
                <w:rFonts w:hint="default"/>
                <w:sz w:val="21"/>
                <w:szCs w:val="21"/>
                <w:highlight w:val="none"/>
                <w:lang w:val="en-US" w:eastAsia="zh-CN"/>
              </w:rPr>
              <w:t>高锰酸盐指数</w:t>
            </w:r>
          </w:p>
        </w:tc>
        <w:tc>
          <w:tcPr>
            <w:tcW w:w="818" w:type="dxa"/>
            <w:tcBorders>
              <w:tl2br w:val="nil"/>
              <w:tr2bl w:val="nil"/>
            </w:tcBorders>
            <w:noWrap w:val="0"/>
            <w:vAlign w:val="center"/>
          </w:tcPr>
          <w:p w14:paraId="7F5317B5">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default"/>
                <w:sz w:val="21"/>
                <w:szCs w:val="21"/>
                <w:highlight w:val="none"/>
                <w:lang w:val="en-US" w:eastAsia="zh-CN"/>
              </w:rPr>
              <w:t>6</w:t>
            </w:r>
          </w:p>
        </w:tc>
        <w:tc>
          <w:tcPr>
            <w:tcW w:w="870" w:type="dxa"/>
            <w:tcBorders>
              <w:tl2br w:val="nil"/>
              <w:tr2bl w:val="nil"/>
            </w:tcBorders>
            <w:noWrap w:val="0"/>
            <w:vAlign w:val="center"/>
          </w:tcPr>
          <w:p w14:paraId="2EB6148B">
            <w:pPr>
              <w:pStyle w:val="23"/>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sz w:val="21"/>
                <w:szCs w:val="21"/>
                <w:highlight w:val="none"/>
                <w:lang w:val="en-US" w:eastAsia="zh-CN"/>
              </w:rPr>
            </w:pPr>
            <w:r>
              <w:rPr>
                <w:rFonts w:hint="eastAsia"/>
                <w:sz w:val="21"/>
                <w:szCs w:val="21"/>
                <w:highlight w:val="none"/>
                <w:lang w:val="en-US" w:eastAsia="zh-CN"/>
              </w:rPr>
              <w:t>4</w:t>
            </w:r>
          </w:p>
        </w:tc>
      </w:tr>
    </w:tbl>
    <w:p w14:paraId="15CF9BF9">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cs="Times New Roman"/>
          <w:color w:val="auto"/>
          <w:spacing w:val="4"/>
          <w:sz w:val="24"/>
          <w:szCs w:val="24"/>
          <w:highlight w:val="none"/>
        </w:rPr>
      </w:pPr>
      <w:r>
        <w:rPr>
          <w:rFonts w:hint="eastAsia" w:ascii="Times New Roman" w:hAnsi="Times New Roman" w:eastAsia="宋体" w:cs="Times New Roman"/>
          <w:b/>
          <w:bCs w:val="0"/>
          <w:color w:val="auto"/>
          <w:kern w:val="2"/>
          <w:sz w:val="24"/>
          <w:szCs w:val="24"/>
          <w:highlight w:val="none"/>
          <w:lang w:val="en-US" w:eastAsia="zh-CN" w:bidi="ar-SA"/>
        </w:rPr>
        <w:t>（3）</w:t>
      </w:r>
      <w:r>
        <w:rPr>
          <w:rFonts w:hint="default" w:ascii="Times New Roman" w:hAnsi="Times New Roman" w:eastAsia="宋体" w:cs="Times New Roman"/>
          <w:b/>
          <w:bCs w:val="0"/>
          <w:color w:val="auto"/>
          <w:kern w:val="2"/>
          <w:sz w:val="24"/>
          <w:szCs w:val="24"/>
          <w:highlight w:val="none"/>
          <w:lang w:val="en-US" w:eastAsia="zh-CN" w:bidi="ar-SA"/>
        </w:rPr>
        <w:t>声环境</w:t>
      </w:r>
    </w:p>
    <w:p w14:paraId="13D8B04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执行《声环境质量标准》（GB3096-2008）中的2类标准，具体值见下表。</w:t>
      </w:r>
    </w:p>
    <w:p w14:paraId="0AB2A0C4">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z w:val="24"/>
          <w:szCs w:val="24"/>
          <w:highlight w:val="none"/>
        </w:rPr>
        <w:t>表</w:t>
      </w:r>
      <w:r>
        <w:rPr>
          <w:rFonts w:hint="eastAsia" w:cs="Times New Roman"/>
          <w:b/>
          <w:bCs/>
          <w:color w:val="auto"/>
          <w:sz w:val="24"/>
          <w:szCs w:val="24"/>
          <w:highlight w:val="none"/>
          <w:lang w:val="en-US" w:eastAsia="zh-CN"/>
        </w:rPr>
        <w:t>2.4-3</w:t>
      </w:r>
      <w:r>
        <w:rPr>
          <w:rFonts w:hint="eastAsia" w:ascii="Times New Roman" w:hAnsi="Times New Roman" w:eastAsia="宋体" w:cs="Times New Roman"/>
          <w:b/>
          <w:bCs/>
          <w:color w:val="auto"/>
          <w:sz w:val="24"/>
          <w:szCs w:val="24"/>
          <w:highlight w:val="none"/>
          <w:lang w:val="en-US" w:eastAsia="zh-CN"/>
        </w:rPr>
        <w:t xml:space="preserve">  </w:t>
      </w:r>
      <w:r>
        <w:rPr>
          <w:rFonts w:hint="default" w:ascii="Times New Roman" w:hAnsi="Times New Roman" w:eastAsia="宋体" w:cs="Times New Roman"/>
          <w:b/>
          <w:bCs/>
          <w:color w:val="auto"/>
          <w:sz w:val="24"/>
          <w:szCs w:val="24"/>
          <w:highlight w:val="none"/>
        </w:rPr>
        <w:t>声环境质量标准（GB3096-2008）等效声级LAeq：dB）</w:t>
      </w:r>
    </w:p>
    <w:tbl>
      <w:tblPr>
        <w:tblStyle w:val="1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158"/>
        <w:gridCol w:w="2973"/>
        <w:gridCol w:w="3391"/>
      </w:tblGrid>
      <w:tr w14:paraId="7D23662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48" w:type="dxa"/>
            <w:tcBorders>
              <w:tl2br w:val="nil"/>
              <w:tr2bl w:val="nil"/>
            </w:tcBorders>
            <w:noWrap w:val="0"/>
            <w:vAlign w:val="center"/>
          </w:tcPr>
          <w:p w14:paraId="67B01E71">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类别</w:t>
            </w:r>
          </w:p>
        </w:tc>
        <w:tc>
          <w:tcPr>
            <w:tcW w:w="1582" w:type="dxa"/>
            <w:tcBorders>
              <w:tl2br w:val="nil"/>
              <w:tr2bl w:val="nil"/>
            </w:tcBorders>
            <w:noWrap w:val="0"/>
            <w:vAlign w:val="center"/>
          </w:tcPr>
          <w:p w14:paraId="6AE3B2F7">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昼间</w:t>
            </w:r>
          </w:p>
        </w:tc>
        <w:tc>
          <w:tcPr>
            <w:tcW w:w="1804" w:type="dxa"/>
            <w:tcBorders>
              <w:tl2br w:val="nil"/>
              <w:tr2bl w:val="nil"/>
            </w:tcBorders>
            <w:noWrap w:val="0"/>
            <w:vAlign w:val="center"/>
          </w:tcPr>
          <w:p w14:paraId="48452F0B">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夜间</w:t>
            </w:r>
          </w:p>
        </w:tc>
      </w:tr>
      <w:tr w14:paraId="6A16635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48" w:type="dxa"/>
            <w:tcBorders>
              <w:tl2br w:val="nil"/>
              <w:tr2bl w:val="nil"/>
            </w:tcBorders>
            <w:noWrap w:val="0"/>
            <w:vAlign w:val="center"/>
          </w:tcPr>
          <w:p w14:paraId="732542D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2类</w:t>
            </w:r>
          </w:p>
        </w:tc>
        <w:tc>
          <w:tcPr>
            <w:tcW w:w="1582" w:type="dxa"/>
            <w:tcBorders>
              <w:tl2br w:val="nil"/>
              <w:tr2bl w:val="nil"/>
            </w:tcBorders>
            <w:noWrap w:val="0"/>
            <w:vAlign w:val="center"/>
          </w:tcPr>
          <w:p w14:paraId="2D8E8284">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60</w:t>
            </w:r>
          </w:p>
        </w:tc>
        <w:tc>
          <w:tcPr>
            <w:tcW w:w="1804" w:type="dxa"/>
            <w:tcBorders>
              <w:tl2br w:val="nil"/>
              <w:tr2bl w:val="nil"/>
            </w:tcBorders>
            <w:noWrap w:val="0"/>
            <w:vAlign w:val="center"/>
          </w:tcPr>
          <w:p w14:paraId="294CE6B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eastAsia="en-US"/>
              </w:rPr>
              <w:t>50</w:t>
            </w:r>
          </w:p>
        </w:tc>
      </w:tr>
    </w:tbl>
    <w:p w14:paraId="17201A70">
      <w:pPr>
        <w:pStyle w:val="5"/>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污染物排放标准</w:t>
      </w:r>
    </w:p>
    <w:p w14:paraId="36C508F9">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eastAsia="宋体" w:cs="Times New Roman"/>
          <w:b/>
          <w:bCs w:val="0"/>
          <w:color w:val="auto"/>
          <w:kern w:val="2"/>
          <w:sz w:val="24"/>
          <w:szCs w:val="24"/>
          <w:highlight w:val="none"/>
          <w:lang w:val="en-US" w:eastAsia="zh-CN" w:bidi="ar-SA"/>
        </w:rPr>
      </w:pPr>
      <w:r>
        <w:rPr>
          <w:rFonts w:hint="eastAsia" w:ascii="Times New Roman" w:hAnsi="Times New Roman" w:eastAsia="宋体" w:cs="Times New Roman"/>
          <w:b/>
          <w:bCs w:val="0"/>
          <w:color w:val="auto"/>
          <w:kern w:val="2"/>
          <w:sz w:val="24"/>
          <w:szCs w:val="24"/>
          <w:highlight w:val="none"/>
          <w:lang w:val="en-US" w:eastAsia="zh-CN" w:bidi="ar-SA"/>
        </w:rPr>
        <w:t>（1）</w:t>
      </w:r>
      <w:r>
        <w:rPr>
          <w:rFonts w:hint="default" w:ascii="Times New Roman" w:hAnsi="Times New Roman" w:eastAsia="宋体" w:cs="Times New Roman"/>
          <w:b/>
          <w:bCs w:val="0"/>
          <w:color w:val="auto"/>
          <w:kern w:val="2"/>
          <w:sz w:val="24"/>
          <w:szCs w:val="24"/>
          <w:highlight w:val="none"/>
          <w:lang w:val="en-US" w:eastAsia="zh-CN" w:bidi="ar-SA"/>
        </w:rPr>
        <w:t>废气</w:t>
      </w:r>
    </w:p>
    <w:p w14:paraId="38FC4AB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color w:val="auto"/>
          <w:sz w:val="24"/>
          <w:szCs w:val="24"/>
          <w:highlight w:val="none"/>
        </w:rPr>
      </w:pPr>
      <w:r>
        <w:rPr>
          <w:rFonts w:hint="eastAsia" w:cs="Times New Roman"/>
          <w:color w:val="auto"/>
          <w:sz w:val="24"/>
          <w:szCs w:val="24"/>
          <w:highlight w:val="none"/>
          <w:lang w:eastAsia="zh-CN"/>
        </w:rPr>
        <w:t>施工期</w:t>
      </w:r>
      <w:r>
        <w:rPr>
          <w:rFonts w:hint="default" w:ascii="Times New Roman" w:hAnsi="Times New Roman" w:cs="Times New Roman"/>
          <w:color w:val="auto"/>
          <w:sz w:val="24"/>
          <w:szCs w:val="24"/>
          <w:highlight w:val="none"/>
        </w:rPr>
        <w:t>废气执行《大气污染物综合排放标准》（GB16297-1996）表2中二级标准，其标准限值见</w:t>
      </w:r>
      <w:r>
        <w:rPr>
          <w:rFonts w:hint="eastAsia" w:ascii="Times New Roman" w:hAnsi="Times New Roman" w:cs="Times New Roman"/>
          <w:color w:val="auto"/>
          <w:sz w:val="24"/>
          <w:szCs w:val="24"/>
          <w:highlight w:val="none"/>
          <w:lang w:eastAsia="zh-CN"/>
        </w:rPr>
        <w:t>下表</w:t>
      </w:r>
      <w:r>
        <w:rPr>
          <w:rFonts w:hint="default" w:ascii="Times New Roman" w:hAnsi="Times New Roman" w:cs="Times New Roman"/>
          <w:color w:val="auto"/>
          <w:sz w:val="24"/>
          <w:szCs w:val="24"/>
          <w:highlight w:val="none"/>
        </w:rPr>
        <w:t>。</w:t>
      </w:r>
    </w:p>
    <w:p w14:paraId="47BF7046">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z w:val="24"/>
          <w:szCs w:val="24"/>
          <w:highlight w:val="none"/>
        </w:rPr>
        <w:t>表</w:t>
      </w:r>
      <w:r>
        <w:rPr>
          <w:rFonts w:hint="eastAsia" w:cs="Times New Roman"/>
          <w:b/>
          <w:bCs/>
          <w:color w:val="auto"/>
          <w:sz w:val="24"/>
          <w:szCs w:val="24"/>
          <w:highlight w:val="none"/>
          <w:lang w:val="en-US" w:eastAsia="zh-CN"/>
        </w:rPr>
        <w:t>2.4-4</w:t>
      </w:r>
      <w:r>
        <w:rPr>
          <w:rFonts w:hint="eastAsia" w:ascii="Times New Roman" w:hAnsi="Times New Roman" w:eastAsia="宋体" w:cs="Times New Roman"/>
          <w:b/>
          <w:bCs/>
          <w:color w:val="auto"/>
          <w:sz w:val="24"/>
          <w:szCs w:val="24"/>
          <w:highlight w:val="none"/>
          <w:lang w:val="en-US" w:eastAsia="zh-CN"/>
        </w:rPr>
        <w:t xml:space="preserve">  </w:t>
      </w:r>
      <w:r>
        <w:rPr>
          <w:rFonts w:hint="default" w:ascii="Times New Roman" w:hAnsi="Times New Roman" w:eastAsia="宋体" w:cs="Times New Roman"/>
          <w:b/>
          <w:bCs/>
          <w:color w:val="auto"/>
          <w:sz w:val="24"/>
          <w:szCs w:val="24"/>
          <w:highlight w:val="none"/>
        </w:rPr>
        <w:t>《大气污染物综合排放标准》（GB16297-1996）表2中二级标准</w:t>
      </w:r>
    </w:p>
    <w:tbl>
      <w:tblPr>
        <w:tblStyle w:val="1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394"/>
        <w:gridCol w:w="4128"/>
      </w:tblGrid>
      <w:tr w14:paraId="035D732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4" w:type="dxa"/>
            <w:tcBorders>
              <w:tl2br w:val="nil"/>
              <w:tr2bl w:val="nil"/>
            </w:tcBorders>
            <w:noWrap w:val="0"/>
            <w:vAlign w:val="center"/>
          </w:tcPr>
          <w:p w14:paraId="33341418">
            <w:pPr>
              <w:pStyle w:val="23"/>
              <w:bidi w:val="0"/>
              <w:rPr>
                <w:rFonts w:hint="eastAsia" w:eastAsia="宋体"/>
                <w:highlight w:val="none"/>
                <w:lang w:eastAsia="zh-CN"/>
              </w:rPr>
            </w:pPr>
            <w:r>
              <w:rPr>
                <w:rFonts w:hint="eastAsia"/>
                <w:highlight w:val="none"/>
                <w:lang w:eastAsia="zh-CN"/>
              </w:rPr>
              <w:t>污染物名称</w:t>
            </w:r>
          </w:p>
        </w:tc>
        <w:tc>
          <w:tcPr>
            <w:tcW w:w="4128" w:type="dxa"/>
            <w:tcBorders>
              <w:tl2br w:val="nil"/>
              <w:tr2bl w:val="nil"/>
            </w:tcBorders>
            <w:noWrap w:val="0"/>
            <w:vAlign w:val="center"/>
          </w:tcPr>
          <w:p w14:paraId="5A622389">
            <w:pPr>
              <w:pStyle w:val="23"/>
              <w:bidi w:val="0"/>
              <w:rPr>
                <w:rFonts w:hint="eastAsia" w:eastAsia="宋体"/>
                <w:highlight w:val="none"/>
                <w:lang w:eastAsia="zh-CN"/>
              </w:rPr>
            </w:pPr>
            <w:r>
              <w:rPr>
                <w:rFonts w:hint="eastAsia"/>
                <w:highlight w:val="none"/>
                <w:lang w:eastAsia="zh-CN"/>
              </w:rPr>
              <w:t>无组织排放监控浓度限值</w:t>
            </w:r>
          </w:p>
        </w:tc>
      </w:tr>
      <w:tr w14:paraId="5B17B0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4" w:type="dxa"/>
            <w:tcBorders>
              <w:tl2br w:val="nil"/>
              <w:tr2bl w:val="nil"/>
            </w:tcBorders>
            <w:noWrap w:val="0"/>
            <w:vAlign w:val="center"/>
          </w:tcPr>
          <w:p w14:paraId="1B8D8575">
            <w:pPr>
              <w:pStyle w:val="23"/>
              <w:bidi w:val="0"/>
              <w:rPr>
                <w:rFonts w:hint="default"/>
                <w:highlight w:val="none"/>
              </w:rPr>
            </w:pPr>
            <w:r>
              <w:rPr>
                <w:rFonts w:hint="default"/>
                <w:highlight w:val="none"/>
              </w:rPr>
              <w:t>二氧化硫</w:t>
            </w:r>
          </w:p>
        </w:tc>
        <w:tc>
          <w:tcPr>
            <w:tcW w:w="4128" w:type="dxa"/>
            <w:tcBorders>
              <w:tl2br w:val="nil"/>
              <w:tr2bl w:val="nil"/>
            </w:tcBorders>
            <w:noWrap w:val="0"/>
            <w:vAlign w:val="center"/>
          </w:tcPr>
          <w:p w14:paraId="38D644E1">
            <w:pPr>
              <w:pStyle w:val="23"/>
              <w:bidi w:val="0"/>
              <w:rPr>
                <w:rFonts w:hint="default"/>
                <w:highlight w:val="none"/>
              </w:rPr>
            </w:pPr>
            <w:r>
              <w:rPr>
                <w:rFonts w:hint="default"/>
                <w:highlight w:val="none"/>
              </w:rPr>
              <w:t>0.40</w:t>
            </w:r>
          </w:p>
        </w:tc>
      </w:tr>
      <w:tr w14:paraId="7FB5A05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4" w:type="dxa"/>
            <w:tcBorders>
              <w:tl2br w:val="nil"/>
              <w:tr2bl w:val="nil"/>
            </w:tcBorders>
            <w:noWrap w:val="0"/>
            <w:vAlign w:val="center"/>
          </w:tcPr>
          <w:p w14:paraId="5C59BC53">
            <w:pPr>
              <w:pStyle w:val="23"/>
              <w:bidi w:val="0"/>
              <w:rPr>
                <w:rFonts w:hint="default"/>
                <w:highlight w:val="none"/>
              </w:rPr>
            </w:pPr>
            <w:r>
              <w:rPr>
                <w:rFonts w:hint="default"/>
                <w:highlight w:val="none"/>
              </w:rPr>
              <w:t>氮氧化物</w:t>
            </w:r>
          </w:p>
        </w:tc>
        <w:tc>
          <w:tcPr>
            <w:tcW w:w="4128" w:type="dxa"/>
            <w:tcBorders>
              <w:tl2br w:val="nil"/>
              <w:tr2bl w:val="nil"/>
            </w:tcBorders>
            <w:noWrap w:val="0"/>
            <w:vAlign w:val="center"/>
          </w:tcPr>
          <w:p w14:paraId="119ADCC9">
            <w:pPr>
              <w:pStyle w:val="23"/>
              <w:bidi w:val="0"/>
              <w:rPr>
                <w:rFonts w:hint="default"/>
                <w:highlight w:val="none"/>
              </w:rPr>
            </w:pPr>
            <w:r>
              <w:rPr>
                <w:rFonts w:hint="default"/>
                <w:highlight w:val="none"/>
              </w:rPr>
              <w:t>0.12</w:t>
            </w:r>
          </w:p>
        </w:tc>
      </w:tr>
      <w:tr w14:paraId="0FDEC1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4" w:type="dxa"/>
            <w:tcBorders>
              <w:tl2br w:val="nil"/>
              <w:tr2bl w:val="nil"/>
            </w:tcBorders>
            <w:noWrap w:val="0"/>
            <w:vAlign w:val="center"/>
          </w:tcPr>
          <w:p w14:paraId="171F8CFE">
            <w:pPr>
              <w:pStyle w:val="23"/>
              <w:bidi w:val="0"/>
              <w:rPr>
                <w:rFonts w:hint="default"/>
                <w:highlight w:val="none"/>
              </w:rPr>
            </w:pPr>
            <w:r>
              <w:rPr>
                <w:rFonts w:hint="default"/>
                <w:highlight w:val="none"/>
              </w:rPr>
              <w:t>颗粒物</w:t>
            </w:r>
          </w:p>
        </w:tc>
        <w:tc>
          <w:tcPr>
            <w:tcW w:w="4128" w:type="dxa"/>
            <w:tcBorders>
              <w:tl2br w:val="nil"/>
              <w:tr2bl w:val="nil"/>
            </w:tcBorders>
            <w:noWrap w:val="0"/>
            <w:vAlign w:val="center"/>
          </w:tcPr>
          <w:p w14:paraId="16622634">
            <w:pPr>
              <w:pStyle w:val="23"/>
              <w:bidi w:val="0"/>
              <w:rPr>
                <w:rFonts w:hint="default"/>
                <w:highlight w:val="none"/>
              </w:rPr>
            </w:pPr>
            <w:r>
              <w:rPr>
                <w:rFonts w:hint="default"/>
                <w:highlight w:val="none"/>
              </w:rPr>
              <w:t>1.0</w:t>
            </w:r>
          </w:p>
        </w:tc>
      </w:tr>
    </w:tbl>
    <w:p w14:paraId="0B8E98C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textAlignment w:val="auto"/>
        <w:rPr>
          <w:rFonts w:hint="eastAsia" w:ascii="Times New Roman" w:hAnsi="Times New Roman" w:eastAsia="宋体" w:cs="Times New Roman"/>
          <w:b/>
          <w:bCs w:val="0"/>
          <w:color w:val="auto"/>
          <w:kern w:val="2"/>
          <w:sz w:val="24"/>
          <w:szCs w:val="24"/>
          <w:highlight w:val="none"/>
          <w:lang w:val="en-US" w:eastAsia="zh-CN" w:bidi="ar-SA"/>
        </w:rPr>
      </w:pPr>
      <w:r>
        <w:rPr>
          <w:rFonts w:hint="eastAsia" w:cs="Times New Roman"/>
          <w:b/>
          <w:bCs w:val="0"/>
          <w:color w:val="auto"/>
          <w:kern w:val="2"/>
          <w:sz w:val="21"/>
          <w:szCs w:val="21"/>
          <w:highlight w:val="none"/>
          <w:lang w:val="en-US" w:eastAsia="zh-CN" w:bidi="ar-SA"/>
        </w:rPr>
        <w:t>注：</w:t>
      </w:r>
      <w:r>
        <w:rPr>
          <w:rFonts w:hint="eastAsia" w:cs="Times New Roman"/>
          <w:color w:val="auto"/>
          <w:sz w:val="21"/>
          <w:szCs w:val="21"/>
          <w:highlight w:val="none"/>
          <w:lang w:eastAsia="zh-CN"/>
        </w:rPr>
        <w:t>项目营运期无工艺废气排放。升压站食堂会排放少量食堂油烟，根据《饮食业油烟排放标准(试行)》（GB18483-2001）的适用范围，该标准适用于城市建成区，本项目位于农村地区，因此，升压站食堂油烟不执行该标准。</w:t>
      </w:r>
    </w:p>
    <w:p w14:paraId="1FE4D843">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eastAsia="宋体" w:cs="Times New Roman"/>
          <w:b/>
          <w:bCs w:val="0"/>
          <w:color w:val="auto"/>
          <w:kern w:val="2"/>
          <w:sz w:val="24"/>
          <w:szCs w:val="24"/>
          <w:highlight w:val="none"/>
          <w:lang w:val="en-US" w:eastAsia="zh-CN" w:bidi="ar-SA"/>
        </w:rPr>
      </w:pPr>
      <w:r>
        <w:rPr>
          <w:rFonts w:hint="eastAsia" w:ascii="Times New Roman" w:hAnsi="Times New Roman" w:eastAsia="宋体" w:cs="Times New Roman"/>
          <w:b/>
          <w:bCs w:val="0"/>
          <w:color w:val="auto"/>
          <w:kern w:val="2"/>
          <w:sz w:val="24"/>
          <w:szCs w:val="24"/>
          <w:highlight w:val="none"/>
          <w:lang w:val="en-US" w:eastAsia="zh-CN" w:bidi="ar-SA"/>
        </w:rPr>
        <w:t>（2）</w:t>
      </w:r>
      <w:r>
        <w:rPr>
          <w:rFonts w:hint="default" w:ascii="Times New Roman" w:hAnsi="Times New Roman" w:eastAsia="宋体" w:cs="Times New Roman"/>
          <w:b/>
          <w:bCs w:val="0"/>
          <w:color w:val="auto"/>
          <w:kern w:val="2"/>
          <w:sz w:val="24"/>
          <w:szCs w:val="24"/>
          <w:highlight w:val="none"/>
          <w:lang w:val="en-US" w:eastAsia="zh-CN" w:bidi="ar-SA"/>
        </w:rPr>
        <w:t>废水</w:t>
      </w:r>
    </w:p>
    <w:p w14:paraId="789C8FC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color w:val="auto"/>
          <w:sz w:val="24"/>
          <w:szCs w:val="24"/>
          <w:highlight w:val="none"/>
          <w:lang w:eastAsia="zh-CN"/>
        </w:rPr>
      </w:pPr>
      <w:r>
        <w:rPr>
          <w:rFonts w:hint="default" w:ascii="Times New Roman" w:hAnsi="Times New Roman" w:cs="Times New Roman"/>
          <w:color w:val="auto"/>
          <w:sz w:val="24"/>
          <w:szCs w:val="24"/>
          <w:highlight w:val="none"/>
          <w:lang w:eastAsia="zh-CN"/>
        </w:rPr>
        <w:t>本项目营运期无废水产生，项目</w:t>
      </w:r>
      <w:r>
        <w:rPr>
          <w:rFonts w:hint="eastAsia" w:ascii="Times New Roman" w:hAnsi="Times New Roman" w:cs="Times New Roman"/>
          <w:color w:val="auto"/>
          <w:sz w:val="24"/>
          <w:szCs w:val="24"/>
          <w:highlight w:val="none"/>
          <w:lang w:eastAsia="zh-CN"/>
        </w:rPr>
        <w:t>生活污水</w:t>
      </w:r>
      <w:r>
        <w:rPr>
          <w:rFonts w:hint="default" w:ascii="Times New Roman" w:hAnsi="Times New Roman" w:cs="Times New Roman"/>
          <w:color w:val="auto"/>
          <w:sz w:val="24"/>
          <w:szCs w:val="24"/>
          <w:highlight w:val="none"/>
          <w:lang w:eastAsia="zh-CN"/>
        </w:rPr>
        <w:t>依托</w:t>
      </w:r>
      <w:r>
        <w:rPr>
          <w:rFonts w:hint="eastAsia" w:ascii="Times New Roman" w:hAnsi="Times New Roman" w:cs="Times New Roman"/>
          <w:color w:val="auto"/>
          <w:sz w:val="24"/>
          <w:szCs w:val="24"/>
          <w:highlight w:val="none"/>
          <w:lang w:eastAsia="zh-CN"/>
        </w:rPr>
        <w:t>大马风电场</w:t>
      </w:r>
      <w:r>
        <w:rPr>
          <w:rFonts w:hint="default" w:ascii="Times New Roman" w:hAnsi="Times New Roman" w:cs="Times New Roman"/>
          <w:color w:val="auto"/>
          <w:sz w:val="24"/>
          <w:szCs w:val="24"/>
          <w:highlight w:val="none"/>
          <w:lang w:eastAsia="zh-CN"/>
        </w:rPr>
        <w:t>升压站</w:t>
      </w:r>
      <w:r>
        <w:rPr>
          <w:rFonts w:hint="eastAsia" w:ascii="Times New Roman" w:hAnsi="Times New Roman" w:cs="Times New Roman"/>
          <w:color w:val="auto"/>
          <w:sz w:val="24"/>
          <w:szCs w:val="24"/>
          <w:highlight w:val="none"/>
          <w:lang w:eastAsia="zh-CN"/>
        </w:rPr>
        <w:t>已建的</w:t>
      </w:r>
      <w:r>
        <w:rPr>
          <w:rFonts w:hint="default" w:ascii="Times New Roman" w:hAnsi="Times New Roman" w:cs="Times New Roman"/>
          <w:color w:val="auto"/>
          <w:sz w:val="24"/>
          <w:szCs w:val="24"/>
          <w:highlight w:val="none"/>
          <w:lang w:eastAsia="zh-CN"/>
        </w:rPr>
        <w:t>一体化污水处理设施</w:t>
      </w:r>
      <w:r>
        <w:rPr>
          <w:rFonts w:hint="eastAsia" w:ascii="Times New Roman" w:hAnsi="Times New Roman" w:cs="Times New Roman"/>
          <w:color w:val="auto"/>
          <w:sz w:val="24"/>
          <w:szCs w:val="24"/>
          <w:highlight w:val="none"/>
          <w:lang w:eastAsia="zh-CN"/>
        </w:rPr>
        <w:t>处理达到《污水综合排放标准》（</w:t>
      </w:r>
      <w:r>
        <w:rPr>
          <w:rFonts w:hint="eastAsia" w:ascii="Times New Roman" w:hAnsi="Times New Roman" w:cs="Times New Roman"/>
          <w:color w:val="auto"/>
          <w:sz w:val="24"/>
          <w:szCs w:val="24"/>
          <w:highlight w:val="none"/>
          <w:lang w:val="en-US" w:eastAsia="zh-CN"/>
        </w:rPr>
        <w:t>GB8978-1996</w:t>
      </w:r>
      <w:r>
        <w:rPr>
          <w:rFonts w:hint="eastAsia" w:ascii="Times New Roman" w:hAnsi="Times New Roman" w:cs="Times New Roman"/>
          <w:color w:val="auto"/>
          <w:sz w:val="24"/>
          <w:szCs w:val="24"/>
          <w:highlight w:val="none"/>
          <w:lang w:eastAsia="zh-CN"/>
        </w:rPr>
        <w:t>）表</w:t>
      </w:r>
      <w:r>
        <w:rPr>
          <w:rFonts w:hint="eastAsia" w:ascii="Times New Roman" w:hAnsi="Times New Roman" w:cs="Times New Roman"/>
          <w:color w:val="auto"/>
          <w:sz w:val="24"/>
          <w:szCs w:val="24"/>
          <w:highlight w:val="none"/>
          <w:lang w:val="en-US" w:eastAsia="zh-CN"/>
        </w:rPr>
        <w:t>4中一级标准</w:t>
      </w:r>
      <w:r>
        <w:rPr>
          <w:rFonts w:hint="eastAsia" w:ascii="Times New Roman" w:hAnsi="Times New Roman" w:cs="Times New Roman"/>
          <w:color w:val="auto"/>
          <w:sz w:val="24"/>
          <w:szCs w:val="24"/>
          <w:highlight w:val="none"/>
          <w:lang w:eastAsia="zh-CN"/>
        </w:rPr>
        <w:t>后</w:t>
      </w:r>
      <w:r>
        <w:rPr>
          <w:rFonts w:hint="default" w:ascii="Times New Roman" w:hAnsi="Times New Roman" w:cs="Times New Roman"/>
          <w:color w:val="auto"/>
          <w:sz w:val="24"/>
          <w:szCs w:val="24"/>
          <w:highlight w:val="none"/>
          <w:lang w:eastAsia="zh-CN"/>
        </w:rPr>
        <w:t>回用于场内绿化灌溉，不外排。</w:t>
      </w:r>
    </w:p>
    <w:p w14:paraId="3FCB2C5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bCs w:val="0"/>
          <w:color w:val="auto"/>
          <w:kern w:val="2"/>
          <w:sz w:val="24"/>
          <w:szCs w:val="24"/>
          <w:highlight w:val="none"/>
          <w:lang w:val="en-US" w:eastAsia="zh-CN" w:bidi="ar-SA"/>
        </w:rPr>
      </w:pPr>
      <w:r>
        <w:rPr>
          <w:rFonts w:hint="eastAsia" w:ascii="Times New Roman" w:hAnsi="Times New Roman" w:eastAsia="宋体" w:cs="Times New Roman"/>
          <w:b/>
          <w:bCs w:val="0"/>
          <w:color w:val="auto"/>
          <w:kern w:val="2"/>
          <w:sz w:val="24"/>
          <w:szCs w:val="24"/>
          <w:highlight w:val="none"/>
          <w:lang w:val="en-US" w:eastAsia="zh-CN" w:bidi="ar-SA"/>
        </w:rPr>
        <w:t>表</w:t>
      </w:r>
      <w:r>
        <w:rPr>
          <w:rFonts w:hint="eastAsia" w:cs="Times New Roman"/>
          <w:b/>
          <w:bCs w:val="0"/>
          <w:color w:val="auto"/>
          <w:kern w:val="2"/>
          <w:sz w:val="24"/>
          <w:szCs w:val="24"/>
          <w:highlight w:val="none"/>
          <w:lang w:val="en-US" w:eastAsia="zh-CN" w:bidi="ar-SA"/>
        </w:rPr>
        <w:t>2.4-5</w:t>
      </w:r>
      <w:r>
        <w:rPr>
          <w:rFonts w:hint="eastAsia" w:ascii="Times New Roman" w:hAnsi="Times New Roman" w:eastAsia="宋体" w:cs="Times New Roman"/>
          <w:b/>
          <w:bCs w:val="0"/>
          <w:color w:val="auto"/>
          <w:kern w:val="2"/>
          <w:sz w:val="24"/>
          <w:szCs w:val="24"/>
          <w:highlight w:val="none"/>
          <w:lang w:val="en-US" w:eastAsia="zh-CN" w:bidi="ar-SA"/>
        </w:rPr>
        <w:t xml:space="preserve">  《污水综合排放标准》（GB8978-1996）表4中一级标准</w:t>
      </w:r>
    </w:p>
    <w:tbl>
      <w:tblPr>
        <w:tblStyle w:val="20"/>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1704"/>
        <w:gridCol w:w="1704"/>
        <w:gridCol w:w="1705"/>
        <w:gridCol w:w="1705"/>
      </w:tblGrid>
      <w:tr w14:paraId="102AEAF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9" w:type="dxa"/>
            <w:tcBorders>
              <w:tl2br w:val="nil"/>
              <w:tr2bl w:val="nil"/>
            </w:tcBorders>
            <w:noWrap w:val="0"/>
            <w:vAlign w:val="center"/>
          </w:tcPr>
          <w:p w14:paraId="6BB18C8A">
            <w:pPr>
              <w:pStyle w:val="2"/>
              <w:keepNext w:val="0"/>
              <w:keepLines w:val="0"/>
              <w:pageBreakBefore w:val="0"/>
              <w:widowControl/>
              <w:kinsoku/>
              <w:wordWrap/>
              <w:overflowPunct/>
              <w:topLinePunct w:val="0"/>
              <w:autoSpaceDE/>
              <w:autoSpaceDN/>
              <w:bidi w:val="0"/>
              <w:adjustRightInd w:val="0"/>
              <w:snapToGrid w:val="0"/>
              <w:spacing w:before="0" w:after="0" w:line="240" w:lineRule="auto"/>
              <w:ind w:right="0"/>
              <w:jc w:val="center"/>
              <w:textAlignment w:val="auto"/>
              <w:rPr>
                <w:rFonts w:hint="default"/>
                <w:sz w:val="21"/>
                <w:szCs w:val="21"/>
                <w:highlight w:val="none"/>
                <w:vertAlign w:val="baseline"/>
                <w:lang w:val="en-US" w:eastAsia="zh-CN"/>
              </w:rPr>
            </w:pPr>
            <w:r>
              <w:rPr>
                <w:rFonts w:hint="eastAsia"/>
                <w:sz w:val="21"/>
                <w:szCs w:val="21"/>
                <w:highlight w:val="none"/>
                <w:vertAlign w:val="baseline"/>
                <w:lang w:val="en-US" w:eastAsia="zh-CN"/>
              </w:rPr>
              <w:t>pH</w:t>
            </w:r>
          </w:p>
        </w:tc>
        <w:tc>
          <w:tcPr>
            <w:tcW w:w="1339" w:type="dxa"/>
            <w:tcBorders>
              <w:tl2br w:val="nil"/>
              <w:tr2bl w:val="nil"/>
            </w:tcBorders>
            <w:noWrap w:val="0"/>
            <w:vAlign w:val="center"/>
          </w:tcPr>
          <w:p w14:paraId="04ECF44D">
            <w:pPr>
              <w:pStyle w:val="2"/>
              <w:keepNext w:val="0"/>
              <w:keepLines w:val="0"/>
              <w:pageBreakBefore w:val="0"/>
              <w:widowControl/>
              <w:kinsoku/>
              <w:wordWrap/>
              <w:overflowPunct/>
              <w:topLinePunct w:val="0"/>
              <w:autoSpaceDE/>
              <w:autoSpaceDN/>
              <w:bidi w:val="0"/>
              <w:adjustRightInd w:val="0"/>
              <w:snapToGrid w:val="0"/>
              <w:spacing w:before="0" w:after="0" w:line="240" w:lineRule="auto"/>
              <w:ind w:right="0"/>
              <w:jc w:val="center"/>
              <w:textAlignment w:val="auto"/>
              <w:rPr>
                <w:rFonts w:hint="default"/>
                <w:sz w:val="21"/>
                <w:szCs w:val="21"/>
                <w:highlight w:val="none"/>
                <w:vertAlign w:val="baseline"/>
                <w:lang w:val="en-US" w:eastAsia="zh-CN"/>
              </w:rPr>
            </w:pPr>
            <w:r>
              <w:rPr>
                <w:rFonts w:hint="eastAsia"/>
                <w:sz w:val="21"/>
                <w:szCs w:val="21"/>
                <w:highlight w:val="none"/>
                <w:vertAlign w:val="baseline"/>
                <w:lang w:val="en-US" w:eastAsia="zh-CN"/>
              </w:rPr>
              <w:t>COD</w:t>
            </w:r>
          </w:p>
        </w:tc>
        <w:tc>
          <w:tcPr>
            <w:tcW w:w="1339" w:type="dxa"/>
            <w:tcBorders>
              <w:tl2br w:val="nil"/>
              <w:tr2bl w:val="nil"/>
            </w:tcBorders>
            <w:noWrap w:val="0"/>
            <w:vAlign w:val="center"/>
          </w:tcPr>
          <w:p w14:paraId="3C6220C0">
            <w:pPr>
              <w:pStyle w:val="2"/>
              <w:keepNext w:val="0"/>
              <w:keepLines w:val="0"/>
              <w:pageBreakBefore w:val="0"/>
              <w:widowControl/>
              <w:kinsoku/>
              <w:wordWrap/>
              <w:overflowPunct/>
              <w:topLinePunct w:val="0"/>
              <w:autoSpaceDE/>
              <w:autoSpaceDN/>
              <w:bidi w:val="0"/>
              <w:adjustRightInd w:val="0"/>
              <w:snapToGrid w:val="0"/>
              <w:spacing w:before="0" w:after="0" w:line="240" w:lineRule="auto"/>
              <w:ind w:right="0"/>
              <w:jc w:val="center"/>
              <w:textAlignment w:val="auto"/>
              <w:rPr>
                <w:rFonts w:hint="default"/>
                <w:sz w:val="21"/>
                <w:szCs w:val="21"/>
                <w:highlight w:val="none"/>
                <w:vertAlign w:val="baseline"/>
                <w:lang w:val="en-US" w:eastAsia="zh-CN"/>
              </w:rPr>
            </w:pPr>
            <w:r>
              <w:rPr>
                <w:rFonts w:hint="eastAsia"/>
                <w:sz w:val="21"/>
                <w:szCs w:val="21"/>
                <w:highlight w:val="none"/>
                <w:vertAlign w:val="baseline"/>
                <w:lang w:val="en-US" w:eastAsia="zh-CN"/>
              </w:rPr>
              <w:t>BOD</w:t>
            </w:r>
            <w:r>
              <w:rPr>
                <w:rFonts w:hint="eastAsia"/>
                <w:sz w:val="21"/>
                <w:szCs w:val="21"/>
                <w:highlight w:val="none"/>
                <w:vertAlign w:val="subscript"/>
                <w:lang w:val="en-US" w:eastAsia="zh-CN"/>
              </w:rPr>
              <w:t>5</w:t>
            </w:r>
          </w:p>
        </w:tc>
        <w:tc>
          <w:tcPr>
            <w:tcW w:w="1340" w:type="dxa"/>
            <w:tcBorders>
              <w:tl2br w:val="nil"/>
              <w:tr2bl w:val="nil"/>
            </w:tcBorders>
            <w:noWrap w:val="0"/>
            <w:vAlign w:val="center"/>
          </w:tcPr>
          <w:p w14:paraId="43630EC3">
            <w:pPr>
              <w:pStyle w:val="2"/>
              <w:keepNext w:val="0"/>
              <w:keepLines w:val="0"/>
              <w:pageBreakBefore w:val="0"/>
              <w:widowControl/>
              <w:kinsoku/>
              <w:wordWrap/>
              <w:overflowPunct/>
              <w:topLinePunct w:val="0"/>
              <w:autoSpaceDE/>
              <w:autoSpaceDN/>
              <w:bidi w:val="0"/>
              <w:adjustRightInd w:val="0"/>
              <w:snapToGrid w:val="0"/>
              <w:spacing w:before="0" w:after="0" w:line="240" w:lineRule="auto"/>
              <w:ind w:right="0"/>
              <w:jc w:val="center"/>
              <w:textAlignment w:val="auto"/>
              <w:rPr>
                <w:rFonts w:hint="default"/>
                <w:sz w:val="21"/>
                <w:szCs w:val="21"/>
                <w:highlight w:val="none"/>
                <w:vertAlign w:val="baseline"/>
                <w:lang w:val="en-US" w:eastAsia="zh-CN"/>
              </w:rPr>
            </w:pPr>
            <w:r>
              <w:rPr>
                <w:rFonts w:hint="eastAsia"/>
                <w:sz w:val="21"/>
                <w:szCs w:val="21"/>
                <w:highlight w:val="none"/>
                <w:vertAlign w:val="baseline"/>
                <w:lang w:val="en-US" w:eastAsia="zh-CN"/>
              </w:rPr>
              <w:t>SS</w:t>
            </w:r>
          </w:p>
        </w:tc>
        <w:tc>
          <w:tcPr>
            <w:tcW w:w="1340" w:type="dxa"/>
            <w:tcBorders>
              <w:tl2br w:val="nil"/>
              <w:tr2bl w:val="nil"/>
            </w:tcBorders>
            <w:noWrap w:val="0"/>
            <w:vAlign w:val="center"/>
          </w:tcPr>
          <w:p w14:paraId="4F441392">
            <w:pPr>
              <w:pStyle w:val="2"/>
              <w:keepNext w:val="0"/>
              <w:keepLines w:val="0"/>
              <w:pageBreakBefore w:val="0"/>
              <w:widowControl/>
              <w:kinsoku/>
              <w:wordWrap/>
              <w:overflowPunct/>
              <w:topLinePunct w:val="0"/>
              <w:autoSpaceDE/>
              <w:autoSpaceDN/>
              <w:bidi w:val="0"/>
              <w:adjustRightInd w:val="0"/>
              <w:snapToGrid w:val="0"/>
              <w:spacing w:before="0" w:after="0" w:line="240" w:lineRule="auto"/>
              <w:ind w:right="0"/>
              <w:jc w:val="center"/>
              <w:textAlignment w:val="auto"/>
              <w:rPr>
                <w:rFonts w:hint="default"/>
                <w:sz w:val="21"/>
                <w:szCs w:val="21"/>
                <w:highlight w:val="none"/>
                <w:vertAlign w:val="baseline"/>
                <w:lang w:val="en-US" w:eastAsia="zh-CN"/>
              </w:rPr>
            </w:pPr>
            <w:r>
              <w:rPr>
                <w:rFonts w:hint="eastAsia"/>
                <w:sz w:val="21"/>
                <w:szCs w:val="21"/>
                <w:highlight w:val="none"/>
                <w:vertAlign w:val="baseline"/>
                <w:lang w:val="en-US" w:eastAsia="zh-CN"/>
              </w:rPr>
              <w:t>NH</w:t>
            </w:r>
            <w:r>
              <w:rPr>
                <w:rFonts w:hint="eastAsia"/>
                <w:sz w:val="21"/>
                <w:szCs w:val="21"/>
                <w:highlight w:val="none"/>
                <w:vertAlign w:val="subscript"/>
                <w:lang w:val="en-US" w:eastAsia="zh-CN"/>
              </w:rPr>
              <w:t>3</w:t>
            </w:r>
            <w:r>
              <w:rPr>
                <w:rFonts w:hint="eastAsia"/>
                <w:sz w:val="21"/>
                <w:szCs w:val="21"/>
                <w:highlight w:val="none"/>
                <w:vertAlign w:val="baseline"/>
                <w:lang w:val="en-US" w:eastAsia="zh-CN"/>
              </w:rPr>
              <w:t>-N</w:t>
            </w:r>
          </w:p>
        </w:tc>
      </w:tr>
      <w:tr w14:paraId="779D668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39" w:type="dxa"/>
            <w:tcBorders>
              <w:tl2br w:val="nil"/>
              <w:tr2bl w:val="nil"/>
            </w:tcBorders>
            <w:noWrap w:val="0"/>
            <w:vAlign w:val="center"/>
          </w:tcPr>
          <w:p w14:paraId="4AD70C45">
            <w:pPr>
              <w:pStyle w:val="2"/>
              <w:keepNext w:val="0"/>
              <w:keepLines w:val="0"/>
              <w:pageBreakBefore w:val="0"/>
              <w:widowControl/>
              <w:kinsoku/>
              <w:wordWrap/>
              <w:overflowPunct/>
              <w:topLinePunct w:val="0"/>
              <w:autoSpaceDE/>
              <w:autoSpaceDN/>
              <w:bidi w:val="0"/>
              <w:adjustRightInd w:val="0"/>
              <w:snapToGrid w:val="0"/>
              <w:spacing w:before="0" w:after="0" w:line="240" w:lineRule="auto"/>
              <w:ind w:right="0"/>
              <w:jc w:val="center"/>
              <w:textAlignment w:val="auto"/>
              <w:rPr>
                <w:rFonts w:hint="default"/>
                <w:sz w:val="21"/>
                <w:szCs w:val="21"/>
                <w:highlight w:val="none"/>
                <w:vertAlign w:val="baseline"/>
                <w:lang w:val="en-US" w:eastAsia="zh-CN"/>
              </w:rPr>
            </w:pPr>
            <w:r>
              <w:rPr>
                <w:rFonts w:hint="eastAsia"/>
                <w:sz w:val="21"/>
                <w:szCs w:val="21"/>
                <w:highlight w:val="none"/>
                <w:vertAlign w:val="baseline"/>
                <w:lang w:val="en-US" w:eastAsia="zh-CN"/>
              </w:rPr>
              <w:t>6~9</w:t>
            </w:r>
          </w:p>
        </w:tc>
        <w:tc>
          <w:tcPr>
            <w:tcW w:w="1339" w:type="dxa"/>
            <w:tcBorders>
              <w:tl2br w:val="nil"/>
              <w:tr2bl w:val="nil"/>
            </w:tcBorders>
            <w:noWrap w:val="0"/>
            <w:vAlign w:val="center"/>
          </w:tcPr>
          <w:p w14:paraId="41847454">
            <w:pPr>
              <w:pStyle w:val="2"/>
              <w:keepNext w:val="0"/>
              <w:keepLines w:val="0"/>
              <w:pageBreakBefore w:val="0"/>
              <w:widowControl/>
              <w:kinsoku/>
              <w:wordWrap/>
              <w:overflowPunct/>
              <w:topLinePunct w:val="0"/>
              <w:autoSpaceDE/>
              <w:autoSpaceDN/>
              <w:bidi w:val="0"/>
              <w:adjustRightInd w:val="0"/>
              <w:snapToGrid w:val="0"/>
              <w:spacing w:before="0" w:after="0" w:line="240" w:lineRule="auto"/>
              <w:ind w:right="0"/>
              <w:jc w:val="center"/>
              <w:textAlignment w:val="auto"/>
              <w:rPr>
                <w:rFonts w:hint="default"/>
                <w:sz w:val="21"/>
                <w:szCs w:val="21"/>
                <w:highlight w:val="none"/>
                <w:vertAlign w:val="baseline"/>
                <w:lang w:val="en-US" w:eastAsia="zh-CN"/>
              </w:rPr>
            </w:pPr>
            <w:r>
              <w:rPr>
                <w:rFonts w:hint="eastAsia"/>
                <w:sz w:val="21"/>
                <w:szCs w:val="21"/>
                <w:highlight w:val="none"/>
                <w:vertAlign w:val="baseline"/>
                <w:lang w:val="en-US" w:eastAsia="zh-CN"/>
              </w:rPr>
              <w:t>≤100mg/L</w:t>
            </w:r>
          </w:p>
        </w:tc>
        <w:tc>
          <w:tcPr>
            <w:tcW w:w="1339" w:type="dxa"/>
            <w:tcBorders>
              <w:tl2br w:val="nil"/>
              <w:tr2bl w:val="nil"/>
            </w:tcBorders>
            <w:noWrap w:val="0"/>
            <w:vAlign w:val="center"/>
          </w:tcPr>
          <w:p w14:paraId="2F18EBD6">
            <w:pPr>
              <w:pStyle w:val="2"/>
              <w:keepNext w:val="0"/>
              <w:keepLines w:val="0"/>
              <w:pageBreakBefore w:val="0"/>
              <w:widowControl/>
              <w:kinsoku/>
              <w:wordWrap/>
              <w:overflowPunct/>
              <w:topLinePunct w:val="0"/>
              <w:autoSpaceDE/>
              <w:autoSpaceDN/>
              <w:bidi w:val="0"/>
              <w:adjustRightInd w:val="0"/>
              <w:snapToGrid w:val="0"/>
              <w:spacing w:before="0" w:after="0" w:line="240" w:lineRule="auto"/>
              <w:ind w:right="0"/>
              <w:jc w:val="center"/>
              <w:textAlignment w:val="auto"/>
              <w:rPr>
                <w:rFonts w:hint="default"/>
                <w:sz w:val="21"/>
                <w:szCs w:val="21"/>
                <w:highlight w:val="none"/>
                <w:vertAlign w:val="baseline"/>
                <w:lang w:val="en-US" w:eastAsia="zh-CN"/>
              </w:rPr>
            </w:pPr>
            <w:r>
              <w:rPr>
                <w:rFonts w:hint="eastAsia"/>
                <w:sz w:val="21"/>
                <w:szCs w:val="21"/>
                <w:highlight w:val="none"/>
                <w:vertAlign w:val="baseline"/>
                <w:lang w:val="en-US" w:eastAsia="zh-CN"/>
              </w:rPr>
              <w:t>≤20mg/L</w:t>
            </w:r>
          </w:p>
        </w:tc>
        <w:tc>
          <w:tcPr>
            <w:tcW w:w="1340" w:type="dxa"/>
            <w:tcBorders>
              <w:tl2br w:val="nil"/>
              <w:tr2bl w:val="nil"/>
            </w:tcBorders>
            <w:noWrap w:val="0"/>
            <w:vAlign w:val="center"/>
          </w:tcPr>
          <w:p w14:paraId="02192096">
            <w:pPr>
              <w:pStyle w:val="2"/>
              <w:keepNext w:val="0"/>
              <w:keepLines w:val="0"/>
              <w:pageBreakBefore w:val="0"/>
              <w:widowControl/>
              <w:kinsoku/>
              <w:wordWrap/>
              <w:overflowPunct/>
              <w:topLinePunct w:val="0"/>
              <w:autoSpaceDE/>
              <w:autoSpaceDN/>
              <w:bidi w:val="0"/>
              <w:adjustRightInd w:val="0"/>
              <w:snapToGrid w:val="0"/>
              <w:spacing w:before="0" w:after="0" w:line="240" w:lineRule="auto"/>
              <w:ind w:right="0"/>
              <w:jc w:val="center"/>
              <w:textAlignment w:val="auto"/>
              <w:rPr>
                <w:rFonts w:hint="default"/>
                <w:sz w:val="21"/>
                <w:szCs w:val="21"/>
                <w:highlight w:val="none"/>
                <w:vertAlign w:val="baseline"/>
                <w:lang w:val="en-US" w:eastAsia="zh-CN"/>
              </w:rPr>
            </w:pPr>
            <w:r>
              <w:rPr>
                <w:rFonts w:hint="eastAsia"/>
                <w:sz w:val="21"/>
                <w:szCs w:val="21"/>
                <w:highlight w:val="none"/>
                <w:vertAlign w:val="baseline"/>
                <w:lang w:val="en-US" w:eastAsia="zh-CN"/>
              </w:rPr>
              <w:t>≤70mg/L</w:t>
            </w:r>
          </w:p>
        </w:tc>
        <w:tc>
          <w:tcPr>
            <w:tcW w:w="1340" w:type="dxa"/>
            <w:tcBorders>
              <w:tl2br w:val="nil"/>
              <w:tr2bl w:val="nil"/>
            </w:tcBorders>
            <w:noWrap w:val="0"/>
            <w:vAlign w:val="center"/>
          </w:tcPr>
          <w:p w14:paraId="16B6A2CA">
            <w:pPr>
              <w:pStyle w:val="2"/>
              <w:keepNext w:val="0"/>
              <w:keepLines w:val="0"/>
              <w:pageBreakBefore w:val="0"/>
              <w:widowControl/>
              <w:kinsoku/>
              <w:wordWrap/>
              <w:overflowPunct/>
              <w:topLinePunct w:val="0"/>
              <w:autoSpaceDE/>
              <w:autoSpaceDN/>
              <w:bidi w:val="0"/>
              <w:adjustRightInd w:val="0"/>
              <w:snapToGrid w:val="0"/>
              <w:spacing w:before="0" w:after="0" w:line="240" w:lineRule="auto"/>
              <w:ind w:right="0"/>
              <w:jc w:val="center"/>
              <w:textAlignment w:val="auto"/>
              <w:rPr>
                <w:rFonts w:hint="default"/>
                <w:sz w:val="21"/>
                <w:szCs w:val="21"/>
                <w:highlight w:val="none"/>
                <w:vertAlign w:val="baseline"/>
                <w:lang w:val="en-US" w:eastAsia="zh-CN"/>
              </w:rPr>
            </w:pPr>
            <w:r>
              <w:rPr>
                <w:rFonts w:hint="eastAsia"/>
                <w:sz w:val="21"/>
                <w:szCs w:val="21"/>
                <w:highlight w:val="none"/>
                <w:vertAlign w:val="baseline"/>
                <w:lang w:val="en-US" w:eastAsia="zh-CN"/>
              </w:rPr>
              <w:t>≤15mg/L</w:t>
            </w:r>
          </w:p>
        </w:tc>
      </w:tr>
    </w:tbl>
    <w:p w14:paraId="6C1EDF6B">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eastAsia="宋体" w:cs="Times New Roman"/>
          <w:b/>
          <w:bCs w:val="0"/>
          <w:color w:val="auto"/>
          <w:kern w:val="2"/>
          <w:sz w:val="24"/>
          <w:szCs w:val="24"/>
          <w:highlight w:val="none"/>
          <w:lang w:val="en-US" w:eastAsia="zh-CN" w:bidi="ar-SA"/>
        </w:rPr>
      </w:pPr>
      <w:r>
        <w:rPr>
          <w:rFonts w:hint="eastAsia" w:ascii="Times New Roman" w:hAnsi="Times New Roman" w:eastAsia="宋体" w:cs="Times New Roman"/>
          <w:b/>
          <w:bCs w:val="0"/>
          <w:color w:val="auto"/>
          <w:kern w:val="2"/>
          <w:sz w:val="24"/>
          <w:szCs w:val="24"/>
          <w:highlight w:val="none"/>
          <w:lang w:val="en-US" w:eastAsia="zh-CN" w:bidi="ar-SA"/>
        </w:rPr>
        <w:t>（3）</w:t>
      </w:r>
      <w:r>
        <w:rPr>
          <w:rFonts w:hint="default" w:ascii="Times New Roman" w:hAnsi="Times New Roman" w:eastAsia="宋体" w:cs="Times New Roman"/>
          <w:b/>
          <w:bCs w:val="0"/>
          <w:color w:val="auto"/>
          <w:kern w:val="2"/>
          <w:sz w:val="24"/>
          <w:szCs w:val="24"/>
          <w:highlight w:val="none"/>
          <w:lang w:val="en-US" w:eastAsia="zh-CN" w:bidi="ar-SA"/>
        </w:rPr>
        <w:t>噪声</w:t>
      </w:r>
    </w:p>
    <w:p w14:paraId="23FAF0D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lang w:eastAsia="zh-CN"/>
        </w:rPr>
        <w:t>施工期噪声执行《建筑施工场界环境噪声排放标准》（GB12523-2011）；</w:t>
      </w:r>
      <w:r>
        <w:rPr>
          <w:rFonts w:hint="default" w:ascii="Times New Roman" w:hAnsi="Times New Roman" w:cs="Times New Roman"/>
          <w:color w:val="auto"/>
          <w:sz w:val="24"/>
          <w:szCs w:val="24"/>
          <w:highlight w:val="none"/>
        </w:rPr>
        <w:t>营运期执行《工业企业厂界环境噪声排放标准》（GB12348-2008）2类，具体值见下表。</w:t>
      </w:r>
    </w:p>
    <w:p w14:paraId="4C06A11E">
      <w:pPr>
        <w:ind w:left="0" w:leftChars="0" w:right="0" w:rightChars="0" w:firstLine="0" w:firstLineChars="0"/>
        <w:jc w:val="center"/>
        <w:rPr>
          <w:rFonts w:hint="default" w:ascii="Times New Roman" w:hAnsi="Times New Roman" w:cs="Times New Roman"/>
          <w:b/>
          <w:color w:val="auto"/>
          <w:sz w:val="24"/>
          <w:szCs w:val="24"/>
          <w:highlight w:val="none"/>
        </w:rPr>
      </w:pPr>
      <w:r>
        <w:rPr>
          <w:rFonts w:hint="default" w:ascii="Times New Roman" w:hAnsi="Times New Roman" w:eastAsia="宋体" w:cs="Times New Roman"/>
          <w:b/>
          <w:bCs/>
          <w:color w:val="auto"/>
          <w:sz w:val="24"/>
          <w:szCs w:val="24"/>
          <w:highlight w:val="none"/>
        </w:rPr>
        <w:t>表</w:t>
      </w:r>
      <w:r>
        <w:rPr>
          <w:rFonts w:hint="eastAsia" w:ascii="Times New Roman" w:hAnsi="Times New Roman" w:eastAsia="宋体" w:cs="Times New Roman"/>
          <w:b/>
          <w:bCs/>
          <w:color w:val="auto"/>
          <w:sz w:val="24"/>
          <w:szCs w:val="24"/>
          <w:highlight w:val="none"/>
          <w:lang w:val="en-US" w:eastAsia="zh-CN"/>
        </w:rPr>
        <w:t>2.</w:t>
      </w:r>
      <w:r>
        <w:rPr>
          <w:rFonts w:hint="eastAsia" w:cs="Times New Roman"/>
          <w:b/>
          <w:bCs/>
          <w:color w:val="auto"/>
          <w:sz w:val="24"/>
          <w:szCs w:val="24"/>
          <w:highlight w:val="none"/>
          <w:lang w:val="en-US" w:eastAsia="zh-CN"/>
        </w:rPr>
        <w:t>4-6</w:t>
      </w:r>
      <w:r>
        <w:rPr>
          <w:rFonts w:hint="eastAsia" w:ascii="Times New Roman" w:hAnsi="Times New Roman" w:eastAsia="宋体" w:cs="Times New Roman"/>
          <w:b/>
          <w:bCs/>
          <w:color w:val="auto"/>
          <w:sz w:val="24"/>
          <w:szCs w:val="24"/>
          <w:highlight w:val="none"/>
          <w:lang w:val="en-US" w:eastAsia="zh-CN"/>
        </w:rPr>
        <w:t xml:space="preserve">  </w:t>
      </w:r>
      <w:r>
        <w:rPr>
          <w:rFonts w:hint="default" w:ascii="Times New Roman" w:hAnsi="Times New Roman" w:eastAsia="宋体" w:cs="Times New Roman"/>
          <w:b/>
          <w:bCs/>
          <w:color w:val="auto"/>
          <w:sz w:val="24"/>
          <w:szCs w:val="24"/>
          <w:highlight w:val="none"/>
        </w:rPr>
        <w:t>建筑施工场界环境噪声排放标准单位：dB（A）</w:t>
      </w:r>
    </w:p>
    <w:tbl>
      <w:tblPr>
        <w:tblStyle w:val="1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015"/>
        <w:gridCol w:w="3130"/>
        <w:gridCol w:w="3377"/>
      </w:tblGrid>
      <w:tr w14:paraId="3B46494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44" w:type="dxa"/>
            <w:tcBorders>
              <w:tl2br w:val="nil"/>
              <w:tr2bl w:val="nil"/>
            </w:tcBorders>
            <w:noWrap w:val="0"/>
            <w:vAlign w:val="center"/>
          </w:tcPr>
          <w:p w14:paraId="0DB1E00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类别</w:t>
            </w:r>
          </w:p>
        </w:tc>
        <w:tc>
          <w:tcPr>
            <w:tcW w:w="3021" w:type="dxa"/>
            <w:tcBorders>
              <w:tl2br w:val="nil"/>
              <w:tr2bl w:val="nil"/>
            </w:tcBorders>
            <w:noWrap w:val="0"/>
            <w:vAlign w:val="center"/>
          </w:tcPr>
          <w:p w14:paraId="172A968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昼间</w:t>
            </w:r>
          </w:p>
        </w:tc>
        <w:tc>
          <w:tcPr>
            <w:tcW w:w="3261" w:type="dxa"/>
            <w:tcBorders>
              <w:tl2br w:val="nil"/>
              <w:tr2bl w:val="nil"/>
            </w:tcBorders>
            <w:noWrap w:val="0"/>
            <w:vAlign w:val="center"/>
          </w:tcPr>
          <w:p w14:paraId="5AB1ECC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夜间</w:t>
            </w:r>
          </w:p>
        </w:tc>
      </w:tr>
      <w:tr w14:paraId="3403147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44" w:type="dxa"/>
            <w:tcBorders>
              <w:tl2br w:val="nil"/>
              <w:tr2bl w:val="nil"/>
            </w:tcBorders>
            <w:noWrap w:val="0"/>
            <w:vAlign w:val="center"/>
          </w:tcPr>
          <w:p w14:paraId="1B30868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建筑施工场界</w:t>
            </w:r>
            <w:r>
              <w:rPr>
                <w:rFonts w:hint="default" w:ascii="Times New Roman" w:hAnsi="Times New Roman" w:eastAsia="宋体" w:cs="Times New Roman"/>
                <w:color w:val="auto"/>
                <w:sz w:val="21"/>
                <w:szCs w:val="21"/>
                <w:highlight w:val="none"/>
                <w:lang w:eastAsia="zh-CN"/>
              </w:rPr>
              <w:t>噪声</w:t>
            </w:r>
          </w:p>
        </w:tc>
        <w:tc>
          <w:tcPr>
            <w:tcW w:w="3021" w:type="dxa"/>
            <w:tcBorders>
              <w:tl2br w:val="nil"/>
              <w:tr2bl w:val="nil"/>
            </w:tcBorders>
            <w:noWrap w:val="0"/>
            <w:vAlign w:val="center"/>
          </w:tcPr>
          <w:p w14:paraId="702A1098">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70</w:t>
            </w:r>
          </w:p>
        </w:tc>
        <w:tc>
          <w:tcPr>
            <w:tcW w:w="3261" w:type="dxa"/>
            <w:tcBorders>
              <w:tl2br w:val="nil"/>
              <w:tr2bl w:val="nil"/>
            </w:tcBorders>
            <w:noWrap w:val="0"/>
            <w:vAlign w:val="center"/>
          </w:tcPr>
          <w:p w14:paraId="257982E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55</w:t>
            </w:r>
          </w:p>
        </w:tc>
      </w:tr>
    </w:tbl>
    <w:p w14:paraId="12002F88">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b/>
          <w:bCs/>
          <w:color w:val="auto"/>
          <w:sz w:val="24"/>
          <w:szCs w:val="24"/>
          <w:highlight w:val="none"/>
        </w:rPr>
      </w:pPr>
      <w:r>
        <w:rPr>
          <w:rFonts w:hint="default" w:ascii="Times New Roman" w:hAnsi="Times New Roman" w:eastAsia="宋体" w:cs="Times New Roman"/>
          <w:b/>
          <w:bCs/>
          <w:color w:val="auto"/>
          <w:sz w:val="24"/>
          <w:szCs w:val="24"/>
          <w:highlight w:val="none"/>
        </w:rPr>
        <w:t>表</w:t>
      </w:r>
      <w:r>
        <w:rPr>
          <w:rFonts w:hint="eastAsia" w:ascii="Times New Roman" w:hAnsi="Times New Roman" w:eastAsia="宋体" w:cs="Times New Roman"/>
          <w:b/>
          <w:bCs/>
          <w:color w:val="auto"/>
          <w:sz w:val="24"/>
          <w:szCs w:val="24"/>
          <w:highlight w:val="none"/>
          <w:lang w:val="en-US" w:eastAsia="zh-CN"/>
        </w:rPr>
        <w:t>2.</w:t>
      </w:r>
      <w:r>
        <w:rPr>
          <w:rFonts w:hint="eastAsia" w:cs="Times New Roman"/>
          <w:b/>
          <w:bCs/>
          <w:color w:val="auto"/>
          <w:sz w:val="24"/>
          <w:szCs w:val="24"/>
          <w:highlight w:val="none"/>
          <w:lang w:val="en-US" w:eastAsia="zh-CN"/>
        </w:rPr>
        <w:t>4-7</w:t>
      </w:r>
      <w:r>
        <w:rPr>
          <w:rFonts w:hint="eastAsia" w:ascii="Times New Roman" w:hAnsi="Times New Roman" w:eastAsia="宋体" w:cs="Times New Roman"/>
          <w:b/>
          <w:bCs/>
          <w:color w:val="auto"/>
          <w:sz w:val="24"/>
          <w:szCs w:val="24"/>
          <w:highlight w:val="none"/>
          <w:lang w:val="en-US" w:eastAsia="zh-CN"/>
        </w:rPr>
        <w:t xml:space="preserve">  </w:t>
      </w:r>
      <w:r>
        <w:rPr>
          <w:rFonts w:hint="default" w:ascii="Times New Roman" w:hAnsi="Times New Roman" w:eastAsia="宋体" w:cs="Times New Roman"/>
          <w:b/>
          <w:bCs/>
          <w:color w:val="auto"/>
          <w:sz w:val="24"/>
          <w:szCs w:val="24"/>
          <w:highlight w:val="none"/>
        </w:rPr>
        <w:t>工业企业厂界环境噪声排放标准单位：dB（A）</w:t>
      </w:r>
    </w:p>
    <w:tbl>
      <w:tblPr>
        <w:tblStyle w:val="1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15"/>
        <w:gridCol w:w="3130"/>
        <w:gridCol w:w="3377"/>
      </w:tblGrid>
      <w:tr w14:paraId="05FFB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44" w:type="dxa"/>
            <w:tcBorders>
              <w:top w:val="single" w:color="auto" w:sz="12" w:space="0"/>
              <w:left w:val="single" w:color="auto" w:sz="12" w:space="0"/>
            </w:tcBorders>
            <w:noWrap w:val="0"/>
            <w:vAlign w:val="center"/>
          </w:tcPr>
          <w:p w14:paraId="0E4D040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类别</w:t>
            </w:r>
          </w:p>
        </w:tc>
        <w:tc>
          <w:tcPr>
            <w:tcW w:w="3021" w:type="dxa"/>
            <w:tcBorders>
              <w:top w:val="single" w:color="auto" w:sz="12" w:space="0"/>
            </w:tcBorders>
            <w:noWrap w:val="0"/>
            <w:vAlign w:val="center"/>
          </w:tcPr>
          <w:p w14:paraId="418EFF9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昼间</w:t>
            </w:r>
          </w:p>
        </w:tc>
        <w:tc>
          <w:tcPr>
            <w:tcW w:w="3261" w:type="dxa"/>
            <w:tcBorders>
              <w:top w:val="single" w:color="auto" w:sz="12" w:space="0"/>
              <w:right w:val="single" w:color="auto" w:sz="12" w:space="0"/>
            </w:tcBorders>
            <w:noWrap w:val="0"/>
            <w:vAlign w:val="center"/>
          </w:tcPr>
          <w:p w14:paraId="417C114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夜间</w:t>
            </w:r>
          </w:p>
        </w:tc>
      </w:tr>
      <w:tr w14:paraId="58B7A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44" w:type="dxa"/>
            <w:tcBorders>
              <w:left w:val="single" w:color="auto" w:sz="12" w:space="0"/>
              <w:bottom w:val="single" w:color="auto" w:sz="12" w:space="0"/>
            </w:tcBorders>
            <w:noWrap w:val="0"/>
            <w:vAlign w:val="center"/>
          </w:tcPr>
          <w:p w14:paraId="78C8A48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2类</w:t>
            </w:r>
          </w:p>
        </w:tc>
        <w:tc>
          <w:tcPr>
            <w:tcW w:w="3021" w:type="dxa"/>
            <w:tcBorders>
              <w:bottom w:val="single" w:color="auto" w:sz="12" w:space="0"/>
            </w:tcBorders>
            <w:noWrap w:val="0"/>
            <w:vAlign w:val="center"/>
          </w:tcPr>
          <w:p w14:paraId="31B8715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60</w:t>
            </w:r>
          </w:p>
        </w:tc>
        <w:tc>
          <w:tcPr>
            <w:tcW w:w="3261" w:type="dxa"/>
            <w:tcBorders>
              <w:bottom w:val="single" w:color="auto" w:sz="12" w:space="0"/>
              <w:right w:val="single" w:color="auto" w:sz="12" w:space="0"/>
            </w:tcBorders>
            <w:noWrap w:val="0"/>
            <w:vAlign w:val="center"/>
          </w:tcPr>
          <w:p w14:paraId="3FA0513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50</w:t>
            </w:r>
          </w:p>
        </w:tc>
      </w:tr>
    </w:tbl>
    <w:p w14:paraId="73C88507">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eastAsia="宋体" w:cs="Times New Roman"/>
          <w:b/>
          <w:bCs w:val="0"/>
          <w:color w:val="auto"/>
          <w:kern w:val="2"/>
          <w:sz w:val="24"/>
          <w:szCs w:val="24"/>
          <w:highlight w:val="none"/>
          <w:lang w:val="en-US" w:eastAsia="zh-CN" w:bidi="ar-SA"/>
        </w:rPr>
      </w:pPr>
      <w:r>
        <w:rPr>
          <w:rFonts w:hint="default" w:ascii="Times New Roman" w:hAnsi="Times New Roman" w:eastAsia="宋体" w:cs="Times New Roman"/>
          <w:b/>
          <w:bCs w:val="0"/>
          <w:color w:val="auto"/>
          <w:kern w:val="2"/>
          <w:sz w:val="24"/>
          <w:szCs w:val="24"/>
          <w:highlight w:val="none"/>
          <w:lang w:val="en-US" w:eastAsia="zh-CN" w:bidi="ar-SA"/>
        </w:rPr>
        <w:t>（4）固体废物</w:t>
      </w:r>
    </w:p>
    <w:p w14:paraId="680BD4F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color w:val="auto"/>
          <w:kern w:val="2"/>
          <w:sz w:val="24"/>
          <w:szCs w:val="24"/>
          <w:highlight w:val="none"/>
          <w:lang w:val="en-US" w:eastAsia="zh-CN" w:bidi="ar-SA"/>
        </w:rPr>
      </w:pPr>
      <w:r>
        <w:rPr>
          <w:rFonts w:hint="default" w:ascii="Times New Roman" w:hAnsi="Times New Roman" w:cs="Times New Roman"/>
          <w:color w:val="auto"/>
          <w:kern w:val="2"/>
          <w:sz w:val="24"/>
          <w:szCs w:val="24"/>
          <w:highlight w:val="none"/>
          <w:lang w:val="en-US" w:eastAsia="zh-CN" w:bidi="ar-SA"/>
        </w:rPr>
        <w:t>一般固体污染物贮存、处置场符合《一般工业固体废物贮存和填埋污染控制标准》（GB18599-2020）中的相关标准；危险废物执行《危险废物贮存污染控制标准》（GB18597-2023）中的相关标准；生活垃圾执行《生活垃圾填埋场污染物控制标准》（GB16889-2008）。</w:t>
      </w:r>
    </w:p>
    <w:p w14:paraId="474A6274">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eastAsia="宋体" w:cs="Times New Roman"/>
          <w:b/>
          <w:bCs w:val="0"/>
          <w:color w:val="auto"/>
          <w:kern w:val="2"/>
          <w:sz w:val="24"/>
          <w:szCs w:val="24"/>
          <w:highlight w:val="none"/>
          <w:lang w:val="en-US" w:eastAsia="zh-CN" w:bidi="ar-SA"/>
        </w:rPr>
      </w:pPr>
      <w:r>
        <w:rPr>
          <w:rFonts w:hint="default" w:ascii="Times New Roman" w:hAnsi="Times New Roman" w:eastAsia="宋体" w:cs="Times New Roman"/>
          <w:b/>
          <w:bCs w:val="0"/>
          <w:color w:val="auto"/>
          <w:kern w:val="2"/>
          <w:sz w:val="24"/>
          <w:szCs w:val="24"/>
          <w:highlight w:val="none"/>
          <w:lang w:val="en-US" w:eastAsia="zh-CN" w:bidi="ar-SA"/>
        </w:rPr>
        <w:t>（5）电磁辐射</w:t>
      </w:r>
    </w:p>
    <w:p w14:paraId="6AAB3171">
      <w:pPr>
        <w:rPr>
          <w:color w:val="auto"/>
          <w:highlight w:val="none"/>
        </w:rPr>
      </w:pPr>
      <w:r>
        <w:rPr>
          <w:rFonts w:hint="default" w:ascii="Times New Roman" w:hAnsi="Times New Roman" w:eastAsia="宋体" w:cs="Times New Roman"/>
          <w:b w:val="0"/>
          <w:bCs/>
          <w:color w:val="auto"/>
          <w:kern w:val="2"/>
          <w:sz w:val="24"/>
          <w:szCs w:val="24"/>
          <w:highlight w:val="none"/>
          <w:lang w:val="en-US" w:eastAsia="zh-CN" w:bidi="ar-SA"/>
        </w:rPr>
        <w:t>电磁环境中公众曝露控制限值执行《电磁环境控制限值》（GB8702-2014）表1中频率为50Hz所对应的标准，即电场强度公众曝露控制限值为4000V/m、磁感应强度公众曝露控制限值为100μT。</w:t>
      </w:r>
    </w:p>
    <w:p w14:paraId="71712E27">
      <w:pPr>
        <w:rPr>
          <w:color w:val="auto"/>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5AAC3D89">
      <w:pPr>
        <w:pStyle w:val="3"/>
        <w:rPr>
          <w:rFonts w:hint="default" w:ascii="Times New Roman" w:hAnsi="Times New Roman" w:cs="Times New Roman"/>
          <w:color w:val="auto"/>
          <w:highlight w:val="none"/>
        </w:rPr>
      </w:pPr>
      <w:bookmarkStart w:id="56" w:name="_Toc6232"/>
      <w:r>
        <w:rPr>
          <w:rFonts w:hint="eastAsia" w:ascii="Times New Roman" w:hAnsi="Times New Roman" w:cs="Times New Roman"/>
          <w:color w:val="auto"/>
          <w:highlight w:val="none"/>
          <w:lang w:eastAsia="zh-CN"/>
        </w:rPr>
        <w:t>现有工程概况</w:t>
      </w:r>
      <w:bookmarkEnd w:id="56"/>
    </w:p>
    <w:p w14:paraId="2D2B3140">
      <w:pPr>
        <w:pStyle w:val="4"/>
        <w:bidi w:val="0"/>
        <w:rPr>
          <w:rFonts w:hint="default" w:ascii="Times New Roman" w:hAnsi="Times New Roman" w:cs="Times New Roman"/>
          <w:color w:val="auto"/>
          <w:highlight w:val="none"/>
        </w:rPr>
      </w:pPr>
      <w:bookmarkStart w:id="57" w:name="_Toc30568"/>
      <w:r>
        <w:rPr>
          <w:rFonts w:hint="eastAsia" w:ascii="Times New Roman" w:hAnsi="Times New Roman" w:cs="Times New Roman"/>
          <w:color w:val="auto"/>
          <w:highlight w:val="none"/>
          <w:lang w:eastAsia="zh-CN"/>
        </w:rPr>
        <w:t>现有工程基本情况</w:t>
      </w:r>
      <w:bookmarkEnd w:id="57"/>
    </w:p>
    <w:p w14:paraId="52FBE4E5">
      <w:pPr>
        <w:bidi w:val="0"/>
        <w:rPr>
          <w:color w:val="auto"/>
          <w:highlight w:val="none"/>
        </w:rPr>
      </w:pPr>
      <w:r>
        <w:rPr>
          <w:rFonts w:hint="eastAsia" w:ascii="Times New Roman" w:hAnsi="Times New Roman" w:cs="Times New Roman"/>
          <w:b w:val="0"/>
          <w:bCs w:val="0"/>
          <w:color w:val="auto"/>
          <w:kern w:val="0"/>
          <w:sz w:val="24"/>
          <w:szCs w:val="24"/>
          <w:highlight w:val="none"/>
          <w:u w:val="none"/>
          <w:lang w:val="en-US" w:eastAsia="zh-CN"/>
        </w:rPr>
        <w:t>南冲风电场属于大马二期工程，大马风电场于2019年6月获得湖南省生态环境厅批复（湘环评表〔2019〕5号），2019年9月开始施工，2020年11月带电投入试运行，2021年4月通过竣工环保验收。</w:t>
      </w:r>
      <w:r>
        <w:rPr>
          <w:rFonts w:hint="eastAsia"/>
          <w:color w:val="auto"/>
          <w:highlight w:val="none"/>
          <w:lang w:eastAsia="zh-CN"/>
        </w:rPr>
        <w:t>大马风电场自建设、运行至今，未发生环保处罚及环保投诉事件</w:t>
      </w:r>
      <w:r>
        <w:rPr>
          <w:rFonts w:hint="eastAsia"/>
          <w:color w:val="auto"/>
          <w:highlight w:val="none"/>
        </w:rPr>
        <w:t>。</w:t>
      </w:r>
    </w:p>
    <w:p w14:paraId="73CA94A5">
      <w:pPr>
        <w:pStyle w:val="4"/>
        <w:bidi w:val="0"/>
        <w:rPr>
          <w:rFonts w:hint="default" w:ascii="Times New Roman" w:hAnsi="Times New Roman" w:eastAsia="宋体" w:cs="Times New Roman"/>
          <w:color w:val="auto"/>
          <w:highlight w:val="none"/>
          <w:lang w:eastAsia="zh-CN"/>
        </w:rPr>
      </w:pPr>
      <w:bookmarkStart w:id="58" w:name="_Toc8082"/>
      <w:r>
        <w:rPr>
          <w:rFonts w:hint="eastAsia" w:ascii="Times New Roman" w:hAnsi="Times New Roman" w:eastAsia="宋体" w:cs="Times New Roman"/>
          <w:color w:val="auto"/>
          <w:highlight w:val="none"/>
          <w:lang w:eastAsia="zh-CN"/>
        </w:rPr>
        <w:t>现有工程</w:t>
      </w:r>
      <w:r>
        <w:rPr>
          <w:rFonts w:hint="eastAsia" w:ascii="Times New Roman" w:hAnsi="Times New Roman" w:eastAsia="宋体" w:cs="Times New Roman"/>
          <w:color w:val="auto"/>
          <w:highlight w:val="none"/>
          <w:lang w:val="en-US" w:eastAsia="zh-CN"/>
        </w:rPr>
        <w:t>环保手续办理情况</w:t>
      </w:r>
      <w:bookmarkEnd w:id="58"/>
    </w:p>
    <w:p w14:paraId="6D9FF814">
      <w:pPr>
        <w:pStyle w:val="40"/>
        <w:keepNext w:val="0"/>
        <w:keepLines w:val="0"/>
        <w:pageBreakBefore w:val="0"/>
        <w:widowControl/>
        <w:kinsoku/>
        <w:wordWrap/>
        <w:overflowPunct/>
        <w:topLinePunct w:val="0"/>
        <w:autoSpaceDE/>
        <w:autoSpaceDN/>
        <w:bidi w:val="0"/>
        <w:adjustRightInd w:val="0"/>
        <w:snapToGrid w:val="0"/>
        <w:spacing w:before="0" w:after="0"/>
        <w:ind w:right="113"/>
        <w:textAlignment w:val="auto"/>
        <w:rPr>
          <w:rFonts w:hint="default" w:ascii="Times New Roman" w:hAnsi="Times New Roman" w:eastAsia="宋体" w:cs="Times New Roman"/>
          <w:b/>
          <w:bCs/>
          <w:color w:val="auto"/>
          <w:sz w:val="24"/>
          <w:szCs w:val="24"/>
          <w:highlight w:val="none"/>
          <w:u w:val="none" w:color="auto"/>
          <w:lang w:val="en-US" w:eastAsia="zh-CN"/>
        </w:rPr>
      </w:pPr>
      <w:r>
        <w:rPr>
          <w:rFonts w:hint="eastAsia" w:ascii="Times New Roman" w:hAnsi="Times New Roman" w:cs="Times New Roman"/>
          <w:color w:val="auto"/>
          <w:sz w:val="24"/>
          <w:szCs w:val="24"/>
          <w:highlight w:val="none"/>
          <w:u w:val="none" w:color="auto"/>
          <w:lang w:val="en-US" w:eastAsia="zh-CN"/>
        </w:rPr>
        <w:t>现有工程环保手续办理情况详见下表：</w:t>
      </w:r>
    </w:p>
    <w:p w14:paraId="17A2ED2A">
      <w:pPr>
        <w:pStyle w:val="41"/>
        <w:keepNext w:val="0"/>
        <w:keepLines w:val="0"/>
        <w:pageBreakBefore w:val="0"/>
        <w:widowControl/>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eastAsia="宋体" w:cs="Times New Roman"/>
          <w:b/>
          <w:bCs/>
          <w:color w:val="auto"/>
          <w:sz w:val="24"/>
          <w:szCs w:val="24"/>
          <w:highlight w:val="none"/>
          <w:u w:val="none" w:color="auto"/>
          <w:lang w:val="en-US" w:eastAsia="zh-CN"/>
        </w:rPr>
      </w:pPr>
      <w:r>
        <w:rPr>
          <w:rFonts w:hint="default" w:ascii="Times New Roman" w:hAnsi="Times New Roman" w:eastAsia="宋体" w:cs="Times New Roman"/>
          <w:b/>
          <w:bCs/>
          <w:color w:val="auto"/>
          <w:sz w:val="24"/>
          <w:szCs w:val="24"/>
          <w:highlight w:val="none"/>
          <w:u w:val="none" w:color="auto"/>
          <w:lang w:val="en-US" w:eastAsia="zh-CN"/>
        </w:rPr>
        <w:t>表</w:t>
      </w:r>
      <w:r>
        <w:rPr>
          <w:rFonts w:hint="eastAsia" w:eastAsia="宋体" w:cs="Times New Roman"/>
          <w:b/>
          <w:bCs/>
          <w:color w:val="auto"/>
          <w:sz w:val="24"/>
          <w:szCs w:val="24"/>
          <w:highlight w:val="none"/>
          <w:u w:val="none" w:color="auto"/>
          <w:lang w:val="en-US" w:eastAsia="zh-CN"/>
        </w:rPr>
        <w:t>3.2-1</w:t>
      </w:r>
      <w:r>
        <w:rPr>
          <w:rFonts w:hint="default" w:ascii="Times New Roman" w:hAnsi="Times New Roman" w:eastAsia="宋体" w:cs="Times New Roman"/>
          <w:b/>
          <w:bCs/>
          <w:color w:val="auto"/>
          <w:sz w:val="24"/>
          <w:szCs w:val="24"/>
          <w:highlight w:val="none"/>
          <w:u w:val="none" w:color="auto"/>
          <w:lang w:val="en-US" w:eastAsia="zh-CN"/>
        </w:rPr>
        <w:t xml:space="preserve">  现有工程环保手续办理情况</w:t>
      </w:r>
    </w:p>
    <w:tbl>
      <w:tblPr>
        <w:tblStyle w:val="2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97"/>
        <w:gridCol w:w="6422"/>
      </w:tblGrid>
      <w:tr w14:paraId="6851E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30" w:type="pct"/>
            <w:tcBorders>
              <w:top w:val="single" w:color="auto" w:sz="12" w:space="0"/>
              <w:left w:val="single" w:color="auto" w:sz="12" w:space="0"/>
            </w:tcBorders>
            <w:noWrap w:val="0"/>
            <w:vAlign w:val="center"/>
          </w:tcPr>
          <w:p w14:paraId="05AF02F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项目名称</w:t>
            </w:r>
          </w:p>
          <w:p w14:paraId="6D0BFF2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内容</w:t>
            </w:r>
          </w:p>
        </w:tc>
        <w:tc>
          <w:tcPr>
            <w:tcW w:w="3769" w:type="pct"/>
            <w:tcBorders>
              <w:top w:val="single" w:color="auto" w:sz="12" w:space="0"/>
              <w:right w:val="single" w:color="auto" w:sz="12" w:space="0"/>
            </w:tcBorders>
            <w:noWrap w:val="0"/>
            <w:vAlign w:val="center"/>
          </w:tcPr>
          <w:p w14:paraId="25C263D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湖南省祁东县大马风电场工程</w:t>
            </w:r>
          </w:p>
        </w:tc>
      </w:tr>
      <w:tr w14:paraId="2598D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30" w:type="pct"/>
            <w:tcBorders>
              <w:left w:val="single" w:color="auto" w:sz="12" w:space="0"/>
            </w:tcBorders>
            <w:noWrap w:val="0"/>
            <w:vAlign w:val="center"/>
          </w:tcPr>
          <w:p w14:paraId="1DFB217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建设时间</w:t>
            </w:r>
          </w:p>
        </w:tc>
        <w:tc>
          <w:tcPr>
            <w:tcW w:w="3769" w:type="pct"/>
            <w:tcBorders>
              <w:right w:val="single" w:color="auto" w:sz="12" w:space="0"/>
            </w:tcBorders>
            <w:noWrap w:val="0"/>
            <w:vAlign w:val="center"/>
          </w:tcPr>
          <w:p w14:paraId="7319EAA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2019年9月开工，202</w:t>
            </w:r>
            <w:r>
              <w:rPr>
                <w:rFonts w:hint="eastAsia" w:cs="Times New Roman"/>
                <w:color w:val="auto"/>
                <w:sz w:val="21"/>
                <w:szCs w:val="21"/>
                <w:highlight w:val="none"/>
                <w:lang w:val="en-US" w:eastAsia="zh-CN"/>
              </w:rPr>
              <w:t>1</w:t>
            </w:r>
            <w:r>
              <w:rPr>
                <w:rFonts w:hint="eastAsia" w:ascii="Times New Roman" w:hAnsi="Times New Roman" w:eastAsia="宋体" w:cs="Times New Roman"/>
                <w:color w:val="auto"/>
                <w:sz w:val="21"/>
                <w:szCs w:val="21"/>
                <w:highlight w:val="none"/>
                <w:lang w:val="en-US" w:eastAsia="zh-CN"/>
              </w:rPr>
              <w:t>年</w:t>
            </w:r>
            <w:r>
              <w:rPr>
                <w:rFonts w:hint="eastAsia" w:cs="Times New Roman"/>
                <w:color w:val="auto"/>
                <w:sz w:val="21"/>
                <w:szCs w:val="21"/>
                <w:highlight w:val="none"/>
                <w:lang w:val="en-US" w:eastAsia="zh-CN"/>
              </w:rPr>
              <w:t>4</w:t>
            </w:r>
            <w:r>
              <w:rPr>
                <w:rFonts w:hint="eastAsia" w:ascii="Times New Roman" w:hAnsi="Times New Roman" w:eastAsia="宋体" w:cs="Times New Roman"/>
                <w:color w:val="auto"/>
                <w:sz w:val="21"/>
                <w:szCs w:val="21"/>
                <w:highlight w:val="none"/>
                <w:lang w:val="en-US" w:eastAsia="zh-CN"/>
              </w:rPr>
              <w:t>月竣工</w:t>
            </w:r>
          </w:p>
        </w:tc>
      </w:tr>
      <w:tr w14:paraId="5E43A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30" w:type="pct"/>
            <w:tcBorders>
              <w:left w:val="single" w:color="auto" w:sz="12" w:space="0"/>
            </w:tcBorders>
            <w:noWrap w:val="0"/>
            <w:vAlign w:val="center"/>
          </w:tcPr>
          <w:p w14:paraId="4811C63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现有环评批复建设内容</w:t>
            </w:r>
          </w:p>
        </w:tc>
        <w:tc>
          <w:tcPr>
            <w:tcW w:w="3769" w:type="pct"/>
            <w:tcBorders>
              <w:right w:val="single" w:color="auto" w:sz="12" w:space="0"/>
            </w:tcBorders>
            <w:noWrap w:val="0"/>
            <w:vAlign w:val="center"/>
          </w:tcPr>
          <w:p w14:paraId="51BBADC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工程设计安装20台单机容量为2.5MW的机组，每台发电机组配置一台35kV箱式变电器，装机总规模为50MW</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风电场配套新建一座110kV升压站。</w:t>
            </w:r>
          </w:p>
        </w:tc>
      </w:tr>
      <w:tr w14:paraId="4024D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30" w:type="pct"/>
            <w:tcBorders>
              <w:left w:val="single" w:color="auto" w:sz="12" w:space="0"/>
            </w:tcBorders>
            <w:noWrap w:val="0"/>
            <w:vAlign w:val="center"/>
          </w:tcPr>
          <w:p w14:paraId="780205E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现有实际建设内容</w:t>
            </w:r>
          </w:p>
        </w:tc>
        <w:tc>
          <w:tcPr>
            <w:tcW w:w="3769" w:type="pct"/>
            <w:tcBorders>
              <w:right w:val="single" w:color="auto" w:sz="12" w:space="0"/>
            </w:tcBorders>
            <w:noWrap w:val="0"/>
            <w:vAlign w:val="center"/>
          </w:tcPr>
          <w:p w14:paraId="3EFB0BF5">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工程总装机容量为50MW，安装20台单机容量为2.5MW的机组及一座110kV升压站风力发电机组采用一机一变的单元接线，单机通过箱式变压器就地升压至35kV工程所发电量经场内35kV集电线路接入新建110kV升压站</w:t>
            </w:r>
            <w:r>
              <w:rPr>
                <w:rFonts w:hint="eastAsia" w:ascii="Times New Roman" w:hAnsi="Times New Roman" w:eastAsia="宋体" w:cs="Times New Roman"/>
                <w:color w:val="auto"/>
                <w:sz w:val="21"/>
                <w:szCs w:val="21"/>
                <w:highlight w:val="none"/>
                <w:lang w:val="en-US" w:eastAsia="zh-CN"/>
              </w:rPr>
              <w:t>。</w:t>
            </w:r>
          </w:p>
        </w:tc>
      </w:tr>
      <w:tr w14:paraId="45097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30" w:type="pct"/>
            <w:tcBorders>
              <w:left w:val="single" w:color="auto" w:sz="12" w:space="0"/>
            </w:tcBorders>
            <w:noWrap w:val="0"/>
            <w:vAlign w:val="center"/>
          </w:tcPr>
          <w:p w14:paraId="6E7D1BE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环境影响评价</w:t>
            </w:r>
          </w:p>
        </w:tc>
        <w:tc>
          <w:tcPr>
            <w:tcW w:w="3769" w:type="pct"/>
            <w:tcBorders>
              <w:right w:val="single" w:color="auto" w:sz="12" w:space="0"/>
            </w:tcBorders>
            <w:noWrap w:val="0"/>
            <w:vAlign w:val="center"/>
          </w:tcPr>
          <w:p w14:paraId="2F76B00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2017年11月委托广西博环环境咨询服务有限公司编制完成了《湖南省祁东县大马风电场工程环境影响报告表》，2019年6月24日湖南省生态环境厅以“湘环评表(2019)5号“文予以批复（见附件13）</w:t>
            </w:r>
          </w:p>
        </w:tc>
      </w:tr>
      <w:tr w14:paraId="76B04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30" w:type="pct"/>
            <w:tcBorders>
              <w:left w:val="single" w:color="auto" w:sz="12" w:space="0"/>
            </w:tcBorders>
            <w:noWrap w:val="0"/>
            <w:vAlign w:val="center"/>
          </w:tcPr>
          <w:p w14:paraId="5168CA5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竣工环境保护验收</w:t>
            </w:r>
          </w:p>
        </w:tc>
        <w:tc>
          <w:tcPr>
            <w:tcW w:w="3769" w:type="pct"/>
            <w:tcBorders>
              <w:right w:val="single" w:color="auto" w:sz="12" w:space="0"/>
            </w:tcBorders>
            <w:noWrap w:val="0"/>
            <w:vAlign w:val="center"/>
          </w:tcPr>
          <w:p w14:paraId="56F70173">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2021年4月中国水电顾问集团祁东能源开发有限公司组织了该建设项目竣工环境保护自主验收，于2021年4月24日通过验收（专家意见见附件14）</w:t>
            </w:r>
          </w:p>
        </w:tc>
      </w:tr>
      <w:tr w14:paraId="61A2E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30" w:type="pct"/>
            <w:tcBorders>
              <w:left w:val="single" w:color="auto" w:sz="12" w:space="0"/>
            </w:tcBorders>
            <w:noWrap w:val="0"/>
            <w:vAlign w:val="center"/>
          </w:tcPr>
          <w:p w14:paraId="7509A7D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排污许可</w:t>
            </w:r>
          </w:p>
        </w:tc>
        <w:tc>
          <w:tcPr>
            <w:tcW w:w="3769" w:type="pct"/>
            <w:tcBorders>
              <w:right w:val="single" w:color="auto" w:sz="12" w:space="0"/>
            </w:tcBorders>
            <w:noWrap w:val="0"/>
            <w:vAlign w:val="center"/>
          </w:tcPr>
          <w:p w14:paraId="04F50571">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《固定污染源排污许可分类管理名录（2019年版）》对风电项目未作规定，风电项目无需申请排污许可证</w:t>
            </w:r>
          </w:p>
        </w:tc>
      </w:tr>
      <w:tr w14:paraId="13E78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30" w:type="pct"/>
            <w:tcBorders>
              <w:left w:val="single" w:color="auto" w:sz="12" w:space="0"/>
              <w:bottom w:val="single" w:color="auto" w:sz="12" w:space="0"/>
            </w:tcBorders>
            <w:noWrap w:val="0"/>
            <w:vAlign w:val="center"/>
          </w:tcPr>
          <w:p w14:paraId="6428DDE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现有工程运行状况</w:t>
            </w:r>
          </w:p>
        </w:tc>
        <w:tc>
          <w:tcPr>
            <w:tcW w:w="3769" w:type="pct"/>
            <w:tcBorders>
              <w:bottom w:val="single" w:color="auto" w:sz="12" w:space="0"/>
              <w:right w:val="single" w:color="auto" w:sz="12" w:space="0"/>
            </w:tcBorders>
            <w:noWrap w:val="0"/>
            <w:vAlign w:val="center"/>
          </w:tcPr>
          <w:p w14:paraId="2E5B41C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正常运行</w:t>
            </w:r>
          </w:p>
        </w:tc>
      </w:tr>
    </w:tbl>
    <w:p w14:paraId="0B6AFAC4">
      <w:pPr>
        <w:pStyle w:val="4"/>
        <w:bidi w:val="0"/>
        <w:rPr>
          <w:rFonts w:hint="default"/>
          <w:color w:val="auto"/>
          <w:highlight w:val="none"/>
        </w:rPr>
      </w:pPr>
      <w:bookmarkStart w:id="59" w:name="_Toc24821"/>
      <w:r>
        <w:rPr>
          <w:rFonts w:hint="eastAsia"/>
          <w:color w:val="auto"/>
          <w:highlight w:val="none"/>
          <w:lang w:eastAsia="zh-CN"/>
        </w:rPr>
        <w:t>现有工程主要建设内容</w:t>
      </w:r>
      <w:bookmarkEnd w:id="59"/>
    </w:p>
    <w:p w14:paraId="34F4AEB7">
      <w:pPr>
        <w:rPr>
          <w:rFonts w:hint="default" w:eastAsia="宋体"/>
          <w:lang w:val="en-US" w:eastAsia="zh-CN"/>
        </w:rPr>
      </w:pPr>
      <w:r>
        <w:rPr>
          <w:rFonts w:hint="eastAsia"/>
        </w:rPr>
        <w:t>湖南省祁东县大马风电场工程项目主体工程主要由风力发电机组、交通道路、集电线路、升压站等组成。本工程总装机容量为50MW，安装20台单机容量为2.5MW的机组及一座110kV升压站。风力发电机组采用一机一变的单元接线，单机通过箱式变压器就地升压至35kV，工程所发电量经场内35kV集电线路接入110kV升压站。</w:t>
      </w:r>
      <w:r>
        <w:rPr>
          <w:rFonts w:hint="eastAsia"/>
          <w:lang w:eastAsia="zh-CN"/>
        </w:rPr>
        <w:t>大马风电场风机点位及道路布置详见附图</w:t>
      </w:r>
      <w:r>
        <w:rPr>
          <w:rFonts w:hint="eastAsia"/>
          <w:lang w:val="en-US" w:eastAsia="zh-CN"/>
        </w:rPr>
        <w:t>2。</w:t>
      </w:r>
    </w:p>
    <w:p w14:paraId="34A29961">
      <w:pPr>
        <w:rPr>
          <w:rFonts w:hint="eastAsia"/>
          <w:lang w:eastAsia="zh-CN"/>
        </w:rPr>
      </w:pPr>
      <w:r>
        <w:rPr>
          <w:rFonts w:hint="eastAsia"/>
          <w:lang w:eastAsia="zh-CN"/>
        </w:rPr>
        <w:t>本次环评主要依托大马风电场升压站，因此现有工程主要对大马风电场升压站的建设内容做详细介绍。</w:t>
      </w:r>
    </w:p>
    <w:p w14:paraId="26CC5EAC">
      <w:pPr>
        <w:pStyle w:val="61"/>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24"/>
          <w:szCs w:val="24"/>
          <w:highlight w:val="none"/>
          <w:lang w:val="en-US" w:eastAsia="zh-CN"/>
        </w:rPr>
      </w:pPr>
      <w:r>
        <w:rPr>
          <w:rFonts w:hint="eastAsia" w:cs="Times New Roman"/>
          <w:color w:val="auto"/>
          <w:sz w:val="24"/>
          <w:szCs w:val="24"/>
          <w:highlight w:val="none"/>
          <w:lang w:val="en-US" w:eastAsia="zh-CN"/>
        </w:rPr>
        <w:t>现有110kV升压站周边环境较简单，升压站四周为丘陵坡地，北、南、西侧设护坡生态恢复良好，东南侧为进站道路，进站道路两侧生态恢复良好。</w:t>
      </w:r>
    </w:p>
    <w:p w14:paraId="4CA5DA97">
      <w:pPr>
        <w:pStyle w:val="61"/>
        <w:keepNext w:val="0"/>
        <w:keepLines w:val="0"/>
        <w:pageBreakBefore w:val="0"/>
        <w:widowControl w:val="0"/>
        <w:kinsoku/>
        <w:wordWrap/>
        <w:overflowPunct/>
        <w:topLinePunct w:val="0"/>
        <w:autoSpaceDE/>
        <w:autoSpaceDN/>
        <w:bidi w:val="0"/>
        <w:adjustRightInd w:val="0"/>
        <w:snapToGrid w:val="0"/>
        <w:textAlignment w:val="auto"/>
        <w:rPr>
          <w:rFonts w:hint="eastAsia" w:cs="Times New Roman"/>
          <w:color w:val="auto"/>
          <w:sz w:val="24"/>
          <w:szCs w:val="24"/>
          <w:highlight w:val="none"/>
          <w:lang w:val="en-US" w:eastAsia="zh-CN"/>
        </w:rPr>
      </w:pPr>
      <w:r>
        <w:rPr>
          <w:rFonts w:hint="eastAsia" w:cs="Times New Roman"/>
          <w:color w:val="auto"/>
          <w:sz w:val="24"/>
          <w:szCs w:val="24"/>
          <w:highlight w:val="none"/>
          <w:lang w:val="en-US" w:eastAsia="zh-CN"/>
        </w:rPr>
        <w:t>现有110kV升压站站区整体形状为矩形，户外布置。围墙内用地面积6006m</w:t>
      </w:r>
      <w:r>
        <w:rPr>
          <w:rFonts w:hint="eastAsia" w:cs="Times New Roman"/>
          <w:color w:val="auto"/>
          <w:sz w:val="24"/>
          <w:szCs w:val="24"/>
          <w:highlight w:val="none"/>
          <w:vertAlign w:val="superscript"/>
          <w:lang w:val="en-US" w:eastAsia="zh-CN"/>
        </w:rPr>
        <w:t>2</w:t>
      </w:r>
      <w:r>
        <w:rPr>
          <w:rFonts w:hint="eastAsia" w:cs="Times New Roman"/>
          <w:color w:val="auto"/>
          <w:sz w:val="24"/>
          <w:szCs w:val="24"/>
          <w:highlight w:val="none"/>
          <w:lang w:val="en-US" w:eastAsia="zh-CN"/>
        </w:rPr>
        <w:t>。升压站生活区三面为2.5m高通透式围墙，主变压器一侧为实体围墙，进站大门设置于西南侧围墙。站内主要布置了综合控制楼、35kV配电室、室外主变压器、配电装置等送配电建(构)筑物和附属用房、水泵房、大门、污水处理器等其他辅助建筑物。</w:t>
      </w:r>
    </w:p>
    <w:p w14:paraId="6DF52EE9">
      <w:pPr>
        <w:rPr>
          <w:rFonts w:hint="eastAsia"/>
          <w:lang w:eastAsia="zh-CN"/>
        </w:rPr>
      </w:pPr>
      <w:r>
        <w:rPr>
          <w:rFonts w:hint="eastAsia" w:cs="Times New Roman"/>
          <w:color w:val="auto"/>
          <w:sz w:val="24"/>
          <w:szCs w:val="24"/>
          <w:highlight w:val="none"/>
          <w:lang w:val="en-US" w:eastAsia="zh-CN"/>
        </w:rPr>
        <w:t>现有主变压器1台(1#主变)，容量为1×50MVA，110kV出线间隔1回(至马杜桥110kV变电站)，现有升压站组成及规模况见表3.3-1。</w:t>
      </w:r>
    </w:p>
    <w:p w14:paraId="22AEBD7A">
      <w:pPr>
        <w:pStyle w:val="46"/>
        <w:rPr>
          <w:rFonts w:hint="default"/>
          <w:lang w:val="en-US" w:eastAsia="zh-CN"/>
        </w:rPr>
      </w:pPr>
      <w:r>
        <w:rPr>
          <w:rFonts w:hint="default"/>
          <w:lang w:val="en-US" w:eastAsia="zh-CN"/>
        </w:rPr>
        <w:t>表2-1</w:t>
      </w:r>
      <w:r>
        <w:rPr>
          <w:rFonts w:hint="eastAsia"/>
          <w:lang w:val="en-US" w:eastAsia="zh-CN"/>
        </w:rPr>
        <w:t xml:space="preserve">  现有</w:t>
      </w:r>
      <w:r>
        <w:rPr>
          <w:rFonts w:hint="default"/>
          <w:lang w:val="en-US" w:eastAsia="zh-CN"/>
        </w:rPr>
        <w:t>升压站工程主要建设内容一览表</w:t>
      </w:r>
    </w:p>
    <w:tbl>
      <w:tblPr>
        <w:tblStyle w:val="38"/>
        <w:tblW w:w="5000" w:type="pct"/>
        <w:tblInd w:w="5"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0" w:type="dxa"/>
          <w:bottom w:w="0" w:type="dxa"/>
          <w:right w:w="0" w:type="dxa"/>
        </w:tblCellMar>
      </w:tblPr>
      <w:tblGrid>
        <w:gridCol w:w="691"/>
        <w:gridCol w:w="982"/>
        <w:gridCol w:w="1517"/>
        <w:gridCol w:w="5146"/>
      </w:tblGrid>
      <w:tr w14:paraId="1AC7C67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91" w:type="dxa"/>
            <w:tcBorders>
              <w:tl2br w:val="nil"/>
              <w:tr2bl w:val="nil"/>
            </w:tcBorders>
            <w:shd w:val="clear" w:color="auto" w:fill="auto"/>
            <w:vAlign w:val="center"/>
          </w:tcPr>
          <w:p w14:paraId="600BA11B">
            <w:pPr>
              <w:pStyle w:val="45"/>
              <w:rPr>
                <w:rFonts w:hint="default"/>
                <w:b w:val="0"/>
                <w:bCs/>
              </w:rPr>
            </w:pPr>
            <w:r>
              <w:rPr>
                <w:rFonts w:hint="default"/>
                <w:b w:val="0"/>
                <w:bCs/>
              </w:rPr>
              <w:t>分类</w:t>
            </w:r>
          </w:p>
        </w:tc>
        <w:tc>
          <w:tcPr>
            <w:tcW w:w="7645" w:type="dxa"/>
            <w:gridSpan w:val="3"/>
            <w:tcBorders>
              <w:tl2br w:val="nil"/>
              <w:tr2bl w:val="nil"/>
            </w:tcBorders>
            <w:shd w:val="clear" w:color="auto" w:fill="auto"/>
            <w:vAlign w:val="center"/>
          </w:tcPr>
          <w:p w14:paraId="48406F64">
            <w:pPr>
              <w:pStyle w:val="45"/>
              <w:rPr>
                <w:rFonts w:hint="default"/>
                <w:b w:val="0"/>
                <w:bCs/>
              </w:rPr>
            </w:pPr>
            <w:r>
              <w:rPr>
                <w:rFonts w:hint="eastAsia"/>
                <w:b w:val="0"/>
                <w:bCs/>
                <w:lang w:eastAsia="zh-CN"/>
              </w:rPr>
              <w:t>大马风电场</w:t>
            </w:r>
            <w:r>
              <w:rPr>
                <w:rFonts w:hint="default"/>
                <w:b w:val="0"/>
                <w:bCs/>
              </w:rPr>
              <w:t>110kV升压站</w:t>
            </w:r>
          </w:p>
        </w:tc>
      </w:tr>
      <w:tr w14:paraId="1EFEFED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340" w:hRule="atLeast"/>
        </w:trPr>
        <w:tc>
          <w:tcPr>
            <w:tcW w:w="691" w:type="dxa"/>
            <w:vMerge w:val="restart"/>
            <w:tcBorders>
              <w:tl2br w:val="nil"/>
              <w:tr2bl w:val="nil"/>
            </w:tcBorders>
            <w:shd w:val="clear" w:color="auto" w:fill="auto"/>
            <w:vAlign w:val="center"/>
          </w:tcPr>
          <w:p w14:paraId="0FB3D888">
            <w:pPr>
              <w:pStyle w:val="45"/>
              <w:rPr>
                <w:rFonts w:hint="default"/>
                <w:b w:val="0"/>
                <w:bCs/>
              </w:rPr>
            </w:pPr>
            <w:r>
              <w:rPr>
                <w:rFonts w:hint="default"/>
                <w:b w:val="0"/>
                <w:bCs/>
              </w:rPr>
              <w:t>主体</w:t>
            </w:r>
          </w:p>
          <w:p w14:paraId="2FECA317">
            <w:pPr>
              <w:pStyle w:val="45"/>
              <w:rPr>
                <w:rFonts w:hint="default"/>
                <w:b w:val="0"/>
                <w:bCs/>
              </w:rPr>
            </w:pPr>
            <w:r>
              <w:rPr>
                <w:rFonts w:hint="default"/>
                <w:b w:val="0"/>
                <w:bCs/>
              </w:rPr>
              <w:t>工程</w:t>
            </w:r>
          </w:p>
        </w:tc>
        <w:tc>
          <w:tcPr>
            <w:tcW w:w="982" w:type="dxa"/>
            <w:vMerge w:val="restart"/>
            <w:tcBorders>
              <w:tl2br w:val="nil"/>
              <w:tr2bl w:val="nil"/>
            </w:tcBorders>
            <w:shd w:val="clear" w:color="auto" w:fill="auto"/>
            <w:vAlign w:val="center"/>
          </w:tcPr>
          <w:p w14:paraId="1B125D76">
            <w:pPr>
              <w:pStyle w:val="45"/>
              <w:rPr>
                <w:rFonts w:hint="default"/>
                <w:b w:val="0"/>
                <w:bCs/>
              </w:rPr>
            </w:pPr>
            <w:r>
              <w:rPr>
                <w:rFonts w:hint="default"/>
                <w:b w:val="0"/>
                <w:bCs/>
              </w:rPr>
              <w:t>110kV升压站电气设备区</w:t>
            </w:r>
          </w:p>
        </w:tc>
        <w:tc>
          <w:tcPr>
            <w:tcW w:w="6663" w:type="dxa"/>
            <w:gridSpan w:val="2"/>
            <w:tcBorders>
              <w:tl2br w:val="nil"/>
              <w:tr2bl w:val="nil"/>
            </w:tcBorders>
            <w:shd w:val="clear" w:color="auto" w:fill="auto"/>
            <w:vAlign w:val="center"/>
          </w:tcPr>
          <w:p w14:paraId="18998C75">
            <w:pPr>
              <w:pStyle w:val="45"/>
              <w:rPr>
                <w:rFonts w:hint="default"/>
                <w:b w:val="0"/>
                <w:bCs/>
              </w:rPr>
            </w:pPr>
            <w:r>
              <w:rPr>
                <w:rFonts w:hint="default"/>
                <w:b w:val="0"/>
                <w:bCs/>
              </w:rPr>
              <w:t>110kV升压站一座，围墙内占地面积</w:t>
            </w:r>
            <w:r>
              <w:rPr>
                <w:rFonts w:hint="eastAsia"/>
                <w:b w:val="0"/>
                <w:bCs/>
                <w:lang w:val="en-US" w:eastAsia="zh-CN"/>
              </w:rPr>
              <w:t>6006</w:t>
            </w:r>
            <w:r>
              <w:rPr>
                <w:rFonts w:hint="default"/>
                <w:b w:val="0"/>
                <w:bCs/>
              </w:rPr>
              <w:t>m²</w:t>
            </w:r>
            <w:r>
              <w:rPr>
                <w:rFonts w:hint="eastAsia"/>
                <w:b w:val="0"/>
                <w:bCs/>
                <w:lang w:eastAsia="zh-CN"/>
              </w:rPr>
              <w:t>，</w:t>
            </w:r>
            <w:r>
              <w:rPr>
                <w:rFonts w:hint="default"/>
                <w:b w:val="0"/>
                <w:bCs/>
              </w:rPr>
              <w:t>户外布置。</w:t>
            </w:r>
          </w:p>
        </w:tc>
      </w:tr>
      <w:tr w14:paraId="4A1DCCC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340" w:hRule="atLeast"/>
        </w:trPr>
        <w:tc>
          <w:tcPr>
            <w:tcW w:w="691" w:type="dxa"/>
            <w:vMerge w:val="continue"/>
            <w:tcBorders>
              <w:tl2br w:val="nil"/>
              <w:tr2bl w:val="nil"/>
            </w:tcBorders>
            <w:shd w:val="clear" w:color="auto" w:fill="auto"/>
            <w:vAlign w:val="center"/>
          </w:tcPr>
          <w:p w14:paraId="7E375D41">
            <w:pPr>
              <w:pStyle w:val="45"/>
              <w:rPr>
                <w:rFonts w:hint="default"/>
                <w:b w:val="0"/>
                <w:bCs/>
              </w:rPr>
            </w:pPr>
          </w:p>
        </w:tc>
        <w:tc>
          <w:tcPr>
            <w:tcW w:w="982" w:type="dxa"/>
            <w:vMerge w:val="continue"/>
            <w:tcBorders>
              <w:tl2br w:val="nil"/>
              <w:tr2bl w:val="nil"/>
            </w:tcBorders>
            <w:shd w:val="clear" w:color="auto" w:fill="auto"/>
            <w:vAlign w:val="center"/>
          </w:tcPr>
          <w:p w14:paraId="276C41D2">
            <w:pPr>
              <w:pStyle w:val="45"/>
              <w:rPr>
                <w:rFonts w:hint="default"/>
                <w:b w:val="0"/>
                <w:bCs/>
              </w:rPr>
            </w:pPr>
          </w:p>
        </w:tc>
        <w:tc>
          <w:tcPr>
            <w:tcW w:w="1517" w:type="dxa"/>
            <w:tcBorders>
              <w:tl2br w:val="nil"/>
              <w:tr2bl w:val="nil"/>
            </w:tcBorders>
            <w:shd w:val="clear" w:color="auto" w:fill="auto"/>
            <w:vAlign w:val="center"/>
          </w:tcPr>
          <w:p w14:paraId="7518FA49">
            <w:pPr>
              <w:pStyle w:val="45"/>
              <w:rPr>
                <w:rFonts w:hint="default"/>
                <w:b w:val="0"/>
                <w:bCs/>
              </w:rPr>
            </w:pPr>
            <w:r>
              <w:rPr>
                <w:rFonts w:hint="default"/>
                <w:b w:val="0"/>
                <w:bCs/>
              </w:rPr>
              <w:t>主变型号及规模</w:t>
            </w:r>
          </w:p>
        </w:tc>
        <w:tc>
          <w:tcPr>
            <w:tcW w:w="5146" w:type="dxa"/>
            <w:tcBorders>
              <w:tl2br w:val="nil"/>
              <w:tr2bl w:val="nil"/>
            </w:tcBorders>
            <w:shd w:val="clear" w:color="auto" w:fill="auto"/>
            <w:vAlign w:val="center"/>
          </w:tcPr>
          <w:p w14:paraId="6FF3EAFB">
            <w:pPr>
              <w:pStyle w:val="45"/>
              <w:rPr>
                <w:rFonts w:hint="default"/>
                <w:b w:val="0"/>
                <w:bCs/>
              </w:rPr>
            </w:pPr>
            <w:r>
              <w:rPr>
                <w:rFonts w:hint="default"/>
                <w:b w:val="0"/>
                <w:bCs/>
              </w:rPr>
              <w:t>主变型号SZ11-5</w:t>
            </w:r>
            <w:r>
              <w:rPr>
                <w:rFonts w:hint="eastAsia"/>
                <w:b w:val="0"/>
                <w:bCs/>
                <w:lang w:val="en-US" w:eastAsia="zh-CN"/>
              </w:rPr>
              <w:t>0MVA</w:t>
            </w:r>
            <w:r>
              <w:rPr>
                <w:rFonts w:hint="default"/>
                <w:b w:val="0"/>
                <w:bCs/>
              </w:rPr>
              <w:t>/110</w:t>
            </w:r>
            <w:r>
              <w:rPr>
                <w:rFonts w:hint="eastAsia"/>
                <w:b w:val="0"/>
                <w:bCs/>
                <w:lang w:eastAsia="zh-CN"/>
              </w:rPr>
              <w:t>，</w:t>
            </w:r>
            <w:r>
              <w:rPr>
                <w:rFonts w:hint="default"/>
                <w:b w:val="0"/>
                <w:bCs/>
              </w:rPr>
              <w:t>容量1×50MVA</w:t>
            </w:r>
          </w:p>
        </w:tc>
      </w:tr>
      <w:tr w14:paraId="49ACD92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340" w:hRule="atLeast"/>
        </w:trPr>
        <w:tc>
          <w:tcPr>
            <w:tcW w:w="691" w:type="dxa"/>
            <w:vMerge w:val="continue"/>
            <w:tcBorders>
              <w:tl2br w:val="nil"/>
              <w:tr2bl w:val="nil"/>
            </w:tcBorders>
            <w:shd w:val="clear" w:color="auto" w:fill="auto"/>
            <w:vAlign w:val="center"/>
          </w:tcPr>
          <w:p w14:paraId="40B7A79C">
            <w:pPr>
              <w:pStyle w:val="45"/>
              <w:rPr>
                <w:rFonts w:hint="default"/>
                <w:b w:val="0"/>
                <w:bCs/>
              </w:rPr>
            </w:pPr>
          </w:p>
        </w:tc>
        <w:tc>
          <w:tcPr>
            <w:tcW w:w="982" w:type="dxa"/>
            <w:vMerge w:val="continue"/>
            <w:tcBorders>
              <w:tl2br w:val="nil"/>
              <w:tr2bl w:val="nil"/>
            </w:tcBorders>
            <w:shd w:val="clear" w:color="auto" w:fill="auto"/>
            <w:vAlign w:val="center"/>
          </w:tcPr>
          <w:p w14:paraId="257B6BC2">
            <w:pPr>
              <w:pStyle w:val="45"/>
              <w:rPr>
                <w:rFonts w:hint="default"/>
                <w:b w:val="0"/>
                <w:bCs/>
              </w:rPr>
            </w:pPr>
          </w:p>
        </w:tc>
        <w:tc>
          <w:tcPr>
            <w:tcW w:w="1517" w:type="dxa"/>
            <w:tcBorders>
              <w:tl2br w:val="nil"/>
              <w:tr2bl w:val="nil"/>
            </w:tcBorders>
            <w:shd w:val="clear" w:color="auto" w:fill="auto"/>
            <w:vAlign w:val="center"/>
          </w:tcPr>
          <w:p w14:paraId="217B654D">
            <w:pPr>
              <w:pStyle w:val="45"/>
              <w:rPr>
                <w:rFonts w:hint="default"/>
                <w:b w:val="0"/>
                <w:bCs/>
              </w:rPr>
            </w:pPr>
            <w:r>
              <w:rPr>
                <w:rFonts w:hint="default"/>
                <w:b w:val="0"/>
                <w:bCs/>
              </w:rPr>
              <w:t>无功补偿</w:t>
            </w:r>
          </w:p>
        </w:tc>
        <w:tc>
          <w:tcPr>
            <w:tcW w:w="5146" w:type="dxa"/>
            <w:tcBorders>
              <w:tl2br w:val="nil"/>
              <w:tr2bl w:val="nil"/>
            </w:tcBorders>
            <w:shd w:val="clear" w:color="auto" w:fill="auto"/>
            <w:vAlign w:val="center"/>
          </w:tcPr>
          <w:p w14:paraId="04D1A932">
            <w:pPr>
              <w:pStyle w:val="45"/>
              <w:rPr>
                <w:rFonts w:hint="default"/>
                <w:b w:val="0"/>
                <w:bCs/>
              </w:rPr>
            </w:pPr>
            <w:r>
              <w:rPr>
                <w:rFonts w:hint="default"/>
                <w:b w:val="0"/>
                <w:bCs/>
              </w:rPr>
              <w:t>7.5MVarSVG+7.5MVarFC</w:t>
            </w:r>
          </w:p>
        </w:tc>
      </w:tr>
      <w:tr w14:paraId="561A690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91" w:type="dxa"/>
            <w:vMerge w:val="continue"/>
            <w:tcBorders>
              <w:tl2br w:val="nil"/>
              <w:tr2bl w:val="nil"/>
            </w:tcBorders>
            <w:shd w:val="clear" w:color="auto" w:fill="auto"/>
            <w:vAlign w:val="center"/>
          </w:tcPr>
          <w:p w14:paraId="7E388824">
            <w:pPr>
              <w:pStyle w:val="45"/>
              <w:rPr>
                <w:rFonts w:hint="default"/>
                <w:b w:val="0"/>
                <w:bCs/>
              </w:rPr>
            </w:pPr>
          </w:p>
        </w:tc>
        <w:tc>
          <w:tcPr>
            <w:tcW w:w="982" w:type="dxa"/>
            <w:vMerge w:val="continue"/>
            <w:tcBorders>
              <w:tl2br w:val="nil"/>
              <w:tr2bl w:val="nil"/>
            </w:tcBorders>
            <w:shd w:val="clear" w:color="auto" w:fill="auto"/>
            <w:vAlign w:val="center"/>
          </w:tcPr>
          <w:p w14:paraId="35DF7A8E">
            <w:pPr>
              <w:pStyle w:val="45"/>
              <w:rPr>
                <w:rFonts w:hint="default"/>
                <w:b w:val="0"/>
                <w:bCs/>
              </w:rPr>
            </w:pPr>
          </w:p>
        </w:tc>
        <w:tc>
          <w:tcPr>
            <w:tcW w:w="1517" w:type="dxa"/>
            <w:tcBorders>
              <w:tl2br w:val="nil"/>
              <w:tr2bl w:val="nil"/>
            </w:tcBorders>
            <w:shd w:val="clear" w:color="auto" w:fill="auto"/>
            <w:vAlign w:val="center"/>
          </w:tcPr>
          <w:p w14:paraId="3BC3EAD1">
            <w:pPr>
              <w:pStyle w:val="45"/>
              <w:rPr>
                <w:rFonts w:hint="default"/>
                <w:b w:val="0"/>
                <w:bCs/>
              </w:rPr>
            </w:pPr>
            <w:r>
              <w:rPr>
                <w:rFonts w:hint="default"/>
                <w:b w:val="0"/>
                <w:bCs/>
              </w:rPr>
              <w:t>110kV间隔</w:t>
            </w:r>
          </w:p>
        </w:tc>
        <w:tc>
          <w:tcPr>
            <w:tcW w:w="5146" w:type="dxa"/>
            <w:tcBorders>
              <w:tl2br w:val="nil"/>
              <w:tr2bl w:val="nil"/>
            </w:tcBorders>
            <w:shd w:val="clear" w:color="auto" w:fill="auto"/>
            <w:vAlign w:val="center"/>
          </w:tcPr>
          <w:p w14:paraId="382B8706">
            <w:pPr>
              <w:pStyle w:val="45"/>
              <w:rPr>
                <w:rFonts w:hint="default"/>
                <w:b w:val="0"/>
                <w:bCs/>
              </w:rPr>
            </w:pPr>
            <w:r>
              <w:rPr>
                <w:rFonts w:hint="default"/>
                <w:b w:val="0"/>
                <w:bCs/>
              </w:rPr>
              <w:t>1个(至</w:t>
            </w:r>
            <w:r>
              <w:rPr>
                <w:rFonts w:hint="eastAsia"/>
                <w:b w:val="0"/>
                <w:bCs/>
                <w:lang w:eastAsia="zh-CN"/>
              </w:rPr>
              <w:t>马杜桥</w:t>
            </w:r>
            <w:r>
              <w:rPr>
                <w:rFonts w:hint="default"/>
                <w:b w:val="0"/>
                <w:bCs/>
              </w:rPr>
              <w:t>110kV变电站)</w:t>
            </w:r>
          </w:p>
        </w:tc>
      </w:tr>
      <w:tr w14:paraId="775FF32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340" w:hRule="atLeast"/>
        </w:trPr>
        <w:tc>
          <w:tcPr>
            <w:tcW w:w="691" w:type="dxa"/>
            <w:vMerge w:val="continue"/>
            <w:tcBorders>
              <w:tl2br w:val="nil"/>
              <w:tr2bl w:val="nil"/>
            </w:tcBorders>
            <w:shd w:val="clear" w:color="auto" w:fill="auto"/>
            <w:vAlign w:val="center"/>
          </w:tcPr>
          <w:p w14:paraId="73573117">
            <w:pPr>
              <w:pStyle w:val="45"/>
              <w:rPr>
                <w:rFonts w:hint="default"/>
                <w:b w:val="0"/>
                <w:bCs/>
              </w:rPr>
            </w:pPr>
          </w:p>
        </w:tc>
        <w:tc>
          <w:tcPr>
            <w:tcW w:w="982" w:type="dxa"/>
            <w:vMerge w:val="continue"/>
            <w:tcBorders>
              <w:tl2br w:val="nil"/>
              <w:tr2bl w:val="nil"/>
            </w:tcBorders>
            <w:shd w:val="clear" w:color="auto" w:fill="auto"/>
            <w:vAlign w:val="center"/>
          </w:tcPr>
          <w:p w14:paraId="100C2E2F">
            <w:pPr>
              <w:pStyle w:val="45"/>
              <w:rPr>
                <w:rFonts w:hint="default"/>
                <w:b w:val="0"/>
                <w:bCs/>
              </w:rPr>
            </w:pPr>
          </w:p>
        </w:tc>
        <w:tc>
          <w:tcPr>
            <w:tcW w:w="1517" w:type="dxa"/>
            <w:tcBorders>
              <w:tl2br w:val="nil"/>
              <w:tr2bl w:val="nil"/>
            </w:tcBorders>
            <w:shd w:val="clear" w:color="auto" w:fill="auto"/>
            <w:vAlign w:val="center"/>
          </w:tcPr>
          <w:p w14:paraId="60320729">
            <w:pPr>
              <w:pStyle w:val="45"/>
              <w:rPr>
                <w:rFonts w:hint="default"/>
                <w:b w:val="0"/>
                <w:bCs/>
              </w:rPr>
            </w:pPr>
            <w:r>
              <w:rPr>
                <w:rFonts w:hint="default"/>
                <w:b w:val="0"/>
                <w:bCs/>
              </w:rPr>
              <w:t>屋外配电装置</w:t>
            </w:r>
          </w:p>
        </w:tc>
        <w:tc>
          <w:tcPr>
            <w:tcW w:w="5146" w:type="dxa"/>
            <w:tcBorders>
              <w:tl2br w:val="nil"/>
              <w:tr2bl w:val="nil"/>
            </w:tcBorders>
            <w:shd w:val="clear" w:color="auto" w:fill="auto"/>
            <w:vAlign w:val="center"/>
          </w:tcPr>
          <w:p w14:paraId="30FE94BD">
            <w:pPr>
              <w:pStyle w:val="45"/>
              <w:rPr>
                <w:rFonts w:hint="default"/>
                <w:b w:val="0"/>
                <w:bCs/>
              </w:rPr>
            </w:pPr>
            <w:r>
              <w:rPr>
                <w:rFonts w:hint="default"/>
                <w:b w:val="0"/>
                <w:bCs/>
              </w:rPr>
              <w:t>占地</w:t>
            </w:r>
            <w:r>
              <w:rPr>
                <w:rFonts w:hint="eastAsia"/>
                <w:b w:val="0"/>
                <w:bCs/>
                <w:lang w:val="en-US" w:eastAsia="zh-CN"/>
              </w:rPr>
              <w:t>约1996</w:t>
            </w:r>
            <w:r>
              <w:rPr>
                <w:rFonts w:hint="default"/>
                <w:b w:val="0"/>
                <w:bCs/>
              </w:rPr>
              <w:t>m²</w:t>
            </w:r>
          </w:p>
        </w:tc>
      </w:tr>
      <w:tr w14:paraId="2331536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340" w:hRule="atLeast"/>
        </w:trPr>
        <w:tc>
          <w:tcPr>
            <w:tcW w:w="691" w:type="dxa"/>
            <w:tcBorders>
              <w:tl2br w:val="nil"/>
              <w:tr2bl w:val="nil"/>
            </w:tcBorders>
            <w:shd w:val="clear" w:color="auto" w:fill="auto"/>
            <w:vAlign w:val="center"/>
          </w:tcPr>
          <w:p w14:paraId="379AE73D">
            <w:pPr>
              <w:pStyle w:val="45"/>
              <w:rPr>
                <w:rFonts w:hint="default"/>
                <w:b w:val="0"/>
                <w:bCs/>
              </w:rPr>
            </w:pPr>
            <w:r>
              <w:rPr>
                <w:rFonts w:hint="default"/>
                <w:b w:val="0"/>
                <w:bCs/>
              </w:rPr>
              <w:t>辅助</w:t>
            </w:r>
          </w:p>
          <w:p w14:paraId="59DE70D3">
            <w:pPr>
              <w:pStyle w:val="45"/>
              <w:rPr>
                <w:rFonts w:hint="default"/>
                <w:b w:val="0"/>
                <w:bCs/>
              </w:rPr>
            </w:pPr>
            <w:r>
              <w:rPr>
                <w:rFonts w:hint="default"/>
                <w:b w:val="0"/>
                <w:bCs/>
              </w:rPr>
              <w:t>工程</w:t>
            </w:r>
          </w:p>
        </w:tc>
        <w:tc>
          <w:tcPr>
            <w:tcW w:w="7645" w:type="dxa"/>
            <w:gridSpan w:val="3"/>
            <w:tcBorders>
              <w:tl2br w:val="nil"/>
              <w:tr2bl w:val="nil"/>
            </w:tcBorders>
            <w:shd w:val="clear" w:color="auto" w:fill="auto"/>
            <w:vAlign w:val="center"/>
          </w:tcPr>
          <w:p w14:paraId="3B9DF448">
            <w:pPr>
              <w:pStyle w:val="45"/>
              <w:rPr>
                <w:rFonts w:hint="eastAsia"/>
                <w:b w:val="0"/>
                <w:bCs/>
                <w:lang w:eastAsia="zh-CN"/>
              </w:rPr>
            </w:pPr>
            <w:r>
              <w:rPr>
                <w:rFonts w:hint="eastAsia"/>
                <w:b w:val="0"/>
                <w:bCs/>
                <w:lang w:eastAsia="zh-CN"/>
              </w:rPr>
              <w:t>建设</w:t>
            </w:r>
            <w:r>
              <w:rPr>
                <w:rFonts w:hint="eastAsia"/>
                <w:b w:val="0"/>
                <w:bCs/>
                <w:lang w:val="en-US" w:eastAsia="zh-CN"/>
              </w:rPr>
              <w:t>综合楼、附属用房、水泵房、消防水池等。</w:t>
            </w:r>
          </w:p>
        </w:tc>
      </w:tr>
      <w:tr w14:paraId="38A3EE4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91" w:type="dxa"/>
            <w:vMerge w:val="restart"/>
            <w:tcBorders>
              <w:tl2br w:val="nil"/>
              <w:tr2bl w:val="nil"/>
            </w:tcBorders>
            <w:shd w:val="clear" w:color="auto" w:fill="auto"/>
            <w:vAlign w:val="center"/>
          </w:tcPr>
          <w:p w14:paraId="12BFD58C">
            <w:pPr>
              <w:pStyle w:val="45"/>
              <w:rPr>
                <w:rFonts w:hint="default"/>
                <w:b w:val="0"/>
                <w:bCs/>
              </w:rPr>
            </w:pPr>
            <w:r>
              <w:rPr>
                <w:rFonts w:hint="default"/>
                <w:b w:val="0"/>
                <w:bCs/>
              </w:rPr>
              <w:t>环保</w:t>
            </w:r>
          </w:p>
          <w:p w14:paraId="177A15BA">
            <w:pPr>
              <w:pStyle w:val="45"/>
              <w:rPr>
                <w:rFonts w:hint="default"/>
                <w:b w:val="0"/>
                <w:bCs/>
              </w:rPr>
            </w:pPr>
            <w:r>
              <w:rPr>
                <w:rFonts w:hint="default"/>
                <w:b w:val="0"/>
                <w:bCs/>
              </w:rPr>
              <w:t>工程</w:t>
            </w:r>
          </w:p>
        </w:tc>
        <w:tc>
          <w:tcPr>
            <w:tcW w:w="2499" w:type="dxa"/>
            <w:gridSpan w:val="2"/>
            <w:tcBorders>
              <w:tl2br w:val="nil"/>
              <w:tr2bl w:val="nil"/>
            </w:tcBorders>
            <w:shd w:val="clear" w:color="auto" w:fill="auto"/>
            <w:vAlign w:val="center"/>
          </w:tcPr>
          <w:p w14:paraId="3B1C3FA6">
            <w:pPr>
              <w:pStyle w:val="45"/>
              <w:rPr>
                <w:rFonts w:hint="default"/>
                <w:b w:val="0"/>
                <w:bCs/>
              </w:rPr>
            </w:pPr>
            <w:r>
              <w:rPr>
                <w:rFonts w:hint="default"/>
                <w:b w:val="0"/>
                <w:bCs/>
              </w:rPr>
              <w:t>生活污水处理设施</w:t>
            </w:r>
          </w:p>
        </w:tc>
        <w:tc>
          <w:tcPr>
            <w:tcW w:w="5146" w:type="dxa"/>
            <w:tcBorders>
              <w:tl2br w:val="nil"/>
              <w:tr2bl w:val="nil"/>
            </w:tcBorders>
            <w:shd w:val="clear" w:color="auto" w:fill="auto"/>
            <w:vAlign w:val="center"/>
          </w:tcPr>
          <w:p w14:paraId="1D07E8C4">
            <w:pPr>
              <w:pStyle w:val="45"/>
              <w:jc w:val="left"/>
              <w:rPr>
                <w:rFonts w:hint="eastAsia" w:eastAsia="宋体"/>
                <w:b w:val="0"/>
                <w:bCs/>
                <w:lang w:eastAsia="zh-CN"/>
              </w:rPr>
            </w:pPr>
            <w:r>
              <w:rPr>
                <w:rFonts w:hint="default"/>
                <w:b w:val="0"/>
                <w:bCs/>
              </w:rPr>
              <w:t>化粪池+</w:t>
            </w:r>
            <w:r>
              <w:rPr>
                <w:rFonts w:hint="eastAsia"/>
                <w:b w:val="0"/>
                <w:bCs/>
                <w:lang w:eastAsia="zh-CN"/>
              </w:rPr>
              <w:t>地埋式</w:t>
            </w:r>
            <w:r>
              <w:rPr>
                <w:rFonts w:hint="default"/>
                <w:b w:val="0"/>
                <w:bCs/>
              </w:rPr>
              <w:t>一体化生活污水处理设备</w:t>
            </w:r>
            <w:r>
              <w:rPr>
                <w:rFonts w:hint="eastAsia"/>
                <w:b w:val="0"/>
                <w:bCs/>
                <w:lang w:eastAsia="zh-CN"/>
              </w:rPr>
              <w:t>（处理量为0.5m</w:t>
            </w:r>
            <w:r>
              <w:rPr>
                <w:rFonts w:hint="eastAsia"/>
                <w:b w:val="0"/>
                <w:bCs/>
                <w:vertAlign w:val="superscript"/>
                <w:lang w:eastAsia="zh-CN"/>
              </w:rPr>
              <w:t>3</w:t>
            </w:r>
            <w:r>
              <w:rPr>
                <w:rFonts w:hint="eastAsia"/>
                <w:b w:val="0"/>
                <w:bCs/>
                <w:lang w:eastAsia="zh-CN"/>
              </w:rPr>
              <w:t>/h），目前正常运行。</w:t>
            </w:r>
          </w:p>
        </w:tc>
      </w:tr>
      <w:tr w14:paraId="1E5AE9E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91" w:type="dxa"/>
            <w:vMerge w:val="continue"/>
            <w:tcBorders>
              <w:tl2br w:val="nil"/>
              <w:tr2bl w:val="nil"/>
            </w:tcBorders>
            <w:shd w:val="clear" w:color="auto" w:fill="auto"/>
            <w:vAlign w:val="center"/>
          </w:tcPr>
          <w:p w14:paraId="41E238ED">
            <w:pPr>
              <w:pStyle w:val="45"/>
              <w:rPr>
                <w:rFonts w:hint="default"/>
                <w:b w:val="0"/>
                <w:bCs/>
              </w:rPr>
            </w:pPr>
          </w:p>
        </w:tc>
        <w:tc>
          <w:tcPr>
            <w:tcW w:w="2499" w:type="dxa"/>
            <w:gridSpan w:val="2"/>
            <w:tcBorders>
              <w:tl2br w:val="nil"/>
              <w:tr2bl w:val="nil"/>
            </w:tcBorders>
            <w:shd w:val="clear" w:color="auto" w:fill="auto"/>
            <w:vAlign w:val="center"/>
          </w:tcPr>
          <w:p w14:paraId="3E0AFB43">
            <w:pPr>
              <w:pStyle w:val="45"/>
              <w:rPr>
                <w:rFonts w:hint="default"/>
                <w:b w:val="0"/>
                <w:bCs/>
              </w:rPr>
            </w:pPr>
            <w:r>
              <w:rPr>
                <w:rFonts w:hint="default"/>
                <w:b w:val="0"/>
                <w:bCs/>
              </w:rPr>
              <w:t>噪声防治</w:t>
            </w:r>
          </w:p>
        </w:tc>
        <w:tc>
          <w:tcPr>
            <w:tcW w:w="5146" w:type="dxa"/>
            <w:tcBorders>
              <w:tl2br w:val="nil"/>
              <w:tr2bl w:val="nil"/>
            </w:tcBorders>
            <w:shd w:val="clear" w:color="auto" w:fill="auto"/>
            <w:vAlign w:val="center"/>
          </w:tcPr>
          <w:p w14:paraId="284ECDDD">
            <w:pPr>
              <w:pStyle w:val="45"/>
              <w:jc w:val="left"/>
              <w:rPr>
                <w:rFonts w:hint="default"/>
                <w:b w:val="0"/>
                <w:bCs/>
              </w:rPr>
            </w:pPr>
            <w:r>
              <w:rPr>
                <w:rFonts w:hint="default"/>
                <w:b w:val="0"/>
                <w:bCs/>
              </w:rPr>
              <w:t>电气设备选用符合国家噪声标准的电气设备，合理规划升压站平面布置；加强升压站的运营管理。</w:t>
            </w:r>
          </w:p>
        </w:tc>
      </w:tr>
      <w:tr w14:paraId="708364B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340" w:hRule="atLeast"/>
        </w:trPr>
        <w:tc>
          <w:tcPr>
            <w:tcW w:w="691" w:type="dxa"/>
            <w:vMerge w:val="continue"/>
            <w:tcBorders>
              <w:tl2br w:val="nil"/>
              <w:tr2bl w:val="nil"/>
            </w:tcBorders>
            <w:shd w:val="clear" w:color="auto" w:fill="auto"/>
            <w:vAlign w:val="center"/>
          </w:tcPr>
          <w:p w14:paraId="10B50431">
            <w:pPr>
              <w:pStyle w:val="45"/>
              <w:rPr>
                <w:rFonts w:hint="default"/>
                <w:b w:val="0"/>
                <w:bCs/>
              </w:rPr>
            </w:pPr>
          </w:p>
        </w:tc>
        <w:tc>
          <w:tcPr>
            <w:tcW w:w="2499" w:type="dxa"/>
            <w:gridSpan w:val="2"/>
            <w:tcBorders>
              <w:tl2br w:val="nil"/>
              <w:tr2bl w:val="nil"/>
            </w:tcBorders>
            <w:shd w:val="clear" w:color="auto" w:fill="auto"/>
            <w:vAlign w:val="center"/>
          </w:tcPr>
          <w:p w14:paraId="0DA3AEDE">
            <w:pPr>
              <w:pStyle w:val="45"/>
              <w:rPr>
                <w:rFonts w:hint="default"/>
                <w:b w:val="0"/>
                <w:bCs/>
              </w:rPr>
            </w:pPr>
            <w:r>
              <w:rPr>
                <w:rFonts w:hint="default"/>
                <w:b w:val="0"/>
                <w:bCs/>
              </w:rPr>
              <w:t>固体废物</w:t>
            </w:r>
          </w:p>
        </w:tc>
        <w:tc>
          <w:tcPr>
            <w:tcW w:w="5146" w:type="dxa"/>
            <w:tcBorders>
              <w:tl2br w:val="nil"/>
              <w:tr2bl w:val="nil"/>
            </w:tcBorders>
            <w:shd w:val="clear" w:color="auto" w:fill="auto"/>
            <w:vAlign w:val="center"/>
          </w:tcPr>
          <w:p w14:paraId="1E0A7681">
            <w:pPr>
              <w:pStyle w:val="45"/>
              <w:jc w:val="left"/>
              <w:rPr>
                <w:rFonts w:hint="default"/>
                <w:b w:val="0"/>
                <w:bCs/>
              </w:rPr>
            </w:pPr>
            <w:r>
              <w:rPr>
                <w:rFonts w:hint="default"/>
                <w:b w:val="0"/>
                <w:bCs/>
              </w:rPr>
              <w:t>升压站巡检工作人员生活垃圾经收集后，由</w:t>
            </w:r>
            <w:r>
              <w:rPr>
                <w:rFonts w:hint="eastAsia"/>
                <w:b w:val="0"/>
                <w:bCs/>
                <w:lang w:eastAsia="zh-CN"/>
              </w:rPr>
              <w:t>黄土铺镇</w:t>
            </w:r>
            <w:r>
              <w:rPr>
                <w:rFonts w:hint="default"/>
                <w:b w:val="0"/>
                <w:bCs/>
              </w:rPr>
              <w:t>环卫所垃圾车清运走，及时运至垃圾中转站处理。</w:t>
            </w:r>
          </w:p>
          <w:p w14:paraId="3A17BDF6">
            <w:pPr>
              <w:pStyle w:val="45"/>
              <w:jc w:val="left"/>
              <w:rPr>
                <w:rFonts w:hint="default" w:ascii="Times New Roman" w:hAnsi="Times New Roman" w:eastAsia="宋体" w:cs="Times New Roman"/>
                <w:b w:val="0"/>
                <w:bCs/>
                <w:color w:val="auto"/>
                <w:kern w:val="0"/>
                <w:sz w:val="21"/>
                <w:szCs w:val="21"/>
                <w:highlight w:val="none"/>
                <w:u w:val="none"/>
                <w:lang w:val="en-US" w:eastAsia="zh-CN" w:bidi="ar-SA"/>
              </w:rPr>
            </w:pPr>
            <w:r>
              <w:rPr>
                <w:rFonts w:hint="default" w:ascii="Times New Roman" w:hAnsi="Times New Roman" w:eastAsia="宋体" w:cs="Times New Roman"/>
                <w:b w:val="0"/>
                <w:bCs/>
                <w:color w:val="auto"/>
                <w:kern w:val="0"/>
                <w:sz w:val="21"/>
                <w:szCs w:val="21"/>
                <w:highlight w:val="none"/>
                <w:u w:val="none"/>
                <w:lang w:val="en-US" w:eastAsia="zh-CN" w:bidi="ar-SA"/>
              </w:rPr>
              <w:t>废机油、废液压油定期及时交给有资质的单位进行处理</w:t>
            </w:r>
            <w:r>
              <w:rPr>
                <w:rFonts w:hint="eastAsia" w:ascii="Times New Roman" w:hAnsi="Times New Roman" w:cs="Times New Roman"/>
                <w:b w:val="0"/>
                <w:bCs/>
                <w:color w:val="auto"/>
                <w:kern w:val="0"/>
                <w:sz w:val="21"/>
                <w:szCs w:val="21"/>
                <w:highlight w:val="none"/>
                <w:u w:val="none"/>
                <w:lang w:val="en-US" w:eastAsia="zh-CN" w:bidi="ar-SA"/>
              </w:rPr>
              <w:t>；</w:t>
            </w:r>
            <w:r>
              <w:rPr>
                <w:rFonts w:hint="default" w:ascii="Times New Roman" w:hAnsi="Times New Roman" w:eastAsia="宋体" w:cs="Times New Roman"/>
                <w:b w:val="0"/>
                <w:bCs/>
                <w:color w:val="auto"/>
                <w:kern w:val="0"/>
                <w:sz w:val="21"/>
                <w:szCs w:val="21"/>
                <w:highlight w:val="none"/>
                <w:u w:val="none"/>
                <w:lang w:val="en-US" w:eastAsia="zh-CN" w:bidi="ar-SA"/>
              </w:rPr>
              <w:t>废旧</w:t>
            </w:r>
            <w:r>
              <w:rPr>
                <w:rFonts w:hint="eastAsia" w:cs="Times New Roman"/>
                <w:b w:val="0"/>
                <w:bCs/>
                <w:color w:val="auto"/>
                <w:kern w:val="0"/>
                <w:sz w:val="21"/>
                <w:szCs w:val="21"/>
                <w:highlight w:val="none"/>
                <w:u w:val="none"/>
                <w:lang w:val="en-US" w:eastAsia="zh-CN" w:bidi="ar-SA"/>
              </w:rPr>
              <w:t>铅蓄电池</w:t>
            </w:r>
            <w:r>
              <w:rPr>
                <w:rFonts w:hint="default" w:ascii="Times New Roman" w:hAnsi="Times New Roman" w:eastAsia="宋体" w:cs="Times New Roman"/>
                <w:b w:val="0"/>
                <w:bCs/>
                <w:color w:val="auto"/>
                <w:kern w:val="0"/>
                <w:sz w:val="21"/>
                <w:szCs w:val="21"/>
                <w:highlight w:val="none"/>
                <w:u w:val="none"/>
                <w:lang w:val="en-US" w:eastAsia="zh-CN" w:bidi="ar-SA"/>
              </w:rPr>
              <w:t>严格按照国家危废转移、处置有关规定对退役的</w:t>
            </w:r>
            <w:r>
              <w:rPr>
                <w:rFonts w:hint="eastAsia" w:cs="Times New Roman"/>
                <w:b w:val="0"/>
                <w:bCs/>
                <w:color w:val="auto"/>
                <w:kern w:val="0"/>
                <w:sz w:val="21"/>
                <w:szCs w:val="21"/>
                <w:highlight w:val="none"/>
                <w:u w:val="none"/>
                <w:lang w:val="en-US" w:eastAsia="zh-CN" w:bidi="ar-SA"/>
              </w:rPr>
              <w:t>铅蓄电池</w:t>
            </w:r>
            <w:r>
              <w:rPr>
                <w:rFonts w:hint="default" w:ascii="Times New Roman" w:hAnsi="Times New Roman" w:eastAsia="宋体" w:cs="Times New Roman"/>
                <w:b w:val="0"/>
                <w:bCs/>
                <w:color w:val="auto"/>
                <w:kern w:val="0"/>
                <w:sz w:val="21"/>
                <w:szCs w:val="21"/>
                <w:highlight w:val="none"/>
                <w:u w:val="none"/>
                <w:lang w:val="en-US" w:eastAsia="zh-CN" w:bidi="ar-SA"/>
              </w:rPr>
              <w:t>进行转移、处置。</w:t>
            </w:r>
          </w:p>
          <w:p w14:paraId="5663B2F3">
            <w:pPr>
              <w:pStyle w:val="45"/>
              <w:jc w:val="left"/>
              <w:rPr>
                <w:rFonts w:hint="default" w:ascii="Times New Roman" w:hAnsi="Times New Roman" w:eastAsia="宋体" w:cs="Times New Roman"/>
                <w:b w:val="0"/>
                <w:bCs/>
                <w:color w:val="auto"/>
                <w:kern w:val="0"/>
                <w:sz w:val="21"/>
                <w:szCs w:val="21"/>
                <w:highlight w:val="none"/>
                <w:u w:val="none"/>
                <w:lang w:val="en-US" w:eastAsia="zh-CN" w:bidi="ar-SA"/>
              </w:rPr>
            </w:pPr>
            <w:r>
              <w:rPr>
                <w:rFonts w:hint="eastAsia" w:cs="Times New Roman"/>
                <w:b w:val="0"/>
                <w:bCs/>
                <w:color w:val="auto"/>
                <w:kern w:val="0"/>
                <w:sz w:val="21"/>
                <w:szCs w:val="21"/>
                <w:highlight w:val="none"/>
                <w:u w:val="none"/>
                <w:lang w:val="en-US" w:eastAsia="zh-CN" w:bidi="ar-SA"/>
              </w:rPr>
              <w:t>建设有1个危险废物暂存间，面积约为10m</w:t>
            </w:r>
            <w:r>
              <w:rPr>
                <w:rFonts w:hint="eastAsia" w:cs="Times New Roman"/>
                <w:b w:val="0"/>
                <w:bCs/>
                <w:color w:val="auto"/>
                <w:kern w:val="0"/>
                <w:sz w:val="21"/>
                <w:szCs w:val="21"/>
                <w:highlight w:val="none"/>
                <w:u w:val="none"/>
                <w:vertAlign w:val="superscript"/>
                <w:lang w:val="en-US" w:eastAsia="zh-CN" w:bidi="ar-SA"/>
              </w:rPr>
              <w:t>2</w:t>
            </w:r>
            <w:r>
              <w:rPr>
                <w:rFonts w:hint="eastAsia" w:cs="Times New Roman"/>
                <w:b w:val="0"/>
                <w:bCs/>
                <w:color w:val="auto"/>
                <w:kern w:val="0"/>
                <w:sz w:val="21"/>
                <w:szCs w:val="21"/>
                <w:highlight w:val="none"/>
                <w:u w:val="none"/>
                <w:lang w:val="en-US" w:eastAsia="zh-CN" w:bidi="ar-SA"/>
              </w:rPr>
              <w:t>，目前未暂存危险废物。</w:t>
            </w:r>
          </w:p>
        </w:tc>
      </w:tr>
      <w:tr w14:paraId="555F0E5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91" w:type="dxa"/>
            <w:vMerge w:val="continue"/>
            <w:tcBorders>
              <w:tl2br w:val="nil"/>
              <w:tr2bl w:val="nil"/>
            </w:tcBorders>
            <w:shd w:val="clear" w:color="auto" w:fill="auto"/>
            <w:vAlign w:val="center"/>
          </w:tcPr>
          <w:p w14:paraId="032759CB">
            <w:pPr>
              <w:pStyle w:val="45"/>
              <w:rPr>
                <w:rFonts w:hint="default"/>
                <w:b w:val="0"/>
                <w:bCs/>
              </w:rPr>
            </w:pPr>
          </w:p>
        </w:tc>
        <w:tc>
          <w:tcPr>
            <w:tcW w:w="2499" w:type="dxa"/>
            <w:gridSpan w:val="2"/>
            <w:tcBorders>
              <w:tl2br w:val="nil"/>
              <w:tr2bl w:val="nil"/>
            </w:tcBorders>
            <w:shd w:val="clear" w:color="auto" w:fill="auto"/>
            <w:vAlign w:val="center"/>
          </w:tcPr>
          <w:p w14:paraId="55C42672">
            <w:pPr>
              <w:pStyle w:val="45"/>
              <w:rPr>
                <w:rFonts w:hint="default"/>
                <w:b w:val="0"/>
                <w:bCs/>
              </w:rPr>
            </w:pPr>
            <w:r>
              <w:rPr>
                <w:rFonts w:hint="default"/>
                <w:b w:val="0"/>
                <w:bCs/>
              </w:rPr>
              <w:t>电磁防治</w:t>
            </w:r>
          </w:p>
        </w:tc>
        <w:tc>
          <w:tcPr>
            <w:tcW w:w="5146" w:type="dxa"/>
            <w:tcBorders>
              <w:tl2br w:val="nil"/>
              <w:tr2bl w:val="nil"/>
            </w:tcBorders>
            <w:shd w:val="clear" w:color="auto" w:fill="auto"/>
            <w:vAlign w:val="center"/>
          </w:tcPr>
          <w:p w14:paraId="20446D4D">
            <w:pPr>
              <w:pStyle w:val="45"/>
              <w:jc w:val="left"/>
              <w:rPr>
                <w:rFonts w:hint="default"/>
                <w:b w:val="0"/>
                <w:bCs/>
              </w:rPr>
            </w:pPr>
            <w:r>
              <w:rPr>
                <w:rFonts w:hint="default"/>
                <w:b w:val="0"/>
                <w:bCs/>
              </w:rPr>
              <w:t>设置警示标识、禁止攀爬标识等。</w:t>
            </w:r>
          </w:p>
        </w:tc>
      </w:tr>
      <w:tr w14:paraId="7012442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91" w:type="dxa"/>
            <w:vMerge w:val="continue"/>
            <w:tcBorders>
              <w:tl2br w:val="nil"/>
              <w:tr2bl w:val="nil"/>
            </w:tcBorders>
            <w:shd w:val="clear" w:color="auto" w:fill="auto"/>
            <w:vAlign w:val="center"/>
          </w:tcPr>
          <w:p w14:paraId="0585D7C9">
            <w:pPr>
              <w:pStyle w:val="45"/>
              <w:rPr>
                <w:rFonts w:hint="default"/>
                <w:b w:val="0"/>
                <w:bCs/>
              </w:rPr>
            </w:pPr>
          </w:p>
        </w:tc>
        <w:tc>
          <w:tcPr>
            <w:tcW w:w="2499" w:type="dxa"/>
            <w:gridSpan w:val="2"/>
            <w:tcBorders>
              <w:tl2br w:val="nil"/>
              <w:tr2bl w:val="nil"/>
            </w:tcBorders>
            <w:shd w:val="clear" w:color="auto" w:fill="auto"/>
            <w:vAlign w:val="center"/>
          </w:tcPr>
          <w:p w14:paraId="5B4E3D32">
            <w:pPr>
              <w:pStyle w:val="45"/>
              <w:rPr>
                <w:rFonts w:hint="default"/>
                <w:b w:val="0"/>
                <w:bCs/>
              </w:rPr>
            </w:pPr>
            <w:r>
              <w:rPr>
                <w:rFonts w:hint="default"/>
                <w:b w:val="0"/>
                <w:bCs/>
              </w:rPr>
              <w:t>环境风险</w:t>
            </w:r>
          </w:p>
        </w:tc>
        <w:tc>
          <w:tcPr>
            <w:tcW w:w="5146" w:type="dxa"/>
            <w:tcBorders>
              <w:tl2br w:val="nil"/>
              <w:tr2bl w:val="nil"/>
            </w:tcBorders>
            <w:shd w:val="clear" w:color="auto" w:fill="auto"/>
            <w:vAlign w:val="center"/>
          </w:tcPr>
          <w:p w14:paraId="6708F55E">
            <w:pPr>
              <w:pStyle w:val="45"/>
              <w:jc w:val="left"/>
              <w:rPr>
                <w:rFonts w:hint="default"/>
                <w:b w:val="0"/>
                <w:bCs/>
              </w:rPr>
            </w:pPr>
            <w:r>
              <w:rPr>
                <w:rFonts w:hint="default"/>
                <w:b w:val="0"/>
                <w:bCs/>
              </w:rPr>
              <w:t>变压器下方设封闭环绕的集油沟，并设一座地埋式事故油池，有效容积为</w:t>
            </w:r>
            <w:r>
              <w:rPr>
                <w:rFonts w:hint="eastAsia"/>
                <w:b w:val="0"/>
                <w:bCs/>
                <w:lang w:val="en-US" w:eastAsia="zh-CN"/>
              </w:rPr>
              <w:t>30</w:t>
            </w:r>
            <w:r>
              <w:rPr>
                <w:rFonts w:hint="default"/>
                <w:b w:val="0"/>
                <w:bCs/>
              </w:rPr>
              <w:t>m³。事故废油(HW08)由有相应危废处置资质的单位回收，产生的含油废水及其他危险废物委托有相应危废处置资质单位安全处置。</w:t>
            </w:r>
          </w:p>
          <w:p w14:paraId="5D674C76">
            <w:pPr>
              <w:pStyle w:val="45"/>
              <w:jc w:val="left"/>
              <w:rPr>
                <w:rFonts w:hint="default"/>
                <w:b w:val="0"/>
                <w:bCs/>
              </w:rPr>
            </w:pPr>
            <w:r>
              <w:rPr>
                <w:rFonts w:hint="default"/>
                <w:b w:val="0"/>
                <w:bCs/>
              </w:rPr>
              <w:t>各箱式变压器下方各设置1个1.5m</w:t>
            </w:r>
            <w:r>
              <w:rPr>
                <w:rFonts w:hint="default"/>
                <w:b w:val="0"/>
                <w:bCs/>
                <w:vertAlign w:val="superscript"/>
              </w:rPr>
              <w:t>3</w:t>
            </w:r>
            <w:r>
              <w:rPr>
                <w:rFonts w:hint="default"/>
                <w:b w:val="0"/>
                <w:bCs/>
              </w:rPr>
              <w:t>的事故油池，共20个事故油池</w:t>
            </w:r>
            <w:r>
              <w:rPr>
                <w:rFonts w:hint="default"/>
                <w:b w:val="0"/>
                <w:bCs/>
                <w:lang w:eastAsia="zh-CN"/>
              </w:rPr>
              <w:t>。</w:t>
            </w:r>
          </w:p>
        </w:tc>
      </w:tr>
    </w:tbl>
    <w:p w14:paraId="1CB9BD92">
      <w:pPr>
        <w:pStyle w:val="4"/>
        <w:bidi w:val="0"/>
        <w:rPr>
          <w:rFonts w:hint="default"/>
          <w:color w:val="auto"/>
          <w:highlight w:val="none"/>
        </w:rPr>
      </w:pPr>
      <w:bookmarkStart w:id="60" w:name="_Toc4436"/>
      <w:r>
        <w:rPr>
          <w:rFonts w:hint="default"/>
          <w:color w:val="auto"/>
          <w:highlight w:val="none"/>
        </w:rPr>
        <w:t>现有工程存在的主要环境问题</w:t>
      </w:r>
      <w:r>
        <w:rPr>
          <w:rFonts w:hint="eastAsia"/>
          <w:color w:val="auto"/>
          <w:highlight w:val="none"/>
          <w:lang w:eastAsia="zh-CN"/>
        </w:rPr>
        <w:t>及整改情况</w:t>
      </w:r>
      <w:bookmarkEnd w:id="60"/>
    </w:p>
    <w:p w14:paraId="30D55483">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firstLine="480" w:firstLineChars="200"/>
        <w:textAlignment w:val="auto"/>
        <w:rPr>
          <w:rFonts w:hint="eastAsia" w:ascii="Times New Roman" w:hAnsi="Times New Roman" w:eastAsia="宋体" w:cs="Times New Roman"/>
          <w:b w:val="0"/>
          <w:bCs w:val="0"/>
          <w:color w:val="auto"/>
          <w:kern w:val="0"/>
          <w:sz w:val="24"/>
          <w:szCs w:val="24"/>
          <w:highlight w:val="none"/>
          <w:u w:val="none"/>
          <w:lang w:eastAsia="zh-CN"/>
        </w:rPr>
      </w:pPr>
      <w:r>
        <w:rPr>
          <w:rFonts w:hint="eastAsia" w:ascii="Times New Roman" w:hAnsi="Times New Roman" w:cs="Times New Roman"/>
          <w:b w:val="0"/>
          <w:bCs w:val="0"/>
          <w:color w:val="auto"/>
          <w:kern w:val="0"/>
          <w:sz w:val="24"/>
          <w:szCs w:val="24"/>
          <w:highlight w:val="none"/>
          <w:u w:val="none"/>
          <w:lang w:eastAsia="zh-CN"/>
        </w:rPr>
        <w:t>经现场踏勘及走访调查，大马风电场运行至今</w:t>
      </w:r>
      <w:r>
        <w:rPr>
          <w:rFonts w:hint="default" w:ascii="Times New Roman" w:hAnsi="Times New Roman" w:cs="Times New Roman"/>
          <w:b w:val="0"/>
          <w:bCs w:val="0"/>
          <w:color w:val="auto"/>
          <w:kern w:val="0"/>
          <w:sz w:val="24"/>
          <w:szCs w:val="24"/>
          <w:highlight w:val="none"/>
          <w:u w:val="none"/>
        </w:rPr>
        <w:t>未发生过环境污染事件，不存在环境污染和生态破坏问题。</w:t>
      </w:r>
      <w:r>
        <w:rPr>
          <w:rFonts w:hint="eastAsia" w:ascii="Times New Roman" w:hAnsi="Times New Roman" w:cs="Times New Roman"/>
          <w:b w:val="0"/>
          <w:bCs w:val="0"/>
          <w:color w:val="auto"/>
          <w:kern w:val="0"/>
          <w:sz w:val="24"/>
          <w:szCs w:val="24"/>
          <w:highlight w:val="none"/>
          <w:u w:val="none"/>
          <w:lang w:eastAsia="zh-CN"/>
        </w:rPr>
        <w:t>目前，大马风电场升压站内建设了地埋式一体化污水处理设施、设置了危废暂存间，但未设置相应的标识标牌，本次环评要求企业完善环保设施标识标牌。</w:t>
      </w:r>
    </w:p>
    <w:p w14:paraId="43575464">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leftChars="0" w:firstLine="480" w:firstLineChars="200"/>
        <w:textAlignment w:val="auto"/>
        <w:rPr>
          <w:rFonts w:hint="default" w:ascii="Times New Roman" w:hAnsi="Times New Roman" w:cs="Times New Roman"/>
          <w:b w:val="0"/>
          <w:bCs w:val="0"/>
          <w:color w:val="auto"/>
          <w:kern w:val="0"/>
          <w:sz w:val="24"/>
          <w:szCs w:val="24"/>
          <w:highlight w:val="none"/>
          <w:u w:val="none"/>
          <w:lang w:val="en-US" w:eastAsia="zh-CN"/>
        </w:rPr>
      </w:pPr>
      <w:r>
        <w:rPr>
          <w:rFonts w:hint="eastAsia" w:ascii="Times New Roman" w:hAnsi="Times New Roman" w:cs="Times New Roman"/>
          <w:b w:val="0"/>
          <w:bCs w:val="0"/>
          <w:color w:val="auto"/>
          <w:kern w:val="0"/>
          <w:sz w:val="24"/>
          <w:szCs w:val="24"/>
          <w:highlight w:val="none"/>
          <w:u w:val="none"/>
          <w:lang w:val="en-US" w:eastAsia="zh-CN"/>
        </w:rPr>
        <w:t>针对存在的问题，建设单位立即按要求制作了标识标牌，整改情况如下。</w:t>
      </w:r>
    </w:p>
    <w:p w14:paraId="43F2846E">
      <w:pPr>
        <w:pStyle w:val="31"/>
        <w:keepNext w:val="0"/>
        <w:keepLines w:val="0"/>
        <w:pageBreakBefore w:val="0"/>
        <w:widowControl w:val="0"/>
        <w:kinsoku/>
        <w:wordWrap/>
        <w:overflowPunct/>
        <w:topLinePunct w:val="0"/>
        <w:autoSpaceDE/>
        <w:autoSpaceDN/>
        <w:bidi w:val="0"/>
        <w:adjustRightInd/>
        <w:snapToGrid/>
        <w:spacing w:before="0" w:beforeLines="0" w:after="0" w:afterLines="0" w:line="240" w:lineRule="auto"/>
        <w:textAlignment w:val="auto"/>
        <w:rPr>
          <w:rFonts w:hint="default" w:ascii="Times New Roman" w:hAnsi="Times New Roman" w:eastAsia="宋体" w:cs="Times New Roman"/>
          <w:b/>
          <w:bCs/>
          <w:color w:val="auto"/>
          <w:kern w:val="2"/>
          <w:sz w:val="24"/>
          <w:szCs w:val="24"/>
          <w:highlight w:val="none"/>
          <w:u w:val="none" w:color="auto"/>
          <w:lang w:val="en-US" w:eastAsia="zh-CN" w:bidi="ar-SA"/>
        </w:rPr>
      </w:pPr>
      <w:bookmarkStart w:id="61" w:name="_Ref12077"/>
      <w:r>
        <w:rPr>
          <w:rFonts w:hint="default" w:ascii="Times New Roman" w:hAnsi="Times New Roman" w:eastAsia="宋体" w:cs="Times New Roman"/>
          <w:b/>
          <w:bCs/>
          <w:color w:val="auto"/>
          <w:kern w:val="2"/>
          <w:sz w:val="24"/>
          <w:szCs w:val="24"/>
          <w:highlight w:val="none"/>
          <w:u w:val="none" w:color="auto"/>
          <w:lang w:val="en-US" w:eastAsia="zh-CN" w:bidi="ar-SA"/>
        </w:rPr>
        <w:t>表</w:t>
      </w:r>
      <w:bookmarkEnd w:id="61"/>
      <w:r>
        <w:rPr>
          <w:rFonts w:hint="eastAsia" w:ascii="Times New Roman" w:hAnsi="Times New Roman" w:eastAsia="宋体" w:cs="Times New Roman"/>
          <w:b/>
          <w:bCs/>
          <w:color w:val="auto"/>
          <w:kern w:val="2"/>
          <w:sz w:val="24"/>
          <w:szCs w:val="24"/>
          <w:highlight w:val="none"/>
          <w:u w:val="none" w:color="auto"/>
          <w:lang w:val="en-US" w:eastAsia="zh-CN" w:bidi="ar-SA"/>
        </w:rPr>
        <w:t>3</w:t>
      </w:r>
      <w:r>
        <w:rPr>
          <w:rFonts w:hint="eastAsia" w:eastAsia="宋体" w:cs="Times New Roman"/>
          <w:b/>
          <w:bCs/>
          <w:color w:val="auto"/>
          <w:kern w:val="2"/>
          <w:sz w:val="24"/>
          <w:szCs w:val="24"/>
          <w:highlight w:val="none"/>
          <w:u w:val="none" w:color="auto"/>
          <w:lang w:val="en-US" w:eastAsia="zh-CN" w:bidi="ar-SA"/>
        </w:rPr>
        <w:t>.2-2</w:t>
      </w:r>
      <w:r>
        <w:rPr>
          <w:rFonts w:hint="eastAsia" w:ascii="Times New Roman" w:hAnsi="Times New Roman" w:eastAsia="宋体" w:cs="Times New Roman"/>
          <w:b/>
          <w:bCs/>
          <w:color w:val="auto"/>
          <w:kern w:val="2"/>
          <w:sz w:val="24"/>
          <w:szCs w:val="24"/>
          <w:highlight w:val="none"/>
          <w:u w:val="none" w:color="auto"/>
          <w:lang w:val="en-US" w:eastAsia="zh-CN" w:bidi="ar-SA"/>
        </w:rPr>
        <w:t xml:space="preserve">  现存的环境问题及整改措施</w:t>
      </w:r>
    </w:p>
    <w:tbl>
      <w:tblPr>
        <w:tblStyle w:val="2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1"/>
        <w:gridCol w:w="4230"/>
        <w:gridCol w:w="3571"/>
      </w:tblGrid>
      <w:tr w14:paraId="7F0E5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21" w:type="dxa"/>
            <w:tcBorders>
              <w:top w:val="single" w:color="auto" w:sz="12" w:space="0"/>
              <w:left w:val="single" w:color="auto" w:sz="12" w:space="0"/>
            </w:tcBorders>
            <w:noWrap w:val="0"/>
            <w:vAlign w:val="center"/>
          </w:tcPr>
          <w:p w14:paraId="6CE940ED">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序号</w:t>
            </w:r>
          </w:p>
        </w:tc>
        <w:tc>
          <w:tcPr>
            <w:tcW w:w="4230" w:type="dxa"/>
            <w:tcBorders>
              <w:top w:val="single" w:color="auto" w:sz="12" w:space="0"/>
            </w:tcBorders>
            <w:noWrap w:val="0"/>
            <w:vAlign w:val="center"/>
          </w:tcPr>
          <w:p w14:paraId="5200D2E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存在的问题</w:t>
            </w:r>
          </w:p>
        </w:tc>
        <w:tc>
          <w:tcPr>
            <w:tcW w:w="3571" w:type="dxa"/>
            <w:tcBorders>
              <w:top w:val="single" w:color="auto" w:sz="12" w:space="0"/>
              <w:right w:val="single" w:color="auto" w:sz="12" w:space="0"/>
            </w:tcBorders>
            <w:noWrap w:val="0"/>
            <w:vAlign w:val="center"/>
          </w:tcPr>
          <w:p w14:paraId="3742D36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整改情况</w:t>
            </w:r>
          </w:p>
        </w:tc>
      </w:tr>
      <w:tr w14:paraId="71E59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21" w:type="dxa"/>
            <w:tcBorders>
              <w:left w:val="single" w:color="auto" w:sz="12" w:space="0"/>
            </w:tcBorders>
            <w:noWrap w:val="0"/>
            <w:vAlign w:val="center"/>
          </w:tcPr>
          <w:p w14:paraId="476D8B7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w:t>
            </w:r>
          </w:p>
        </w:tc>
        <w:tc>
          <w:tcPr>
            <w:tcW w:w="4230" w:type="dxa"/>
            <w:noWrap w:val="0"/>
            <w:vAlign w:val="center"/>
          </w:tcPr>
          <w:p w14:paraId="33AF67E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危废暂存间未按规定设置标识标牌。</w:t>
            </w:r>
          </w:p>
          <w:p w14:paraId="29BBBB12">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drawing>
                <wp:inline distT="0" distB="0" distL="114300" distR="114300">
                  <wp:extent cx="2254250" cy="1269365"/>
                  <wp:effectExtent l="0" t="0" r="12700" b="6985"/>
                  <wp:docPr id="5" name="图片 2" descr="picture_2023_06_27_10_37_45_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picture_2023_06_27_10_37_45_545"/>
                          <pic:cNvPicPr>
                            <a:picLocks noChangeAspect="1"/>
                          </pic:cNvPicPr>
                        </pic:nvPicPr>
                        <pic:blipFill>
                          <a:blip r:embed="rId11"/>
                          <a:stretch>
                            <a:fillRect/>
                          </a:stretch>
                        </pic:blipFill>
                        <pic:spPr>
                          <a:xfrm>
                            <a:off x="0" y="0"/>
                            <a:ext cx="2254250" cy="1269365"/>
                          </a:xfrm>
                          <a:prstGeom prst="rect">
                            <a:avLst/>
                          </a:prstGeom>
                          <a:noFill/>
                          <a:ln>
                            <a:noFill/>
                          </a:ln>
                        </pic:spPr>
                      </pic:pic>
                    </a:graphicData>
                  </a:graphic>
                </wp:inline>
              </w:drawing>
            </w:r>
          </w:p>
        </w:tc>
        <w:tc>
          <w:tcPr>
            <w:tcW w:w="3571" w:type="dxa"/>
            <w:tcBorders>
              <w:right w:val="single" w:color="auto" w:sz="12" w:space="0"/>
            </w:tcBorders>
            <w:noWrap w:val="0"/>
            <w:vAlign w:val="center"/>
          </w:tcPr>
          <w:p w14:paraId="3233202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drawing>
                <wp:inline distT="0" distB="0" distL="114300" distR="114300">
                  <wp:extent cx="2077085" cy="1557655"/>
                  <wp:effectExtent l="0" t="0" r="18415" b="4445"/>
                  <wp:docPr id="4" name="图片 3" descr="d6aa696abadec0c9243f8bcf7a76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d6aa696abadec0c9243f8bcf7a76813"/>
                          <pic:cNvPicPr>
                            <a:picLocks noChangeAspect="1"/>
                          </pic:cNvPicPr>
                        </pic:nvPicPr>
                        <pic:blipFill>
                          <a:blip r:embed="rId12"/>
                          <a:stretch>
                            <a:fillRect/>
                          </a:stretch>
                        </pic:blipFill>
                        <pic:spPr>
                          <a:xfrm>
                            <a:off x="0" y="0"/>
                            <a:ext cx="2077085" cy="1557655"/>
                          </a:xfrm>
                          <a:prstGeom prst="rect">
                            <a:avLst/>
                          </a:prstGeom>
                          <a:noFill/>
                          <a:ln>
                            <a:noFill/>
                          </a:ln>
                        </pic:spPr>
                      </pic:pic>
                    </a:graphicData>
                  </a:graphic>
                </wp:inline>
              </w:drawing>
            </w:r>
          </w:p>
        </w:tc>
      </w:tr>
      <w:tr w14:paraId="33CE98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21" w:type="dxa"/>
            <w:tcBorders>
              <w:left w:val="single" w:color="auto" w:sz="12" w:space="0"/>
              <w:bottom w:val="single" w:color="auto" w:sz="12" w:space="0"/>
            </w:tcBorders>
            <w:noWrap w:val="0"/>
            <w:vAlign w:val="center"/>
          </w:tcPr>
          <w:p w14:paraId="2138625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w:t>
            </w:r>
          </w:p>
        </w:tc>
        <w:tc>
          <w:tcPr>
            <w:tcW w:w="4230" w:type="dxa"/>
            <w:tcBorders>
              <w:bottom w:val="single" w:color="auto" w:sz="12" w:space="0"/>
            </w:tcBorders>
            <w:noWrap w:val="0"/>
            <w:vAlign w:val="center"/>
          </w:tcPr>
          <w:p w14:paraId="49C1558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地埋式一体化污水处理设施未设置醒目标志。</w:t>
            </w:r>
          </w:p>
          <w:p w14:paraId="4B91AB6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drawing>
                <wp:inline distT="0" distB="0" distL="114300" distR="114300">
                  <wp:extent cx="2267585" cy="1276350"/>
                  <wp:effectExtent l="0" t="0" r="18415" b="0"/>
                  <wp:docPr id="3" name="图片 4" descr="picture_2023_06_27_10_37_08_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descr="picture_2023_06_27_10_37_08_394"/>
                          <pic:cNvPicPr>
                            <a:picLocks noChangeAspect="1"/>
                          </pic:cNvPicPr>
                        </pic:nvPicPr>
                        <pic:blipFill>
                          <a:blip r:embed="rId13"/>
                          <a:stretch>
                            <a:fillRect/>
                          </a:stretch>
                        </pic:blipFill>
                        <pic:spPr>
                          <a:xfrm>
                            <a:off x="0" y="0"/>
                            <a:ext cx="2267585" cy="1276350"/>
                          </a:xfrm>
                          <a:prstGeom prst="rect">
                            <a:avLst/>
                          </a:prstGeom>
                          <a:noFill/>
                          <a:ln>
                            <a:noFill/>
                          </a:ln>
                        </pic:spPr>
                      </pic:pic>
                    </a:graphicData>
                  </a:graphic>
                </wp:inline>
              </w:drawing>
            </w:r>
          </w:p>
        </w:tc>
        <w:tc>
          <w:tcPr>
            <w:tcW w:w="3571" w:type="dxa"/>
            <w:tcBorders>
              <w:bottom w:val="single" w:color="auto" w:sz="12" w:space="0"/>
              <w:right w:val="single" w:color="auto" w:sz="12" w:space="0"/>
            </w:tcBorders>
            <w:noWrap w:val="0"/>
            <w:vAlign w:val="center"/>
          </w:tcPr>
          <w:p w14:paraId="13A09D8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drawing>
                <wp:inline distT="0" distB="0" distL="114300" distR="114300">
                  <wp:extent cx="1548765" cy="2065655"/>
                  <wp:effectExtent l="0" t="0" r="10795" b="13335"/>
                  <wp:docPr id="6" name="图片 5" descr="28936bf7b88ce628523447718c731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28936bf7b88ce628523447718c731fd"/>
                          <pic:cNvPicPr>
                            <a:picLocks noChangeAspect="1"/>
                          </pic:cNvPicPr>
                        </pic:nvPicPr>
                        <pic:blipFill>
                          <a:blip r:embed="rId14"/>
                          <a:stretch>
                            <a:fillRect/>
                          </a:stretch>
                        </pic:blipFill>
                        <pic:spPr>
                          <a:xfrm rot="5400000">
                            <a:off x="0" y="0"/>
                            <a:ext cx="1548765" cy="2065655"/>
                          </a:xfrm>
                          <a:prstGeom prst="rect">
                            <a:avLst/>
                          </a:prstGeom>
                          <a:noFill/>
                          <a:ln>
                            <a:noFill/>
                          </a:ln>
                        </pic:spPr>
                      </pic:pic>
                    </a:graphicData>
                  </a:graphic>
                </wp:inline>
              </w:drawing>
            </w:r>
          </w:p>
        </w:tc>
      </w:tr>
    </w:tbl>
    <w:p w14:paraId="125669BF">
      <w:pPr>
        <w:bidi w:val="0"/>
        <w:rPr>
          <w:rFonts w:hint="eastAsia" w:eastAsia="宋体"/>
          <w:color w:val="auto"/>
          <w:highlight w:val="none"/>
          <w:lang w:eastAsia="zh-CN"/>
        </w:rPr>
      </w:pPr>
      <w:r>
        <w:rPr>
          <w:rFonts w:hint="eastAsia"/>
          <w:color w:val="auto"/>
          <w:highlight w:val="none"/>
          <w:lang w:eastAsia="zh-CN"/>
        </w:rPr>
        <w:t>通过对以上存在的问题进行整改后，大马风电场不存在环境污染和生态破坏问题。</w:t>
      </w:r>
    </w:p>
    <w:p w14:paraId="12574D7F">
      <w:pPr>
        <w:bidi w:val="0"/>
        <w:rPr>
          <w:color w:val="auto"/>
          <w:highlight w:val="none"/>
        </w:rPr>
      </w:pPr>
    </w:p>
    <w:p w14:paraId="5940A388">
      <w:pPr>
        <w:bidi w:val="0"/>
        <w:rPr>
          <w:color w:val="auto"/>
          <w:highlight w:val="none"/>
        </w:rPr>
      </w:pPr>
    </w:p>
    <w:p w14:paraId="3AEB64EF">
      <w:pPr>
        <w:bidi w:val="0"/>
        <w:rPr>
          <w:color w:val="auto"/>
          <w:highlight w:val="none"/>
        </w:rPr>
      </w:pPr>
    </w:p>
    <w:p w14:paraId="608511BA">
      <w:pPr>
        <w:bidi w:val="0"/>
        <w:rPr>
          <w:color w:val="auto"/>
          <w:highlight w:val="none"/>
        </w:rPr>
      </w:pPr>
    </w:p>
    <w:p w14:paraId="35D43B24">
      <w:pPr>
        <w:bidi w:val="0"/>
        <w:rPr>
          <w:color w:val="auto"/>
          <w:highlight w:val="none"/>
        </w:rPr>
      </w:pPr>
    </w:p>
    <w:p w14:paraId="158470D1">
      <w:pPr>
        <w:bidi w:val="0"/>
        <w:rPr>
          <w:color w:val="auto"/>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484D8B2C">
      <w:pPr>
        <w:pStyle w:val="3"/>
        <w:rPr>
          <w:rFonts w:hint="default" w:ascii="Times New Roman" w:hAnsi="Times New Roman" w:cs="Times New Roman"/>
          <w:color w:val="auto"/>
          <w:highlight w:val="none"/>
        </w:rPr>
      </w:pPr>
      <w:bookmarkStart w:id="62" w:name="_Toc31760"/>
      <w:r>
        <w:rPr>
          <w:rFonts w:hint="eastAsia" w:ascii="Times New Roman" w:hAnsi="Times New Roman" w:cs="Times New Roman"/>
          <w:color w:val="auto"/>
          <w:highlight w:val="none"/>
          <w:lang w:eastAsia="zh-CN"/>
        </w:rPr>
        <w:t>拟建工程概况及工程环境影响分析</w:t>
      </w:r>
      <w:bookmarkEnd w:id="62"/>
    </w:p>
    <w:p w14:paraId="1A38130A">
      <w:pPr>
        <w:pStyle w:val="4"/>
        <w:bidi w:val="0"/>
        <w:rPr>
          <w:rFonts w:hint="default" w:ascii="Times New Roman" w:hAnsi="Times New Roman" w:cs="Times New Roman"/>
          <w:color w:val="auto"/>
          <w:highlight w:val="none"/>
        </w:rPr>
      </w:pPr>
      <w:bookmarkStart w:id="63" w:name="_Toc31744"/>
      <w:r>
        <w:rPr>
          <w:rFonts w:hint="eastAsia" w:ascii="Times New Roman" w:hAnsi="Times New Roman" w:cs="Times New Roman"/>
          <w:color w:val="auto"/>
          <w:highlight w:val="none"/>
          <w:lang w:eastAsia="zh-CN"/>
        </w:rPr>
        <w:t>项目地理位置</w:t>
      </w:r>
      <w:bookmarkEnd w:id="63"/>
    </w:p>
    <w:p w14:paraId="1EE35C5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Times New Roman" w:hAnsi="Times New Roman" w:cs="Times New Roman"/>
          <w:color w:val="auto"/>
          <w:kern w:val="0"/>
          <w:sz w:val="24"/>
          <w:szCs w:val="24"/>
          <w:highlight w:val="none"/>
          <w:lang w:eastAsia="zh-CN"/>
        </w:rPr>
      </w:pPr>
      <w:r>
        <w:rPr>
          <w:rFonts w:hint="default" w:ascii="Times New Roman" w:hAnsi="Times New Roman" w:cs="Times New Roman"/>
          <w:color w:val="auto"/>
          <w:kern w:val="0"/>
          <w:sz w:val="24"/>
          <w:szCs w:val="24"/>
          <w:highlight w:val="none"/>
        </w:rPr>
        <w:t>祁东县南冲风电场（大马二期）工程</w:t>
      </w:r>
      <w:r>
        <w:rPr>
          <w:rFonts w:hint="eastAsia" w:ascii="Times New Roman" w:hAnsi="Times New Roman" w:cs="Times New Roman"/>
          <w:color w:val="auto"/>
          <w:kern w:val="0"/>
          <w:sz w:val="24"/>
          <w:szCs w:val="24"/>
          <w:highlight w:val="none"/>
          <w:lang w:eastAsia="zh-CN"/>
        </w:rPr>
        <w:t>位于湖南省衡阳市祁东县黄土铺镇</w:t>
      </w:r>
      <w:r>
        <w:rPr>
          <w:rFonts w:hint="eastAsia" w:cs="Times New Roman"/>
          <w:color w:val="auto"/>
          <w:kern w:val="0"/>
          <w:sz w:val="24"/>
          <w:szCs w:val="24"/>
          <w:highlight w:val="none"/>
          <w:lang w:eastAsia="zh-CN"/>
        </w:rPr>
        <w:t>、</w:t>
      </w:r>
      <w:r>
        <w:rPr>
          <w:rFonts w:hint="eastAsia" w:ascii="Times New Roman" w:hAnsi="Times New Roman" w:cs="Times New Roman"/>
          <w:color w:val="auto"/>
          <w:kern w:val="0"/>
          <w:sz w:val="24"/>
          <w:szCs w:val="24"/>
          <w:highlight w:val="none"/>
          <w:lang w:eastAsia="zh-CN"/>
        </w:rPr>
        <w:t>马杜桥乡</w:t>
      </w:r>
      <w:r>
        <w:rPr>
          <w:rFonts w:hint="eastAsia" w:cs="Times New Roman"/>
          <w:color w:val="auto"/>
          <w:kern w:val="0"/>
          <w:sz w:val="24"/>
          <w:szCs w:val="24"/>
          <w:highlight w:val="none"/>
          <w:lang w:eastAsia="zh-CN"/>
        </w:rPr>
        <w:t>及官家嘴</w:t>
      </w:r>
      <w:r>
        <w:rPr>
          <w:rFonts w:hint="eastAsia" w:ascii="Times New Roman" w:hAnsi="Times New Roman" w:cs="Times New Roman"/>
          <w:color w:val="auto"/>
          <w:kern w:val="0"/>
          <w:sz w:val="24"/>
          <w:szCs w:val="24"/>
          <w:highlight w:val="none"/>
          <w:lang w:eastAsia="zh-CN"/>
        </w:rPr>
        <w:t>境内，场址中心坐标为：</w:t>
      </w:r>
      <w:r>
        <w:rPr>
          <w:rFonts w:hint="eastAsia" w:ascii="Times New Roman" w:hAnsi="Times New Roman" w:cs="Times New Roman"/>
          <w:color w:val="auto"/>
          <w:kern w:val="0"/>
          <w:sz w:val="24"/>
          <w:szCs w:val="24"/>
          <w:highlight w:val="none"/>
          <w:lang w:val="en-US" w:eastAsia="zh-CN"/>
        </w:rPr>
        <w:t>N</w:t>
      </w:r>
      <w:r>
        <w:rPr>
          <w:rFonts w:hint="default" w:ascii="Times New Roman" w:hAnsi="Times New Roman" w:eastAsia="宋体" w:cs="Times New Roman"/>
          <w:color w:val="auto"/>
          <w:spacing w:val="2"/>
          <w:sz w:val="24"/>
          <w:szCs w:val="24"/>
          <w:highlight w:val="none"/>
        </w:rPr>
        <w:t>26°56′24.64″</w:t>
      </w:r>
      <w:r>
        <w:rPr>
          <w:rFonts w:hint="eastAsia" w:ascii="Times New Roman" w:hAnsi="Times New Roman" w:cs="Times New Roman"/>
          <w:color w:val="auto"/>
          <w:kern w:val="0"/>
          <w:sz w:val="24"/>
          <w:szCs w:val="24"/>
          <w:highlight w:val="none"/>
          <w:lang w:val="en-US" w:eastAsia="zh-CN"/>
        </w:rPr>
        <w:t>；E</w:t>
      </w:r>
      <w:r>
        <w:rPr>
          <w:rFonts w:hint="default" w:ascii="Times New Roman" w:hAnsi="Times New Roman" w:eastAsia="宋体" w:cs="Times New Roman"/>
          <w:color w:val="auto"/>
          <w:spacing w:val="4"/>
          <w:sz w:val="24"/>
          <w:szCs w:val="24"/>
          <w:highlight w:val="none"/>
        </w:rPr>
        <w:t>11</w:t>
      </w:r>
      <w:r>
        <w:rPr>
          <w:rFonts w:hint="default" w:ascii="Times New Roman" w:hAnsi="Times New Roman" w:eastAsia="宋体" w:cs="Times New Roman"/>
          <w:color w:val="auto"/>
          <w:spacing w:val="2"/>
          <w:sz w:val="24"/>
          <w:szCs w:val="24"/>
          <w:highlight w:val="none"/>
        </w:rPr>
        <w:t>1°55′</w:t>
      </w:r>
      <w:r>
        <w:rPr>
          <w:rFonts w:hint="default" w:ascii="Times New Roman" w:hAnsi="Times New Roman" w:eastAsia="宋体" w:cs="Times New Roman"/>
          <w:color w:val="auto"/>
          <w:spacing w:val="-4"/>
          <w:sz w:val="24"/>
          <w:szCs w:val="24"/>
          <w:highlight w:val="none"/>
        </w:rPr>
        <w:t>4</w:t>
      </w:r>
      <w:r>
        <w:rPr>
          <w:rFonts w:hint="default" w:ascii="Times New Roman" w:hAnsi="Times New Roman" w:eastAsia="宋体" w:cs="Times New Roman"/>
          <w:color w:val="auto"/>
          <w:spacing w:val="-3"/>
          <w:sz w:val="24"/>
          <w:szCs w:val="24"/>
          <w:highlight w:val="none"/>
        </w:rPr>
        <w:t>9.15″</w:t>
      </w:r>
      <w:r>
        <w:rPr>
          <w:rFonts w:hint="eastAsia" w:ascii="Times New Roman" w:hAnsi="Times New Roman" w:cs="Times New Roman"/>
          <w:color w:val="auto"/>
          <w:kern w:val="0"/>
          <w:sz w:val="24"/>
          <w:szCs w:val="24"/>
          <w:highlight w:val="none"/>
          <w:lang w:val="en-US" w:eastAsia="zh-CN"/>
        </w:rPr>
        <w:t>（各机位坐标详见下表2-1）</w:t>
      </w:r>
      <w:r>
        <w:rPr>
          <w:rFonts w:hint="eastAsia" w:ascii="Times New Roman" w:hAnsi="Times New Roman" w:cs="Times New Roman"/>
          <w:color w:val="auto"/>
          <w:kern w:val="0"/>
          <w:sz w:val="24"/>
          <w:szCs w:val="24"/>
          <w:highlight w:val="none"/>
          <w:lang w:eastAsia="zh-CN"/>
        </w:rPr>
        <w:t>。</w:t>
      </w:r>
      <w:r>
        <w:rPr>
          <w:rFonts w:hint="eastAsia" w:ascii="Times New Roman" w:hAnsi="Times New Roman" w:cs="Times New Roman"/>
          <w:color w:val="auto"/>
          <w:kern w:val="0"/>
          <w:sz w:val="24"/>
          <w:szCs w:val="24"/>
          <w:highlight w:val="none"/>
          <w:lang w:val="en-US" w:eastAsia="zh-CN"/>
        </w:rPr>
        <w:t>风电场距祁东县距离约20km，距离衡阳市约60km。风电场场区南侧有国道G322和省道S317经过，中部有省道S226经过，对外交通较为便利。</w:t>
      </w:r>
    </w:p>
    <w:p w14:paraId="64477FB0">
      <w:pPr>
        <w:bidi w:val="0"/>
        <w:rPr>
          <w:color w:val="auto"/>
          <w:highlight w:val="none"/>
        </w:rPr>
      </w:pPr>
      <w:r>
        <w:rPr>
          <w:rFonts w:hint="default" w:ascii="Times New Roman" w:hAnsi="Times New Roman" w:cs="Times New Roman"/>
          <w:color w:val="auto"/>
          <w:kern w:val="0"/>
          <w:sz w:val="24"/>
          <w:szCs w:val="24"/>
          <w:highlight w:val="none"/>
        </w:rPr>
        <w:t>项目地理位置见附图1。</w:t>
      </w:r>
      <w:r>
        <w:rPr>
          <w:rFonts w:hint="default" w:ascii="Times New Roman" w:hAnsi="Times New Roman" w:cs="Times New Roman"/>
          <w:color w:val="auto"/>
          <w:sz w:val="24"/>
          <w:szCs w:val="24"/>
          <w:highlight w:val="none"/>
        </w:rPr>
        <w:t>风机分布情况见附图</w:t>
      </w:r>
      <w:r>
        <w:rPr>
          <w:rFonts w:hint="default" w:ascii="Times New Roman" w:hAnsi="Times New Roman" w:cs="Times New Roman"/>
          <w:color w:val="auto"/>
          <w:sz w:val="24"/>
          <w:szCs w:val="24"/>
          <w:highlight w:val="none"/>
          <w:lang w:val="en-US" w:eastAsia="zh-CN"/>
        </w:rPr>
        <w:t>2</w:t>
      </w:r>
      <w:r>
        <w:rPr>
          <w:rFonts w:hint="eastAsia" w:ascii="Times New Roman" w:hAnsi="Times New Roman" w:cs="Times New Roman"/>
          <w:color w:val="auto"/>
          <w:sz w:val="24"/>
          <w:szCs w:val="24"/>
          <w:highlight w:val="none"/>
          <w:lang w:val="en-US" w:eastAsia="zh-CN"/>
        </w:rPr>
        <w:t>，各机位坐标见下表</w:t>
      </w:r>
      <w:r>
        <w:rPr>
          <w:rFonts w:hint="default" w:ascii="Times New Roman" w:hAnsi="Times New Roman" w:cs="Times New Roman"/>
          <w:color w:val="auto"/>
          <w:sz w:val="24"/>
          <w:szCs w:val="24"/>
          <w:highlight w:val="none"/>
        </w:rPr>
        <w:t>。</w:t>
      </w:r>
    </w:p>
    <w:p w14:paraId="18B52CC9">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bCs/>
          <w:color w:val="auto"/>
          <w:kern w:val="2"/>
          <w:sz w:val="24"/>
          <w:szCs w:val="24"/>
          <w:highlight w:val="none"/>
          <w:u w:val="none"/>
          <w:lang w:val="en-US" w:eastAsia="zh-CN" w:bidi="ar-SA"/>
        </w:rPr>
      </w:pPr>
      <w:r>
        <w:rPr>
          <w:rFonts w:hint="default" w:ascii="Times New Roman" w:hAnsi="Times New Roman" w:eastAsia="宋体" w:cs="Times New Roman"/>
          <w:b/>
          <w:bCs/>
          <w:color w:val="auto"/>
          <w:kern w:val="2"/>
          <w:sz w:val="24"/>
          <w:szCs w:val="24"/>
          <w:highlight w:val="none"/>
          <w:u w:val="none"/>
          <w:lang w:val="en-US" w:eastAsia="zh-CN" w:bidi="ar-SA"/>
        </w:rPr>
        <w:t>表</w:t>
      </w:r>
      <w:r>
        <w:rPr>
          <w:rFonts w:hint="eastAsia" w:ascii="Times New Roman" w:hAnsi="Times New Roman" w:eastAsia="宋体" w:cs="Times New Roman"/>
          <w:b/>
          <w:bCs/>
          <w:color w:val="auto"/>
          <w:kern w:val="2"/>
          <w:sz w:val="24"/>
          <w:szCs w:val="24"/>
          <w:highlight w:val="none"/>
          <w:u w:val="none"/>
          <w:lang w:val="en-US" w:eastAsia="zh-CN" w:bidi="ar-SA"/>
        </w:rPr>
        <w:t>4.1-1  南冲</w:t>
      </w:r>
      <w:r>
        <w:rPr>
          <w:rFonts w:hint="default" w:ascii="Times New Roman" w:hAnsi="Times New Roman" w:eastAsia="宋体" w:cs="Times New Roman"/>
          <w:b/>
          <w:bCs/>
          <w:color w:val="auto"/>
          <w:kern w:val="2"/>
          <w:sz w:val="24"/>
          <w:szCs w:val="24"/>
          <w:highlight w:val="none"/>
          <w:u w:val="none"/>
          <w:lang w:val="en-US" w:eastAsia="zh-CN" w:bidi="ar-SA"/>
        </w:rPr>
        <w:t>风电场风机</w:t>
      </w:r>
      <w:r>
        <w:rPr>
          <w:rFonts w:hint="eastAsia" w:ascii="Times New Roman" w:hAnsi="Times New Roman" w:eastAsia="宋体" w:cs="Times New Roman"/>
          <w:b/>
          <w:bCs/>
          <w:color w:val="auto"/>
          <w:kern w:val="2"/>
          <w:sz w:val="24"/>
          <w:szCs w:val="24"/>
          <w:highlight w:val="none"/>
          <w:u w:val="none"/>
          <w:lang w:val="en-US" w:eastAsia="zh-CN" w:bidi="ar-SA"/>
        </w:rPr>
        <w:t>坐标一览表</w:t>
      </w:r>
    </w:p>
    <w:tbl>
      <w:tblPr>
        <w:tblStyle w:val="19"/>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183"/>
        <w:gridCol w:w="1744"/>
        <w:gridCol w:w="1564"/>
        <w:gridCol w:w="1298"/>
        <w:gridCol w:w="1245"/>
        <w:gridCol w:w="1302"/>
      </w:tblGrid>
      <w:tr w14:paraId="7BDBB3E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1192" w:type="dxa"/>
            <w:vMerge w:val="restart"/>
            <w:tcBorders>
              <w:tl2br w:val="nil"/>
              <w:tr2bl w:val="nil"/>
            </w:tcBorders>
            <w:noWrap w:val="0"/>
            <w:vAlign w:val="center"/>
          </w:tcPr>
          <w:p w14:paraId="2919FC3E">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编号</w:t>
            </w:r>
          </w:p>
        </w:tc>
        <w:tc>
          <w:tcPr>
            <w:tcW w:w="3332" w:type="dxa"/>
            <w:gridSpan w:val="2"/>
            <w:tcBorders>
              <w:right w:val="single" w:color="auto" w:sz="4" w:space="0"/>
              <w:tl2br w:val="nil"/>
              <w:tr2bl w:val="nil"/>
            </w:tcBorders>
            <w:noWrap w:val="0"/>
            <w:vAlign w:val="center"/>
          </w:tcPr>
          <w:p w14:paraId="0469B2B9">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default" w:ascii="Times New Roman" w:hAnsi="Times New Roman" w:cs="Times New Roman"/>
                <w:color w:val="auto"/>
                <w:sz w:val="21"/>
                <w:szCs w:val="21"/>
                <w:highlight w:val="none"/>
                <w:lang w:eastAsia="zh-CN"/>
              </w:rPr>
              <w:t>风机</w:t>
            </w:r>
            <w:r>
              <w:rPr>
                <w:rFonts w:hint="eastAsia" w:ascii="Times New Roman" w:hAnsi="Times New Roman" w:cs="Times New Roman"/>
                <w:color w:val="auto"/>
                <w:sz w:val="21"/>
                <w:szCs w:val="21"/>
                <w:highlight w:val="none"/>
                <w:lang w:eastAsia="zh-CN"/>
              </w:rPr>
              <w:t>机位</w:t>
            </w:r>
            <w:r>
              <w:rPr>
                <w:rFonts w:hint="default" w:ascii="Times New Roman" w:hAnsi="Times New Roman" w:cs="Times New Roman"/>
                <w:color w:val="auto"/>
                <w:sz w:val="21"/>
                <w:szCs w:val="21"/>
                <w:highlight w:val="none"/>
                <w:lang w:eastAsia="zh-CN"/>
              </w:rPr>
              <w:t>坐标（WGS84坐标系经</w:t>
            </w:r>
            <w:r>
              <w:rPr>
                <w:rFonts w:hint="eastAsia"/>
                <w:color w:val="auto"/>
                <w:sz w:val="21"/>
                <w:szCs w:val="21"/>
                <w:highlight w:val="none"/>
                <w:lang w:eastAsia="zh-CN"/>
              </w:rPr>
              <w:t>纬度投影）</w:t>
            </w:r>
          </w:p>
        </w:tc>
        <w:tc>
          <w:tcPr>
            <w:tcW w:w="1307" w:type="dxa"/>
            <w:vMerge w:val="restart"/>
            <w:tcBorders>
              <w:left w:val="single" w:color="auto" w:sz="4" w:space="0"/>
              <w:right w:val="single" w:color="auto" w:sz="4" w:space="0"/>
              <w:tl2br w:val="nil"/>
              <w:tr2bl w:val="nil"/>
            </w:tcBorders>
            <w:noWrap w:val="0"/>
            <w:vAlign w:val="center"/>
          </w:tcPr>
          <w:p w14:paraId="4437336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海拔高度</w:t>
            </w:r>
          </w:p>
        </w:tc>
        <w:tc>
          <w:tcPr>
            <w:tcW w:w="1254" w:type="dxa"/>
            <w:vMerge w:val="restart"/>
            <w:tcBorders>
              <w:left w:val="single" w:color="auto" w:sz="4" w:space="0"/>
              <w:right w:val="single" w:color="auto" w:sz="4" w:space="0"/>
              <w:tl2br w:val="nil"/>
              <w:tr2bl w:val="nil"/>
            </w:tcBorders>
            <w:noWrap w:val="0"/>
            <w:vAlign w:val="center"/>
          </w:tcPr>
          <w:p w14:paraId="6D58EB86">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地形坡度</w:t>
            </w:r>
          </w:p>
        </w:tc>
        <w:tc>
          <w:tcPr>
            <w:tcW w:w="1311" w:type="dxa"/>
            <w:vMerge w:val="restart"/>
            <w:tcBorders>
              <w:left w:val="single" w:color="auto" w:sz="4" w:space="0"/>
              <w:tl2br w:val="nil"/>
              <w:tr2bl w:val="nil"/>
            </w:tcBorders>
            <w:noWrap w:val="0"/>
            <w:vAlign w:val="center"/>
          </w:tcPr>
          <w:p w14:paraId="11A274C1">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坡向</w:t>
            </w:r>
          </w:p>
        </w:tc>
      </w:tr>
      <w:tr w14:paraId="7D51733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1192" w:type="dxa"/>
            <w:vMerge w:val="continue"/>
            <w:tcBorders>
              <w:tl2br w:val="nil"/>
              <w:tr2bl w:val="nil"/>
            </w:tcBorders>
            <w:noWrap w:val="0"/>
            <w:vAlign w:val="center"/>
          </w:tcPr>
          <w:p w14:paraId="28A86F8C">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p>
        </w:tc>
        <w:tc>
          <w:tcPr>
            <w:tcW w:w="1757" w:type="dxa"/>
            <w:tcBorders>
              <w:tl2br w:val="nil"/>
              <w:tr2bl w:val="nil"/>
            </w:tcBorders>
            <w:noWrap w:val="0"/>
            <w:vAlign w:val="center"/>
          </w:tcPr>
          <w:p w14:paraId="0A626AB2">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东经</w:t>
            </w:r>
          </w:p>
        </w:tc>
        <w:tc>
          <w:tcPr>
            <w:tcW w:w="1575" w:type="dxa"/>
            <w:tcBorders>
              <w:right w:val="single" w:color="auto" w:sz="4" w:space="0"/>
              <w:tl2br w:val="nil"/>
              <w:tr2bl w:val="nil"/>
            </w:tcBorders>
            <w:noWrap w:val="0"/>
            <w:vAlign w:val="center"/>
          </w:tcPr>
          <w:p w14:paraId="19F20A5C">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北纬</w:t>
            </w:r>
          </w:p>
        </w:tc>
        <w:tc>
          <w:tcPr>
            <w:tcW w:w="1307" w:type="dxa"/>
            <w:vMerge w:val="continue"/>
            <w:tcBorders>
              <w:left w:val="single" w:color="auto" w:sz="4" w:space="0"/>
              <w:right w:val="single" w:color="auto" w:sz="4" w:space="0"/>
              <w:tl2br w:val="nil"/>
              <w:tr2bl w:val="nil"/>
            </w:tcBorders>
            <w:noWrap w:val="0"/>
            <w:vAlign w:val="center"/>
          </w:tcPr>
          <w:p w14:paraId="31CB7077">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254" w:type="dxa"/>
            <w:vMerge w:val="continue"/>
            <w:tcBorders>
              <w:left w:val="single" w:color="auto" w:sz="4" w:space="0"/>
              <w:right w:val="single" w:color="auto" w:sz="4" w:space="0"/>
              <w:tl2br w:val="nil"/>
              <w:tr2bl w:val="nil"/>
            </w:tcBorders>
            <w:noWrap w:val="0"/>
            <w:vAlign w:val="center"/>
          </w:tcPr>
          <w:p w14:paraId="510D2657">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val="en-US" w:eastAsia="zh-CN"/>
              </w:rPr>
            </w:pPr>
          </w:p>
        </w:tc>
        <w:tc>
          <w:tcPr>
            <w:tcW w:w="1311" w:type="dxa"/>
            <w:vMerge w:val="continue"/>
            <w:tcBorders>
              <w:left w:val="single" w:color="auto" w:sz="4" w:space="0"/>
              <w:tl2br w:val="nil"/>
              <w:tr2bl w:val="nil"/>
            </w:tcBorders>
            <w:noWrap w:val="0"/>
            <w:vAlign w:val="center"/>
          </w:tcPr>
          <w:p w14:paraId="6280F247">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val="en-US" w:eastAsia="zh-CN"/>
              </w:rPr>
            </w:pPr>
          </w:p>
        </w:tc>
      </w:tr>
      <w:tr w14:paraId="6FF6577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1192" w:type="dxa"/>
            <w:tcBorders>
              <w:tl2br w:val="nil"/>
              <w:tr2bl w:val="nil"/>
            </w:tcBorders>
            <w:noWrap w:val="0"/>
            <w:vAlign w:val="center"/>
          </w:tcPr>
          <w:p w14:paraId="5ADC28A4">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NC01</w:t>
            </w:r>
          </w:p>
        </w:tc>
        <w:tc>
          <w:tcPr>
            <w:tcW w:w="1757" w:type="dxa"/>
            <w:tcBorders>
              <w:tl2br w:val="nil"/>
              <w:tr2bl w:val="nil"/>
            </w:tcBorders>
            <w:noWrap w:val="0"/>
            <w:vAlign w:val="center"/>
          </w:tcPr>
          <w:p w14:paraId="0B0257C9">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rPr>
              <w:t>111.88501655</w:t>
            </w:r>
            <w:r>
              <w:rPr>
                <w:rFonts w:hint="eastAsia" w:ascii="Times New Roman" w:hAnsi="Times New Roman" w:cs="Times New Roman"/>
                <w:color w:val="auto"/>
                <w:sz w:val="21"/>
                <w:szCs w:val="21"/>
                <w:highlight w:val="none"/>
                <w:lang w:val="en-US" w:eastAsia="zh-CN"/>
              </w:rPr>
              <w:t>°</w:t>
            </w:r>
          </w:p>
        </w:tc>
        <w:tc>
          <w:tcPr>
            <w:tcW w:w="1575" w:type="dxa"/>
            <w:tcBorders>
              <w:right w:val="single" w:color="auto" w:sz="4" w:space="0"/>
              <w:tl2br w:val="nil"/>
              <w:tr2bl w:val="nil"/>
            </w:tcBorders>
            <w:noWrap w:val="0"/>
            <w:vAlign w:val="center"/>
          </w:tcPr>
          <w:p w14:paraId="6CF610DB">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26.93200315</w:t>
            </w:r>
            <w:r>
              <w:rPr>
                <w:rFonts w:hint="eastAsia" w:ascii="Times New Roman" w:hAnsi="Times New Roman" w:cs="Times New Roman"/>
                <w:color w:val="auto"/>
                <w:sz w:val="21"/>
                <w:szCs w:val="21"/>
                <w:highlight w:val="none"/>
                <w:lang w:val="en-US" w:eastAsia="zh-CN"/>
              </w:rPr>
              <w:t>°</w:t>
            </w:r>
          </w:p>
        </w:tc>
        <w:tc>
          <w:tcPr>
            <w:tcW w:w="1307" w:type="dxa"/>
            <w:tcBorders>
              <w:left w:val="single" w:color="auto" w:sz="4" w:space="0"/>
              <w:right w:val="single" w:color="auto" w:sz="4" w:space="0"/>
              <w:tl2br w:val="nil"/>
              <w:tr2bl w:val="nil"/>
            </w:tcBorders>
            <w:noWrap w:val="0"/>
            <w:vAlign w:val="center"/>
          </w:tcPr>
          <w:p w14:paraId="1C6FDB23">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485m</w:t>
            </w:r>
          </w:p>
        </w:tc>
        <w:tc>
          <w:tcPr>
            <w:tcW w:w="1254" w:type="dxa"/>
            <w:tcBorders>
              <w:left w:val="single" w:color="auto" w:sz="4" w:space="0"/>
              <w:right w:val="single" w:color="auto" w:sz="4" w:space="0"/>
              <w:tl2br w:val="nil"/>
              <w:tr2bl w:val="nil"/>
            </w:tcBorders>
            <w:noWrap w:val="0"/>
            <w:vAlign w:val="center"/>
          </w:tcPr>
          <w:p w14:paraId="6AF78EEF">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12%</w:t>
            </w:r>
          </w:p>
        </w:tc>
        <w:tc>
          <w:tcPr>
            <w:tcW w:w="1311" w:type="dxa"/>
            <w:tcBorders>
              <w:left w:val="single" w:color="auto" w:sz="4" w:space="0"/>
              <w:tl2br w:val="nil"/>
              <w:tr2bl w:val="nil"/>
            </w:tcBorders>
            <w:noWrap w:val="0"/>
            <w:vAlign w:val="center"/>
          </w:tcPr>
          <w:p w14:paraId="1FD9A6FF">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NE</w:t>
            </w:r>
          </w:p>
        </w:tc>
      </w:tr>
      <w:tr w14:paraId="11F216F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1192" w:type="dxa"/>
            <w:tcBorders>
              <w:tl2br w:val="nil"/>
              <w:tr2bl w:val="nil"/>
            </w:tcBorders>
            <w:noWrap w:val="0"/>
            <w:vAlign w:val="center"/>
          </w:tcPr>
          <w:p w14:paraId="2C97F977">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NC02</w:t>
            </w:r>
          </w:p>
        </w:tc>
        <w:tc>
          <w:tcPr>
            <w:tcW w:w="1757" w:type="dxa"/>
            <w:tcBorders>
              <w:tl2br w:val="nil"/>
              <w:tr2bl w:val="nil"/>
            </w:tcBorders>
            <w:noWrap w:val="0"/>
            <w:vAlign w:val="center"/>
          </w:tcPr>
          <w:p w14:paraId="5A289DC2">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111.90637350</w:t>
            </w:r>
            <w:r>
              <w:rPr>
                <w:rFonts w:hint="eastAsia" w:ascii="Times New Roman" w:hAnsi="Times New Roman" w:cs="Times New Roman"/>
                <w:color w:val="auto"/>
                <w:sz w:val="21"/>
                <w:szCs w:val="21"/>
                <w:highlight w:val="none"/>
                <w:lang w:val="en-US" w:eastAsia="zh-CN"/>
              </w:rPr>
              <w:t>°</w:t>
            </w:r>
          </w:p>
        </w:tc>
        <w:tc>
          <w:tcPr>
            <w:tcW w:w="1575" w:type="dxa"/>
            <w:tcBorders>
              <w:right w:val="single" w:color="auto" w:sz="4" w:space="0"/>
              <w:tl2br w:val="nil"/>
              <w:tr2bl w:val="nil"/>
            </w:tcBorders>
            <w:noWrap w:val="0"/>
            <w:vAlign w:val="center"/>
          </w:tcPr>
          <w:p w14:paraId="3442D7EF">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26.92487274</w:t>
            </w:r>
            <w:r>
              <w:rPr>
                <w:rFonts w:hint="eastAsia" w:ascii="Times New Roman" w:hAnsi="Times New Roman" w:cs="Times New Roman"/>
                <w:color w:val="auto"/>
                <w:sz w:val="21"/>
                <w:szCs w:val="21"/>
                <w:highlight w:val="none"/>
                <w:lang w:val="en-US" w:eastAsia="zh-CN"/>
              </w:rPr>
              <w:t>°</w:t>
            </w:r>
          </w:p>
        </w:tc>
        <w:tc>
          <w:tcPr>
            <w:tcW w:w="1307" w:type="dxa"/>
            <w:tcBorders>
              <w:left w:val="single" w:color="auto" w:sz="4" w:space="0"/>
              <w:right w:val="single" w:color="auto" w:sz="4" w:space="0"/>
              <w:tl2br w:val="nil"/>
              <w:tr2bl w:val="nil"/>
            </w:tcBorders>
            <w:noWrap w:val="0"/>
            <w:vAlign w:val="center"/>
          </w:tcPr>
          <w:p w14:paraId="21A47421">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380m</w:t>
            </w:r>
          </w:p>
        </w:tc>
        <w:tc>
          <w:tcPr>
            <w:tcW w:w="1254" w:type="dxa"/>
            <w:tcBorders>
              <w:left w:val="single" w:color="auto" w:sz="4" w:space="0"/>
              <w:right w:val="single" w:color="auto" w:sz="4" w:space="0"/>
              <w:tl2br w:val="nil"/>
              <w:tr2bl w:val="nil"/>
            </w:tcBorders>
            <w:noWrap w:val="0"/>
            <w:vAlign w:val="center"/>
          </w:tcPr>
          <w:p w14:paraId="6239BDC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15%</w:t>
            </w:r>
          </w:p>
        </w:tc>
        <w:tc>
          <w:tcPr>
            <w:tcW w:w="1311" w:type="dxa"/>
            <w:tcBorders>
              <w:left w:val="single" w:color="auto" w:sz="4" w:space="0"/>
              <w:tl2br w:val="nil"/>
              <w:tr2bl w:val="nil"/>
            </w:tcBorders>
            <w:noWrap w:val="0"/>
            <w:vAlign w:val="center"/>
          </w:tcPr>
          <w:p w14:paraId="14D6474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w:t>
            </w:r>
          </w:p>
        </w:tc>
      </w:tr>
      <w:tr w14:paraId="1360973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1192" w:type="dxa"/>
            <w:tcBorders>
              <w:tl2br w:val="nil"/>
              <w:tr2bl w:val="nil"/>
            </w:tcBorders>
            <w:noWrap w:val="0"/>
            <w:vAlign w:val="center"/>
          </w:tcPr>
          <w:p w14:paraId="34B103E9">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NC</w:t>
            </w:r>
            <w:r>
              <w:rPr>
                <w:rFonts w:hint="eastAsia" w:ascii="Times New Roman" w:hAnsi="Times New Roman" w:cs="Times New Roman"/>
                <w:color w:val="auto"/>
                <w:kern w:val="0"/>
                <w:sz w:val="21"/>
                <w:szCs w:val="21"/>
                <w:highlight w:val="none"/>
                <w:lang w:val="en-US" w:eastAsia="zh-CN" w:bidi="ar-SA"/>
              </w:rPr>
              <w:t>03</w:t>
            </w:r>
          </w:p>
        </w:tc>
        <w:tc>
          <w:tcPr>
            <w:tcW w:w="1757" w:type="dxa"/>
            <w:tcBorders>
              <w:tl2br w:val="nil"/>
              <w:tr2bl w:val="nil"/>
            </w:tcBorders>
            <w:noWrap w:val="0"/>
            <w:vAlign w:val="center"/>
          </w:tcPr>
          <w:p w14:paraId="5FC3EC48">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111.91492561</w:t>
            </w:r>
            <w:r>
              <w:rPr>
                <w:rFonts w:hint="eastAsia" w:ascii="Times New Roman" w:hAnsi="Times New Roman" w:cs="Times New Roman"/>
                <w:color w:val="auto"/>
                <w:sz w:val="21"/>
                <w:szCs w:val="21"/>
                <w:highlight w:val="none"/>
                <w:lang w:val="en-US" w:eastAsia="zh-CN"/>
              </w:rPr>
              <w:t>°</w:t>
            </w:r>
          </w:p>
        </w:tc>
        <w:tc>
          <w:tcPr>
            <w:tcW w:w="1575" w:type="dxa"/>
            <w:tcBorders>
              <w:right w:val="single" w:color="auto" w:sz="4" w:space="0"/>
              <w:tl2br w:val="nil"/>
              <w:tr2bl w:val="nil"/>
            </w:tcBorders>
            <w:noWrap w:val="0"/>
            <w:vAlign w:val="center"/>
          </w:tcPr>
          <w:p w14:paraId="35BFAAC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26.93667478</w:t>
            </w:r>
            <w:r>
              <w:rPr>
                <w:rFonts w:hint="eastAsia" w:ascii="Times New Roman" w:hAnsi="Times New Roman" w:cs="Times New Roman"/>
                <w:color w:val="auto"/>
                <w:sz w:val="21"/>
                <w:szCs w:val="21"/>
                <w:highlight w:val="none"/>
                <w:lang w:val="en-US" w:eastAsia="zh-CN"/>
              </w:rPr>
              <w:t>°</w:t>
            </w:r>
          </w:p>
        </w:tc>
        <w:tc>
          <w:tcPr>
            <w:tcW w:w="1307" w:type="dxa"/>
            <w:tcBorders>
              <w:left w:val="single" w:color="auto" w:sz="4" w:space="0"/>
              <w:right w:val="single" w:color="auto" w:sz="4" w:space="0"/>
              <w:tl2br w:val="nil"/>
              <w:tr2bl w:val="nil"/>
            </w:tcBorders>
            <w:noWrap w:val="0"/>
            <w:vAlign w:val="center"/>
          </w:tcPr>
          <w:p w14:paraId="1308AF14">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bidi="ar-SA"/>
              </w:rPr>
            </w:pPr>
            <w:r>
              <w:rPr>
                <w:rFonts w:hint="eastAsia" w:ascii="Times New Roman" w:hAnsi="Times New Roman" w:cs="Times New Roman"/>
                <w:color w:val="auto"/>
                <w:kern w:val="0"/>
                <w:sz w:val="21"/>
                <w:szCs w:val="21"/>
                <w:highlight w:val="none"/>
                <w:lang w:val="en-US" w:eastAsia="zh-CN" w:bidi="ar-SA"/>
              </w:rPr>
              <w:t>387m</w:t>
            </w:r>
          </w:p>
        </w:tc>
        <w:tc>
          <w:tcPr>
            <w:tcW w:w="1254" w:type="dxa"/>
            <w:tcBorders>
              <w:left w:val="single" w:color="auto" w:sz="4" w:space="0"/>
              <w:right w:val="single" w:color="auto" w:sz="4" w:space="0"/>
              <w:tl2br w:val="nil"/>
              <w:tr2bl w:val="nil"/>
            </w:tcBorders>
            <w:noWrap w:val="0"/>
            <w:vAlign w:val="center"/>
          </w:tcPr>
          <w:p w14:paraId="6432C3AE">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bidi="ar-SA"/>
              </w:rPr>
            </w:pPr>
            <w:r>
              <w:rPr>
                <w:rFonts w:hint="eastAsia" w:ascii="Times New Roman" w:hAnsi="Times New Roman" w:cs="Times New Roman"/>
                <w:color w:val="auto"/>
                <w:kern w:val="0"/>
                <w:sz w:val="21"/>
                <w:szCs w:val="21"/>
                <w:highlight w:val="none"/>
                <w:lang w:val="en-US" w:eastAsia="zh-CN" w:bidi="ar-SA"/>
              </w:rPr>
              <w:t>8%</w:t>
            </w:r>
          </w:p>
        </w:tc>
        <w:tc>
          <w:tcPr>
            <w:tcW w:w="1311" w:type="dxa"/>
            <w:tcBorders>
              <w:left w:val="single" w:color="auto" w:sz="4" w:space="0"/>
              <w:tl2br w:val="nil"/>
              <w:tr2bl w:val="nil"/>
            </w:tcBorders>
            <w:noWrap w:val="0"/>
            <w:vAlign w:val="center"/>
          </w:tcPr>
          <w:p w14:paraId="7C4EFD1E">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bidi="ar-SA"/>
              </w:rPr>
            </w:pPr>
            <w:r>
              <w:rPr>
                <w:rFonts w:hint="eastAsia" w:ascii="Times New Roman" w:hAnsi="Times New Roman" w:cs="Times New Roman"/>
                <w:color w:val="auto"/>
                <w:kern w:val="0"/>
                <w:sz w:val="21"/>
                <w:szCs w:val="21"/>
                <w:highlight w:val="none"/>
                <w:lang w:val="en-US" w:eastAsia="zh-CN" w:bidi="ar-SA"/>
              </w:rPr>
              <w:t>SW</w:t>
            </w:r>
          </w:p>
        </w:tc>
      </w:tr>
      <w:tr w14:paraId="66ED450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1192" w:type="dxa"/>
            <w:tcBorders>
              <w:tl2br w:val="nil"/>
              <w:tr2bl w:val="nil"/>
            </w:tcBorders>
            <w:noWrap w:val="0"/>
            <w:vAlign w:val="center"/>
          </w:tcPr>
          <w:p w14:paraId="48AE63FB">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NC</w:t>
            </w:r>
            <w:r>
              <w:rPr>
                <w:rFonts w:hint="eastAsia" w:ascii="Times New Roman" w:hAnsi="Times New Roman" w:eastAsia="宋体" w:cs="Times New Roman"/>
                <w:color w:val="auto"/>
                <w:kern w:val="0"/>
                <w:sz w:val="21"/>
                <w:szCs w:val="21"/>
                <w:highlight w:val="none"/>
                <w:lang w:val="en-US" w:eastAsia="zh-CN" w:bidi="ar-SA"/>
              </w:rPr>
              <w:t>04</w:t>
            </w:r>
          </w:p>
        </w:tc>
        <w:tc>
          <w:tcPr>
            <w:tcW w:w="1757" w:type="dxa"/>
            <w:tcBorders>
              <w:tl2br w:val="nil"/>
              <w:tr2bl w:val="nil"/>
            </w:tcBorders>
            <w:noWrap w:val="0"/>
            <w:vAlign w:val="center"/>
          </w:tcPr>
          <w:p w14:paraId="5C63B916">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111.92026132</w:t>
            </w:r>
            <w:r>
              <w:rPr>
                <w:rFonts w:hint="eastAsia" w:ascii="Times New Roman" w:hAnsi="Times New Roman" w:cs="Times New Roman"/>
                <w:color w:val="auto"/>
                <w:sz w:val="21"/>
                <w:szCs w:val="21"/>
                <w:highlight w:val="none"/>
                <w:lang w:val="en-US" w:eastAsia="zh-CN"/>
              </w:rPr>
              <w:t>°</w:t>
            </w:r>
          </w:p>
        </w:tc>
        <w:tc>
          <w:tcPr>
            <w:tcW w:w="1575" w:type="dxa"/>
            <w:tcBorders>
              <w:right w:val="single" w:color="auto" w:sz="4" w:space="0"/>
              <w:tl2br w:val="nil"/>
              <w:tr2bl w:val="nil"/>
            </w:tcBorders>
            <w:noWrap w:val="0"/>
            <w:vAlign w:val="center"/>
          </w:tcPr>
          <w:p w14:paraId="4031001A">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26.93834263</w:t>
            </w:r>
            <w:r>
              <w:rPr>
                <w:rFonts w:hint="eastAsia" w:ascii="Times New Roman" w:hAnsi="Times New Roman" w:cs="Times New Roman"/>
                <w:color w:val="auto"/>
                <w:sz w:val="21"/>
                <w:szCs w:val="21"/>
                <w:highlight w:val="none"/>
                <w:lang w:val="en-US" w:eastAsia="zh-CN"/>
              </w:rPr>
              <w:t>°</w:t>
            </w:r>
          </w:p>
        </w:tc>
        <w:tc>
          <w:tcPr>
            <w:tcW w:w="1307" w:type="dxa"/>
            <w:tcBorders>
              <w:left w:val="single" w:color="auto" w:sz="4" w:space="0"/>
              <w:right w:val="single" w:color="auto" w:sz="4" w:space="0"/>
              <w:tl2br w:val="nil"/>
              <w:tr2bl w:val="nil"/>
            </w:tcBorders>
            <w:noWrap w:val="0"/>
            <w:vAlign w:val="center"/>
          </w:tcPr>
          <w:p w14:paraId="7FC5BDAA">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bidi="ar-SA"/>
              </w:rPr>
            </w:pPr>
            <w:r>
              <w:rPr>
                <w:rFonts w:hint="eastAsia" w:ascii="Times New Roman" w:hAnsi="Times New Roman" w:cs="Times New Roman"/>
                <w:color w:val="auto"/>
                <w:kern w:val="0"/>
                <w:sz w:val="21"/>
                <w:szCs w:val="21"/>
                <w:highlight w:val="none"/>
                <w:lang w:val="en-US" w:eastAsia="zh-CN" w:bidi="ar-SA"/>
              </w:rPr>
              <w:t>408m</w:t>
            </w:r>
          </w:p>
        </w:tc>
        <w:tc>
          <w:tcPr>
            <w:tcW w:w="1254" w:type="dxa"/>
            <w:tcBorders>
              <w:left w:val="single" w:color="auto" w:sz="4" w:space="0"/>
              <w:right w:val="single" w:color="auto" w:sz="4" w:space="0"/>
              <w:tl2br w:val="nil"/>
              <w:tr2bl w:val="nil"/>
            </w:tcBorders>
            <w:noWrap w:val="0"/>
            <w:vAlign w:val="center"/>
          </w:tcPr>
          <w:p w14:paraId="3E81ABC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bidi="ar-SA"/>
              </w:rPr>
            </w:pPr>
            <w:r>
              <w:rPr>
                <w:rFonts w:hint="eastAsia" w:ascii="Times New Roman" w:hAnsi="Times New Roman" w:cs="Times New Roman"/>
                <w:color w:val="auto"/>
                <w:kern w:val="0"/>
                <w:sz w:val="21"/>
                <w:szCs w:val="21"/>
                <w:highlight w:val="none"/>
                <w:lang w:val="en-US" w:eastAsia="zh-CN" w:bidi="ar-SA"/>
              </w:rPr>
              <w:t>16%</w:t>
            </w:r>
          </w:p>
        </w:tc>
        <w:tc>
          <w:tcPr>
            <w:tcW w:w="1311" w:type="dxa"/>
            <w:tcBorders>
              <w:left w:val="single" w:color="auto" w:sz="4" w:space="0"/>
              <w:tl2br w:val="nil"/>
              <w:tr2bl w:val="nil"/>
            </w:tcBorders>
            <w:noWrap w:val="0"/>
            <w:vAlign w:val="center"/>
          </w:tcPr>
          <w:p w14:paraId="346CC726">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bidi="ar-SA"/>
              </w:rPr>
            </w:pPr>
            <w:r>
              <w:rPr>
                <w:rFonts w:hint="eastAsia" w:ascii="Times New Roman" w:hAnsi="Times New Roman" w:cs="Times New Roman"/>
                <w:color w:val="auto"/>
                <w:kern w:val="0"/>
                <w:sz w:val="21"/>
                <w:szCs w:val="21"/>
                <w:highlight w:val="none"/>
                <w:lang w:val="en-US" w:eastAsia="zh-CN" w:bidi="ar-SA"/>
              </w:rPr>
              <w:t>NW</w:t>
            </w:r>
          </w:p>
        </w:tc>
      </w:tr>
      <w:tr w14:paraId="6C49234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1192" w:type="dxa"/>
            <w:tcBorders>
              <w:tl2br w:val="nil"/>
              <w:tr2bl w:val="nil"/>
            </w:tcBorders>
            <w:noWrap w:val="0"/>
            <w:vAlign w:val="center"/>
          </w:tcPr>
          <w:p w14:paraId="6163F2CF">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NC</w:t>
            </w:r>
            <w:r>
              <w:rPr>
                <w:rFonts w:hint="eastAsia" w:ascii="Times New Roman" w:hAnsi="Times New Roman" w:eastAsia="宋体" w:cs="Times New Roman"/>
                <w:color w:val="auto"/>
                <w:sz w:val="21"/>
                <w:szCs w:val="21"/>
                <w:highlight w:val="none"/>
                <w:lang w:val="en-US" w:eastAsia="zh-CN"/>
              </w:rPr>
              <w:t>05</w:t>
            </w:r>
          </w:p>
        </w:tc>
        <w:tc>
          <w:tcPr>
            <w:tcW w:w="1757" w:type="dxa"/>
            <w:tcBorders>
              <w:tl2br w:val="nil"/>
              <w:tr2bl w:val="nil"/>
            </w:tcBorders>
            <w:noWrap w:val="0"/>
            <w:vAlign w:val="center"/>
          </w:tcPr>
          <w:p w14:paraId="4EE72D02">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111.92514826</w:t>
            </w:r>
            <w:r>
              <w:rPr>
                <w:rFonts w:hint="eastAsia" w:ascii="Times New Roman" w:hAnsi="Times New Roman" w:cs="Times New Roman"/>
                <w:color w:val="auto"/>
                <w:sz w:val="21"/>
                <w:szCs w:val="21"/>
                <w:highlight w:val="none"/>
                <w:lang w:val="en-US" w:eastAsia="zh-CN"/>
              </w:rPr>
              <w:t>°</w:t>
            </w:r>
          </w:p>
        </w:tc>
        <w:tc>
          <w:tcPr>
            <w:tcW w:w="1575" w:type="dxa"/>
            <w:tcBorders>
              <w:right w:val="single" w:color="auto" w:sz="4" w:space="0"/>
              <w:tl2br w:val="nil"/>
              <w:tr2bl w:val="nil"/>
            </w:tcBorders>
            <w:noWrap w:val="0"/>
            <w:vAlign w:val="center"/>
          </w:tcPr>
          <w:p w14:paraId="596EB07B">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26.93428927</w:t>
            </w:r>
            <w:r>
              <w:rPr>
                <w:rFonts w:hint="eastAsia" w:ascii="Times New Roman" w:hAnsi="Times New Roman" w:cs="Times New Roman"/>
                <w:color w:val="auto"/>
                <w:sz w:val="21"/>
                <w:szCs w:val="21"/>
                <w:highlight w:val="none"/>
                <w:lang w:val="en-US" w:eastAsia="zh-CN"/>
              </w:rPr>
              <w:t>°</w:t>
            </w:r>
          </w:p>
        </w:tc>
        <w:tc>
          <w:tcPr>
            <w:tcW w:w="1307" w:type="dxa"/>
            <w:tcBorders>
              <w:left w:val="single" w:color="auto" w:sz="4" w:space="0"/>
              <w:right w:val="single" w:color="auto" w:sz="4" w:space="0"/>
              <w:tl2br w:val="nil"/>
              <w:tr2bl w:val="nil"/>
            </w:tcBorders>
            <w:noWrap w:val="0"/>
            <w:vAlign w:val="center"/>
          </w:tcPr>
          <w:p w14:paraId="10C60DEA">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394m</w:t>
            </w:r>
          </w:p>
        </w:tc>
        <w:tc>
          <w:tcPr>
            <w:tcW w:w="1254" w:type="dxa"/>
            <w:tcBorders>
              <w:left w:val="single" w:color="auto" w:sz="4" w:space="0"/>
              <w:right w:val="single" w:color="auto" w:sz="4" w:space="0"/>
              <w:tl2br w:val="nil"/>
              <w:tr2bl w:val="nil"/>
            </w:tcBorders>
            <w:noWrap w:val="0"/>
            <w:vAlign w:val="center"/>
          </w:tcPr>
          <w:p w14:paraId="22EB57D5">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17%</w:t>
            </w:r>
          </w:p>
        </w:tc>
        <w:tc>
          <w:tcPr>
            <w:tcW w:w="1311" w:type="dxa"/>
            <w:tcBorders>
              <w:left w:val="single" w:color="auto" w:sz="4" w:space="0"/>
              <w:tl2br w:val="nil"/>
              <w:tr2bl w:val="nil"/>
            </w:tcBorders>
            <w:noWrap w:val="0"/>
            <w:vAlign w:val="center"/>
          </w:tcPr>
          <w:p w14:paraId="2ADC47F8">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kern w:val="0"/>
                <w:sz w:val="21"/>
                <w:szCs w:val="21"/>
                <w:highlight w:val="none"/>
                <w:lang w:val="en-US" w:eastAsia="zh-CN" w:bidi="ar-SA"/>
              </w:rPr>
              <w:t>NW</w:t>
            </w:r>
          </w:p>
        </w:tc>
      </w:tr>
      <w:tr w14:paraId="3D9EB65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1192" w:type="dxa"/>
            <w:tcBorders>
              <w:tl2br w:val="nil"/>
              <w:tr2bl w:val="nil"/>
            </w:tcBorders>
            <w:noWrap w:val="0"/>
            <w:vAlign w:val="center"/>
          </w:tcPr>
          <w:p w14:paraId="79E475F4">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NC</w:t>
            </w:r>
            <w:r>
              <w:rPr>
                <w:rFonts w:hint="eastAsia" w:ascii="Times New Roman" w:hAnsi="Times New Roman" w:eastAsia="宋体" w:cs="Times New Roman"/>
                <w:color w:val="auto"/>
                <w:sz w:val="21"/>
                <w:szCs w:val="21"/>
                <w:highlight w:val="none"/>
                <w:lang w:val="en-US" w:eastAsia="zh-CN"/>
              </w:rPr>
              <w:t>06</w:t>
            </w:r>
          </w:p>
        </w:tc>
        <w:tc>
          <w:tcPr>
            <w:tcW w:w="1757" w:type="dxa"/>
            <w:tcBorders>
              <w:tl2br w:val="nil"/>
              <w:tr2bl w:val="nil"/>
            </w:tcBorders>
            <w:noWrap w:val="0"/>
            <w:vAlign w:val="center"/>
          </w:tcPr>
          <w:p w14:paraId="58C06CC2">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111.92979990</w:t>
            </w:r>
            <w:r>
              <w:rPr>
                <w:rFonts w:hint="eastAsia" w:ascii="Times New Roman" w:hAnsi="Times New Roman" w:cs="Times New Roman"/>
                <w:color w:val="auto"/>
                <w:sz w:val="21"/>
                <w:szCs w:val="21"/>
                <w:highlight w:val="none"/>
                <w:lang w:val="en-US" w:eastAsia="zh-CN"/>
              </w:rPr>
              <w:t>°</w:t>
            </w:r>
          </w:p>
        </w:tc>
        <w:tc>
          <w:tcPr>
            <w:tcW w:w="1575" w:type="dxa"/>
            <w:tcBorders>
              <w:right w:val="single" w:color="auto" w:sz="4" w:space="0"/>
              <w:tl2br w:val="nil"/>
              <w:tr2bl w:val="nil"/>
            </w:tcBorders>
            <w:noWrap w:val="0"/>
            <w:vAlign w:val="center"/>
          </w:tcPr>
          <w:p w14:paraId="7CA8A22E">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26.94943324</w:t>
            </w:r>
            <w:r>
              <w:rPr>
                <w:rFonts w:hint="eastAsia" w:ascii="Times New Roman" w:hAnsi="Times New Roman" w:cs="Times New Roman"/>
                <w:color w:val="auto"/>
                <w:sz w:val="21"/>
                <w:szCs w:val="21"/>
                <w:highlight w:val="none"/>
                <w:lang w:val="en-US" w:eastAsia="zh-CN"/>
              </w:rPr>
              <w:t>°</w:t>
            </w:r>
          </w:p>
        </w:tc>
        <w:tc>
          <w:tcPr>
            <w:tcW w:w="1307" w:type="dxa"/>
            <w:tcBorders>
              <w:left w:val="single" w:color="auto" w:sz="4" w:space="0"/>
              <w:right w:val="single" w:color="auto" w:sz="4" w:space="0"/>
              <w:tl2br w:val="nil"/>
              <w:tr2bl w:val="nil"/>
            </w:tcBorders>
            <w:noWrap w:val="0"/>
            <w:vAlign w:val="center"/>
          </w:tcPr>
          <w:p w14:paraId="408EE12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396m</w:t>
            </w:r>
          </w:p>
        </w:tc>
        <w:tc>
          <w:tcPr>
            <w:tcW w:w="1254" w:type="dxa"/>
            <w:tcBorders>
              <w:left w:val="single" w:color="auto" w:sz="4" w:space="0"/>
              <w:right w:val="single" w:color="auto" w:sz="4" w:space="0"/>
              <w:tl2br w:val="nil"/>
              <w:tr2bl w:val="nil"/>
            </w:tcBorders>
            <w:noWrap w:val="0"/>
            <w:vAlign w:val="center"/>
          </w:tcPr>
          <w:p w14:paraId="3902431B">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14%</w:t>
            </w:r>
          </w:p>
        </w:tc>
        <w:tc>
          <w:tcPr>
            <w:tcW w:w="1311" w:type="dxa"/>
            <w:tcBorders>
              <w:left w:val="single" w:color="auto" w:sz="4" w:space="0"/>
              <w:tl2br w:val="nil"/>
              <w:tr2bl w:val="nil"/>
            </w:tcBorders>
            <w:noWrap w:val="0"/>
            <w:vAlign w:val="center"/>
          </w:tcPr>
          <w:p w14:paraId="16EC2869">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NW</w:t>
            </w:r>
          </w:p>
        </w:tc>
      </w:tr>
      <w:tr w14:paraId="04557B3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1192" w:type="dxa"/>
            <w:tcBorders>
              <w:tl2br w:val="nil"/>
              <w:tr2bl w:val="nil"/>
            </w:tcBorders>
            <w:noWrap w:val="0"/>
            <w:vAlign w:val="center"/>
          </w:tcPr>
          <w:p w14:paraId="5F010214">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NC</w:t>
            </w:r>
            <w:r>
              <w:rPr>
                <w:rFonts w:hint="eastAsia" w:ascii="Times New Roman" w:hAnsi="Times New Roman" w:eastAsia="宋体" w:cs="Times New Roman"/>
                <w:color w:val="auto"/>
                <w:sz w:val="21"/>
                <w:szCs w:val="21"/>
                <w:highlight w:val="none"/>
                <w:lang w:val="en-US" w:eastAsia="zh-CN"/>
              </w:rPr>
              <w:t>07</w:t>
            </w:r>
          </w:p>
        </w:tc>
        <w:tc>
          <w:tcPr>
            <w:tcW w:w="1757" w:type="dxa"/>
            <w:tcBorders>
              <w:tl2br w:val="nil"/>
              <w:tr2bl w:val="nil"/>
            </w:tcBorders>
            <w:noWrap w:val="0"/>
            <w:vAlign w:val="center"/>
          </w:tcPr>
          <w:p w14:paraId="2F8C48FA">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111.93512296</w:t>
            </w:r>
            <w:r>
              <w:rPr>
                <w:rFonts w:hint="eastAsia" w:ascii="Times New Roman" w:hAnsi="Times New Roman" w:cs="Times New Roman"/>
                <w:color w:val="auto"/>
                <w:sz w:val="21"/>
                <w:szCs w:val="21"/>
                <w:highlight w:val="none"/>
                <w:lang w:val="en-US" w:eastAsia="zh-CN"/>
              </w:rPr>
              <w:t>°</w:t>
            </w:r>
          </w:p>
        </w:tc>
        <w:tc>
          <w:tcPr>
            <w:tcW w:w="1575" w:type="dxa"/>
            <w:tcBorders>
              <w:right w:val="single" w:color="auto" w:sz="4" w:space="0"/>
              <w:tl2br w:val="nil"/>
              <w:tr2bl w:val="nil"/>
            </w:tcBorders>
            <w:noWrap w:val="0"/>
            <w:vAlign w:val="center"/>
          </w:tcPr>
          <w:p w14:paraId="7F6929D4">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26.95028005</w:t>
            </w:r>
            <w:r>
              <w:rPr>
                <w:rFonts w:hint="eastAsia" w:ascii="Times New Roman" w:hAnsi="Times New Roman" w:cs="Times New Roman"/>
                <w:color w:val="auto"/>
                <w:sz w:val="21"/>
                <w:szCs w:val="21"/>
                <w:highlight w:val="none"/>
                <w:lang w:val="en-US" w:eastAsia="zh-CN"/>
              </w:rPr>
              <w:t>°</w:t>
            </w:r>
          </w:p>
        </w:tc>
        <w:tc>
          <w:tcPr>
            <w:tcW w:w="1307" w:type="dxa"/>
            <w:tcBorders>
              <w:left w:val="single" w:color="auto" w:sz="4" w:space="0"/>
              <w:right w:val="single" w:color="auto" w:sz="4" w:space="0"/>
              <w:tl2br w:val="nil"/>
              <w:tr2bl w:val="nil"/>
            </w:tcBorders>
            <w:noWrap w:val="0"/>
            <w:vAlign w:val="center"/>
          </w:tcPr>
          <w:p w14:paraId="6919F3DF">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375m</w:t>
            </w:r>
          </w:p>
        </w:tc>
        <w:tc>
          <w:tcPr>
            <w:tcW w:w="1254" w:type="dxa"/>
            <w:tcBorders>
              <w:left w:val="single" w:color="auto" w:sz="4" w:space="0"/>
              <w:right w:val="single" w:color="auto" w:sz="4" w:space="0"/>
              <w:tl2br w:val="nil"/>
              <w:tr2bl w:val="nil"/>
            </w:tcBorders>
            <w:noWrap w:val="0"/>
            <w:vAlign w:val="center"/>
          </w:tcPr>
          <w:p w14:paraId="25EEE823">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17%</w:t>
            </w:r>
          </w:p>
        </w:tc>
        <w:tc>
          <w:tcPr>
            <w:tcW w:w="1311" w:type="dxa"/>
            <w:tcBorders>
              <w:left w:val="single" w:color="auto" w:sz="4" w:space="0"/>
              <w:tl2br w:val="nil"/>
              <w:tr2bl w:val="nil"/>
            </w:tcBorders>
            <w:noWrap w:val="0"/>
            <w:vAlign w:val="center"/>
          </w:tcPr>
          <w:p w14:paraId="57BB89E5">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E</w:t>
            </w:r>
          </w:p>
        </w:tc>
      </w:tr>
      <w:tr w14:paraId="7418C4F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1192" w:type="dxa"/>
            <w:tcBorders>
              <w:tl2br w:val="nil"/>
              <w:tr2bl w:val="nil"/>
            </w:tcBorders>
            <w:noWrap w:val="0"/>
            <w:vAlign w:val="center"/>
          </w:tcPr>
          <w:p w14:paraId="70CA0AF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NC</w:t>
            </w:r>
            <w:r>
              <w:rPr>
                <w:rFonts w:hint="eastAsia" w:ascii="Times New Roman" w:hAnsi="Times New Roman" w:eastAsia="宋体" w:cs="Times New Roman"/>
                <w:color w:val="auto"/>
                <w:kern w:val="0"/>
                <w:sz w:val="21"/>
                <w:szCs w:val="21"/>
                <w:highlight w:val="none"/>
                <w:lang w:val="en-US" w:eastAsia="zh-CN" w:bidi="ar-SA"/>
              </w:rPr>
              <w:t>08</w:t>
            </w:r>
          </w:p>
        </w:tc>
        <w:tc>
          <w:tcPr>
            <w:tcW w:w="1757" w:type="dxa"/>
            <w:tcBorders>
              <w:tl2br w:val="nil"/>
              <w:tr2bl w:val="nil"/>
            </w:tcBorders>
            <w:noWrap w:val="0"/>
            <w:vAlign w:val="center"/>
          </w:tcPr>
          <w:p w14:paraId="330CB833">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111.94550818</w:t>
            </w:r>
            <w:r>
              <w:rPr>
                <w:rFonts w:hint="eastAsia" w:ascii="Times New Roman" w:hAnsi="Times New Roman" w:cs="Times New Roman"/>
                <w:color w:val="auto"/>
                <w:sz w:val="21"/>
                <w:szCs w:val="21"/>
                <w:highlight w:val="none"/>
                <w:lang w:val="en-US" w:eastAsia="zh-CN"/>
              </w:rPr>
              <w:t>°</w:t>
            </w:r>
          </w:p>
        </w:tc>
        <w:tc>
          <w:tcPr>
            <w:tcW w:w="1575" w:type="dxa"/>
            <w:tcBorders>
              <w:right w:val="single" w:color="auto" w:sz="4" w:space="0"/>
              <w:tl2br w:val="nil"/>
              <w:tr2bl w:val="nil"/>
            </w:tcBorders>
            <w:noWrap w:val="0"/>
            <w:vAlign w:val="center"/>
          </w:tcPr>
          <w:p w14:paraId="5AC11349">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26.95615667</w:t>
            </w:r>
            <w:r>
              <w:rPr>
                <w:rFonts w:hint="eastAsia" w:ascii="Times New Roman" w:hAnsi="Times New Roman" w:cs="Times New Roman"/>
                <w:color w:val="auto"/>
                <w:sz w:val="21"/>
                <w:szCs w:val="21"/>
                <w:highlight w:val="none"/>
                <w:lang w:val="en-US" w:eastAsia="zh-CN"/>
              </w:rPr>
              <w:t>°</w:t>
            </w:r>
          </w:p>
        </w:tc>
        <w:tc>
          <w:tcPr>
            <w:tcW w:w="1307" w:type="dxa"/>
            <w:tcBorders>
              <w:left w:val="single" w:color="auto" w:sz="4" w:space="0"/>
              <w:right w:val="single" w:color="auto" w:sz="4" w:space="0"/>
              <w:tl2br w:val="nil"/>
              <w:tr2bl w:val="nil"/>
            </w:tcBorders>
            <w:noWrap w:val="0"/>
            <w:vAlign w:val="center"/>
          </w:tcPr>
          <w:p w14:paraId="6A5B3A1F">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bidi="ar-SA"/>
              </w:rPr>
            </w:pPr>
            <w:r>
              <w:rPr>
                <w:rFonts w:hint="eastAsia" w:ascii="Times New Roman" w:hAnsi="Times New Roman" w:cs="Times New Roman"/>
                <w:color w:val="auto"/>
                <w:kern w:val="0"/>
                <w:sz w:val="21"/>
                <w:szCs w:val="21"/>
                <w:highlight w:val="none"/>
                <w:lang w:val="en-US" w:eastAsia="zh-CN" w:bidi="ar-SA"/>
              </w:rPr>
              <w:t>350m</w:t>
            </w:r>
          </w:p>
        </w:tc>
        <w:tc>
          <w:tcPr>
            <w:tcW w:w="1254" w:type="dxa"/>
            <w:tcBorders>
              <w:left w:val="single" w:color="auto" w:sz="4" w:space="0"/>
              <w:right w:val="single" w:color="auto" w:sz="4" w:space="0"/>
              <w:tl2br w:val="nil"/>
              <w:tr2bl w:val="nil"/>
            </w:tcBorders>
            <w:noWrap w:val="0"/>
            <w:vAlign w:val="center"/>
          </w:tcPr>
          <w:p w14:paraId="2A661DEF">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bidi="ar-SA"/>
              </w:rPr>
            </w:pPr>
            <w:r>
              <w:rPr>
                <w:rFonts w:hint="eastAsia" w:ascii="Times New Roman" w:hAnsi="Times New Roman" w:cs="Times New Roman"/>
                <w:color w:val="auto"/>
                <w:kern w:val="0"/>
                <w:sz w:val="21"/>
                <w:szCs w:val="21"/>
                <w:highlight w:val="none"/>
                <w:lang w:val="en-US" w:eastAsia="zh-CN" w:bidi="ar-SA"/>
              </w:rPr>
              <w:t>12%</w:t>
            </w:r>
          </w:p>
        </w:tc>
        <w:tc>
          <w:tcPr>
            <w:tcW w:w="1311" w:type="dxa"/>
            <w:tcBorders>
              <w:left w:val="single" w:color="auto" w:sz="4" w:space="0"/>
              <w:tl2br w:val="nil"/>
              <w:tr2bl w:val="nil"/>
            </w:tcBorders>
            <w:noWrap w:val="0"/>
            <w:vAlign w:val="center"/>
          </w:tcPr>
          <w:p w14:paraId="4C76A3CE">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bidi="ar-SA"/>
              </w:rPr>
            </w:pPr>
            <w:r>
              <w:rPr>
                <w:rFonts w:hint="eastAsia" w:ascii="Times New Roman" w:hAnsi="Times New Roman" w:cs="Times New Roman"/>
                <w:color w:val="auto"/>
                <w:kern w:val="0"/>
                <w:sz w:val="21"/>
                <w:szCs w:val="21"/>
                <w:highlight w:val="none"/>
                <w:lang w:val="en-US" w:eastAsia="zh-CN" w:bidi="ar-SA"/>
              </w:rPr>
              <w:t>SW</w:t>
            </w:r>
          </w:p>
        </w:tc>
      </w:tr>
      <w:tr w14:paraId="5A5830F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1192" w:type="dxa"/>
            <w:tcBorders>
              <w:tl2br w:val="nil"/>
              <w:tr2bl w:val="nil"/>
            </w:tcBorders>
            <w:noWrap w:val="0"/>
            <w:vAlign w:val="center"/>
          </w:tcPr>
          <w:p w14:paraId="602188E2">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NC09</w:t>
            </w:r>
          </w:p>
        </w:tc>
        <w:tc>
          <w:tcPr>
            <w:tcW w:w="1757" w:type="dxa"/>
            <w:tcBorders>
              <w:tl2br w:val="nil"/>
              <w:tr2bl w:val="nil"/>
            </w:tcBorders>
            <w:noWrap w:val="0"/>
            <w:vAlign w:val="center"/>
          </w:tcPr>
          <w:p w14:paraId="4B1E564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111.95291622</w:t>
            </w:r>
            <w:r>
              <w:rPr>
                <w:rFonts w:hint="eastAsia" w:ascii="Times New Roman" w:hAnsi="Times New Roman" w:cs="Times New Roman"/>
                <w:color w:val="auto"/>
                <w:sz w:val="21"/>
                <w:szCs w:val="21"/>
                <w:highlight w:val="none"/>
                <w:lang w:val="en-US" w:eastAsia="zh-CN"/>
              </w:rPr>
              <w:t>°</w:t>
            </w:r>
          </w:p>
        </w:tc>
        <w:tc>
          <w:tcPr>
            <w:tcW w:w="1575" w:type="dxa"/>
            <w:tcBorders>
              <w:right w:val="single" w:color="auto" w:sz="4" w:space="0"/>
              <w:tl2br w:val="nil"/>
              <w:tr2bl w:val="nil"/>
            </w:tcBorders>
            <w:noWrap w:val="0"/>
            <w:vAlign w:val="center"/>
          </w:tcPr>
          <w:p w14:paraId="3A84EDB4">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26.95682393</w:t>
            </w:r>
            <w:r>
              <w:rPr>
                <w:rFonts w:hint="eastAsia" w:ascii="Times New Roman" w:hAnsi="Times New Roman" w:cs="Times New Roman"/>
                <w:color w:val="auto"/>
                <w:sz w:val="21"/>
                <w:szCs w:val="21"/>
                <w:highlight w:val="none"/>
                <w:lang w:val="en-US" w:eastAsia="zh-CN"/>
              </w:rPr>
              <w:t>°</w:t>
            </w:r>
          </w:p>
        </w:tc>
        <w:tc>
          <w:tcPr>
            <w:tcW w:w="1307" w:type="dxa"/>
            <w:tcBorders>
              <w:left w:val="single" w:color="auto" w:sz="4" w:space="0"/>
              <w:right w:val="single" w:color="auto" w:sz="4" w:space="0"/>
              <w:tl2br w:val="nil"/>
              <w:tr2bl w:val="nil"/>
            </w:tcBorders>
            <w:noWrap w:val="0"/>
            <w:vAlign w:val="center"/>
          </w:tcPr>
          <w:p w14:paraId="57F18B90">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388m</w:t>
            </w:r>
          </w:p>
        </w:tc>
        <w:tc>
          <w:tcPr>
            <w:tcW w:w="1254" w:type="dxa"/>
            <w:tcBorders>
              <w:left w:val="single" w:color="auto" w:sz="4" w:space="0"/>
              <w:right w:val="single" w:color="auto" w:sz="4" w:space="0"/>
              <w:tl2br w:val="nil"/>
              <w:tr2bl w:val="nil"/>
            </w:tcBorders>
            <w:noWrap w:val="0"/>
            <w:vAlign w:val="center"/>
          </w:tcPr>
          <w:p w14:paraId="39234D77">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1311" w:type="dxa"/>
            <w:tcBorders>
              <w:left w:val="single" w:color="auto" w:sz="4" w:space="0"/>
              <w:tl2br w:val="nil"/>
              <w:tr2bl w:val="nil"/>
            </w:tcBorders>
            <w:noWrap w:val="0"/>
            <w:vAlign w:val="center"/>
          </w:tcPr>
          <w:p w14:paraId="04B8580A">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SE</w:t>
            </w:r>
          </w:p>
        </w:tc>
      </w:tr>
      <w:tr w14:paraId="77F7F17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1192" w:type="dxa"/>
            <w:tcBorders>
              <w:tl2br w:val="nil"/>
              <w:tr2bl w:val="nil"/>
            </w:tcBorders>
            <w:noWrap w:val="0"/>
            <w:vAlign w:val="center"/>
          </w:tcPr>
          <w:p w14:paraId="68DB8127">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NC10</w:t>
            </w:r>
          </w:p>
        </w:tc>
        <w:tc>
          <w:tcPr>
            <w:tcW w:w="1757" w:type="dxa"/>
            <w:tcBorders>
              <w:tl2br w:val="nil"/>
              <w:tr2bl w:val="nil"/>
            </w:tcBorders>
            <w:noWrap w:val="0"/>
            <w:vAlign w:val="center"/>
          </w:tcPr>
          <w:p w14:paraId="1C38E578">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111.95513753</w:t>
            </w:r>
            <w:r>
              <w:rPr>
                <w:rFonts w:hint="eastAsia" w:ascii="Times New Roman" w:hAnsi="Times New Roman" w:cs="Times New Roman"/>
                <w:color w:val="auto"/>
                <w:sz w:val="21"/>
                <w:szCs w:val="21"/>
                <w:highlight w:val="none"/>
                <w:lang w:val="en-US" w:eastAsia="zh-CN"/>
              </w:rPr>
              <w:t>°</w:t>
            </w:r>
          </w:p>
        </w:tc>
        <w:tc>
          <w:tcPr>
            <w:tcW w:w="1575" w:type="dxa"/>
            <w:tcBorders>
              <w:right w:val="single" w:color="auto" w:sz="4" w:space="0"/>
              <w:tl2br w:val="nil"/>
              <w:tr2bl w:val="nil"/>
            </w:tcBorders>
            <w:noWrap w:val="0"/>
            <w:vAlign w:val="center"/>
          </w:tcPr>
          <w:p w14:paraId="7B9FAE35">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26.95316296</w:t>
            </w:r>
            <w:r>
              <w:rPr>
                <w:rFonts w:hint="eastAsia" w:ascii="Times New Roman" w:hAnsi="Times New Roman" w:cs="Times New Roman"/>
                <w:color w:val="auto"/>
                <w:sz w:val="21"/>
                <w:szCs w:val="21"/>
                <w:highlight w:val="none"/>
                <w:lang w:val="en-US" w:eastAsia="zh-CN"/>
              </w:rPr>
              <w:t>°</w:t>
            </w:r>
          </w:p>
        </w:tc>
        <w:tc>
          <w:tcPr>
            <w:tcW w:w="1307" w:type="dxa"/>
            <w:tcBorders>
              <w:left w:val="single" w:color="auto" w:sz="4" w:space="0"/>
              <w:right w:val="single" w:color="auto" w:sz="4" w:space="0"/>
              <w:tl2br w:val="nil"/>
              <w:tr2bl w:val="nil"/>
            </w:tcBorders>
            <w:noWrap w:val="0"/>
            <w:vAlign w:val="center"/>
          </w:tcPr>
          <w:p w14:paraId="67EC72F4">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401m</w:t>
            </w:r>
          </w:p>
        </w:tc>
        <w:tc>
          <w:tcPr>
            <w:tcW w:w="1254" w:type="dxa"/>
            <w:tcBorders>
              <w:left w:val="single" w:color="auto" w:sz="4" w:space="0"/>
              <w:right w:val="single" w:color="auto" w:sz="4" w:space="0"/>
              <w:tl2br w:val="nil"/>
              <w:tr2bl w:val="nil"/>
            </w:tcBorders>
            <w:noWrap w:val="0"/>
            <w:vAlign w:val="center"/>
          </w:tcPr>
          <w:p w14:paraId="1858CBFB">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19%</w:t>
            </w:r>
          </w:p>
        </w:tc>
        <w:tc>
          <w:tcPr>
            <w:tcW w:w="1311" w:type="dxa"/>
            <w:tcBorders>
              <w:left w:val="single" w:color="auto" w:sz="4" w:space="0"/>
              <w:tl2br w:val="nil"/>
              <w:tr2bl w:val="nil"/>
            </w:tcBorders>
            <w:noWrap w:val="0"/>
            <w:vAlign w:val="center"/>
          </w:tcPr>
          <w:p w14:paraId="3159EB75">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E</w:t>
            </w:r>
          </w:p>
        </w:tc>
      </w:tr>
      <w:tr w14:paraId="3BC4256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1192" w:type="dxa"/>
            <w:tcBorders>
              <w:tl2br w:val="nil"/>
              <w:tr2bl w:val="nil"/>
            </w:tcBorders>
            <w:noWrap w:val="0"/>
            <w:vAlign w:val="center"/>
          </w:tcPr>
          <w:p w14:paraId="0A9A901A">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NC11</w:t>
            </w:r>
          </w:p>
        </w:tc>
        <w:tc>
          <w:tcPr>
            <w:tcW w:w="1757" w:type="dxa"/>
            <w:tcBorders>
              <w:tl2br w:val="nil"/>
              <w:tr2bl w:val="nil"/>
            </w:tcBorders>
            <w:noWrap w:val="0"/>
            <w:vAlign w:val="center"/>
          </w:tcPr>
          <w:p w14:paraId="26A06C18">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111.88807011</w:t>
            </w:r>
            <w:r>
              <w:rPr>
                <w:rFonts w:hint="eastAsia" w:ascii="Times New Roman" w:hAnsi="Times New Roman" w:cs="Times New Roman"/>
                <w:color w:val="auto"/>
                <w:sz w:val="21"/>
                <w:szCs w:val="21"/>
                <w:highlight w:val="none"/>
                <w:lang w:val="en-US" w:eastAsia="zh-CN"/>
              </w:rPr>
              <w:t>°</w:t>
            </w:r>
          </w:p>
        </w:tc>
        <w:tc>
          <w:tcPr>
            <w:tcW w:w="1575" w:type="dxa"/>
            <w:tcBorders>
              <w:right w:val="single" w:color="auto" w:sz="4" w:space="0"/>
              <w:tl2br w:val="nil"/>
              <w:tr2bl w:val="nil"/>
            </w:tcBorders>
            <w:noWrap w:val="0"/>
            <w:vAlign w:val="center"/>
          </w:tcPr>
          <w:p w14:paraId="076EF178">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26.97380216</w:t>
            </w:r>
            <w:r>
              <w:rPr>
                <w:rFonts w:hint="eastAsia" w:ascii="Times New Roman" w:hAnsi="Times New Roman" w:cs="Times New Roman"/>
                <w:color w:val="auto"/>
                <w:sz w:val="21"/>
                <w:szCs w:val="21"/>
                <w:highlight w:val="none"/>
                <w:lang w:val="en-US" w:eastAsia="zh-CN"/>
              </w:rPr>
              <w:t>°</w:t>
            </w:r>
          </w:p>
        </w:tc>
        <w:tc>
          <w:tcPr>
            <w:tcW w:w="1307" w:type="dxa"/>
            <w:tcBorders>
              <w:left w:val="single" w:color="auto" w:sz="4" w:space="0"/>
              <w:right w:val="single" w:color="auto" w:sz="4" w:space="0"/>
              <w:tl2br w:val="nil"/>
              <w:tr2bl w:val="nil"/>
            </w:tcBorders>
            <w:noWrap w:val="0"/>
            <w:vAlign w:val="center"/>
          </w:tcPr>
          <w:p w14:paraId="2D019001">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590m</w:t>
            </w:r>
          </w:p>
        </w:tc>
        <w:tc>
          <w:tcPr>
            <w:tcW w:w="1254" w:type="dxa"/>
            <w:tcBorders>
              <w:left w:val="single" w:color="auto" w:sz="4" w:space="0"/>
              <w:right w:val="single" w:color="auto" w:sz="4" w:space="0"/>
              <w:tl2br w:val="nil"/>
              <w:tr2bl w:val="nil"/>
            </w:tcBorders>
            <w:noWrap w:val="0"/>
            <w:vAlign w:val="center"/>
          </w:tcPr>
          <w:p w14:paraId="7E74BDB3">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14%</w:t>
            </w:r>
          </w:p>
        </w:tc>
        <w:tc>
          <w:tcPr>
            <w:tcW w:w="1311" w:type="dxa"/>
            <w:tcBorders>
              <w:left w:val="single" w:color="auto" w:sz="4" w:space="0"/>
              <w:tl2br w:val="nil"/>
              <w:tr2bl w:val="nil"/>
            </w:tcBorders>
            <w:noWrap w:val="0"/>
            <w:vAlign w:val="center"/>
          </w:tcPr>
          <w:p w14:paraId="0D8BE44C">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E</w:t>
            </w:r>
          </w:p>
        </w:tc>
      </w:tr>
      <w:tr w14:paraId="3AD683A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1192" w:type="dxa"/>
            <w:tcBorders>
              <w:tl2br w:val="nil"/>
              <w:tr2bl w:val="nil"/>
            </w:tcBorders>
            <w:noWrap w:val="0"/>
            <w:vAlign w:val="center"/>
          </w:tcPr>
          <w:p w14:paraId="41753EEC">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NC12</w:t>
            </w:r>
          </w:p>
        </w:tc>
        <w:tc>
          <w:tcPr>
            <w:tcW w:w="1757" w:type="dxa"/>
            <w:tcBorders>
              <w:tl2br w:val="nil"/>
              <w:tr2bl w:val="nil"/>
            </w:tcBorders>
            <w:noWrap w:val="0"/>
            <w:vAlign w:val="center"/>
          </w:tcPr>
          <w:p w14:paraId="56BEEEB1">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b w:val="0"/>
                <w:bCs w:val="0"/>
                <w:color w:val="auto"/>
                <w:sz w:val="21"/>
                <w:szCs w:val="21"/>
                <w:highlight w:val="none"/>
              </w:rPr>
              <w:t>111.88117146</w:t>
            </w:r>
            <w:r>
              <w:rPr>
                <w:rFonts w:hint="eastAsia" w:ascii="Times New Roman" w:hAnsi="Times New Roman" w:cs="Times New Roman"/>
                <w:color w:val="auto"/>
                <w:sz w:val="21"/>
                <w:szCs w:val="21"/>
                <w:highlight w:val="none"/>
                <w:lang w:val="en-US" w:eastAsia="zh-CN"/>
              </w:rPr>
              <w:t>°</w:t>
            </w:r>
          </w:p>
        </w:tc>
        <w:tc>
          <w:tcPr>
            <w:tcW w:w="1575" w:type="dxa"/>
            <w:tcBorders>
              <w:right w:val="single" w:color="auto" w:sz="4" w:space="0"/>
              <w:tl2br w:val="nil"/>
              <w:tr2bl w:val="nil"/>
            </w:tcBorders>
            <w:noWrap w:val="0"/>
            <w:vAlign w:val="center"/>
          </w:tcPr>
          <w:p w14:paraId="1656CB60">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b w:val="0"/>
                <w:bCs w:val="0"/>
                <w:color w:val="auto"/>
                <w:sz w:val="21"/>
                <w:szCs w:val="21"/>
                <w:highlight w:val="none"/>
              </w:rPr>
              <w:t>26.96486761</w:t>
            </w:r>
            <w:r>
              <w:rPr>
                <w:rFonts w:hint="eastAsia" w:ascii="Times New Roman" w:hAnsi="Times New Roman" w:cs="Times New Roman"/>
                <w:color w:val="auto"/>
                <w:sz w:val="21"/>
                <w:szCs w:val="21"/>
                <w:highlight w:val="none"/>
                <w:lang w:val="en-US" w:eastAsia="zh-CN"/>
              </w:rPr>
              <w:t>°</w:t>
            </w:r>
          </w:p>
        </w:tc>
        <w:tc>
          <w:tcPr>
            <w:tcW w:w="1307" w:type="dxa"/>
            <w:tcBorders>
              <w:left w:val="single" w:color="auto" w:sz="4" w:space="0"/>
              <w:right w:val="single" w:color="auto" w:sz="4" w:space="0"/>
              <w:tl2br w:val="nil"/>
              <w:tr2bl w:val="nil"/>
            </w:tcBorders>
            <w:noWrap w:val="0"/>
            <w:vAlign w:val="center"/>
          </w:tcPr>
          <w:p w14:paraId="30906986">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cs="Times New Roman"/>
                <w:b w:val="0"/>
                <w:bCs w:val="0"/>
                <w:color w:val="auto"/>
                <w:sz w:val="21"/>
                <w:szCs w:val="21"/>
                <w:highlight w:val="none"/>
                <w:lang w:val="en-US" w:eastAsia="zh-CN"/>
              </w:rPr>
              <w:t>585m</w:t>
            </w:r>
          </w:p>
        </w:tc>
        <w:tc>
          <w:tcPr>
            <w:tcW w:w="1254" w:type="dxa"/>
            <w:tcBorders>
              <w:left w:val="single" w:color="auto" w:sz="4" w:space="0"/>
              <w:right w:val="single" w:color="auto" w:sz="4" w:space="0"/>
              <w:tl2br w:val="nil"/>
              <w:tr2bl w:val="nil"/>
            </w:tcBorders>
            <w:noWrap w:val="0"/>
            <w:vAlign w:val="center"/>
          </w:tcPr>
          <w:p w14:paraId="68AA938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cs="Times New Roman"/>
                <w:b w:val="0"/>
                <w:bCs w:val="0"/>
                <w:color w:val="auto"/>
                <w:sz w:val="21"/>
                <w:szCs w:val="21"/>
                <w:highlight w:val="none"/>
                <w:lang w:val="en-US" w:eastAsia="zh-CN"/>
              </w:rPr>
              <w:t>9%</w:t>
            </w:r>
          </w:p>
        </w:tc>
        <w:tc>
          <w:tcPr>
            <w:tcW w:w="1311" w:type="dxa"/>
            <w:tcBorders>
              <w:left w:val="single" w:color="auto" w:sz="4" w:space="0"/>
              <w:tl2br w:val="nil"/>
              <w:tr2bl w:val="nil"/>
            </w:tcBorders>
            <w:noWrap w:val="0"/>
            <w:vAlign w:val="center"/>
          </w:tcPr>
          <w:p w14:paraId="2CB0B921">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cs="Times New Roman"/>
                <w:b w:val="0"/>
                <w:bCs w:val="0"/>
                <w:color w:val="auto"/>
                <w:sz w:val="21"/>
                <w:szCs w:val="21"/>
                <w:highlight w:val="none"/>
                <w:lang w:val="en-US" w:eastAsia="zh-CN"/>
              </w:rPr>
              <w:t>SW</w:t>
            </w:r>
          </w:p>
        </w:tc>
      </w:tr>
      <w:tr w14:paraId="1D37164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1192" w:type="dxa"/>
            <w:tcBorders>
              <w:tl2br w:val="nil"/>
              <w:tr2bl w:val="nil"/>
            </w:tcBorders>
            <w:noWrap w:val="0"/>
            <w:vAlign w:val="center"/>
          </w:tcPr>
          <w:p w14:paraId="480EBA45">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NC13</w:t>
            </w:r>
          </w:p>
        </w:tc>
        <w:tc>
          <w:tcPr>
            <w:tcW w:w="1757" w:type="dxa"/>
            <w:tcBorders>
              <w:tl2br w:val="nil"/>
              <w:tr2bl w:val="nil"/>
            </w:tcBorders>
            <w:noWrap w:val="0"/>
            <w:vAlign w:val="center"/>
          </w:tcPr>
          <w:p w14:paraId="4C375314">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111.97387968</w:t>
            </w:r>
            <w:r>
              <w:rPr>
                <w:rFonts w:hint="eastAsia" w:ascii="Times New Roman" w:hAnsi="Times New Roman" w:cs="Times New Roman"/>
                <w:color w:val="auto"/>
                <w:sz w:val="21"/>
                <w:szCs w:val="21"/>
                <w:highlight w:val="none"/>
                <w:lang w:val="en-US" w:eastAsia="zh-CN"/>
              </w:rPr>
              <w:t>°</w:t>
            </w:r>
          </w:p>
        </w:tc>
        <w:tc>
          <w:tcPr>
            <w:tcW w:w="1575" w:type="dxa"/>
            <w:tcBorders>
              <w:right w:val="single" w:color="auto" w:sz="4" w:space="0"/>
              <w:tl2br w:val="nil"/>
              <w:tr2bl w:val="nil"/>
            </w:tcBorders>
            <w:noWrap w:val="0"/>
            <w:vAlign w:val="center"/>
          </w:tcPr>
          <w:p w14:paraId="75C7E74C">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26.92236027</w:t>
            </w:r>
            <w:r>
              <w:rPr>
                <w:rFonts w:hint="eastAsia" w:ascii="Times New Roman" w:hAnsi="Times New Roman" w:cs="Times New Roman"/>
                <w:color w:val="auto"/>
                <w:sz w:val="21"/>
                <w:szCs w:val="21"/>
                <w:highlight w:val="none"/>
                <w:lang w:val="en-US" w:eastAsia="zh-CN"/>
              </w:rPr>
              <w:t>°</w:t>
            </w:r>
          </w:p>
        </w:tc>
        <w:tc>
          <w:tcPr>
            <w:tcW w:w="1307" w:type="dxa"/>
            <w:tcBorders>
              <w:left w:val="single" w:color="auto" w:sz="4" w:space="0"/>
              <w:right w:val="single" w:color="auto" w:sz="4" w:space="0"/>
              <w:tl2br w:val="nil"/>
              <w:tr2bl w:val="nil"/>
            </w:tcBorders>
            <w:noWrap w:val="0"/>
            <w:vAlign w:val="center"/>
          </w:tcPr>
          <w:p w14:paraId="7EBF1426">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533m</w:t>
            </w:r>
          </w:p>
        </w:tc>
        <w:tc>
          <w:tcPr>
            <w:tcW w:w="1254" w:type="dxa"/>
            <w:tcBorders>
              <w:left w:val="single" w:color="auto" w:sz="4" w:space="0"/>
              <w:right w:val="single" w:color="auto" w:sz="4" w:space="0"/>
              <w:tl2br w:val="nil"/>
              <w:tr2bl w:val="nil"/>
            </w:tcBorders>
            <w:noWrap w:val="0"/>
            <w:vAlign w:val="center"/>
          </w:tcPr>
          <w:p w14:paraId="62380AD4">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17%</w:t>
            </w:r>
          </w:p>
        </w:tc>
        <w:tc>
          <w:tcPr>
            <w:tcW w:w="1311" w:type="dxa"/>
            <w:tcBorders>
              <w:left w:val="single" w:color="auto" w:sz="4" w:space="0"/>
              <w:tl2br w:val="nil"/>
              <w:tr2bl w:val="nil"/>
            </w:tcBorders>
            <w:noWrap w:val="0"/>
            <w:vAlign w:val="center"/>
          </w:tcPr>
          <w:p w14:paraId="5515F086">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SW</w:t>
            </w:r>
          </w:p>
        </w:tc>
      </w:tr>
      <w:tr w14:paraId="3803058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1192" w:type="dxa"/>
            <w:tcBorders>
              <w:tl2br w:val="nil"/>
              <w:tr2bl w:val="nil"/>
            </w:tcBorders>
            <w:noWrap w:val="0"/>
            <w:vAlign w:val="center"/>
          </w:tcPr>
          <w:p w14:paraId="56AB3AEB">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NC14</w:t>
            </w:r>
          </w:p>
        </w:tc>
        <w:tc>
          <w:tcPr>
            <w:tcW w:w="1757" w:type="dxa"/>
            <w:tcBorders>
              <w:tl2br w:val="nil"/>
              <w:tr2bl w:val="nil"/>
            </w:tcBorders>
            <w:noWrap w:val="0"/>
            <w:vAlign w:val="center"/>
          </w:tcPr>
          <w:p w14:paraId="557FE266">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111.97453970</w:t>
            </w:r>
            <w:r>
              <w:rPr>
                <w:rFonts w:hint="eastAsia" w:ascii="Times New Roman" w:hAnsi="Times New Roman" w:cs="Times New Roman"/>
                <w:color w:val="auto"/>
                <w:sz w:val="21"/>
                <w:szCs w:val="21"/>
                <w:highlight w:val="none"/>
                <w:lang w:val="en-US" w:eastAsia="zh-CN"/>
              </w:rPr>
              <w:t>°</w:t>
            </w:r>
          </w:p>
        </w:tc>
        <w:tc>
          <w:tcPr>
            <w:tcW w:w="1575" w:type="dxa"/>
            <w:tcBorders>
              <w:right w:val="single" w:color="auto" w:sz="4" w:space="0"/>
              <w:tl2br w:val="nil"/>
              <w:tr2bl w:val="nil"/>
            </w:tcBorders>
            <w:noWrap w:val="0"/>
            <w:vAlign w:val="center"/>
          </w:tcPr>
          <w:p w14:paraId="302256FC">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26.91816222</w:t>
            </w:r>
            <w:r>
              <w:rPr>
                <w:rFonts w:hint="eastAsia" w:ascii="Times New Roman" w:hAnsi="Times New Roman" w:cs="Times New Roman"/>
                <w:color w:val="auto"/>
                <w:sz w:val="21"/>
                <w:szCs w:val="21"/>
                <w:highlight w:val="none"/>
                <w:lang w:val="en-US" w:eastAsia="zh-CN"/>
              </w:rPr>
              <w:t>°</w:t>
            </w:r>
          </w:p>
        </w:tc>
        <w:tc>
          <w:tcPr>
            <w:tcW w:w="1307" w:type="dxa"/>
            <w:tcBorders>
              <w:left w:val="single" w:color="auto" w:sz="4" w:space="0"/>
              <w:right w:val="single" w:color="auto" w:sz="4" w:space="0"/>
              <w:tl2br w:val="nil"/>
              <w:tr2bl w:val="nil"/>
            </w:tcBorders>
            <w:noWrap w:val="0"/>
            <w:vAlign w:val="center"/>
          </w:tcPr>
          <w:p w14:paraId="2AB584E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531m</w:t>
            </w:r>
          </w:p>
        </w:tc>
        <w:tc>
          <w:tcPr>
            <w:tcW w:w="1254" w:type="dxa"/>
            <w:tcBorders>
              <w:left w:val="single" w:color="auto" w:sz="4" w:space="0"/>
              <w:right w:val="single" w:color="auto" w:sz="4" w:space="0"/>
              <w:tl2br w:val="nil"/>
              <w:tr2bl w:val="nil"/>
            </w:tcBorders>
            <w:noWrap w:val="0"/>
            <w:vAlign w:val="center"/>
          </w:tcPr>
          <w:p w14:paraId="69A3C07F">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18%</w:t>
            </w:r>
          </w:p>
        </w:tc>
        <w:tc>
          <w:tcPr>
            <w:tcW w:w="1311" w:type="dxa"/>
            <w:tcBorders>
              <w:left w:val="single" w:color="auto" w:sz="4" w:space="0"/>
              <w:tl2br w:val="nil"/>
              <w:tr2bl w:val="nil"/>
            </w:tcBorders>
            <w:noWrap w:val="0"/>
            <w:vAlign w:val="center"/>
          </w:tcPr>
          <w:p w14:paraId="1486A7DA">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SW</w:t>
            </w:r>
          </w:p>
        </w:tc>
      </w:tr>
      <w:tr w14:paraId="2D57D45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1192" w:type="dxa"/>
            <w:tcBorders>
              <w:tl2br w:val="nil"/>
              <w:tr2bl w:val="nil"/>
            </w:tcBorders>
            <w:noWrap w:val="0"/>
            <w:vAlign w:val="center"/>
          </w:tcPr>
          <w:p w14:paraId="20DF7095">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NC</w:t>
            </w:r>
            <w:r>
              <w:rPr>
                <w:rFonts w:hint="eastAsia" w:ascii="Times New Roman" w:hAnsi="Times New Roman" w:eastAsia="宋体" w:cs="Times New Roman"/>
                <w:color w:val="auto"/>
                <w:sz w:val="21"/>
                <w:szCs w:val="21"/>
                <w:highlight w:val="none"/>
                <w:lang w:val="en-US" w:eastAsia="zh-CN"/>
              </w:rPr>
              <w:t>15</w:t>
            </w:r>
          </w:p>
        </w:tc>
        <w:tc>
          <w:tcPr>
            <w:tcW w:w="1757" w:type="dxa"/>
            <w:tcBorders>
              <w:tl2br w:val="nil"/>
              <w:tr2bl w:val="nil"/>
            </w:tcBorders>
            <w:noWrap w:val="0"/>
            <w:vAlign w:val="center"/>
          </w:tcPr>
          <w:p w14:paraId="64D5594F">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111.97284640</w:t>
            </w:r>
            <w:r>
              <w:rPr>
                <w:rFonts w:hint="eastAsia" w:ascii="Times New Roman" w:hAnsi="Times New Roman" w:cs="Times New Roman"/>
                <w:color w:val="auto"/>
                <w:sz w:val="21"/>
                <w:szCs w:val="21"/>
                <w:highlight w:val="none"/>
                <w:lang w:val="en-US" w:eastAsia="zh-CN"/>
              </w:rPr>
              <w:t>°</w:t>
            </w:r>
          </w:p>
        </w:tc>
        <w:tc>
          <w:tcPr>
            <w:tcW w:w="1575" w:type="dxa"/>
            <w:tcBorders>
              <w:right w:val="single" w:color="auto" w:sz="4" w:space="0"/>
              <w:tl2br w:val="nil"/>
              <w:tr2bl w:val="nil"/>
            </w:tcBorders>
            <w:noWrap w:val="0"/>
            <w:vAlign w:val="center"/>
          </w:tcPr>
          <w:p w14:paraId="15F4F9E6">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26.9126035</w:t>
            </w:r>
            <w:r>
              <w:rPr>
                <w:rFonts w:hint="eastAsia" w:ascii="Times New Roman" w:hAnsi="Times New Roman" w:cs="Times New Roman"/>
                <w:color w:val="auto"/>
                <w:sz w:val="21"/>
                <w:szCs w:val="21"/>
                <w:highlight w:val="none"/>
                <w:lang w:val="en-US" w:eastAsia="zh-CN"/>
              </w:rPr>
              <w:t>4°</w:t>
            </w:r>
          </w:p>
        </w:tc>
        <w:tc>
          <w:tcPr>
            <w:tcW w:w="1307" w:type="dxa"/>
            <w:tcBorders>
              <w:left w:val="single" w:color="auto" w:sz="4" w:space="0"/>
              <w:right w:val="single" w:color="auto" w:sz="4" w:space="0"/>
              <w:tl2br w:val="nil"/>
              <w:tr2bl w:val="nil"/>
            </w:tcBorders>
            <w:noWrap w:val="0"/>
            <w:vAlign w:val="center"/>
          </w:tcPr>
          <w:p w14:paraId="63CEF3B2">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491m</w:t>
            </w:r>
          </w:p>
        </w:tc>
        <w:tc>
          <w:tcPr>
            <w:tcW w:w="1254" w:type="dxa"/>
            <w:tcBorders>
              <w:left w:val="single" w:color="auto" w:sz="4" w:space="0"/>
              <w:right w:val="single" w:color="auto" w:sz="4" w:space="0"/>
              <w:tl2br w:val="nil"/>
              <w:tr2bl w:val="nil"/>
            </w:tcBorders>
            <w:noWrap w:val="0"/>
            <w:vAlign w:val="center"/>
          </w:tcPr>
          <w:p w14:paraId="343C1EF8">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19%</w:t>
            </w:r>
          </w:p>
        </w:tc>
        <w:tc>
          <w:tcPr>
            <w:tcW w:w="1311" w:type="dxa"/>
            <w:tcBorders>
              <w:left w:val="single" w:color="auto" w:sz="4" w:space="0"/>
              <w:tl2br w:val="nil"/>
              <w:tr2bl w:val="nil"/>
            </w:tcBorders>
            <w:noWrap w:val="0"/>
            <w:vAlign w:val="center"/>
          </w:tcPr>
          <w:p w14:paraId="7FFA00BE">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SW</w:t>
            </w:r>
          </w:p>
        </w:tc>
      </w:tr>
      <w:tr w14:paraId="73FAFFC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1192" w:type="dxa"/>
            <w:tcBorders>
              <w:tl2br w:val="nil"/>
              <w:tr2bl w:val="nil"/>
            </w:tcBorders>
            <w:noWrap w:val="0"/>
            <w:vAlign w:val="center"/>
          </w:tcPr>
          <w:p w14:paraId="6D066B9A">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NC</w:t>
            </w:r>
            <w:r>
              <w:rPr>
                <w:rFonts w:hint="eastAsia" w:ascii="Times New Roman" w:hAnsi="Times New Roman" w:eastAsia="宋体" w:cs="Times New Roman"/>
                <w:color w:val="auto"/>
                <w:sz w:val="21"/>
                <w:szCs w:val="21"/>
                <w:highlight w:val="none"/>
                <w:lang w:val="en-US" w:eastAsia="zh-CN"/>
              </w:rPr>
              <w:t>16</w:t>
            </w:r>
          </w:p>
        </w:tc>
        <w:tc>
          <w:tcPr>
            <w:tcW w:w="1757" w:type="dxa"/>
            <w:tcBorders>
              <w:tl2br w:val="nil"/>
              <w:tr2bl w:val="nil"/>
            </w:tcBorders>
            <w:noWrap w:val="0"/>
            <w:vAlign w:val="center"/>
          </w:tcPr>
          <w:p w14:paraId="5E016534">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111.99694633</w:t>
            </w:r>
            <w:r>
              <w:rPr>
                <w:rFonts w:hint="eastAsia" w:ascii="Times New Roman" w:hAnsi="Times New Roman" w:cs="Times New Roman"/>
                <w:color w:val="auto"/>
                <w:sz w:val="21"/>
                <w:szCs w:val="21"/>
                <w:highlight w:val="none"/>
                <w:lang w:val="en-US" w:eastAsia="zh-CN"/>
              </w:rPr>
              <w:t>°</w:t>
            </w:r>
          </w:p>
        </w:tc>
        <w:tc>
          <w:tcPr>
            <w:tcW w:w="1575" w:type="dxa"/>
            <w:tcBorders>
              <w:right w:val="single" w:color="auto" w:sz="4" w:space="0"/>
              <w:tl2br w:val="nil"/>
              <w:tr2bl w:val="nil"/>
            </w:tcBorders>
            <w:noWrap w:val="0"/>
            <w:vAlign w:val="center"/>
          </w:tcPr>
          <w:p w14:paraId="77423194">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26.93772372</w:t>
            </w:r>
            <w:r>
              <w:rPr>
                <w:rFonts w:hint="eastAsia" w:ascii="Times New Roman" w:hAnsi="Times New Roman" w:cs="Times New Roman"/>
                <w:color w:val="auto"/>
                <w:sz w:val="21"/>
                <w:szCs w:val="21"/>
                <w:highlight w:val="none"/>
                <w:lang w:val="en-US" w:eastAsia="zh-CN"/>
              </w:rPr>
              <w:t>°</w:t>
            </w:r>
          </w:p>
        </w:tc>
        <w:tc>
          <w:tcPr>
            <w:tcW w:w="1307" w:type="dxa"/>
            <w:tcBorders>
              <w:left w:val="single" w:color="auto" w:sz="4" w:space="0"/>
              <w:right w:val="single" w:color="auto" w:sz="4" w:space="0"/>
              <w:tl2br w:val="nil"/>
              <w:tr2bl w:val="nil"/>
            </w:tcBorders>
            <w:noWrap w:val="0"/>
            <w:vAlign w:val="center"/>
          </w:tcPr>
          <w:p w14:paraId="3B4FBF6F">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544m</w:t>
            </w:r>
          </w:p>
        </w:tc>
        <w:tc>
          <w:tcPr>
            <w:tcW w:w="1254" w:type="dxa"/>
            <w:tcBorders>
              <w:left w:val="single" w:color="auto" w:sz="4" w:space="0"/>
              <w:right w:val="single" w:color="auto" w:sz="4" w:space="0"/>
              <w:tl2br w:val="nil"/>
              <w:tr2bl w:val="nil"/>
            </w:tcBorders>
            <w:noWrap w:val="0"/>
            <w:vAlign w:val="center"/>
          </w:tcPr>
          <w:p w14:paraId="2C59EF8B">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w:t>
            </w:r>
          </w:p>
        </w:tc>
        <w:tc>
          <w:tcPr>
            <w:tcW w:w="1311" w:type="dxa"/>
            <w:tcBorders>
              <w:left w:val="single" w:color="auto" w:sz="4" w:space="0"/>
              <w:tl2br w:val="nil"/>
              <w:tr2bl w:val="nil"/>
            </w:tcBorders>
            <w:noWrap w:val="0"/>
            <w:vAlign w:val="center"/>
          </w:tcPr>
          <w:p w14:paraId="20184C41">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SW</w:t>
            </w:r>
          </w:p>
        </w:tc>
      </w:tr>
      <w:tr w14:paraId="0333EAA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1192" w:type="dxa"/>
            <w:tcBorders>
              <w:tl2br w:val="nil"/>
              <w:tr2bl w:val="nil"/>
            </w:tcBorders>
            <w:noWrap w:val="0"/>
            <w:vAlign w:val="center"/>
          </w:tcPr>
          <w:p w14:paraId="7A713BEC">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NC17</w:t>
            </w:r>
          </w:p>
        </w:tc>
        <w:tc>
          <w:tcPr>
            <w:tcW w:w="1757" w:type="dxa"/>
            <w:tcBorders>
              <w:tl2br w:val="nil"/>
              <w:tr2bl w:val="nil"/>
            </w:tcBorders>
            <w:noWrap w:val="0"/>
            <w:vAlign w:val="center"/>
          </w:tcPr>
          <w:p w14:paraId="65321B7E">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112.00218201</w:t>
            </w:r>
            <w:r>
              <w:rPr>
                <w:rFonts w:hint="eastAsia" w:ascii="Times New Roman" w:hAnsi="Times New Roman" w:cs="Times New Roman"/>
                <w:color w:val="auto"/>
                <w:sz w:val="21"/>
                <w:szCs w:val="21"/>
                <w:highlight w:val="none"/>
                <w:lang w:val="en-US" w:eastAsia="zh-CN"/>
              </w:rPr>
              <w:t>°</w:t>
            </w:r>
          </w:p>
        </w:tc>
        <w:tc>
          <w:tcPr>
            <w:tcW w:w="1575" w:type="dxa"/>
            <w:tcBorders>
              <w:right w:val="single" w:color="auto" w:sz="4" w:space="0"/>
              <w:tl2br w:val="nil"/>
              <w:tr2bl w:val="nil"/>
            </w:tcBorders>
            <w:noWrap w:val="0"/>
            <w:vAlign w:val="center"/>
          </w:tcPr>
          <w:p w14:paraId="2F0F9DB2">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26.92534625</w:t>
            </w:r>
            <w:r>
              <w:rPr>
                <w:rFonts w:hint="eastAsia" w:ascii="Times New Roman" w:hAnsi="Times New Roman" w:cs="Times New Roman"/>
                <w:color w:val="auto"/>
                <w:sz w:val="21"/>
                <w:szCs w:val="21"/>
                <w:highlight w:val="none"/>
                <w:lang w:val="en-US" w:eastAsia="zh-CN"/>
              </w:rPr>
              <w:t>°</w:t>
            </w:r>
          </w:p>
        </w:tc>
        <w:tc>
          <w:tcPr>
            <w:tcW w:w="1307" w:type="dxa"/>
            <w:tcBorders>
              <w:left w:val="single" w:color="auto" w:sz="4" w:space="0"/>
              <w:right w:val="single" w:color="auto" w:sz="4" w:space="0"/>
              <w:tl2br w:val="nil"/>
              <w:tr2bl w:val="nil"/>
            </w:tcBorders>
            <w:noWrap w:val="0"/>
            <w:vAlign w:val="center"/>
          </w:tcPr>
          <w:p w14:paraId="589FCFE8">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509m</w:t>
            </w:r>
          </w:p>
        </w:tc>
        <w:tc>
          <w:tcPr>
            <w:tcW w:w="1254" w:type="dxa"/>
            <w:tcBorders>
              <w:left w:val="single" w:color="auto" w:sz="4" w:space="0"/>
              <w:right w:val="single" w:color="auto" w:sz="4" w:space="0"/>
              <w:tl2br w:val="nil"/>
              <w:tr2bl w:val="nil"/>
            </w:tcBorders>
            <w:noWrap w:val="0"/>
            <w:vAlign w:val="center"/>
          </w:tcPr>
          <w:p w14:paraId="4E53500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9%</w:t>
            </w:r>
          </w:p>
        </w:tc>
        <w:tc>
          <w:tcPr>
            <w:tcW w:w="1311" w:type="dxa"/>
            <w:tcBorders>
              <w:left w:val="single" w:color="auto" w:sz="4" w:space="0"/>
              <w:tl2br w:val="nil"/>
              <w:tr2bl w:val="nil"/>
            </w:tcBorders>
            <w:noWrap w:val="0"/>
            <w:vAlign w:val="center"/>
          </w:tcPr>
          <w:p w14:paraId="1A79C014">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SW</w:t>
            </w:r>
          </w:p>
        </w:tc>
      </w:tr>
      <w:tr w14:paraId="317B63F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1192" w:type="dxa"/>
            <w:tcBorders>
              <w:tl2br w:val="nil"/>
              <w:tr2bl w:val="nil"/>
            </w:tcBorders>
            <w:noWrap w:val="0"/>
            <w:vAlign w:val="center"/>
          </w:tcPr>
          <w:p w14:paraId="66B901CE">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NC18</w:t>
            </w:r>
          </w:p>
        </w:tc>
        <w:tc>
          <w:tcPr>
            <w:tcW w:w="1757" w:type="dxa"/>
            <w:tcBorders>
              <w:tl2br w:val="nil"/>
              <w:tr2bl w:val="nil"/>
            </w:tcBorders>
            <w:noWrap w:val="0"/>
            <w:vAlign w:val="center"/>
          </w:tcPr>
          <w:p w14:paraId="341633A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111.99713842</w:t>
            </w:r>
            <w:r>
              <w:rPr>
                <w:rFonts w:hint="eastAsia" w:ascii="Times New Roman" w:hAnsi="Times New Roman" w:cs="Times New Roman"/>
                <w:color w:val="auto"/>
                <w:sz w:val="21"/>
                <w:szCs w:val="21"/>
                <w:highlight w:val="none"/>
                <w:lang w:val="en-US" w:eastAsia="zh-CN"/>
              </w:rPr>
              <w:t>°</w:t>
            </w:r>
          </w:p>
        </w:tc>
        <w:tc>
          <w:tcPr>
            <w:tcW w:w="1575" w:type="dxa"/>
            <w:tcBorders>
              <w:right w:val="single" w:color="auto" w:sz="4" w:space="0"/>
              <w:tl2br w:val="nil"/>
              <w:tr2bl w:val="nil"/>
            </w:tcBorders>
            <w:noWrap w:val="0"/>
            <w:vAlign w:val="center"/>
          </w:tcPr>
          <w:p w14:paraId="289DC99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26.92351817</w:t>
            </w:r>
            <w:r>
              <w:rPr>
                <w:rFonts w:hint="eastAsia" w:ascii="Times New Roman" w:hAnsi="Times New Roman" w:cs="Times New Roman"/>
                <w:color w:val="auto"/>
                <w:sz w:val="21"/>
                <w:szCs w:val="21"/>
                <w:highlight w:val="none"/>
                <w:lang w:val="en-US" w:eastAsia="zh-CN"/>
              </w:rPr>
              <w:t>°</w:t>
            </w:r>
          </w:p>
        </w:tc>
        <w:tc>
          <w:tcPr>
            <w:tcW w:w="1307" w:type="dxa"/>
            <w:tcBorders>
              <w:left w:val="single" w:color="auto" w:sz="4" w:space="0"/>
              <w:right w:val="single" w:color="auto" w:sz="4" w:space="0"/>
              <w:tl2br w:val="nil"/>
              <w:tr2bl w:val="nil"/>
            </w:tcBorders>
            <w:noWrap w:val="0"/>
            <w:vAlign w:val="center"/>
          </w:tcPr>
          <w:p w14:paraId="118C960A">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563m</w:t>
            </w:r>
          </w:p>
        </w:tc>
        <w:tc>
          <w:tcPr>
            <w:tcW w:w="1254" w:type="dxa"/>
            <w:tcBorders>
              <w:left w:val="single" w:color="auto" w:sz="4" w:space="0"/>
              <w:right w:val="single" w:color="auto" w:sz="4" w:space="0"/>
              <w:tl2br w:val="nil"/>
              <w:tr2bl w:val="nil"/>
            </w:tcBorders>
            <w:noWrap w:val="0"/>
            <w:vAlign w:val="center"/>
          </w:tcPr>
          <w:p w14:paraId="3D8191C6">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14%</w:t>
            </w:r>
          </w:p>
        </w:tc>
        <w:tc>
          <w:tcPr>
            <w:tcW w:w="1311" w:type="dxa"/>
            <w:tcBorders>
              <w:left w:val="single" w:color="auto" w:sz="4" w:space="0"/>
              <w:tl2br w:val="nil"/>
              <w:tr2bl w:val="nil"/>
            </w:tcBorders>
            <w:noWrap w:val="0"/>
            <w:vAlign w:val="center"/>
          </w:tcPr>
          <w:p w14:paraId="33F315F6">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SW</w:t>
            </w:r>
          </w:p>
        </w:tc>
      </w:tr>
      <w:tr w14:paraId="175C4E8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1192" w:type="dxa"/>
            <w:tcBorders>
              <w:tl2br w:val="nil"/>
              <w:tr2bl w:val="nil"/>
            </w:tcBorders>
            <w:noWrap w:val="0"/>
            <w:vAlign w:val="center"/>
          </w:tcPr>
          <w:p w14:paraId="31704B8A">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NC</w:t>
            </w:r>
            <w:r>
              <w:rPr>
                <w:rFonts w:hint="eastAsia" w:ascii="Times New Roman" w:hAnsi="Times New Roman" w:eastAsia="宋体" w:cs="Times New Roman"/>
                <w:color w:val="auto"/>
                <w:sz w:val="21"/>
                <w:szCs w:val="21"/>
                <w:highlight w:val="none"/>
                <w:lang w:val="en-US" w:eastAsia="zh-CN"/>
              </w:rPr>
              <w:t>19</w:t>
            </w:r>
          </w:p>
        </w:tc>
        <w:tc>
          <w:tcPr>
            <w:tcW w:w="1757" w:type="dxa"/>
            <w:tcBorders>
              <w:tl2br w:val="nil"/>
              <w:tr2bl w:val="nil"/>
            </w:tcBorders>
            <w:noWrap w:val="0"/>
            <w:vAlign w:val="center"/>
          </w:tcPr>
          <w:p w14:paraId="1DD31C5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112.00335950</w:t>
            </w:r>
            <w:r>
              <w:rPr>
                <w:rFonts w:hint="eastAsia" w:ascii="Times New Roman" w:hAnsi="Times New Roman" w:cs="Times New Roman"/>
                <w:color w:val="auto"/>
                <w:sz w:val="21"/>
                <w:szCs w:val="21"/>
                <w:highlight w:val="none"/>
                <w:lang w:val="en-US" w:eastAsia="zh-CN"/>
              </w:rPr>
              <w:t>°</w:t>
            </w:r>
          </w:p>
        </w:tc>
        <w:tc>
          <w:tcPr>
            <w:tcW w:w="1575" w:type="dxa"/>
            <w:tcBorders>
              <w:right w:val="single" w:color="auto" w:sz="4" w:space="0"/>
              <w:tl2br w:val="nil"/>
              <w:tr2bl w:val="nil"/>
            </w:tcBorders>
            <w:noWrap w:val="0"/>
            <w:vAlign w:val="center"/>
          </w:tcPr>
          <w:p w14:paraId="67EE8EBF">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26.92284118</w:t>
            </w:r>
            <w:r>
              <w:rPr>
                <w:rFonts w:hint="eastAsia" w:ascii="Times New Roman" w:hAnsi="Times New Roman" w:cs="Times New Roman"/>
                <w:color w:val="auto"/>
                <w:sz w:val="21"/>
                <w:szCs w:val="21"/>
                <w:highlight w:val="none"/>
                <w:lang w:val="en-US" w:eastAsia="zh-CN"/>
              </w:rPr>
              <w:t>°</w:t>
            </w:r>
          </w:p>
        </w:tc>
        <w:tc>
          <w:tcPr>
            <w:tcW w:w="1307" w:type="dxa"/>
            <w:tcBorders>
              <w:left w:val="single" w:color="auto" w:sz="4" w:space="0"/>
              <w:right w:val="single" w:color="auto" w:sz="4" w:space="0"/>
              <w:tl2br w:val="nil"/>
              <w:tr2bl w:val="nil"/>
            </w:tcBorders>
            <w:noWrap w:val="0"/>
            <w:vAlign w:val="center"/>
          </w:tcPr>
          <w:p w14:paraId="148469F4">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507m</w:t>
            </w:r>
          </w:p>
        </w:tc>
        <w:tc>
          <w:tcPr>
            <w:tcW w:w="1254" w:type="dxa"/>
            <w:tcBorders>
              <w:left w:val="single" w:color="auto" w:sz="4" w:space="0"/>
              <w:right w:val="single" w:color="auto" w:sz="4" w:space="0"/>
              <w:tl2br w:val="nil"/>
              <w:tr2bl w:val="nil"/>
            </w:tcBorders>
            <w:noWrap w:val="0"/>
            <w:vAlign w:val="center"/>
          </w:tcPr>
          <w:p w14:paraId="6E6C3951">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w:t>
            </w:r>
          </w:p>
        </w:tc>
        <w:tc>
          <w:tcPr>
            <w:tcW w:w="1311" w:type="dxa"/>
            <w:tcBorders>
              <w:left w:val="single" w:color="auto" w:sz="4" w:space="0"/>
              <w:tl2br w:val="nil"/>
              <w:tr2bl w:val="nil"/>
            </w:tcBorders>
            <w:noWrap w:val="0"/>
            <w:vAlign w:val="center"/>
          </w:tcPr>
          <w:p w14:paraId="298B0AB5">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SW</w:t>
            </w:r>
          </w:p>
        </w:tc>
      </w:tr>
      <w:tr w14:paraId="7E08C95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1192" w:type="dxa"/>
            <w:tcBorders>
              <w:tl2br w:val="nil"/>
              <w:tr2bl w:val="nil"/>
            </w:tcBorders>
            <w:noWrap w:val="0"/>
            <w:vAlign w:val="center"/>
          </w:tcPr>
          <w:p w14:paraId="1A7CD754">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NC20</w:t>
            </w:r>
          </w:p>
        </w:tc>
        <w:tc>
          <w:tcPr>
            <w:tcW w:w="1757" w:type="dxa"/>
            <w:tcBorders>
              <w:tl2br w:val="nil"/>
              <w:tr2bl w:val="nil"/>
            </w:tcBorders>
            <w:noWrap w:val="0"/>
            <w:vAlign w:val="center"/>
          </w:tcPr>
          <w:p w14:paraId="2A03F5CE">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rPr>
              <w:t>111.94110909</w:t>
            </w:r>
            <w:r>
              <w:rPr>
                <w:rFonts w:hint="eastAsia" w:ascii="Times New Roman" w:hAnsi="Times New Roman" w:cs="Times New Roman"/>
                <w:color w:val="auto"/>
                <w:sz w:val="21"/>
                <w:szCs w:val="21"/>
                <w:highlight w:val="none"/>
                <w:lang w:val="en-US" w:eastAsia="zh-CN"/>
              </w:rPr>
              <w:t>°</w:t>
            </w:r>
          </w:p>
        </w:tc>
        <w:tc>
          <w:tcPr>
            <w:tcW w:w="1575" w:type="dxa"/>
            <w:tcBorders>
              <w:right w:val="single" w:color="auto" w:sz="4" w:space="0"/>
              <w:tl2br w:val="nil"/>
              <w:tr2bl w:val="nil"/>
            </w:tcBorders>
            <w:noWrap w:val="0"/>
            <w:vAlign w:val="center"/>
          </w:tcPr>
          <w:p w14:paraId="5466BAD4">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rPr>
              <w:t>26.95335540</w:t>
            </w:r>
            <w:r>
              <w:rPr>
                <w:rFonts w:hint="eastAsia" w:ascii="Times New Roman" w:hAnsi="Times New Roman" w:cs="Times New Roman"/>
                <w:color w:val="auto"/>
                <w:sz w:val="21"/>
                <w:szCs w:val="21"/>
                <w:highlight w:val="none"/>
                <w:lang w:val="en-US" w:eastAsia="zh-CN"/>
              </w:rPr>
              <w:t>°</w:t>
            </w:r>
          </w:p>
        </w:tc>
        <w:tc>
          <w:tcPr>
            <w:tcW w:w="1307" w:type="dxa"/>
            <w:tcBorders>
              <w:left w:val="single" w:color="auto" w:sz="4" w:space="0"/>
              <w:right w:val="single" w:color="auto" w:sz="4" w:space="0"/>
              <w:tl2br w:val="nil"/>
              <w:tr2bl w:val="nil"/>
            </w:tcBorders>
            <w:noWrap w:val="0"/>
            <w:vAlign w:val="center"/>
          </w:tcPr>
          <w:p w14:paraId="081A4660">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373m</w:t>
            </w:r>
          </w:p>
        </w:tc>
        <w:tc>
          <w:tcPr>
            <w:tcW w:w="1254" w:type="dxa"/>
            <w:tcBorders>
              <w:left w:val="single" w:color="auto" w:sz="4" w:space="0"/>
              <w:right w:val="single" w:color="auto" w:sz="4" w:space="0"/>
              <w:tl2br w:val="nil"/>
              <w:tr2bl w:val="nil"/>
            </w:tcBorders>
            <w:noWrap w:val="0"/>
            <w:vAlign w:val="center"/>
          </w:tcPr>
          <w:p w14:paraId="0845F125">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17%</w:t>
            </w:r>
          </w:p>
        </w:tc>
        <w:tc>
          <w:tcPr>
            <w:tcW w:w="1311" w:type="dxa"/>
            <w:tcBorders>
              <w:left w:val="single" w:color="auto" w:sz="4" w:space="0"/>
              <w:tl2br w:val="nil"/>
              <w:tr2bl w:val="nil"/>
            </w:tcBorders>
            <w:noWrap w:val="0"/>
            <w:vAlign w:val="center"/>
          </w:tcPr>
          <w:p w14:paraId="40918AF0">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E</w:t>
            </w:r>
          </w:p>
        </w:tc>
      </w:tr>
    </w:tbl>
    <w:p w14:paraId="134C190D">
      <w:pPr>
        <w:bidi w:val="0"/>
        <w:rPr>
          <w:rFonts w:hint="eastAsia"/>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lang w:val="en-US" w:eastAsia="zh-CN"/>
        </w:rPr>
        <w:t>本项目道路区分场外进场道路和场内检修道路。场外道路主要依托S317省道至官家嘴镇和黄土铺镇境内，依托S226省道至马杜桥乡境内；场内检修道路以省道交界点为起点，项目风机机位点为终点，本次道路区环境影响评价主要针对场内检修道路。本项目场外进场道路和场内检修道路详见下图3.1-1</w:t>
      </w:r>
    </w:p>
    <w:p w14:paraId="58468EAA">
      <w:pPr>
        <w:pStyle w:val="46"/>
        <w:bidi w:val="0"/>
        <w:rPr>
          <w:rFonts w:hint="eastAsia"/>
          <w:lang w:val="en-US" w:eastAsia="zh-CN"/>
        </w:rPr>
      </w:pPr>
      <w:r>
        <w:rPr>
          <w:rFonts w:hint="eastAsia"/>
          <w:lang w:val="en-US" w:eastAsia="zh-CN"/>
        </w:rPr>
        <w:drawing>
          <wp:inline distT="0" distB="0" distL="114300" distR="114300">
            <wp:extent cx="8975725" cy="6026785"/>
            <wp:effectExtent l="12700" t="12700" r="18415" b="26035"/>
            <wp:docPr id="13" name="图片 13" descr="C:/Users/Administrator/Desktop/附图.jpg附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Administrator/Desktop/附图.jpg附图"/>
                    <pic:cNvPicPr>
                      <a:picLocks noChangeAspect="1"/>
                    </pic:cNvPicPr>
                  </pic:nvPicPr>
                  <pic:blipFill>
                    <a:blip r:embed="rId15"/>
                    <a:srcRect l="5" r="5"/>
                    <a:stretch>
                      <a:fillRect/>
                    </a:stretch>
                  </pic:blipFill>
                  <pic:spPr>
                    <a:xfrm>
                      <a:off x="0" y="0"/>
                      <a:ext cx="8975725" cy="6026785"/>
                    </a:xfrm>
                    <a:prstGeom prst="rect">
                      <a:avLst/>
                    </a:prstGeom>
                    <a:ln w="12700">
                      <a:solidFill>
                        <a:schemeClr val="tx1"/>
                      </a:solidFill>
                    </a:ln>
                  </pic:spPr>
                </pic:pic>
              </a:graphicData>
            </a:graphic>
          </wp:inline>
        </w:drawing>
      </w:r>
    </w:p>
    <w:p w14:paraId="4FDF008F">
      <w:pPr>
        <w:pStyle w:val="46"/>
        <w:bidi w:val="0"/>
        <w:rPr>
          <w:rFonts w:hint="eastAsia"/>
          <w:lang w:val="en-US" w:eastAsia="zh-CN"/>
        </w:rPr>
      </w:pPr>
      <w:r>
        <w:rPr>
          <w:rFonts w:hint="eastAsia"/>
          <w:lang w:val="en-US" w:eastAsia="zh-CN"/>
        </w:rPr>
        <w:t>图4.1-1  本项目场外进场道路与场内检修道路示意图</w:t>
      </w:r>
    </w:p>
    <w:p w14:paraId="0FFD5D9B">
      <w:pPr>
        <w:bidi w:val="0"/>
        <w:rPr>
          <w:rFonts w:hint="eastAsia"/>
          <w:lang w:val="en-US" w:eastAsia="zh-CN"/>
        </w:rPr>
        <w:sectPr>
          <w:pgSz w:w="16838" w:h="11906" w:orient="landscape"/>
          <w:pgMar w:top="720" w:right="720" w:bottom="720" w:left="72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021F0C84">
      <w:pPr>
        <w:pStyle w:val="4"/>
        <w:bidi w:val="0"/>
        <w:rPr>
          <w:rFonts w:hint="default" w:ascii="Times New Roman" w:hAnsi="Times New Roman" w:cs="Times New Roman"/>
          <w:color w:val="auto"/>
          <w:highlight w:val="none"/>
        </w:rPr>
      </w:pPr>
      <w:bookmarkStart w:id="64" w:name="_Toc24756"/>
      <w:r>
        <w:rPr>
          <w:rFonts w:hint="eastAsia" w:cs="Times New Roman"/>
          <w:color w:val="auto"/>
          <w:highlight w:val="none"/>
          <w:lang w:eastAsia="zh-CN"/>
        </w:rPr>
        <w:t>项目所在区域风电开发状况</w:t>
      </w:r>
      <w:bookmarkEnd w:id="64"/>
    </w:p>
    <w:p w14:paraId="737C4DF7">
      <w:pPr>
        <w:rPr>
          <w:rFonts w:hint="eastAsia"/>
          <w:lang w:val="en-US" w:eastAsia="zh-CN"/>
        </w:rPr>
      </w:pPr>
      <w:r>
        <w:rPr>
          <w:rFonts w:hint="eastAsia"/>
          <w:lang w:eastAsia="zh-CN"/>
        </w:rPr>
        <w:t>本项目位于祁东县，经调查，截至目前，祁东县境内已建成</w:t>
      </w:r>
      <w:r>
        <w:rPr>
          <w:rFonts w:hint="eastAsia"/>
          <w:lang w:val="en-US" w:eastAsia="zh-CN"/>
        </w:rPr>
        <w:t>3个风电场，在建0个风电场，拟建5个风电场（含本项目）。各风电场的建设情况及与本项目的位置关系详见表4.1-2及附图3。</w:t>
      </w:r>
    </w:p>
    <w:p w14:paraId="520B0B0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eastAsia="宋体" w:cs="Times New Roman"/>
          <w:b/>
          <w:bCs/>
          <w:color w:val="auto"/>
          <w:kern w:val="2"/>
          <w:sz w:val="24"/>
          <w:szCs w:val="24"/>
          <w:highlight w:val="none"/>
          <w:u w:val="none"/>
          <w:lang w:val="en-US" w:eastAsia="zh-CN" w:bidi="ar-SA"/>
        </w:rPr>
      </w:pPr>
      <w:r>
        <w:rPr>
          <w:rFonts w:hint="default" w:ascii="Times New Roman" w:hAnsi="Times New Roman" w:eastAsia="宋体" w:cs="Times New Roman"/>
          <w:b/>
          <w:bCs/>
          <w:color w:val="auto"/>
          <w:kern w:val="2"/>
          <w:sz w:val="24"/>
          <w:szCs w:val="24"/>
          <w:highlight w:val="none"/>
          <w:u w:val="none"/>
          <w:lang w:val="en-US" w:eastAsia="zh-CN" w:bidi="ar-SA"/>
        </w:rPr>
        <w:t>表</w:t>
      </w:r>
      <w:r>
        <w:rPr>
          <w:rFonts w:hint="eastAsia" w:ascii="Times New Roman" w:hAnsi="Times New Roman" w:eastAsia="宋体" w:cs="Times New Roman"/>
          <w:b/>
          <w:bCs/>
          <w:color w:val="auto"/>
          <w:kern w:val="2"/>
          <w:sz w:val="24"/>
          <w:szCs w:val="24"/>
          <w:highlight w:val="none"/>
          <w:u w:val="none"/>
          <w:lang w:val="en-US" w:eastAsia="zh-CN" w:bidi="ar-SA"/>
        </w:rPr>
        <w:t>4.1-</w:t>
      </w:r>
      <w:r>
        <w:rPr>
          <w:rFonts w:hint="eastAsia" w:cs="Times New Roman"/>
          <w:b/>
          <w:bCs/>
          <w:color w:val="auto"/>
          <w:kern w:val="2"/>
          <w:sz w:val="24"/>
          <w:szCs w:val="24"/>
          <w:highlight w:val="none"/>
          <w:u w:val="none"/>
          <w:lang w:val="en-US" w:eastAsia="zh-CN" w:bidi="ar-SA"/>
        </w:rPr>
        <w:t>2</w:t>
      </w:r>
      <w:r>
        <w:rPr>
          <w:rFonts w:hint="eastAsia" w:ascii="Times New Roman" w:hAnsi="Times New Roman" w:eastAsia="宋体" w:cs="Times New Roman"/>
          <w:b/>
          <w:bCs/>
          <w:color w:val="auto"/>
          <w:kern w:val="2"/>
          <w:sz w:val="24"/>
          <w:szCs w:val="24"/>
          <w:highlight w:val="none"/>
          <w:u w:val="none"/>
          <w:lang w:val="en-US" w:eastAsia="zh-CN" w:bidi="ar-SA"/>
        </w:rPr>
        <w:t xml:space="preserve">  </w:t>
      </w:r>
      <w:r>
        <w:rPr>
          <w:rFonts w:hint="eastAsia" w:cs="Times New Roman"/>
          <w:b/>
          <w:bCs/>
          <w:color w:val="auto"/>
          <w:kern w:val="2"/>
          <w:sz w:val="24"/>
          <w:szCs w:val="24"/>
          <w:highlight w:val="none"/>
          <w:u w:val="none"/>
          <w:lang w:val="en-US" w:eastAsia="zh-CN" w:bidi="ar-SA"/>
        </w:rPr>
        <w:t>项目所在区域风电开发情况</w:t>
      </w:r>
      <w:r>
        <w:rPr>
          <w:rFonts w:hint="eastAsia" w:ascii="Times New Roman" w:hAnsi="Times New Roman" w:eastAsia="宋体" w:cs="Times New Roman"/>
          <w:b/>
          <w:bCs/>
          <w:color w:val="auto"/>
          <w:kern w:val="2"/>
          <w:sz w:val="24"/>
          <w:szCs w:val="24"/>
          <w:highlight w:val="none"/>
          <w:u w:val="none"/>
          <w:lang w:val="en-US" w:eastAsia="zh-CN" w:bidi="ar-SA"/>
        </w:rPr>
        <w:t>一览表</w:t>
      </w:r>
    </w:p>
    <w:tbl>
      <w:tblPr>
        <w:tblStyle w:val="19"/>
        <w:tblW w:w="511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495"/>
        <w:gridCol w:w="830"/>
        <w:gridCol w:w="1721"/>
        <w:gridCol w:w="1927"/>
        <w:gridCol w:w="1052"/>
        <w:gridCol w:w="1139"/>
        <w:gridCol w:w="1357"/>
      </w:tblGrid>
      <w:tr w14:paraId="6592C0B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39" w:hRule="atLeast"/>
          <w:jc w:val="center"/>
        </w:trPr>
        <w:tc>
          <w:tcPr>
            <w:tcW w:w="493" w:type="dxa"/>
            <w:vMerge w:val="restart"/>
            <w:tcBorders>
              <w:tl2br w:val="nil"/>
              <w:tr2bl w:val="nil"/>
            </w:tcBorders>
            <w:noWrap w:val="0"/>
            <w:vAlign w:val="center"/>
          </w:tcPr>
          <w:p w14:paraId="7109358C">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b/>
                <w:bCs/>
                <w:color w:val="auto"/>
                <w:sz w:val="21"/>
                <w:szCs w:val="21"/>
                <w:highlight w:val="none"/>
                <w:lang w:eastAsia="zh-CN"/>
              </w:rPr>
            </w:pPr>
            <w:r>
              <w:rPr>
                <w:rFonts w:hint="eastAsia" w:ascii="Times New Roman" w:hAnsi="Times New Roman" w:cs="Times New Roman"/>
                <w:b/>
                <w:bCs/>
                <w:color w:val="auto"/>
                <w:sz w:val="21"/>
                <w:szCs w:val="21"/>
                <w:highlight w:val="none"/>
                <w:lang w:eastAsia="zh-CN"/>
              </w:rPr>
              <w:t>序号</w:t>
            </w:r>
          </w:p>
        </w:tc>
        <w:tc>
          <w:tcPr>
            <w:tcW w:w="827" w:type="dxa"/>
            <w:vMerge w:val="restart"/>
            <w:tcBorders>
              <w:right w:val="single" w:color="auto" w:sz="4" w:space="0"/>
              <w:tl2br w:val="nil"/>
              <w:tr2bl w:val="nil"/>
            </w:tcBorders>
            <w:noWrap w:val="0"/>
            <w:vAlign w:val="center"/>
          </w:tcPr>
          <w:p w14:paraId="507A5425">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b/>
                <w:bCs/>
                <w:color w:val="auto"/>
                <w:sz w:val="21"/>
                <w:szCs w:val="21"/>
                <w:highlight w:val="none"/>
                <w:lang w:eastAsia="zh-CN"/>
              </w:rPr>
            </w:pPr>
            <w:r>
              <w:rPr>
                <w:rFonts w:hint="eastAsia" w:ascii="Times New Roman" w:hAnsi="Times New Roman" w:cs="Times New Roman"/>
                <w:b/>
                <w:bCs/>
                <w:color w:val="auto"/>
                <w:sz w:val="21"/>
                <w:szCs w:val="21"/>
                <w:highlight w:val="none"/>
                <w:lang w:eastAsia="zh-CN"/>
              </w:rPr>
              <w:t>性质</w:t>
            </w:r>
          </w:p>
        </w:tc>
        <w:tc>
          <w:tcPr>
            <w:tcW w:w="1715" w:type="dxa"/>
            <w:vMerge w:val="restart"/>
            <w:tcBorders>
              <w:left w:val="single" w:color="auto" w:sz="4" w:space="0"/>
              <w:right w:val="single" w:color="auto" w:sz="4" w:space="0"/>
              <w:tl2br w:val="nil"/>
              <w:tr2bl w:val="nil"/>
            </w:tcBorders>
            <w:noWrap w:val="0"/>
            <w:vAlign w:val="center"/>
          </w:tcPr>
          <w:p w14:paraId="6D3B1DBC">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 w:val="21"/>
                <w:szCs w:val="21"/>
                <w:highlight w:val="none"/>
                <w:lang w:eastAsia="zh-CN"/>
              </w:rPr>
            </w:pPr>
            <w:r>
              <w:rPr>
                <w:rFonts w:hint="eastAsia" w:ascii="Times New Roman" w:hAnsi="Times New Roman" w:cs="Times New Roman"/>
                <w:b/>
                <w:bCs/>
                <w:color w:val="auto"/>
                <w:sz w:val="21"/>
                <w:szCs w:val="21"/>
                <w:highlight w:val="none"/>
                <w:lang w:eastAsia="zh-CN"/>
              </w:rPr>
              <w:t>名称</w:t>
            </w:r>
          </w:p>
        </w:tc>
        <w:tc>
          <w:tcPr>
            <w:tcW w:w="1920" w:type="dxa"/>
            <w:vMerge w:val="restart"/>
            <w:tcBorders>
              <w:left w:val="single" w:color="auto" w:sz="4" w:space="0"/>
              <w:right w:val="single" w:color="auto" w:sz="4" w:space="0"/>
              <w:tl2br w:val="nil"/>
              <w:tr2bl w:val="nil"/>
            </w:tcBorders>
            <w:noWrap w:val="0"/>
            <w:vAlign w:val="center"/>
          </w:tcPr>
          <w:p w14:paraId="16C63EC9">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 w:val="21"/>
                <w:szCs w:val="21"/>
                <w:highlight w:val="none"/>
                <w:lang w:eastAsia="zh-CN"/>
              </w:rPr>
            </w:pPr>
            <w:r>
              <w:rPr>
                <w:rFonts w:hint="eastAsia" w:ascii="Times New Roman" w:hAnsi="Times New Roman" w:cs="Times New Roman"/>
                <w:b/>
                <w:bCs/>
                <w:color w:val="auto"/>
                <w:sz w:val="21"/>
                <w:szCs w:val="21"/>
                <w:highlight w:val="none"/>
                <w:lang w:eastAsia="zh-CN"/>
              </w:rPr>
              <w:t>所在乡镇</w:t>
            </w:r>
          </w:p>
        </w:tc>
        <w:tc>
          <w:tcPr>
            <w:tcW w:w="2183" w:type="dxa"/>
            <w:gridSpan w:val="2"/>
            <w:tcBorders>
              <w:left w:val="single" w:color="auto" w:sz="4" w:space="0"/>
              <w:bottom w:val="single" w:color="auto" w:sz="4" w:space="0"/>
              <w:right w:val="single" w:color="auto" w:sz="4" w:space="0"/>
              <w:tl2br w:val="nil"/>
              <w:tr2bl w:val="nil"/>
            </w:tcBorders>
            <w:noWrap w:val="0"/>
            <w:vAlign w:val="center"/>
          </w:tcPr>
          <w:p w14:paraId="273AC9CE">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b/>
                <w:bCs/>
                <w:color w:val="auto"/>
                <w:sz w:val="21"/>
                <w:szCs w:val="21"/>
                <w:highlight w:val="none"/>
                <w:lang w:eastAsia="zh-CN"/>
              </w:rPr>
            </w:pPr>
            <w:r>
              <w:rPr>
                <w:rFonts w:hint="eastAsia" w:ascii="Times New Roman" w:hAnsi="Times New Roman" w:cs="Times New Roman"/>
                <w:b/>
                <w:bCs/>
                <w:color w:val="auto"/>
                <w:sz w:val="21"/>
                <w:szCs w:val="21"/>
                <w:highlight w:val="none"/>
                <w:lang w:eastAsia="zh-CN"/>
              </w:rPr>
              <w:t>规模</w:t>
            </w:r>
          </w:p>
        </w:tc>
        <w:tc>
          <w:tcPr>
            <w:tcW w:w="1352" w:type="dxa"/>
            <w:vMerge w:val="restart"/>
            <w:tcBorders>
              <w:left w:val="single" w:color="auto" w:sz="4" w:space="0"/>
              <w:tl2br w:val="nil"/>
              <w:tr2bl w:val="nil"/>
            </w:tcBorders>
            <w:noWrap w:val="0"/>
            <w:vAlign w:val="center"/>
          </w:tcPr>
          <w:p w14:paraId="5C8EB786">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b/>
                <w:bCs/>
                <w:color w:val="auto"/>
                <w:sz w:val="21"/>
                <w:szCs w:val="21"/>
                <w:highlight w:val="none"/>
                <w:lang w:eastAsia="zh-CN"/>
              </w:rPr>
            </w:pPr>
            <w:r>
              <w:rPr>
                <w:rFonts w:hint="eastAsia" w:ascii="Times New Roman" w:hAnsi="Times New Roman" w:cs="Times New Roman"/>
                <w:b/>
                <w:bCs/>
                <w:color w:val="auto"/>
                <w:sz w:val="21"/>
                <w:szCs w:val="21"/>
                <w:highlight w:val="none"/>
                <w:lang w:eastAsia="zh-CN"/>
              </w:rPr>
              <w:t>与本项目位置关系（最近方位、距离）</w:t>
            </w:r>
          </w:p>
        </w:tc>
      </w:tr>
      <w:tr w14:paraId="480A1F0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5" w:hRule="atLeast"/>
          <w:jc w:val="center"/>
        </w:trPr>
        <w:tc>
          <w:tcPr>
            <w:tcW w:w="493" w:type="dxa"/>
            <w:vMerge w:val="continue"/>
            <w:tcBorders>
              <w:tl2br w:val="nil"/>
              <w:tr2bl w:val="nil"/>
            </w:tcBorders>
            <w:noWrap w:val="0"/>
            <w:vAlign w:val="center"/>
          </w:tcPr>
          <w:p w14:paraId="29B3A929">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eastAsia="zh-CN"/>
              </w:rPr>
            </w:pPr>
          </w:p>
        </w:tc>
        <w:tc>
          <w:tcPr>
            <w:tcW w:w="827" w:type="dxa"/>
            <w:vMerge w:val="continue"/>
            <w:tcBorders>
              <w:bottom w:val="single" w:color="auto" w:sz="4" w:space="0"/>
              <w:right w:val="single" w:color="auto" w:sz="4" w:space="0"/>
              <w:tl2br w:val="nil"/>
              <w:tr2bl w:val="nil"/>
            </w:tcBorders>
            <w:noWrap w:val="0"/>
            <w:vAlign w:val="center"/>
          </w:tcPr>
          <w:p w14:paraId="0D4C4F8F">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eastAsia="zh-CN"/>
              </w:rPr>
            </w:pPr>
          </w:p>
        </w:tc>
        <w:tc>
          <w:tcPr>
            <w:tcW w:w="1715" w:type="dxa"/>
            <w:vMerge w:val="continue"/>
            <w:tcBorders>
              <w:left w:val="single" w:color="auto" w:sz="4" w:space="0"/>
              <w:bottom w:val="single" w:color="auto" w:sz="4" w:space="0"/>
              <w:right w:val="single" w:color="auto" w:sz="4" w:space="0"/>
              <w:tl2br w:val="nil"/>
              <w:tr2bl w:val="nil"/>
            </w:tcBorders>
            <w:noWrap w:val="0"/>
            <w:vAlign w:val="center"/>
          </w:tcPr>
          <w:p w14:paraId="27D5BFE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eastAsia="zh-CN"/>
              </w:rPr>
            </w:pPr>
          </w:p>
        </w:tc>
        <w:tc>
          <w:tcPr>
            <w:tcW w:w="1920" w:type="dxa"/>
            <w:vMerge w:val="continue"/>
            <w:tcBorders>
              <w:left w:val="single" w:color="auto" w:sz="4" w:space="0"/>
              <w:right w:val="single" w:color="auto" w:sz="4" w:space="0"/>
              <w:tl2br w:val="nil"/>
              <w:tr2bl w:val="nil"/>
            </w:tcBorders>
            <w:noWrap w:val="0"/>
            <w:vAlign w:val="center"/>
          </w:tcPr>
          <w:p w14:paraId="18398433">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eastAsia="zh-CN"/>
              </w:rPr>
            </w:pPr>
          </w:p>
        </w:tc>
        <w:tc>
          <w:tcPr>
            <w:tcW w:w="1048" w:type="dxa"/>
            <w:tcBorders>
              <w:top w:val="single" w:color="auto" w:sz="4" w:space="0"/>
              <w:left w:val="single" w:color="auto" w:sz="4" w:space="0"/>
              <w:right w:val="single" w:color="auto" w:sz="4" w:space="0"/>
              <w:tl2br w:val="nil"/>
              <w:tr2bl w:val="nil"/>
            </w:tcBorders>
            <w:noWrap w:val="0"/>
            <w:vAlign w:val="center"/>
          </w:tcPr>
          <w:p w14:paraId="486CC95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b/>
                <w:bCs/>
                <w:color w:val="auto"/>
                <w:sz w:val="21"/>
                <w:szCs w:val="21"/>
                <w:highlight w:val="none"/>
                <w:lang w:eastAsia="zh-CN"/>
              </w:rPr>
            </w:pPr>
            <w:r>
              <w:rPr>
                <w:rFonts w:hint="eastAsia" w:ascii="Times New Roman" w:hAnsi="Times New Roman" w:cs="Times New Roman"/>
                <w:b/>
                <w:bCs/>
                <w:color w:val="auto"/>
                <w:sz w:val="21"/>
                <w:szCs w:val="21"/>
                <w:highlight w:val="none"/>
                <w:lang w:eastAsia="zh-CN"/>
              </w:rPr>
              <w:t>风电机组台数</w:t>
            </w:r>
          </w:p>
        </w:tc>
        <w:tc>
          <w:tcPr>
            <w:tcW w:w="1135" w:type="dxa"/>
            <w:tcBorders>
              <w:top w:val="single" w:color="auto" w:sz="4" w:space="0"/>
              <w:left w:val="single" w:color="auto" w:sz="4" w:space="0"/>
              <w:right w:val="single" w:color="auto" w:sz="4" w:space="0"/>
              <w:tl2br w:val="nil"/>
              <w:tr2bl w:val="nil"/>
            </w:tcBorders>
            <w:noWrap w:val="0"/>
            <w:vAlign w:val="center"/>
          </w:tcPr>
          <w:p w14:paraId="2CEE5C1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b/>
                <w:bCs/>
                <w:color w:val="auto"/>
                <w:sz w:val="21"/>
                <w:szCs w:val="21"/>
                <w:highlight w:val="none"/>
                <w:lang w:eastAsia="zh-CN"/>
              </w:rPr>
            </w:pPr>
            <w:r>
              <w:rPr>
                <w:rFonts w:hint="eastAsia" w:ascii="Times New Roman" w:hAnsi="Times New Roman" w:cs="Times New Roman"/>
                <w:b/>
                <w:bCs/>
                <w:color w:val="auto"/>
                <w:sz w:val="21"/>
                <w:szCs w:val="21"/>
                <w:highlight w:val="none"/>
                <w:lang w:eastAsia="zh-CN"/>
              </w:rPr>
              <w:t>总装机容量</w:t>
            </w:r>
          </w:p>
        </w:tc>
        <w:tc>
          <w:tcPr>
            <w:tcW w:w="1352" w:type="dxa"/>
            <w:vMerge w:val="continue"/>
            <w:tcBorders>
              <w:left w:val="single" w:color="auto" w:sz="4" w:space="0"/>
              <w:tl2br w:val="nil"/>
              <w:tr2bl w:val="nil"/>
            </w:tcBorders>
            <w:noWrap w:val="0"/>
            <w:vAlign w:val="center"/>
          </w:tcPr>
          <w:p w14:paraId="64995640">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eastAsia="zh-CN"/>
              </w:rPr>
            </w:pPr>
          </w:p>
        </w:tc>
      </w:tr>
      <w:tr w14:paraId="5C928B3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493" w:type="dxa"/>
            <w:tcBorders>
              <w:tl2br w:val="nil"/>
              <w:tr2bl w:val="nil"/>
            </w:tcBorders>
            <w:noWrap w:val="0"/>
            <w:vAlign w:val="center"/>
          </w:tcPr>
          <w:p w14:paraId="4973548A">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827" w:type="dxa"/>
            <w:tcBorders>
              <w:tl2br w:val="nil"/>
              <w:tr2bl w:val="nil"/>
            </w:tcBorders>
            <w:noWrap w:val="0"/>
            <w:vAlign w:val="center"/>
          </w:tcPr>
          <w:p w14:paraId="219184F3">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已建</w:t>
            </w:r>
          </w:p>
        </w:tc>
        <w:tc>
          <w:tcPr>
            <w:tcW w:w="1715" w:type="dxa"/>
            <w:tcBorders>
              <w:right w:val="single" w:color="auto" w:sz="4" w:space="0"/>
              <w:tl2br w:val="nil"/>
              <w:tr2bl w:val="nil"/>
            </w:tcBorders>
            <w:noWrap w:val="0"/>
            <w:vAlign w:val="center"/>
          </w:tcPr>
          <w:p w14:paraId="0303F60B">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官家嘴风电场</w:t>
            </w:r>
          </w:p>
        </w:tc>
        <w:tc>
          <w:tcPr>
            <w:tcW w:w="1920" w:type="dxa"/>
            <w:tcBorders>
              <w:left w:val="single" w:color="auto" w:sz="4" w:space="0"/>
              <w:right w:val="single" w:color="auto" w:sz="4" w:space="0"/>
              <w:tl2br w:val="nil"/>
              <w:tr2bl w:val="nil"/>
            </w:tcBorders>
            <w:noWrap w:val="0"/>
            <w:vAlign w:val="center"/>
          </w:tcPr>
          <w:p w14:paraId="14F188CC">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官家嘴镇</w:t>
            </w:r>
          </w:p>
        </w:tc>
        <w:tc>
          <w:tcPr>
            <w:tcW w:w="1048" w:type="dxa"/>
            <w:tcBorders>
              <w:left w:val="single" w:color="auto" w:sz="4" w:space="0"/>
              <w:right w:val="single" w:color="auto" w:sz="4" w:space="0"/>
              <w:tl2br w:val="nil"/>
              <w:tr2bl w:val="nil"/>
            </w:tcBorders>
            <w:noWrap w:val="0"/>
            <w:vAlign w:val="center"/>
          </w:tcPr>
          <w:p w14:paraId="7D26D5B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25台</w:t>
            </w:r>
          </w:p>
        </w:tc>
        <w:tc>
          <w:tcPr>
            <w:tcW w:w="1135" w:type="dxa"/>
            <w:tcBorders>
              <w:left w:val="single" w:color="auto" w:sz="4" w:space="0"/>
              <w:right w:val="single" w:color="auto" w:sz="4" w:space="0"/>
              <w:tl2br w:val="nil"/>
              <w:tr2bl w:val="nil"/>
            </w:tcBorders>
            <w:noWrap w:val="0"/>
            <w:vAlign w:val="center"/>
          </w:tcPr>
          <w:p w14:paraId="31334FCC">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50MW</w:t>
            </w:r>
          </w:p>
        </w:tc>
        <w:tc>
          <w:tcPr>
            <w:tcW w:w="1352" w:type="dxa"/>
            <w:tcBorders>
              <w:left w:val="single" w:color="auto" w:sz="4" w:space="0"/>
              <w:tl2br w:val="nil"/>
              <w:tr2bl w:val="nil"/>
            </w:tcBorders>
            <w:noWrap w:val="0"/>
            <w:vAlign w:val="center"/>
          </w:tcPr>
          <w:p w14:paraId="1BCE276A">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NW，1.7km</w:t>
            </w:r>
          </w:p>
        </w:tc>
      </w:tr>
      <w:tr w14:paraId="087A563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493" w:type="dxa"/>
            <w:tcBorders>
              <w:tl2br w:val="nil"/>
              <w:tr2bl w:val="nil"/>
            </w:tcBorders>
            <w:noWrap w:val="0"/>
            <w:vAlign w:val="center"/>
          </w:tcPr>
          <w:p w14:paraId="02B3B610">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w:t>
            </w:r>
          </w:p>
        </w:tc>
        <w:tc>
          <w:tcPr>
            <w:tcW w:w="827" w:type="dxa"/>
            <w:tcBorders>
              <w:tl2br w:val="nil"/>
              <w:tr2bl w:val="nil"/>
            </w:tcBorders>
            <w:noWrap w:val="0"/>
            <w:vAlign w:val="center"/>
          </w:tcPr>
          <w:p w14:paraId="673DB7AA">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lang w:val="en-US" w:eastAsia="zh-CN"/>
              </w:rPr>
              <w:t>已建</w:t>
            </w:r>
          </w:p>
        </w:tc>
        <w:tc>
          <w:tcPr>
            <w:tcW w:w="1715" w:type="dxa"/>
            <w:tcBorders>
              <w:right w:val="single" w:color="auto" w:sz="4" w:space="0"/>
              <w:tl2br w:val="nil"/>
              <w:tr2bl w:val="nil"/>
            </w:tcBorders>
            <w:noWrap w:val="0"/>
            <w:vAlign w:val="center"/>
          </w:tcPr>
          <w:p w14:paraId="645755AA">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大马风电场</w:t>
            </w:r>
          </w:p>
        </w:tc>
        <w:tc>
          <w:tcPr>
            <w:tcW w:w="1920" w:type="dxa"/>
            <w:tcBorders>
              <w:left w:val="single" w:color="auto" w:sz="4" w:space="0"/>
              <w:right w:val="single" w:color="auto" w:sz="4" w:space="0"/>
              <w:tl2br w:val="nil"/>
              <w:tr2bl w:val="nil"/>
            </w:tcBorders>
            <w:noWrap w:val="0"/>
            <w:vAlign w:val="center"/>
          </w:tcPr>
          <w:p w14:paraId="324B4F2A">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官家嘴镇、黄土铺镇</w:t>
            </w:r>
          </w:p>
        </w:tc>
        <w:tc>
          <w:tcPr>
            <w:tcW w:w="1048" w:type="dxa"/>
            <w:tcBorders>
              <w:left w:val="single" w:color="auto" w:sz="4" w:space="0"/>
              <w:right w:val="single" w:color="auto" w:sz="4" w:space="0"/>
              <w:tl2br w:val="nil"/>
              <w:tr2bl w:val="nil"/>
            </w:tcBorders>
            <w:noWrap w:val="0"/>
            <w:vAlign w:val="center"/>
          </w:tcPr>
          <w:p w14:paraId="32027069">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rPr>
            </w:pPr>
            <w:r>
              <w:rPr>
                <w:rFonts w:hint="default" w:ascii="Times New Roman" w:hAnsi="Times New Roman" w:cs="Times New Roman"/>
                <w:color w:val="auto"/>
                <w:sz w:val="21"/>
                <w:szCs w:val="21"/>
                <w:highlight w:val="none"/>
                <w:lang w:val="en-US" w:eastAsia="zh-CN"/>
              </w:rPr>
              <w:t>20台</w:t>
            </w:r>
          </w:p>
        </w:tc>
        <w:tc>
          <w:tcPr>
            <w:tcW w:w="1135" w:type="dxa"/>
            <w:tcBorders>
              <w:left w:val="single" w:color="auto" w:sz="4" w:space="0"/>
              <w:right w:val="single" w:color="auto" w:sz="4" w:space="0"/>
              <w:tl2br w:val="nil"/>
              <w:tr2bl w:val="nil"/>
            </w:tcBorders>
            <w:noWrap w:val="0"/>
            <w:vAlign w:val="center"/>
          </w:tcPr>
          <w:p w14:paraId="6368441C">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50MW</w:t>
            </w:r>
          </w:p>
        </w:tc>
        <w:tc>
          <w:tcPr>
            <w:tcW w:w="1352" w:type="dxa"/>
            <w:tcBorders>
              <w:left w:val="single" w:color="auto" w:sz="4" w:space="0"/>
              <w:tl2br w:val="nil"/>
              <w:tr2bl w:val="nil"/>
            </w:tcBorders>
            <w:noWrap w:val="0"/>
            <w:vAlign w:val="center"/>
          </w:tcPr>
          <w:p w14:paraId="63F565BB">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W，1.2km；</w:t>
            </w:r>
            <w:r>
              <w:rPr>
                <w:rFonts w:hint="eastAsia" w:ascii="Times New Roman" w:hAnsi="Times New Roman" w:cs="Times New Roman"/>
                <w:color w:val="auto"/>
                <w:sz w:val="21"/>
                <w:szCs w:val="21"/>
                <w:highlight w:val="none"/>
                <w:lang w:val="en-US" w:eastAsia="zh-CN"/>
              </w:rPr>
              <w:br w:type="textWrapping"/>
            </w:r>
            <w:r>
              <w:rPr>
                <w:rFonts w:hint="eastAsia" w:ascii="Times New Roman" w:hAnsi="Times New Roman" w:cs="Times New Roman"/>
                <w:color w:val="auto"/>
                <w:sz w:val="21"/>
                <w:szCs w:val="21"/>
                <w:highlight w:val="none"/>
                <w:lang w:val="en-US" w:eastAsia="zh-CN"/>
              </w:rPr>
              <w:t>E，0.86km</w:t>
            </w:r>
          </w:p>
          <w:p w14:paraId="77019CCA">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S，1.1km</w:t>
            </w:r>
          </w:p>
        </w:tc>
      </w:tr>
      <w:tr w14:paraId="295982C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493" w:type="dxa"/>
            <w:tcBorders>
              <w:tl2br w:val="nil"/>
              <w:tr2bl w:val="nil"/>
            </w:tcBorders>
            <w:noWrap w:val="0"/>
            <w:vAlign w:val="center"/>
          </w:tcPr>
          <w:p w14:paraId="3D9DE25E">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w:t>
            </w:r>
          </w:p>
        </w:tc>
        <w:tc>
          <w:tcPr>
            <w:tcW w:w="827" w:type="dxa"/>
            <w:tcBorders>
              <w:tl2br w:val="nil"/>
              <w:tr2bl w:val="nil"/>
            </w:tcBorders>
            <w:noWrap w:val="0"/>
            <w:vAlign w:val="center"/>
          </w:tcPr>
          <w:p w14:paraId="1C32BA36">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已建</w:t>
            </w:r>
          </w:p>
        </w:tc>
        <w:tc>
          <w:tcPr>
            <w:tcW w:w="1715" w:type="dxa"/>
            <w:tcBorders>
              <w:right w:val="single" w:color="auto" w:sz="4" w:space="0"/>
              <w:tl2br w:val="nil"/>
              <w:tr2bl w:val="nil"/>
            </w:tcBorders>
            <w:noWrap w:val="0"/>
            <w:vAlign w:val="center"/>
          </w:tcPr>
          <w:p w14:paraId="7D944ED8">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灵官风电场一期</w:t>
            </w:r>
          </w:p>
        </w:tc>
        <w:tc>
          <w:tcPr>
            <w:tcW w:w="1920" w:type="dxa"/>
            <w:tcBorders>
              <w:left w:val="single" w:color="auto" w:sz="4" w:space="0"/>
              <w:right w:val="single" w:color="auto" w:sz="4" w:space="0"/>
              <w:tl2br w:val="nil"/>
              <w:tr2bl w:val="nil"/>
            </w:tcBorders>
            <w:noWrap w:val="0"/>
            <w:vAlign w:val="center"/>
          </w:tcPr>
          <w:p w14:paraId="22671D07">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灵官镇</w:t>
            </w:r>
          </w:p>
        </w:tc>
        <w:tc>
          <w:tcPr>
            <w:tcW w:w="1048" w:type="dxa"/>
            <w:tcBorders>
              <w:left w:val="single" w:color="auto" w:sz="4" w:space="0"/>
              <w:right w:val="single" w:color="auto" w:sz="4" w:space="0"/>
              <w:tl2br w:val="nil"/>
              <w:tr2bl w:val="nil"/>
            </w:tcBorders>
            <w:noWrap w:val="0"/>
            <w:vAlign w:val="center"/>
          </w:tcPr>
          <w:p w14:paraId="0619F2C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13台</w:t>
            </w:r>
          </w:p>
        </w:tc>
        <w:tc>
          <w:tcPr>
            <w:tcW w:w="1135" w:type="dxa"/>
            <w:tcBorders>
              <w:left w:val="single" w:color="auto" w:sz="4" w:space="0"/>
              <w:right w:val="single" w:color="auto" w:sz="4" w:space="0"/>
              <w:tl2br w:val="nil"/>
              <w:tr2bl w:val="nil"/>
            </w:tcBorders>
            <w:noWrap w:val="0"/>
            <w:vAlign w:val="center"/>
          </w:tcPr>
          <w:p w14:paraId="09565F7F">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50MW</w:t>
            </w:r>
          </w:p>
        </w:tc>
        <w:tc>
          <w:tcPr>
            <w:tcW w:w="1352" w:type="dxa"/>
            <w:tcBorders>
              <w:left w:val="single" w:color="auto" w:sz="4" w:space="0"/>
              <w:tl2br w:val="nil"/>
              <w:tr2bl w:val="nil"/>
            </w:tcBorders>
            <w:noWrap w:val="0"/>
            <w:vAlign w:val="center"/>
          </w:tcPr>
          <w:p w14:paraId="57AA3BAA">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S，27km</w:t>
            </w:r>
          </w:p>
        </w:tc>
      </w:tr>
      <w:tr w14:paraId="003C552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4955" w:type="dxa"/>
            <w:gridSpan w:val="4"/>
            <w:tcBorders>
              <w:right w:val="single" w:color="auto" w:sz="4" w:space="0"/>
              <w:tl2br w:val="nil"/>
              <w:tr2bl w:val="nil"/>
            </w:tcBorders>
            <w:noWrap w:val="0"/>
            <w:vAlign w:val="center"/>
          </w:tcPr>
          <w:p w14:paraId="38B02774">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b/>
                <w:bCs/>
                <w:color w:val="auto"/>
                <w:sz w:val="21"/>
                <w:szCs w:val="21"/>
                <w:highlight w:val="none"/>
                <w:lang w:eastAsia="zh-CN"/>
              </w:rPr>
            </w:pPr>
            <w:r>
              <w:rPr>
                <w:rFonts w:hint="eastAsia" w:ascii="Times New Roman" w:hAnsi="Times New Roman" w:cs="Times New Roman"/>
                <w:b/>
                <w:bCs/>
                <w:color w:val="auto"/>
                <w:sz w:val="21"/>
                <w:szCs w:val="21"/>
                <w:highlight w:val="none"/>
                <w:lang w:eastAsia="zh-CN"/>
              </w:rPr>
              <w:t>小计</w:t>
            </w:r>
          </w:p>
        </w:tc>
        <w:tc>
          <w:tcPr>
            <w:tcW w:w="1048" w:type="dxa"/>
            <w:tcBorders>
              <w:left w:val="single" w:color="auto" w:sz="4" w:space="0"/>
              <w:right w:val="single" w:color="auto" w:sz="4" w:space="0"/>
              <w:tl2br w:val="nil"/>
              <w:tr2bl w:val="nil"/>
            </w:tcBorders>
            <w:noWrap w:val="0"/>
            <w:vAlign w:val="center"/>
          </w:tcPr>
          <w:p w14:paraId="3CFE6CD9">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 w:val="21"/>
                <w:szCs w:val="21"/>
                <w:highlight w:val="none"/>
                <w:lang w:val="en-US" w:eastAsia="zh-CN"/>
              </w:rPr>
            </w:pPr>
            <w:r>
              <w:rPr>
                <w:rFonts w:hint="eastAsia" w:ascii="Times New Roman" w:hAnsi="Times New Roman" w:cs="Times New Roman"/>
                <w:b/>
                <w:bCs/>
                <w:color w:val="auto"/>
                <w:sz w:val="21"/>
                <w:szCs w:val="21"/>
                <w:highlight w:val="none"/>
                <w:lang w:val="en-US" w:eastAsia="zh-CN"/>
              </w:rPr>
              <w:t>58台</w:t>
            </w:r>
          </w:p>
        </w:tc>
        <w:tc>
          <w:tcPr>
            <w:tcW w:w="1135" w:type="dxa"/>
            <w:tcBorders>
              <w:left w:val="single" w:color="auto" w:sz="4" w:space="0"/>
              <w:right w:val="single" w:color="auto" w:sz="4" w:space="0"/>
              <w:tl2br w:val="nil"/>
              <w:tr2bl w:val="nil"/>
            </w:tcBorders>
            <w:noWrap w:val="0"/>
            <w:vAlign w:val="center"/>
          </w:tcPr>
          <w:p w14:paraId="6630B23A">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 w:val="21"/>
                <w:szCs w:val="21"/>
                <w:highlight w:val="none"/>
                <w:lang w:val="en-US" w:eastAsia="zh-CN"/>
              </w:rPr>
            </w:pPr>
            <w:r>
              <w:rPr>
                <w:rFonts w:hint="eastAsia" w:ascii="Times New Roman" w:hAnsi="Times New Roman" w:cs="Times New Roman"/>
                <w:b/>
                <w:bCs/>
                <w:color w:val="auto"/>
                <w:sz w:val="21"/>
                <w:szCs w:val="21"/>
                <w:highlight w:val="none"/>
                <w:lang w:val="en-US" w:eastAsia="zh-CN"/>
              </w:rPr>
              <w:t>150MW</w:t>
            </w:r>
          </w:p>
        </w:tc>
        <w:tc>
          <w:tcPr>
            <w:tcW w:w="1352" w:type="dxa"/>
            <w:tcBorders>
              <w:left w:val="single" w:color="auto" w:sz="4" w:space="0"/>
              <w:tl2br w:val="nil"/>
              <w:tr2bl w:val="nil"/>
            </w:tcBorders>
            <w:noWrap w:val="0"/>
            <w:vAlign w:val="center"/>
          </w:tcPr>
          <w:p w14:paraId="2D954B79">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t>
            </w:r>
          </w:p>
        </w:tc>
      </w:tr>
      <w:tr w14:paraId="5F22FB0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493" w:type="dxa"/>
            <w:tcBorders>
              <w:tl2br w:val="nil"/>
              <w:tr2bl w:val="nil"/>
            </w:tcBorders>
            <w:noWrap w:val="0"/>
            <w:vAlign w:val="center"/>
          </w:tcPr>
          <w:p w14:paraId="40BED583">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w:t>
            </w:r>
          </w:p>
        </w:tc>
        <w:tc>
          <w:tcPr>
            <w:tcW w:w="827" w:type="dxa"/>
            <w:tcBorders>
              <w:tl2br w:val="nil"/>
              <w:tr2bl w:val="nil"/>
            </w:tcBorders>
            <w:noWrap w:val="0"/>
            <w:vAlign w:val="center"/>
          </w:tcPr>
          <w:p w14:paraId="4BC2AEA3">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拟建</w:t>
            </w:r>
          </w:p>
        </w:tc>
        <w:tc>
          <w:tcPr>
            <w:tcW w:w="1715" w:type="dxa"/>
            <w:tcBorders>
              <w:right w:val="single" w:color="auto" w:sz="4" w:space="0"/>
              <w:tl2br w:val="nil"/>
              <w:tr2bl w:val="nil"/>
            </w:tcBorders>
            <w:noWrap w:val="0"/>
            <w:vAlign w:val="center"/>
          </w:tcPr>
          <w:p w14:paraId="6996DD2C">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步云风电场</w:t>
            </w:r>
          </w:p>
        </w:tc>
        <w:tc>
          <w:tcPr>
            <w:tcW w:w="1920" w:type="dxa"/>
            <w:tcBorders>
              <w:left w:val="single" w:color="auto" w:sz="4" w:space="0"/>
              <w:right w:val="single" w:color="auto" w:sz="4" w:space="0"/>
              <w:tl2br w:val="nil"/>
              <w:tr2bl w:val="nil"/>
            </w:tcBorders>
            <w:noWrap w:val="0"/>
            <w:vAlign w:val="center"/>
          </w:tcPr>
          <w:p w14:paraId="41142755">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官家嘴镇、步云桥镇</w:t>
            </w:r>
          </w:p>
        </w:tc>
        <w:tc>
          <w:tcPr>
            <w:tcW w:w="1048" w:type="dxa"/>
            <w:tcBorders>
              <w:left w:val="single" w:color="auto" w:sz="4" w:space="0"/>
              <w:right w:val="single" w:color="auto" w:sz="4" w:space="0"/>
              <w:tl2br w:val="nil"/>
              <w:tr2bl w:val="nil"/>
            </w:tcBorders>
            <w:noWrap w:val="0"/>
            <w:vAlign w:val="center"/>
          </w:tcPr>
          <w:p w14:paraId="73625589">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rPr>
            </w:pPr>
            <w:r>
              <w:rPr>
                <w:rFonts w:hint="default" w:ascii="Times New Roman" w:hAnsi="Times New Roman" w:cs="Times New Roman"/>
                <w:color w:val="auto"/>
                <w:sz w:val="21"/>
                <w:szCs w:val="21"/>
                <w:highlight w:val="none"/>
                <w:lang w:val="en-US" w:eastAsia="zh-CN"/>
              </w:rPr>
              <w:t>20台</w:t>
            </w:r>
          </w:p>
        </w:tc>
        <w:tc>
          <w:tcPr>
            <w:tcW w:w="1135" w:type="dxa"/>
            <w:tcBorders>
              <w:left w:val="single" w:color="auto" w:sz="4" w:space="0"/>
              <w:right w:val="single" w:color="auto" w:sz="4" w:space="0"/>
              <w:tl2br w:val="nil"/>
              <w:tr2bl w:val="nil"/>
            </w:tcBorders>
            <w:noWrap w:val="0"/>
            <w:vAlign w:val="center"/>
          </w:tcPr>
          <w:p w14:paraId="106A923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100MW</w:t>
            </w:r>
          </w:p>
        </w:tc>
        <w:tc>
          <w:tcPr>
            <w:tcW w:w="1352" w:type="dxa"/>
            <w:tcBorders>
              <w:left w:val="single" w:color="auto" w:sz="4" w:space="0"/>
              <w:tl2br w:val="nil"/>
              <w:tr2bl w:val="nil"/>
            </w:tcBorders>
            <w:noWrap w:val="0"/>
            <w:vAlign w:val="center"/>
          </w:tcPr>
          <w:p w14:paraId="68ECA577">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W，5km</w:t>
            </w:r>
          </w:p>
        </w:tc>
      </w:tr>
      <w:tr w14:paraId="4F4858D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493" w:type="dxa"/>
            <w:tcBorders>
              <w:tl2br w:val="nil"/>
              <w:tr2bl w:val="nil"/>
            </w:tcBorders>
            <w:noWrap w:val="0"/>
            <w:vAlign w:val="center"/>
          </w:tcPr>
          <w:p w14:paraId="008D8D6B">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w:t>
            </w:r>
          </w:p>
        </w:tc>
        <w:tc>
          <w:tcPr>
            <w:tcW w:w="827" w:type="dxa"/>
            <w:tcBorders>
              <w:tl2br w:val="nil"/>
              <w:tr2bl w:val="nil"/>
            </w:tcBorders>
            <w:noWrap w:val="0"/>
            <w:vAlign w:val="center"/>
          </w:tcPr>
          <w:p w14:paraId="7ACBE0A5">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拟建</w:t>
            </w:r>
          </w:p>
        </w:tc>
        <w:tc>
          <w:tcPr>
            <w:tcW w:w="1715" w:type="dxa"/>
            <w:tcBorders>
              <w:right w:val="single" w:color="auto" w:sz="4" w:space="0"/>
              <w:tl2br w:val="nil"/>
              <w:tr2bl w:val="nil"/>
            </w:tcBorders>
            <w:noWrap w:val="0"/>
            <w:vAlign w:val="center"/>
          </w:tcPr>
          <w:p w14:paraId="0C54E0EC">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凤仪风电场</w:t>
            </w:r>
          </w:p>
        </w:tc>
        <w:tc>
          <w:tcPr>
            <w:tcW w:w="1920" w:type="dxa"/>
            <w:tcBorders>
              <w:left w:val="single" w:color="auto" w:sz="4" w:space="0"/>
              <w:right w:val="single" w:color="auto" w:sz="4" w:space="0"/>
              <w:tl2br w:val="nil"/>
              <w:tr2bl w:val="nil"/>
            </w:tcBorders>
            <w:noWrap w:val="0"/>
            <w:vAlign w:val="center"/>
          </w:tcPr>
          <w:p w14:paraId="211B34A0">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凤歧坪乡、蒋家桥镇、步云桥镇</w:t>
            </w:r>
          </w:p>
        </w:tc>
        <w:tc>
          <w:tcPr>
            <w:tcW w:w="1048" w:type="dxa"/>
            <w:tcBorders>
              <w:left w:val="single" w:color="auto" w:sz="4" w:space="0"/>
              <w:right w:val="single" w:color="auto" w:sz="4" w:space="0"/>
              <w:tl2br w:val="nil"/>
              <w:tr2bl w:val="nil"/>
            </w:tcBorders>
            <w:noWrap w:val="0"/>
            <w:vAlign w:val="center"/>
          </w:tcPr>
          <w:p w14:paraId="18C32A42">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20台</w:t>
            </w:r>
          </w:p>
        </w:tc>
        <w:tc>
          <w:tcPr>
            <w:tcW w:w="1135" w:type="dxa"/>
            <w:tcBorders>
              <w:left w:val="single" w:color="auto" w:sz="4" w:space="0"/>
              <w:right w:val="single" w:color="auto" w:sz="4" w:space="0"/>
              <w:tl2br w:val="nil"/>
              <w:tr2bl w:val="nil"/>
            </w:tcBorders>
            <w:noWrap w:val="0"/>
            <w:vAlign w:val="center"/>
          </w:tcPr>
          <w:p w14:paraId="1682AB0F">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100MW</w:t>
            </w:r>
          </w:p>
        </w:tc>
        <w:tc>
          <w:tcPr>
            <w:tcW w:w="1352" w:type="dxa"/>
            <w:tcBorders>
              <w:left w:val="single" w:color="auto" w:sz="4" w:space="0"/>
              <w:tl2br w:val="nil"/>
              <w:tr2bl w:val="nil"/>
            </w:tcBorders>
            <w:noWrap w:val="0"/>
            <w:vAlign w:val="center"/>
          </w:tcPr>
          <w:p w14:paraId="498157DB">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W，14km</w:t>
            </w:r>
          </w:p>
        </w:tc>
      </w:tr>
      <w:tr w14:paraId="5A396B0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493" w:type="dxa"/>
            <w:tcBorders>
              <w:tl2br w:val="nil"/>
              <w:tr2bl w:val="nil"/>
            </w:tcBorders>
            <w:noWrap w:val="0"/>
            <w:vAlign w:val="center"/>
          </w:tcPr>
          <w:p w14:paraId="35FFA103">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6</w:t>
            </w:r>
          </w:p>
        </w:tc>
        <w:tc>
          <w:tcPr>
            <w:tcW w:w="827" w:type="dxa"/>
            <w:tcBorders>
              <w:tl2br w:val="nil"/>
              <w:tr2bl w:val="nil"/>
            </w:tcBorders>
            <w:noWrap w:val="0"/>
            <w:vAlign w:val="center"/>
          </w:tcPr>
          <w:p w14:paraId="031FC5BF">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拟建</w:t>
            </w:r>
          </w:p>
        </w:tc>
        <w:tc>
          <w:tcPr>
            <w:tcW w:w="1715" w:type="dxa"/>
            <w:tcBorders>
              <w:right w:val="single" w:color="auto" w:sz="4" w:space="0"/>
              <w:tl2br w:val="nil"/>
              <w:tr2bl w:val="nil"/>
            </w:tcBorders>
            <w:noWrap w:val="0"/>
            <w:vAlign w:val="center"/>
          </w:tcPr>
          <w:p w14:paraId="0614FC5C">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官福风电场</w:t>
            </w:r>
          </w:p>
        </w:tc>
        <w:tc>
          <w:tcPr>
            <w:tcW w:w="1920" w:type="dxa"/>
            <w:tcBorders>
              <w:left w:val="single" w:color="auto" w:sz="4" w:space="0"/>
              <w:right w:val="single" w:color="auto" w:sz="4" w:space="0"/>
              <w:tl2br w:val="nil"/>
              <w:tr2bl w:val="nil"/>
            </w:tcBorders>
            <w:noWrap w:val="0"/>
            <w:vAlign w:val="center"/>
          </w:tcPr>
          <w:p w14:paraId="6D837393">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马杜桥乡、风石堰镇</w:t>
            </w:r>
          </w:p>
        </w:tc>
        <w:tc>
          <w:tcPr>
            <w:tcW w:w="1048" w:type="dxa"/>
            <w:tcBorders>
              <w:left w:val="single" w:color="auto" w:sz="4" w:space="0"/>
              <w:right w:val="single" w:color="auto" w:sz="4" w:space="0"/>
              <w:tl2br w:val="nil"/>
              <w:tr2bl w:val="nil"/>
            </w:tcBorders>
            <w:noWrap w:val="0"/>
            <w:vAlign w:val="center"/>
          </w:tcPr>
          <w:p w14:paraId="248D5E37">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20台</w:t>
            </w:r>
          </w:p>
        </w:tc>
        <w:tc>
          <w:tcPr>
            <w:tcW w:w="1135" w:type="dxa"/>
            <w:tcBorders>
              <w:left w:val="single" w:color="auto" w:sz="4" w:space="0"/>
              <w:right w:val="single" w:color="auto" w:sz="4" w:space="0"/>
              <w:tl2br w:val="nil"/>
              <w:tr2bl w:val="nil"/>
            </w:tcBorders>
            <w:noWrap w:val="0"/>
            <w:vAlign w:val="center"/>
          </w:tcPr>
          <w:p w14:paraId="38098560">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100MW</w:t>
            </w:r>
          </w:p>
        </w:tc>
        <w:tc>
          <w:tcPr>
            <w:tcW w:w="1352" w:type="dxa"/>
            <w:tcBorders>
              <w:left w:val="single" w:color="auto" w:sz="4" w:space="0"/>
              <w:tl2br w:val="nil"/>
              <w:tr2bl w:val="nil"/>
            </w:tcBorders>
            <w:noWrap w:val="0"/>
            <w:vAlign w:val="center"/>
          </w:tcPr>
          <w:p w14:paraId="63636A9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SE，3.5km</w:t>
            </w:r>
          </w:p>
        </w:tc>
      </w:tr>
      <w:tr w14:paraId="0B04377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493" w:type="dxa"/>
            <w:tcBorders>
              <w:tl2br w:val="nil"/>
              <w:tr2bl w:val="nil"/>
            </w:tcBorders>
            <w:noWrap w:val="0"/>
            <w:vAlign w:val="center"/>
          </w:tcPr>
          <w:p w14:paraId="44C441C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7</w:t>
            </w:r>
          </w:p>
        </w:tc>
        <w:tc>
          <w:tcPr>
            <w:tcW w:w="827" w:type="dxa"/>
            <w:tcBorders>
              <w:tl2br w:val="nil"/>
              <w:tr2bl w:val="nil"/>
            </w:tcBorders>
            <w:noWrap w:val="0"/>
            <w:vAlign w:val="center"/>
          </w:tcPr>
          <w:p w14:paraId="0CD370AE">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拟建</w:t>
            </w:r>
          </w:p>
        </w:tc>
        <w:tc>
          <w:tcPr>
            <w:tcW w:w="1715" w:type="dxa"/>
            <w:tcBorders>
              <w:right w:val="single" w:color="auto" w:sz="4" w:space="0"/>
              <w:tl2br w:val="nil"/>
              <w:tr2bl w:val="nil"/>
            </w:tcBorders>
            <w:noWrap w:val="0"/>
            <w:vAlign w:val="center"/>
          </w:tcPr>
          <w:p w14:paraId="3A15FC3B">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灵官风电场二期</w:t>
            </w:r>
          </w:p>
        </w:tc>
        <w:tc>
          <w:tcPr>
            <w:tcW w:w="1920" w:type="dxa"/>
            <w:tcBorders>
              <w:left w:val="single" w:color="auto" w:sz="4" w:space="0"/>
              <w:right w:val="single" w:color="auto" w:sz="4" w:space="0"/>
              <w:tl2br w:val="nil"/>
              <w:tr2bl w:val="nil"/>
            </w:tcBorders>
            <w:noWrap w:val="0"/>
            <w:vAlign w:val="center"/>
          </w:tcPr>
          <w:p w14:paraId="2D0C183A">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eastAsia" w:ascii="Times New Roman" w:hAnsi="Times New Roman" w:cs="Times New Roman"/>
                <w:color w:val="auto"/>
                <w:sz w:val="21"/>
                <w:szCs w:val="21"/>
                <w:highlight w:val="none"/>
                <w:lang w:eastAsia="zh-CN"/>
              </w:rPr>
              <w:t>灵官镇、白地市镇</w:t>
            </w:r>
          </w:p>
        </w:tc>
        <w:tc>
          <w:tcPr>
            <w:tcW w:w="1048" w:type="dxa"/>
            <w:tcBorders>
              <w:left w:val="single" w:color="auto" w:sz="4" w:space="0"/>
              <w:right w:val="single" w:color="auto" w:sz="4" w:space="0"/>
              <w:tl2br w:val="nil"/>
              <w:tr2bl w:val="nil"/>
            </w:tcBorders>
            <w:noWrap w:val="0"/>
            <w:vAlign w:val="center"/>
          </w:tcPr>
          <w:p w14:paraId="4180BAA4">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20台</w:t>
            </w:r>
          </w:p>
        </w:tc>
        <w:tc>
          <w:tcPr>
            <w:tcW w:w="1135" w:type="dxa"/>
            <w:tcBorders>
              <w:left w:val="single" w:color="auto" w:sz="4" w:space="0"/>
              <w:right w:val="single" w:color="auto" w:sz="4" w:space="0"/>
              <w:tl2br w:val="nil"/>
              <w:tr2bl w:val="nil"/>
            </w:tcBorders>
            <w:noWrap w:val="0"/>
            <w:vAlign w:val="center"/>
          </w:tcPr>
          <w:p w14:paraId="6E802B0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100MW</w:t>
            </w:r>
          </w:p>
        </w:tc>
        <w:tc>
          <w:tcPr>
            <w:tcW w:w="1352" w:type="dxa"/>
            <w:tcBorders>
              <w:left w:val="single" w:color="auto" w:sz="4" w:space="0"/>
              <w:tl2br w:val="nil"/>
              <w:tr2bl w:val="nil"/>
            </w:tcBorders>
            <w:noWrap w:val="0"/>
            <w:vAlign w:val="center"/>
          </w:tcPr>
          <w:p w14:paraId="574A0656">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S，17km</w:t>
            </w:r>
          </w:p>
        </w:tc>
      </w:tr>
      <w:tr w14:paraId="27C90CF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493" w:type="dxa"/>
            <w:tcBorders>
              <w:tl2br w:val="nil"/>
              <w:tr2bl w:val="nil"/>
            </w:tcBorders>
            <w:noWrap w:val="0"/>
            <w:vAlign w:val="center"/>
          </w:tcPr>
          <w:p w14:paraId="2C05456E">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8</w:t>
            </w:r>
          </w:p>
        </w:tc>
        <w:tc>
          <w:tcPr>
            <w:tcW w:w="827" w:type="dxa"/>
            <w:tcBorders>
              <w:tl2br w:val="nil"/>
              <w:tr2bl w:val="nil"/>
            </w:tcBorders>
            <w:noWrap w:val="0"/>
            <w:vAlign w:val="center"/>
          </w:tcPr>
          <w:p w14:paraId="70551B5F">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拟建</w:t>
            </w:r>
          </w:p>
        </w:tc>
        <w:tc>
          <w:tcPr>
            <w:tcW w:w="1715" w:type="dxa"/>
            <w:tcBorders>
              <w:right w:val="single" w:color="auto" w:sz="4" w:space="0"/>
              <w:tl2br w:val="nil"/>
              <w:tr2bl w:val="nil"/>
            </w:tcBorders>
            <w:noWrap w:val="0"/>
            <w:vAlign w:val="center"/>
          </w:tcPr>
          <w:p w14:paraId="76C99564">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南冲风电场（大马二期）</w:t>
            </w:r>
          </w:p>
        </w:tc>
        <w:tc>
          <w:tcPr>
            <w:tcW w:w="1920" w:type="dxa"/>
            <w:tcBorders>
              <w:left w:val="single" w:color="auto" w:sz="4" w:space="0"/>
              <w:right w:val="single" w:color="auto" w:sz="4" w:space="0"/>
              <w:tl2br w:val="nil"/>
              <w:tr2bl w:val="nil"/>
            </w:tcBorders>
            <w:noWrap w:val="0"/>
            <w:vAlign w:val="center"/>
          </w:tcPr>
          <w:p w14:paraId="3FFAA7E6">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马杜桥乡、黄土铺镇、官家嘴镇</w:t>
            </w:r>
          </w:p>
        </w:tc>
        <w:tc>
          <w:tcPr>
            <w:tcW w:w="1048" w:type="dxa"/>
            <w:tcBorders>
              <w:left w:val="single" w:color="auto" w:sz="4" w:space="0"/>
              <w:right w:val="single" w:color="auto" w:sz="4" w:space="0"/>
              <w:tl2br w:val="nil"/>
              <w:tr2bl w:val="nil"/>
            </w:tcBorders>
            <w:noWrap w:val="0"/>
            <w:vAlign w:val="center"/>
          </w:tcPr>
          <w:p w14:paraId="1D96E646">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20台</w:t>
            </w:r>
          </w:p>
        </w:tc>
        <w:tc>
          <w:tcPr>
            <w:tcW w:w="1135" w:type="dxa"/>
            <w:tcBorders>
              <w:left w:val="single" w:color="auto" w:sz="4" w:space="0"/>
              <w:right w:val="single" w:color="auto" w:sz="4" w:space="0"/>
              <w:tl2br w:val="nil"/>
              <w:tr2bl w:val="nil"/>
            </w:tcBorders>
            <w:noWrap w:val="0"/>
            <w:vAlign w:val="center"/>
          </w:tcPr>
          <w:p w14:paraId="08256B6E">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100MW</w:t>
            </w:r>
          </w:p>
        </w:tc>
        <w:tc>
          <w:tcPr>
            <w:tcW w:w="1352" w:type="dxa"/>
            <w:tcBorders>
              <w:left w:val="single" w:color="auto" w:sz="4" w:space="0"/>
              <w:tl2br w:val="nil"/>
              <w:tr2bl w:val="nil"/>
            </w:tcBorders>
            <w:noWrap w:val="0"/>
            <w:vAlign w:val="center"/>
          </w:tcPr>
          <w:p w14:paraId="1DDC84AD">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本项目</w:t>
            </w:r>
          </w:p>
        </w:tc>
      </w:tr>
      <w:tr w14:paraId="1C12023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2" w:hRule="atLeast"/>
          <w:jc w:val="center"/>
        </w:trPr>
        <w:tc>
          <w:tcPr>
            <w:tcW w:w="4955" w:type="dxa"/>
            <w:gridSpan w:val="4"/>
            <w:tcBorders>
              <w:right w:val="single" w:color="auto" w:sz="4" w:space="0"/>
              <w:tl2br w:val="nil"/>
              <w:tr2bl w:val="nil"/>
            </w:tcBorders>
            <w:noWrap w:val="0"/>
            <w:vAlign w:val="center"/>
          </w:tcPr>
          <w:p w14:paraId="3A93FD22">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cs="Times New Roman"/>
                <w:b/>
                <w:bCs/>
                <w:color w:val="auto"/>
                <w:sz w:val="21"/>
                <w:szCs w:val="21"/>
                <w:highlight w:val="none"/>
                <w:lang w:eastAsia="zh-CN"/>
              </w:rPr>
            </w:pPr>
            <w:r>
              <w:rPr>
                <w:rFonts w:hint="eastAsia" w:ascii="Times New Roman" w:hAnsi="Times New Roman" w:cs="Times New Roman"/>
                <w:b/>
                <w:bCs/>
                <w:color w:val="auto"/>
                <w:sz w:val="21"/>
                <w:szCs w:val="21"/>
                <w:highlight w:val="none"/>
                <w:lang w:eastAsia="zh-CN"/>
              </w:rPr>
              <w:t>小计</w:t>
            </w:r>
          </w:p>
        </w:tc>
        <w:tc>
          <w:tcPr>
            <w:tcW w:w="1048" w:type="dxa"/>
            <w:tcBorders>
              <w:left w:val="single" w:color="auto" w:sz="4" w:space="0"/>
              <w:right w:val="single" w:color="auto" w:sz="4" w:space="0"/>
              <w:tl2br w:val="nil"/>
              <w:tr2bl w:val="nil"/>
            </w:tcBorders>
            <w:noWrap w:val="0"/>
            <w:vAlign w:val="center"/>
          </w:tcPr>
          <w:p w14:paraId="63156855">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 w:val="21"/>
                <w:szCs w:val="21"/>
                <w:highlight w:val="none"/>
                <w:lang w:val="en-US" w:eastAsia="zh-CN"/>
              </w:rPr>
            </w:pPr>
            <w:r>
              <w:rPr>
                <w:rFonts w:hint="eastAsia" w:ascii="Times New Roman" w:hAnsi="Times New Roman" w:cs="Times New Roman"/>
                <w:b/>
                <w:bCs/>
                <w:color w:val="auto"/>
                <w:sz w:val="21"/>
                <w:szCs w:val="21"/>
                <w:highlight w:val="none"/>
                <w:lang w:val="en-US" w:eastAsia="zh-CN"/>
              </w:rPr>
              <w:t>100台</w:t>
            </w:r>
          </w:p>
        </w:tc>
        <w:tc>
          <w:tcPr>
            <w:tcW w:w="1135" w:type="dxa"/>
            <w:tcBorders>
              <w:left w:val="single" w:color="auto" w:sz="4" w:space="0"/>
              <w:right w:val="single" w:color="auto" w:sz="4" w:space="0"/>
              <w:tl2br w:val="nil"/>
              <w:tr2bl w:val="nil"/>
            </w:tcBorders>
            <w:noWrap w:val="0"/>
            <w:vAlign w:val="center"/>
          </w:tcPr>
          <w:p w14:paraId="238BDC71">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 w:val="21"/>
                <w:szCs w:val="21"/>
                <w:highlight w:val="none"/>
                <w:lang w:val="en-US" w:eastAsia="zh-CN"/>
              </w:rPr>
            </w:pPr>
            <w:r>
              <w:rPr>
                <w:rFonts w:hint="eastAsia" w:ascii="Times New Roman" w:hAnsi="Times New Roman" w:cs="Times New Roman"/>
                <w:b/>
                <w:bCs/>
                <w:color w:val="auto"/>
                <w:sz w:val="21"/>
                <w:szCs w:val="21"/>
                <w:highlight w:val="none"/>
                <w:lang w:val="en-US" w:eastAsia="zh-CN"/>
              </w:rPr>
              <w:t>500MW</w:t>
            </w:r>
          </w:p>
        </w:tc>
        <w:tc>
          <w:tcPr>
            <w:tcW w:w="1352" w:type="dxa"/>
            <w:tcBorders>
              <w:left w:val="single" w:color="auto" w:sz="4" w:space="0"/>
              <w:tl2br w:val="nil"/>
              <w:tr2bl w:val="nil"/>
            </w:tcBorders>
            <w:noWrap w:val="0"/>
            <w:vAlign w:val="center"/>
          </w:tcPr>
          <w:p w14:paraId="52B54190">
            <w:pPr>
              <w:pStyle w:val="44"/>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b/>
                <w:bCs/>
                <w:color w:val="auto"/>
                <w:sz w:val="21"/>
                <w:szCs w:val="21"/>
                <w:highlight w:val="none"/>
                <w:lang w:val="en-US" w:eastAsia="zh-CN"/>
              </w:rPr>
            </w:pPr>
            <w:r>
              <w:rPr>
                <w:rFonts w:hint="eastAsia" w:ascii="Times New Roman" w:hAnsi="Times New Roman" w:cs="Times New Roman"/>
                <w:b w:val="0"/>
                <w:bCs w:val="0"/>
                <w:color w:val="auto"/>
                <w:sz w:val="21"/>
                <w:szCs w:val="21"/>
                <w:highlight w:val="none"/>
                <w:lang w:val="en-US" w:eastAsia="zh-CN"/>
              </w:rPr>
              <w:t>/</w:t>
            </w:r>
          </w:p>
        </w:tc>
      </w:tr>
    </w:tbl>
    <w:p w14:paraId="66B98127">
      <w:pPr>
        <w:pStyle w:val="2"/>
        <w:spacing w:before="0" w:after="0" w:line="360" w:lineRule="auto"/>
        <w:ind w:right="0"/>
        <w:rPr>
          <w:rFonts w:hint="eastAsia"/>
          <w:kern w:val="2"/>
          <w:sz w:val="24"/>
          <w:szCs w:val="24"/>
          <w:lang w:val="en-US" w:eastAsia="zh-CN"/>
        </w:rPr>
      </w:pPr>
      <w:r>
        <w:rPr>
          <w:rFonts w:hint="eastAsia"/>
          <w:kern w:val="2"/>
          <w:sz w:val="24"/>
          <w:szCs w:val="24"/>
          <w:lang w:val="en-US" w:eastAsia="zh-CN"/>
        </w:rPr>
        <w:t>由上表统计可知，祁东县境内目前已安装有58台风力发电机组，总装机容量150MW；拟安装100台风力发电机组（含本项目），总装机容量500MW（含本项目）。待所有风电场均建成后，预计祁东县境内总共安装158台风力发电机组，总装机容量650MW。</w:t>
      </w:r>
    </w:p>
    <w:p w14:paraId="511F6A6C">
      <w:pPr>
        <w:rPr>
          <w:rFonts w:hint="eastAsia"/>
          <w:lang w:val="en-US" w:eastAsia="zh-CN"/>
        </w:rPr>
      </w:pPr>
      <w:r>
        <w:rPr>
          <w:rFonts w:hint="eastAsia"/>
          <w:kern w:val="2"/>
          <w:sz w:val="24"/>
          <w:szCs w:val="24"/>
          <w:lang w:val="en-US" w:eastAsia="zh-CN"/>
        </w:rPr>
        <w:t>以上已建机位中官家嘴风电场和大马风电场、</w:t>
      </w:r>
      <w:r>
        <w:rPr>
          <w:rFonts w:hint="eastAsia" w:cs="Times New Roman"/>
          <w:color w:val="auto"/>
          <w:kern w:val="0"/>
          <w:sz w:val="24"/>
          <w:szCs w:val="24"/>
          <w:highlight w:val="none"/>
          <w:lang w:val="en-US" w:eastAsia="zh-CN"/>
        </w:rPr>
        <w:t>拟建机位中南冲风电场（大马二期）和步云风电场</w:t>
      </w:r>
      <w:r>
        <w:rPr>
          <w:rFonts w:hint="eastAsia"/>
          <w:kern w:val="2"/>
          <w:sz w:val="24"/>
          <w:szCs w:val="24"/>
          <w:lang w:val="en-US" w:eastAsia="zh-CN"/>
        </w:rPr>
        <w:t>的建设单位均为</w:t>
      </w:r>
      <w:r>
        <w:rPr>
          <w:rFonts w:hint="default" w:ascii="Times New Roman" w:hAnsi="Times New Roman" w:cs="Times New Roman"/>
          <w:color w:val="auto"/>
          <w:kern w:val="0"/>
          <w:sz w:val="24"/>
          <w:szCs w:val="24"/>
          <w:highlight w:val="none"/>
          <w:lang w:val="en-US" w:eastAsia="zh-CN"/>
        </w:rPr>
        <w:t>中国水电顾问集团祁东能源开发有限公司</w:t>
      </w:r>
      <w:r>
        <w:rPr>
          <w:rFonts w:hint="eastAsia" w:cs="Times New Roman"/>
          <w:color w:val="auto"/>
          <w:kern w:val="0"/>
          <w:sz w:val="24"/>
          <w:szCs w:val="24"/>
          <w:highlight w:val="none"/>
          <w:lang w:val="en-US" w:eastAsia="zh-CN"/>
        </w:rPr>
        <w:t>。</w:t>
      </w:r>
    </w:p>
    <w:p w14:paraId="77E1C441">
      <w:pPr>
        <w:pStyle w:val="4"/>
        <w:bidi w:val="0"/>
        <w:rPr>
          <w:rFonts w:hint="default" w:ascii="Times New Roman" w:hAnsi="Times New Roman" w:cs="Times New Roman"/>
          <w:color w:val="auto"/>
          <w:highlight w:val="none"/>
        </w:rPr>
      </w:pPr>
      <w:bookmarkStart w:id="65" w:name="_Toc22079"/>
      <w:r>
        <w:rPr>
          <w:rFonts w:hint="eastAsia" w:ascii="Times New Roman" w:hAnsi="Times New Roman" w:cs="Times New Roman"/>
          <w:color w:val="auto"/>
          <w:highlight w:val="none"/>
          <w:lang w:val="en-US" w:eastAsia="zh-CN"/>
        </w:rPr>
        <w:t>项目基本情况介绍</w:t>
      </w:r>
      <w:bookmarkEnd w:id="65"/>
    </w:p>
    <w:p w14:paraId="148F5FB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cs="Times New Roman"/>
          <w:color w:val="auto"/>
          <w:kern w:val="0"/>
          <w:sz w:val="24"/>
          <w:szCs w:val="24"/>
          <w:highlight w:val="none"/>
          <w:lang w:val="en-US" w:eastAsia="zh-CN"/>
        </w:rPr>
      </w:pPr>
      <w:r>
        <w:rPr>
          <w:rFonts w:hint="eastAsia" w:cs="Times New Roman"/>
          <w:color w:val="auto"/>
          <w:kern w:val="0"/>
          <w:sz w:val="24"/>
          <w:szCs w:val="24"/>
          <w:highlight w:val="none"/>
          <w:lang w:val="en-US" w:eastAsia="zh-CN"/>
        </w:rPr>
        <w:t>（1）</w:t>
      </w:r>
      <w:r>
        <w:rPr>
          <w:rFonts w:hint="default" w:ascii="Times New Roman" w:hAnsi="Times New Roman" w:cs="Times New Roman"/>
          <w:color w:val="auto"/>
          <w:kern w:val="0"/>
          <w:sz w:val="24"/>
          <w:szCs w:val="24"/>
          <w:highlight w:val="none"/>
          <w:lang w:val="en-US" w:eastAsia="zh-CN"/>
        </w:rPr>
        <w:t>项目名称：祁东县南冲风电场（大马二期）工程</w:t>
      </w:r>
    </w:p>
    <w:p w14:paraId="76F88D9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cs="Times New Roman"/>
          <w:color w:val="auto"/>
          <w:kern w:val="0"/>
          <w:sz w:val="24"/>
          <w:szCs w:val="24"/>
          <w:highlight w:val="none"/>
          <w:lang w:val="en-US" w:eastAsia="zh-CN"/>
        </w:rPr>
      </w:pPr>
      <w:r>
        <w:rPr>
          <w:rFonts w:hint="eastAsia" w:cs="Times New Roman"/>
          <w:color w:val="auto"/>
          <w:kern w:val="0"/>
          <w:sz w:val="24"/>
          <w:szCs w:val="24"/>
          <w:highlight w:val="none"/>
          <w:lang w:val="en-US" w:eastAsia="zh-CN"/>
        </w:rPr>
        <w:t>（2）</w:t>
      </w:r>
      <w:r>
        <w:rPr>
          <w:rFonts w:hint="default" w:ascii="Times New Roman" w:hAnsi="Times New Roman" w:cs="Times New Roman"/>
          <w:color w:val="auto"/>
          <w:kern w:val="0"/>
          <w:sz w:val="24"/>
          <w:szCs w:val="24"/>
          <w:highlight w:val="none"/>
          <w:lang w:val="en-US" w:eastAsia="zh-CN"/>
        </w:rPr>
        <w:t>建设单位：中国水电顾问集团祁东能源开发有限公司</w:t>
      </w:r>
    </w:p>
    <w:p w14:paraId="58EECEC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cs="Times New Roman"/>
          <w:color w:val="auto"/>
          <w:kern w:val="0"/>
          <w:sz w:val="24"/>
          <w:szCs w:val="24"/>
          <w:highlight w:val="none"/>
          <w:lang w:val="en-US" w:eastAsia="zh-CN"/>
        </w:rPr>
      </w:pPr>
      <w:r>
        <w:rPr>
          <w:rFonts w:hint="eastAsia" w:cs="Times New Roman"/>
          <w:color w:val="auto"/>
          <w:kern w:val="0"/>
          <w:sz w:val="24"/>
          <w:szCs w:val="24"/>
          <w:highlight w:val="none"/>
          <w:lang w:val="en-US" w:eastAsia="zh-CN"/>
        </w:rPr>
        <w:t>（3）</w:t>
      </w:r>
      <w:r>
        <w:rPr>
          <w:rFonts w:hint="default" w:ascii="Times New Roman" w:hAnsi="Times New Roman" w:cs="Times New Roman"/>
          <w:color w:val="auto"/>
          <w:kern w:val="0"/>
          <w:sz w:val="24"/>
          <w:szCs w:val="24"/>
          <w:highlight w:val="none"/>
          <w:lang w:val="en-US" w:eastAsia="zh-CN"/>
        </w:rPr>
        <w:t>项目性质：</w:t>
      </w:r>
      <w:r>
        <w:rPr>
          <w:rFonts w:hint="eastAsia" w:cs="Times New Roman"/>
          <w:color w:val="auto"/>
          <w:kern w:val="0"/>
          <w:sz w:val="24"/>
          <w:szCs w:val="24"/>
          <w:highlight w:val="none"/>
          <w:lang w:val="en-US" w:eastAsia="zh-CN"/>
        </w:rPr>
        <w:t>扩建</w:t>
      </w:r>
    </w:p>
    <w:p w14:paraId="25484AE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cs="Times New Roman"/>
          <w:color w:val="auto"/>
          <w:kern w:val="0"/>
          <w:sz w:val="24"/>
          <w:szCs w:val="24"/>
          <w:highlight w:val="none"/>
          <w:lang w:val="en-US" w:eastAsia="zh-CN"/>
        </w:rPr>
      </w:pPr>
      <w:r>
        <w:rPr>
          <w:rFonts w:hint="eastAsia" w:cs="Times New Roman"/>
          <w:color w:val="auto"/>
          <w:kern w:val="0"/>
          <w:sz w:val="24"/>
          <w:szCs w:val="24"/>
          <w:highlight w:val="none"/>
          <w:lang w:val="en-US" w:eastAsia="zh-CN"/>
        </w:rPr>
        <w:t>（4）</w:t>
      </w:r>
      <w:r>
        <w:rPr>
          <w:rFonts w:hint="default" w:ascii="Times New Roman" w:hAnsi="Times New Roman" w:cs="Times New Roman"/>
          <w:color w:val="auto"/>
          <w:kern w:val="0"/>
          <w:sz w:val="24"/>
          <w:szCs w:val="24"/>
          <w:highlight w:val="none"/>
          <w:lang w:val="en-US" w:eastAsia="zh-CN"/>
        </w:rPr>
        <w:t>建设地点：湖南省衡阳市</w:t>
      </w:r>
      <w:r>
        <w:rPr>
          <w:rFonts w:hint="eastAsia" w:ascii="Times New Roman" w:hAnsi="Times New Roman" w:cs="Times New Roman"/>
          <w:color w:val="auto"/>
          <w:kern w:val="0"/>
          <w:sz w:val="24"/>
          <w:szCs w:val="24"/>
          <w:highlight w:val="none"/>
          <w:lang w:eastAsia="zh-CN"/>
        </w:rPr>
        <w:t>祁东县黄土铺镇</w:t>
      </w:r>
      <w:r>
        <w:rPr>
          <w:rFonts w:hint="eastAsia" w:cs="Times New Roman"/>
          <w:color w:val="auto"/>
          <w:kern w:val="0"/>
          <w:sz w:val="24"/>
          <w:szCs w:val="24"/>
          <w:highlight w:val="none"/>
          <w:lang w:eastAsia="zh-CN"/>
        </w:rPr>
        <w:t>、</w:t>
      </w:r>
      <w:r>
        <w:rPr>
          <w:rFonts w:hint="eastAsia" w:ascii="Times New Roman" w:hAnsi="Times New Roman" w:cs="Times New Roman"/>
          <w:color w:val="auto"/>
          <w:kern w:val="0"/>
          <w:sz w:val="24"/>
          <w:szCs w:val="24"/>
          <w:highlight w:val="none"/>
          <w:lang w:eastAsia="zh-CN"/>
        </w:rPr>
        <w:t>马杜桥乡</w:t>
      </w:r>
      <w:r>
        <w:rPr>
          <w:rFonts w:hint="eastAsia" w:cs="Times New Roman"/>
          <w:color w:val="auto"/>
          <w:kern w:val="0"/>
          <w:sz w:val="24"/>
          <w:szCs w:val="24"/>
          <w:highlight w:val="none"/>
          <w:lang w:eastAsia="zh-CN"/>
        </w:rPr>
        <w:t>及官家嘴</w:t>
      </w:r>
      <w:r>
        <w:rPr>
          <w:rFonts w:hint="eastAsia" w:ascii="Times New Roman" w:hAnsi="Times New Roman" w:cs="Times New Roman"/>
          <w:color w:val="auto"/>
          <w:kern w:val="0"/>
          <w:sz w:val="24"/>
          <w:szCs w:val="24"/>
          <w:highlight w:val="none"/>
          <w:lang w:eastAsia="zh-CN"/>
        </w:rPr>
        <w:t>境内，场址中心坐标为：</w:t>
      </w:r>
      <w:r>
        <w:rPr>
          <w:rFonts w:hint="eastAsia" w:ascii="Times New Roman" w:hAnsi="Times New Roman" w:cs="Times New Roman"/>
          <w:color w:val="auto"/>
          <w:kern w:val="0"/>
          <w:sz w:val="24"/>
          <w:szCs w:val="24"/>
          <w:highlight w:val="none"/>
          <w:lang w:val="en-US" w:eastAsia="zh-CN"/>
        </w:rPr>
        <w:t>N</w:t>
      </w:r>
      <w:r>
        <w:rPr>
          <w:rFonts w:hint="default" w:ascii="Times New Roman" w:hAnsi="Times New Roman" w:eastAsia="宋体" w:cs="Times New Roman"/>
          <w:color w:val="auto"/>
          <w:spacing w:val="2"/>
          <w:sz w:val="24"/>
          <w:szCs w:val="24"/>
          <w:highlight w:val="none"/>
        </w:rPr>
        <w:t>26°56′24.64″</w:t>
      </w:r>
      <w:r>
        <w:rPr>
          <w:rFonts w:hint="eastAsia" w:ascii="Times New Roman" w:hAnsi="Times New Roman" w:cs="Times New Roman"/>
          <w:color w:val="auto"/>
          <w:kern w:val="0"/>
          <w:sz w:val="24"/>
          <w:szCs w:val="24"/>
          <w:highlight w:val="none"/>
          <w:lang w:val="en-US" w:eastAsia="zh-CN"/>
        </w:rPr>
        <w:t>；E</w:t>
      </w:r>
      <w:r>
        <w:rPr>
          <w:rFonts w:hint="default" w:ascii="Times New Roman" w:hAnsi="Times New Roman" w:eastAsia="宋体" w:cs="Times New Roman"/>
          <w:color w:val="auto"/>
          <w:spacing w:val="4"/>
          <w:sz w:val="24"/>
          <w:szCs w:val="24"/>
          <w:highlight w:val="none"/>
        </w:rPr>
        <w:t>11</w:t>
      </w:r>
      <w:r>
        <w:rPr>
          <w:rFonts w:hint="default" w:ascii="Times New Roman" w:hAnsi="Times New Roman" w:eastAsia="宋体" w:cs="Times New Roman"/>
          <w:color w:val="auto"/>
          <w:spacing w:val="2"/>
          <w:sz w:val="24"/>
          <w:szCs w:val="24"/>
          <w:highlight w:val="none"/>
        </w:rPr>
        <w:t>1°55′</w:t>
      </w:r>
      <w:r>
        <w:rPr>
          <w:rFonts w:hint="default" w:ascii="Times New Roman" w:hAnsi="Times New Roman" w:eastAsia="宋体" w:cs="Times New Roman"/>
          <w:color w:val="auto"/>
          <w:spacing w:val="-4"/>
          <w:sz w:val="24"/>
          <w:szCs w:val="24"/>
          <w:highlight w:val="none"/>
        </w:rPr>
        <w:t>4</w:t>
      </w:r>
      <w:r>
        <w:rPr>
          <w:rFonts w:hint="default" w:ascii="Times New Roman" w:hAnsi="Times New Roman" w:eastAsia="宋体" w:cs="Times New Roman"/>
          <w:color w:val="auto"/>
          <w:spacing w:val="-3"/>
          <w:sz w:val="24"/>
          <w:szCs w:val="24"/>
          <w:highlight w:val="none"/>
        </w:rPr>
        <w:t>9.15″</w:t>
      </w:r>
      <w:r>
        <w:rPr>
          <w:rFonts w:hint="default" w:ascii="Times New Roman" w:hAnsi="Times New Roman" w:cs="Times New Roman"/>
          <w:color w:val="auto"/>
          <w:kern w:val="0"/>
          <w:sz w:val="24"/>
          <w:szCs w:val="24"/>
          <w:highlight w:val="none"/>
          <w:lang w:val="en-US" w:eastAsia="zh-CN"/>
        </w:rPr>
        <w:t>。</w:t>
      </w:r>
    </w:p>
    <w:p w14:paraId="64471B01">
      <w:pPr>
        <w:bidi w:val="0"/>
        <w:rPr>
          <w:rFonts w:hint="eastAsia"/>
          <w:color w:val="auto"/>
          <w:highlight w:val="none"/>
        </w:rPr>
      </w:pPr>
      <w:r>
        <w:rPr>
          <w:rFonts w:hint="eastAsia" w:cs="Times New Roman"/>
          <w:color w:val="auto"/>
          <w:kern w:val="0"/>
          <w:sz w:val="24"/>
          <w:szCs w:val="24"/>
          <w:highlight w:val="none"/>
          <w:lang w:val="en-US" w:eastAsia="zh-CN"/>
        </w:rPr>
        <w:t>（5）</w:t>
      </w:r>
      <w:r>
        <w:rPr>
          <w:rFonts w:hint="default" w:ascii="Times New Roman" w:hAnsi="Times New Roman" w:cs="Times New Roman"/>
          <w:color w:val="auto"/>
          <w:kern w:val="0"/>
          <w:sz w:val="24"/>
          <w:szCs w:val="24"/>
          <w:highlight w:val="none"/>
          <w:lang w:val="en-US" w:eastAsia="zh-CN"/>
        </w:rPr>
        <w:t>环保投资：本项目总投资74321万元，其中环保投资3186.45万元，占总投资的</w:t>
      </w:r>
      <w:r>
        <w:rPr>
          <w:rFonts w:hint="eastAsia" w:cs="Times New Roman"/>
          <w:color w:val="auto"/>
          <w:kern w:val="0"/>
          <w:sz w:val="24"/>
          <w:szCs w:val="24"/>
          <w:highlight w:val="none"/>
          <w:lang w:val="en-US" w:eastAsia="zh-CN"/>
        </w:rPr>
        <w:t>4.3</w:t>
      </w:r>
      <w:r>
        <w:rPr>
          <w:rFonts w:hint="default" w:ascii="Times New Roman" w:hAnsi="Times New Roman" w:cs="Times New Roman"/>
          <w:color w:val="auto"/>
          <w:kern w:val="0"/>
          <w:sz w:val="24"/>
          <w:szCs w:val="24"/>
          <w:highlight w:val="none"/>
          <w:lang w:val="en-US" w:eastAsia="zh-CN"/>
        </w:rPr>
        <w:t>%。</w:t>
      </w:r>
    </w:p>
    <w:p w14:paraId="2D3D1D61">
      <w:pPr>
        <w:bidi w:val="0"/>
        <w:rPr>
          <w:rFonts w:hint="eastAsia"/>
          <w:color w:val="auto"/>
          <w:highlight w:val="none"/>
          <w:lang w:eastAsia="zh-CN"/>
        </w:rPr>
      </w:pPr>
      <w:r>
        <w:rPr>
          <w:rFonts w:hint="eastAsia"/>
          <w:color w:val="auto"/>
          <w:highlight w:val="none"/>
        </w:rPr>
        <w:t>南冲风电场属于大马二期工程，大马风电场于2019年6月获得湖南省生态环境厅批复（湘环评表〔2019〕5号），2019年9月开始施工，2020年11月带电投入试运行，2021年4月通过竣工环保验收。本工程营运期拟接入已建大马风电场110kV升压站，并对大马风电场升压站进行扩建。</w:t>
      </w:r>
      <w:r>
        <w:rPr>
          <w:rFonts w:hint="eastAsia"/>
          <w:color w:val="auto"/>
          <w:highlight w:val="none"/>
          <w:lang w:eastAsia="zh-CN"/>
        </w:rPr>
        <w:t>本工程与大马风电场的主要依托工程内容为：</w:t>
      </w:r>
    </w:p>
    <w:p w14:paraId="721C8836">
      <w:pPr>
        <w:pStyle w:val="2"/>
        <w:spacing w:before="0" w:after="0" w:line="360" w:lineRule="auto"/>
        <w:ind w:right="0"/>
        <w:rPr>
          <w:rFonts w:hint="eastAsia"/>
          <w:color w:val="auto"/>
          <w:sz w:val="24"/>
          <w:szCs w:val="24"/>
          <w:highlight w:val="none"/>
          <w:lang w:eastAsia="zh-CN"/>
        </w:rPr>
      </w:pPr>
      <w:r>
        <w:rPr>
          <w:rFonts w:hint="eastAsia"/>
          <w:color w:val="auto"/>
          <w:sz w:val="24"/>
          <w:szCs w:val="24"/>
          <w:highlight w:val="none"/>
          <w:lang w:eastAsia="zh-CN"/>
        </w:rPr>
        <w:t>①升压站：依托大马风电场已建升压站，并在升压站内预留空地上新增1台主变，升压站不新增占地；</w:t>
      </w:r>
    </w:p>
    <w:p w14:paraId="7CE21B2A">
      <w:pPr>
        <w:pStyle w:val="2"/>
        <w:spacing w:before="0" w:after="0" w:line="360" w:lineRule="auto"/>
        <w:ind w:right="0"/>
        <w:rPr>
          <w:rFonts w:hint="eastAsia"/>
          <w:color w:val="auto"/>
          <w:sz w:val="24"/>
          <w:szCs w:val="24"/>
          <w:highlight w:val="none"/>
          <w:lang w:eastAsia="zh-CN"/>
        </w:rPr>
      </w:pPr>
      <w:r>
        <w:rPr>
          <w:rFonts w:hint="eastAsia"/>
          <w:color w:val="auto"/>
          <w:sz w:val="24"/>
          <w:szCs w:val="24"/>
          <w:highlight w:val="none"/>
          <w:lang w:eastAsia="zh-CN"/>
        </w:rPr>
        <w:t>②场内检修道路：升压站进站道路依托大马风电场已建道路；南冲风电场NC03-NC07检修道路从大马风电场11#-15#机位检修道路进场(依托大马11#-15#机位已建检修道路)。</w:t>
      </w:r>
    </w:p>
    <w:p w14:paraId="14C6F2A1">
      <w:pPr>
        <w:pStyle w:val="2"/>
        <w:spacing w:before="0" w:after="0" w:line="360" w:lineRule="auto"/>
        <w:ind w:right="0"/>
        <w:rPr>
          <w:rFonts w:hint="default"/>
          <w:sz w:val="24"/>
          <w:szCs w:val="24"/>
          <w:lang w:val="en-US" w:eastAsia="zh-CN"/>
        </w:rPr>
      </w:pPr>
      <w:r>
        <w:rPr>
          <w:rFonts w:hint="eastAsia"/>
          <w:color w:val="auto"/>
          <w:sz w:val="24"/>
          <w:szCs w:val="24"/>
          <w:highlight w:val="none"/>
          <w:lang w:eastAsia="zh-CN"/>
        </w:rPr>
        <w:t>③环保设施：南冲风电场营运期员工从大马风电场中调配，不新增劳动定员。大马风电场内建设有地埋式一体化污水处理设施、油烟净化器、危废暂存间等环保设施，南冲风电场依托大马风电场升压站内环保设施。</w:t>
      </w:r>
    </w:p>
    <w:p w14:paraId="502E25C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本工程建设主要由风电机组、道路工程、集电线路</w:t>
      </w:r>
      <w:r>
        <w:rPr>
          <w:rFonts w:hint="eastAsia" w:ascii="Times New Roman" w:hAnsi="Times New Roman" w:cs="Times New Roman"/>
          <w:color w:val="auto"/>
          <w:kern w:val="0"/>
          <w:sz w:val="24"/>
          <w:szCs w:val="24"/>
          <w:highlight w:val="none"/>
          <w:lang w:val="en-US" w:eastAsia="zh-CN"/>
        </w:rPr>
        <w:t>、升压站扩建等主体工程，</w:t>
      </w:r>
      <w:r>
        <w:rPr>
          <w:rFonts w:hint="default" w:ascii="Times New Roman" w:hAnsi="Times New Roman" w:cs="Times New Roman"/>
          <w:color w:val="auto"/>
          <w:kern w:val="0"/>
          <w:sz w:val="24"/>
          <w:szCs w:val="24"/>
          <w:highlight w:val="none"/>
          <w:lang w:val="en-US" w:eastAsia="zh-CN"/>
        </w:rPr>
        <w:t>施工临建</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弃渣场</w:t>
      </w:r>
      <w:r>
        <w:rPr>
          <w:rFonts w:hint="eastAsia" w:ascii="Times New Roman" w:hAnsi="Times New Roman" w:cs="Times New Roman"/>
          <w:color w:val="auto"/>
          <w:kern w:val="0"/>
          <w:sz w:val="24"/>
          <w:szCs w:val="24"/>
          <w:highlight w:val="none"/>
          <w:lang w:val="en-US" w:eastAsia="zh-CN"/>
        </w:rPr>
        <w:t>等临时辅助工程和污水处理设施等环保工程以及</w:t>
      </w:r>
      <w:r>
        <w:rPr>
          <w:rFonts w:hint="default" w:ascii="Times New Roman" w:hAnsi="Times New Roman" w:cs="Times New Roman"/>
          <w:color w:val="auto"/>
          <w:sz w:val="24"/>
          <w:szCs w:val="24"/>
          <w:highlight w:val="none"/>
        </w:rPr>
        <w:t>供电、供水、排水等公用工程</w:t>
      </w:r>
      <w:r>
        <w:rPr>
          <w:rFonts w:hint="default" w:ascii="Times New Roman" w:hAnsi="Times New Roman" w:cs="Times New Roman"/>
          <w:color w:val="auto"/>
          <w:kern w:val="0"/>
          <w:sz w:val="24"/>
          <w:szCs w:val="24"/>
          <w:highlight w:val="none"/>
          <w:lang w:val="en-US" w:eastAsia="zh-CN"/>
        </w:rPr>
        <w:t>组成。本项目总占地</w:t>
      </w:r>
      <w:r>
        <w:rPr>
          <w:rFonts w:hint="eastAsia" w:ascii="Times New Roman" w:hAnsi="Times New Roman" w:cs="Times New Roman"/>
          <w:color w:val="auto"/>
          <w:kern w:val="0"/>
          <w:sz w:val="24"/>
          <w:szCs w:val="24"/>
          <w:highlight w:val="none"/>
          <w:lang w:val="en-US" w:eastAsia="zh-CN"/>
        </w:rPr>
        <w:t>49.38</w:t>
      </w:r>
      <w:r>
        <w:rPr>
          <w:rFonts w:hint="default" w:ascii="Times New Roman" w:hAnsi="Times New Roman" w:cs="Times New Roman"/>
          <w:color w:val="auto"/>
          <w:kern w:val="0"/>
          <w:sz w:val="24"/>
          <w:szCs w:val="24"/>
          <w:highlight w:val="none"/>
          <w:lang w:val="en-US" w:eastAsia="zh-CN"/>
        </w:rPr>
        <w:t>hm</w:t>
      </w:r>
      <w:r>
        <w:rPr>
          <w:rFonts w:hint="default" w:ascii="Times New Roman" w:hAnsi="Times New Roman" w:cs="Times New Roman"/>
          <w:color w:val="auto"/>
          <w:kern w:val="0"/>
          <w:sz w:val="24"/>
          <w:szCs w:val="24"/>
          <w:highlight w:val="none"/>
          <w:vertAlign w:val="superscript"/>
          <w:lang w:val="en-US" w:eastAsia="zh-CN"/>
        </w:rPr>
        <w:t>2</w:t>
      </w:r>
      <w:r>
        <w:rPr>
          <w:rFonts w:hint="default" w:ascii="Times New Roman" w:hAnsi="Times New Roman" w:cs="Times New Roman"/>
          <w:color w:val="auto"/>
          <w:kern w:val="0"/>
          <w:sz w:val="24"/>
          <w:szCs w:val="24"/>
          <w:highlight w:val="none"/>
          <w:lang w:val="en-US" w:eastAsia="zh-CN"/>
        </w:rPr>
        <w:t>，其中永久占地</w:t>
      </w:r>
      <w:r>
        <w:rPr>
          <w:rFonts w:hint="eastAsia" w:ascii="Times New Roman" w:hAnsi="Times New Roman" w:cs="Times New Roman"/>
          <w:color w:val="auto"/>
          <w:kern w:val="0"/>
          <w:sz w:val="24"/>
          <w:szCs w:val="24"/>
          <w:highlight w:val="none"/>
          <w:lang w:val="en-US" w:eastAsia="zh-CN"/>
        </w:rPr>
        <w:t>0.73</w:t>
      </w:r>
      <w:r>
        <w:rPr>
          <w:rFonts w:hint="default" w:ascii="Times New Roman" w:hAnsi="Times New Roman" w:cs="Times New Roman"/>
          <w:color w:val="auto"/>
          <w:kern w:val="0"/>
          <w:sz w:val="24"/>
          <w:szCs w:val="24"/>
          <w:highlight w:val="none"/>
          <w:lang w:val="en-US" w:eastAsia="zh-CN"/>
        </w:rPr>
        <w:t>hm</w:t>
      </w:r>
      <w:r>
        <w:rPr>
          <w:rFonts w:hint="default" w:ascii="Times New Roman" w:hAnsi="Times New Roman" w:cs="Times New Roman"/>
          <w:color w:val="auto"/>
          <w:kern w:val="0"/>
          <w:sz w:val="24"/>
          <w:szCs w:val="24"/>
          <w:highlight w:val="none"/>
          <w:vertAlign w:val="superscript"/>
          <w:lang w:val="en-US" w:eastAsia="zh-CN"/>
        </w:rPr>
        <w:t>2</w:t>
      </w:r>
      <w:r>
        <w:rPr>
          <w:rFonts w:hint="default" w:ascii="Times New Roman" w:hAnsi="Times New Roman" w:cs="Times New Roman"/>
          <w:color w:val="auto"/>
          <w:kern w:val="0"/>
          <w:sz w:val="24"/>
          <w:szCs w:val="24"/>
          <w:highlight w:val="none"/>
          <w:lang w:val="en-US" w:eastAsia="zh-CN"/>
        </w:rPr>
        <w:t>，临时占地</w:t>
      </w:r>
      <w:r>
        <w:rPr>
          <w:rFonts w:hint="eastAsia" w:ascii="Times New Roman" w:hAnsi="Times New Roman" w:cs="Times New Roman"/>
          <w:color w:val="auto"/>
          <w:kern w:val="0"/>
          <w:sz w:val="24"/>
          <w:szCs w:val="24"/>
          <w:highlight w:val="none"/>
          <w:lang w:val="en-US" w:eastAsia="zh-CN"/>
        </w:rPr>
        <w:t>48.65</w:t>
      </w:r>
      <w:r>
        <w:rPr>
          <w:rFonts w:hint="default" w:ascii="Times New Roman" w:hAnsi="Times New Roman" w:cs="Times New Roman"/>
          <w:color w:val="auto"/>
          <w:kern w:val="0"/>
          <w:sz w:val="24"/>
          <w:szCs w:val="24"/>
          <w:highlight w:val="none"/>
          <w:lang w:val="en-US" w:eastAsia="zh-CN"/>
        </w:rPr>
        <w:t>hm</w:t>
      </w:r>
      <w:r>
        <w:rPr>
          <w:rFonts w:hint="default" w:ascii="Times New Roman" w:hAnsi="Times New Roman" w:cs="Times New Roman"/>
          <w:color w:val="auto"/>
          <w:kern w:val="0"/>
          <w:sz w:val="24"/>
          <w:szCs w:val="24"/>
          <w:highlight w:val="none"/>
          <w:vertAlign w:val="superscript"/>
          <w:lang w:val="en-US" w:eastAsia="zh-CN"/>
        </w:rPr>
        <w:t>2</w:t>
      </w:r>
      <w:r>
        <w:rPr>
          <w:rFonts w:hint="default" w:ascii="Times New Roman" w:hAnsi="Times New Roman" w:cs="Times New Roman"/>
          <w:color w:val="auto"/>
          <w:kern w:val="0"/>
          <w:sz w:val="24"/>
          <w:szCs w:val="24"/>
          <w:highlight w:val="none"/>
          <w:lang w:val="en-US" w:eastAsia="zh-CN"/>
        </w:rPr>
        <w:t>，占地类型为林地、草地、交通用地。</w:t>
      </w:r>
    </w:p>
    <w:p w14:paraId="4FD8F0C0">
      <w:pPr>
        <w:pStyle w:val="30"/>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sz w:val="24"/>
          <w:szCs w:val="24"/>
          <w:highlight w:val="none"/>
        </w:rPr>
        <w:t>风电机组包括风机机组、箱式变压器及风机机组的安装场地，其中风机及箱变基础占地</w:t>
      </w:r>
      <w:r>
        <w:rPr>
          <w:rFonts w:hint="eastAsia" w:ascii="Times New Roman" w:hAnsi="Times New Roman" w:cs="Times New Roman"/>
          <w:color w:val="auto"/>
          <w:sz w:val="24"/>
          <w:szCs w:val="24"/>
          <w:highlight w:val="none"/>
          <w:lang w:val="en-US" w:eastAsia="zh-CN"/>
        </w:rPr>
        <w:t>0.73</w:t>
      </w:r>
      <w:r>
        <w:rPr>
          <w:rFonts w:hint="default" w:ascii="Times New Roman" w:hAnsi="Times New Roman" w:cs="Times New Roman"/>
          <w:color w:val="auto"/>
          <w:sz w:val="24"/>
          <w:szCs w:val="24"/>
          <w:highlight w:val="none"/>
        </w:rPr>
        <w:t>hm</w:t>
      </w:r>
      <w:r>
        <w:rPr>
          <w:rFonts w:hint="default" w:ascii="Times New Roman" w:hAnsi="Times New Roman" w:cs="Times New Roman"/>
          <w:color w:val="auto"/>
          <w:sz w:val="24"/>
          <w:szCs w:val="24"/>
          <w:highlight w:val="none"/>
          <w:vertAlign w:val="superscript"/>
        </w:rPr>
        <w:t>2</w:t>
      </w:r>
      <w:r>
        <w:rPr>
          <w:rFonts w:hint="default" w:ascii="Times New Roman" w:hAnsi="Times New Roman" w:cs="Times New Roman"/>
          <w:color w:val="auto"/>
          <w:sz w:val="24"/>
          <w:szCs w:val="24"/>
          <w:highlight w:val="none"/>
        </w:rPr>
        <w:t>/</w:t>
      </w:r>
      <w:r>
        <w:rPr>
          <w:rFonts w:hint="eastAsia" w:ascii="Times New Roman" w:hAnsi="Times New Roman" w:cs="Times New Roman"/>
          <w:color w:val="auto"/>
          <w:sz w:val="24"/>
          <w:szCs w:val="24"/>
          <w:highlight w:val="none"/>
          <w:lang w:val="en-US" w:eastAsia="zh-CN"/>
        </w:rPr>
        <w:t>20</w:t>
      </w:r>
      <w:r>
        <w:rPr>
          <w:rFonts w:hint="default" w:ascii="Times New Roman" w:hAnsi="Times New Roman" w:cs="Times New Roman"/>
          <w:color w:val="auto"/>
          <w:sz w:val="24"/>
          <w:szCs w:val="24"/>
          <w:highlight w:val="none"/>
        </w:rPr>
        <w:t>台，风机安装平台占地</w:t>
      </w:r>
      <w:r>
        <w:rPr>
          <w:rFonts w:hint="eastAsia" w:ascii="Times New Roman" w:hAnsi="Times New Roman" w:cs="Times New Roman"/>
          <w:color w:val="auto"/>
          <w:sz w:val="24"/>
          <w:szCs w:val="24"/>
          <w:highlight w:val="none"/>
          <w:lang w:val="en-US" w:eastAsia="zh-CN"/>
        </w:rPr>
        <w:t>4.99</w:t>
      </w:r>
      <w:r>
        <w:rPr>
          <w:rFonts w:hint="default" w:ascii="Times New Roman" w:hAnsi="Times New Roman" w:cs="Times New Roman"/>
          <w:color w:val="auto"/>
          <w:sz w:val="24"/>
          <w:szCs w:val="24"/>
          <w:highlight w:val="none"/>
        </w:rPr>
        <w:t>hm</w:t>
      </w:r>
      <w:r>
        <w:rPr>
          <w:rFonts w:hint="default" w:ascii="Times New Roman" w:hAnsi="Times New Roman" w:cs="Times New Roman"/>
          <w:color w:val="auto"/>
          <w:sz w:val="24"/>
          <w:szCs w:val="24"/>
          <w:highlight w:val="none"/>
          <w:vertAlign w:val="superscript"/>
        </w:rPr>
        <w:t>2</w:t>
      </w:r>
      <w:r>
        <w:rPr>
          <w:rFonts w:hint="default" w:ascii="Times New Roman" w:hAnsi="Times New Roman" w:cs="Times New Roman"/>
          <w:color w:val="auto"/>
          <w:sz w:val="24"/>
          <w:szCs w:val="24"/>
          <w:highlight w:val="none"/>
        </w:rPr>
        <w:t>/</w:t>
      </w:r>
      <w:r>
        <w:rPr>
          <w:rFonts w:hint="eastAsia" w:ascii="Times New Roman" w:hAnsi="Times New Roman" w:cs="Times New Roman"/>
          <w:color w:val="auto"/>
          <w:sz w:val="24"/>
          <w:szCs w:val="24"/>
          <w:highlight w:val="none"/>
          <w:lang w:val="en-US" w:eastAsia="zh-CN"/>
        </w:rPr>
        <w:t>20</w:t>
      </w:r>
      <w:r>
        <w:rPr>
          <w:rFonts w:hint="default" w:ascii="Times New Roman" w:hAnsi="Times New Roman" w:cs="Times New Roman"/>
          <w:color w:val="auto"/>
          <w:sz w:val="24"/>
          <w:szCs w:val="24"/>
          <w:highlight w:val="none"/>
        </w:rPr>
        <w:t>处。道路工程共计占地34.66hm</w:t>
      </w:r>
      <w:r>
        <w:rPr>
          <w:rFonts w:hint="default" w:ascii="Times New Roman" w:hAnsi="Times New Roman" w:cs="Times New Roman"/>
          <w:color w:val="auto"/>
          <w:sz w:val="24"/>
          <w:szCs w:val="24"/>
          <w:highlight w:val="none"/>
          <w:vertAlign w:val="superscript"/>
        </w:rPr>
        <w:t>2</w:t>
      </w:r>
      <w:r>
        <w:rPr>
          <w:rFonts w:hint="default" w:ascii="Times New Roman" w:hAnsi="Times New Roman" w:cs="Times New Roman"/>
          <w:color w:val="auto"/>
          <w:sz w:val="24"/>
          <w:szCs w:val="24"/>
          <w:highlight w:val="none"/>
        </w:rPr>
        <w:t>/33.86km，其中新建场内道路占地27.00hm</w:t>
      </w:r>
      <w:r>
        <w:rPr>
          <w:rFonts w:hint="default" w:ascii="Times New Roman" w:hAnsi="Times New Roman" w:cs="Times New Roman"/>
          <w:color w:val="auto"/>
          <w:sz w:val="24"/>
          <w:szCs w:val="24"/>
          <w:highlight w:val="none"/>
          <w:vertAlign w:val="superscript"/>
        </w:rPr>
        <w:t>2</w:t>
      </w:r>
      <w:r>
        <w:rPr>
          <w:rFonts w:hint="default" w:ascii="Times New Roman" w:hAnsi="Times New Roman" w:cs="Times New Roman"/>
          <w:color w:val="auto"/>
          <w:sz w:val="24"/>
          <w:szCs w:val="24"/>
          <w:highlight w:val="none"/>
        </w:rPr>
        <w:t>/22.9km（含渣场道路），改造道路占地7.67hm</w:t>
      </w:r>
      <w:r>
        <w:rPr>
          <w:rFonts w:hint="default" w:ascii="Times New Roman" w:hAnsi="Times New Roman" w:cs="Times New Roman"/>
          <w:color w:val="auto"/>
          <w:sz w:val="24"/>
          <w:szCs w:val="24"/>
          <w:highlight w:val="none"/>
          <w:vertAlign w:val="superscript"/>
        </w:rPr>
        <w:t>2</w:t>
      </w:r>
      <w:r>
        <w:rPr>
          <w:rFonts w:hint="default" w:ascii="Times New Roman" w:hAnsi="Times New Roman" w:cs="Times New Roman"/>
          <w:color w:val="auto"/>
          <w:sz w:val="24"/>
          <w:szCs w:val="24"/>
          <w:highlight w:val="none"/>
        </w:rPr>
        <w:t>/10.95km（现有村道和机耕道）。本工程风电场区共分5组集电线路接入大马风电场（一期）110kV升压站（本项目不再新建升压站）。集电线路采用35kV直埋电缆敷设，集电线路直埋电缆长度为35.99km/3.60hm</w:t>
      </w:r>
      <w:r>
        <w:rPr>
          <w:rFonts w:hint="default" w:ascii="Times New Roman" w:hAnsi="Times New Roman" w:cs="Times New Roman"/>
          <w:color w:val="auto"/>
          <w:sz w:val="24"/>
          <w:szCs w:val="24"/>
          <w:highlight w:val="none"/>
          <w:vertAlign w:val="superscript"/>
        </w:rPr>
        <w:t>2</w:t>
      </w:r>
      <w:r>
        <w:rPr>
          <w:rFonts w:hint="default" w:ascii="Times New Roman" w:hAnsi="Times New Roman" w:cs="Times New Roman"/>
          <w:color w:val="auto"/>
          <w:sz w:val="24"/>
          <w:szCs w:val="24"/>
          <w:highlight w:val="none"/>
        </w:rPr>
        <w:t>。设置弃渣场5.4hm</w:t>
      </w:r>
      <w:r>
        <w:rPr>
          <w:rFonts w:hint="default" w:ascii="Times New Roman" w:hAnsi="Times New Roman" w:cs="Times New Roman"/>
          <w:color w:val="auto"/>
          <w:sz w:val="24"/>
          <w:szCs w:val="24"/>
          <w:highlight w:val="none"/>
          <w:vertAlign w:val="superscript"/>
        </w:rPr>
        <w:t>2</w:t>
      </w:r>
      <w:r>
        <w:rPr>
          <w:rFonts w:hint="default" w:ascii="Times New Roman" w:hAnsi="Times New Roman" w:cs="Times New Roman"/>
          <w:color w:val="auto"/>
          <w:sz w:val="24"/>
          <w:szCs w:val="24"/>
          <w:highlight w:val="none"/>
        </w:rPr>
        <w:t>/12处</w:t>
      </w:r>
      <w:r>
        <w:rPr>
          <w:rFonts w:hint="eastAsia" w:ascii="Times New Roman" w:hAnsi="Times New Roman" w:cs="Times New Roman"/>
          <w:color w:val="auto"/>
          <w:sz w:val="24"/>
          <w:szCs w:val="24"/>
          <w:highlight w:val="none"/>
          <w:lang w:eastAsia="zh-CN"/>
        </w:rPr>
        <w:t>；</w:t>
      </w:r>
      <w:r>
        <w:rPr>
          <w:rFonts w:hint="default" w:ascii="Times New Roman" w:hAnsi="Times New Roman" w:cs="Times New Roman"/>
          <w:color w:val="auto"/>
          <w:sz w:val="24"/>
          <w:szCs w:val="24"/>
          <w:highlight w:val="none"/>
        </w:rPr>
        <w:t>施工临建区</w:t>
      </w:r>
      <w:r>
        <w:rPr>
          <w:rFonts w:hint="eastAsia" w:ascii="Times New Roman" w:hAnsi="Times New Roman" w:cs="Times New Roman"/>
          <w:color w:val="auto"/>
          <w:sz w:val="24"/>
          <w:szCs w:val="24"/>
          <w:highlight w:val="none"/>
          <w:lang w:eastAsia="zh-CN"/>
        </w:rPr>
        <w:t>利用现有升压站及新建的风机安装平台，施工人员住宿租用山脚下民房，不新增占地</w:t>
      </w:r>
      <w:r>
        <w:rPr>
          <w:rFonts w:hint="default" w:ascii="Times New Roman" w:hAnsi="Times New Roman" w:cs="Times New Roman"/>
          <w:color w:val="auto"/>
          <w:sz w:val="24"/>
          <w:szCs w:val="24"/>
          <w:highlight w:val="none"/>
        </w:rPr>
        <w:t>。</w:t>
      </w:r>
    </w:p>
    <w:p w14:paraId="151B330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本工程风电场区共分5组集电线路接入大马风电场110kV升压站。已建成的大马风电场升压站围墙内占地面积为6006.00m</w:t>
      </w:r>
      <w:r>
        <w:rPr>
          <w:rFonts w:hint="default" w:ascii="Times New Roman" w:hAnsi="Times New Roman" w:cs="Times New Roman"/>
          <w:color w:val="auto"/>
          <w:kern w:val="0"/>
          <w:sz w:val="24"/>
          <w:szCs w:val="24"/>
          <w:highlight w:val="none"/>
          <w:vertAlign w:val="superscript"/>
          <w:lang w:val="en-US" w:eastAsia="zh-CN"/>
        </w:rPr>
        <w:t>2</w:t>
      </w:r>
      <w:r>
        <w:rPr>
          <w:rFonts w:hint="default" w:ascii="Times New Roman" w:hAnsi="Times New Roman" w:cs="Times New Roman"/>
          <w:color w:val="auto"/>
          <w:kern w:val="0"/>
          <w:sz w:val="24"/>
          <w:szCs w:val="24"/>
          <w:highlight w:val="none"/>
          <w:lang w:val="en-US" w:eastAsia="zh-CN"/>
        </w:rPr>
        <w:t>，升压站内综合楼、设备楼、附属用房等建筑物已满足生产生活需要，不需要扩建。仅需对升压站内主变基础、无功补偿基础、构架等变配电设备基础进行扩建</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在升压站内本期工程需新增1台100MVA的主变、1个110kV主变进线间隔，建设2段35kV母线，设置4回集电线路、2套无功补偿装置、1套接地变等。</w:t>
      </w:r>
    </w:p>
    <w:p w14:paraId="54F2D12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color w:val="auto"/>
          <w:sz w:val="24"/>
          <w:szCs w:val="24"/>
          <w:highlight w:val="none"/>
        </w:rPr>
      </w:pPr>
      <w:r>
        <w:rPr>
          <w:rFonts w:hint="eastAsia" w:ascii="Times New Roman" w:hAnsi="Times New Roman" w:cs="Times New Roman"/>
          <w:color w:val="auto"/>
          <w:sz w:val="24"/>
          <w:szCs w:val="24"/>
          <w:highlight w:val="none"/>
          <w:lang w:eastAsia="zh-CN"/>
        </w:rPr>
        <w:t>南冲</w:t>
      </w:r>
      <w:r>
        <w:rPr>
          <w:rFonts w:hint="default" w:ascii="Times New Roman" w:hAnsi="Times New Roman" w:cs="Times New Roman"/>
          <w:color w:val="auto"/>
          <w:sz w:val="24"/>
          <w:szCs w:val="24"/>
          <w:highlight w:val="none"/>
        </w:rPr>
        <w:t>风电场工程</w:t>
      </w:r>
      <w:r>
        <w:rPr>
          <w:rFonts w:hint="eastAsia"/>
          <w:color w:val="auto"/>
          <w:sz w:val="24"/>
          <w:highlight w:val="none"/>
          <w:lang w:eastAsia="zh-CN"/>
        </w:rPr>
        <w:t>（大马二期）</w:t>
      </w:r>
      <w:r>
        <w:rPr>
          <w:rFonts w:hint="default" w:ascii="Times New Roman" w:hAnsi="Times New Roman" w:cs="Times New Roman"/>
          <w:color w:val="auto"/>
          <w:sz w:val="24"/>
          <w:szCs w:val="24"/>
          <w:highlight w:val="none"/>
        </w:rPr>
        <w:t>主要建设内容见下表。</w:t>
      </w:r>
    </w:p>
    <w:p w14:paraId="6A385AD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color w:val="auto"/>
          <w:sz w:val="24"/>
          <w:szCs w:val="24"/>
          <w:highlight w:val="none"/>
          <w:u w:val="none"/>
        </w:rPr>
      </w:pPr>
      <w:r>
        <w:rPr>
          <w:rFonts w:hint="default" w:ascii="Times New Roman" w:hAnsi="Times New Roman" w:eastAsia="宋体" w:cs="Times New Roman"/>
          <w:b/>
          <w:bCs/>
          <w:color w:val="auto"/>
          <w:sz w:val="24"/>
          <w:szCs w:val="24"/>
          <w:highlight w:val="none"/>
          <w:u w:val="none"/>
        </w:rPr>
        <w:t>表</w:t>
      </w:r>
      <w:r>
        <w:rPr>
          <w:rFonts w:hint="eastAsia" w:ascii="Times New Roman" w:hAnsi="Times New Roman" w:eastAsia="宋体" w:cs="Times New Roman"/>
          <w:b/>
          <w:bCs/>
          <w:color w:val="auto"/>
          <w:sz w:val="24"/>
          <w:szCs w:val="24"/>
          <w:highlight w:val="none"/>
          <w:u w:val="none"/>
          <w:lang w:val="en-US" w:eastAsia="zh-CN"/>
        </w:rPr>
        <w:t>4.</w:t>
      </w:r>
      <w:r>
        <w:rPr>
          <w:rFonts w:hint="eastAsia" w:cs="Times New Roman"/>
          <w:b/>
          <w:bCs/>
          <w:color w:val="auto"/>
          <w:sz w:val="24"/>
          <w:szCs w:val="24"/>
          <w:highlight w:val="none"/>
          <w:u w:val="none"/>
          <w:lang w:val="en-US" w:eastAsia="zh-CN"/>
        </w:rPr>
        <w:t>3</w:t>
      </w:r>
      <w:r>
        <w:rPr>
          <w:rFonts w:hint="eastAsia" w:ascii="Times New Roman" w:hAnsi="Times New Roman" w:eastAsia="宋体" w:cs="Times New Roman"/>
          <w:b/>
          <w:bCs/>
          <w:color w:val="auto"/>
          <w:sz w:val="24"/>
          <w:szCs w:val="24"/>
          <w:highlight w:val="none"/>
          <w:u w:val="none"/>
          <w:lang w:val="en-US" w:eastAsia="zh-CN"/>
        </w:rPr>
        <w:t xml:space="preserve">-1  </w:t>
      </w:r>
      <w:r>
        <w:rPr>
          <w:rFonts w:hint="default" w:ascii="Times New Roman" w:hAnsi="Times New Roman" w:eastAsia="宋体" w:cs="Times New Roman"/>
          <w:b/>
          <w:bCs/>
          <w:color w:val="auto"/>
          <w:sz w:val="24"/>
          <w:szCs w:val="24"/>
          <w:highlight w:val="none"/>
          <w:u w:val="none"/>
        </w:rPr>
        <w:t>项目</w:t>
      </w:r>
      <w:r>
        <w:rPr>
          <w:rFonts w:hint="default" w:ascii="Times New Roman" w:hAnsi="Times New Roman" w:eastAsia="宋体" w:cs="Times New Roman"/>
          <w:b/>
          <w:bCs/>
          <w:color w:val="auto"/>
          <w:sz w:val="24"/>
          <w:szCs w:val="24"/>
          <w:highlight w:val="none"/>
          <w:u w:val="none"/>
          <w:lang w:eastAsia="zh-CN"/>
        </w:rPr>
        <w:t>工程内容</w:t>
      </w:r>
      <w:r>
        <w:rPr>
          <w:rFonts w:hint="eastAsia" w:ascii="Times New Roman" w:hAnsi="Times New Roman" w:eastAsia="宋体" w:cs="Times New Roman"/>
          <w:b/>
          <w:bCs/>
          <w:color w:val="auto"/>
          <w:sz w:val="24"/>
          <w:szCs w:val="24"/>
          <w:highlight w:val="none"/>
          <w:u w:val="none"/>
          <w:lang w:eastAsia="zh-CN"/>
        </w:rPr>
        <w:t>组成一览表</w:t>
      </w:r>
    </w:p>
    <w:tbl>
      <w:tblPr>
        <w:tblStyle w:val="19"/>
        <w:tblW w:w="5218"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055"/>
        <w:gridCol w:w="1488"/>
        <w:gridCol w:w="4081"/>
        <w:gridCol w:w="2075"/>
      </w:tblGrid>
      <w:tr w14:paraId="72542AF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51" w:type="dxa"/>
            <w:tcBorders>
              <w:tl2br w:val="nil"/>
              <w:tr2bl w:val="nil"/>
            </w:tcBorders>
            <w:noWrap w:val="0"/>
            <w:vAlign w:val="center"/>
          </w:tcPr>
          <w:p w14:paraId="75DCA442">
            <w:pPr>
              <w:pStyle w:val="44"/>
              <w:keepNext w:val="0"/>
              <w:keepLines w:val="0"/>
              <w:pageBreakBefore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工程组</w:t>
            </w:r>
            <w:r>
              <w:rPr>
                <w:rFonts w:hint="default" w:ascii="Times New Roman" w:hAnsi="Times New Roman" w:eastAsia="宋体" w:cs="Times New Roman"/>
                <w:color w:val="auto"/>
                <w:w w:val="99"/>
                <w:sz w:val="21"/>
                <w:szCs w:val="21"/>
                <w:highlight w:val="none"/>
                <w:u w:val="none"/>
              </w:rPr>
              <w:t>成</w:t>
            </w:r>
          </w:p>
        </w:tc>
        <w:tc>
          <w:tcPr>
            <w:tcW w:w="1483" w:type="dxa"/>
            <w:tcBorders>
              <w:tl2br w:val="nil"/>
              <w:tr2bl w:val="nil"/>
            </w:tcBorders>
            <w:noWrap w:val="0"/>
            <w:vAlign w:val="center"/>
          </w:tcPr>
          <w:p w14:paraId="6F44F9AD">
            <w:pPr>
              <w:pStyle w:val="44"/>
              <w:keepNext w:val="0"/>
              <w:keepLines w:val="0"/>
              <w:pageBreakBefore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w w:val="95"/>
                <w:sz w:val="21"/>
                <w:szCs w:val="21"/>
                <w:highlight w:val="none"/>
                <w:u w:val="none"/>
              </w:rPr>
              <w:t>项目</w:t>
            </w:r>
          </w:p>
        </w:tc>
        <w:tc>
          <w:tcPr>
            <w:tcW w:w="4067" w:type="dxa"/>
            <w:tcBorders>
              <w:tl2br w:val="nil"/>
              <w:tr2bl w:val="nil"/>
            </w:tcBorders>
            <w:noWrap w:val="0"/>
            <w:vAlign w:val="center"/>
          </w:tcPr>
          <w:p w14:paraId="330A7C0C">
            <w:pPr>
              <w:pStyle w:val="44"/>
              <w:keepNext w:val="0"/>
              <w:keepLines w:val="0"/>
              <w:pageBreakBefore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工程组成及特性</w:t>
            </w:r>
          </w:p>
        </w:tc>
        <w:tc>
          <w:tcPr>
            <w:tcW w:w="2068" w:type="dxa"/>
            <w:tcBorders>
              <w:tl2br w:val="nil"/>
              <w:tr2bl w:val="nil"/>
            </w:tcBorders>
            <w:noWrap w:val="0"/>
            <w:vAlign w:val="center"/>
          </w:tcPr>
          <w:p w14:paraId="4BC829F0">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备注</w:t>
            </w:r>
          </w:p>
        </w:tc>
      </w:tr>
      <w:tr w14:paraId="1E61310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51" w:type="dxa"/>
            <w:vMerge w:val="restart"/>
            <w:tcBorders>
              <w:tl2br w:val="nil"/>
              <w:tr2bl w:val="nil"/>
            </w:tcBorders>
            <w:noWrap w:val="0"/>
            <w:vAlign w:val="center"/>
          </w:tcPr>
          <w:p w14:paraId="675B5A79">
            <w:pPr>
              <w:pStyle w:val="44"/>
              <w:keepNext w:val="0"/>
              <w:keepLines w:val="0"/>
              <w:pageBreakBefore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主体工程</w:t>
            </w:r>
          </w:p>
        </w:tc>
        <w:tc>
          <w:tcPr>
            <w:tcW w:w="1483" w:type="dxa"/>
            <w:tcBorders>
              <w:tl2br w:val="nil"/>
              <w:tr2bl w:val="nil"/>
            </w:tcBorders>
            <w:noWrap w:val="0"/>
            <w:vAlign w:val="center"/>
          </w:tcPr>
          <w:p w14:paraId="1262718A">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rPr>
              <w:t>风机</w:t>
            </w:r>
            <w:r>
              <w:rPr>
                <w:rFonts w:hint="default" w:ascii="Times New Roman" w:hAnsi="Times New Roman" w:eastAsia="宋体" w:cs="Times New Roman"/>
                <w:color w:val="auto"/>
                <w:sz w:val="21"/>
                <w:szCs w:val="21"/>
                <w:highlight w:val="none"/>
                <w:u w:val="none"/>
                <w:lang w:eastAsia="zh-CN"/>
              </w:rPr>
              <w:t>、</w:t>
            </w:r>
            <w:r>
              <w:rPr>
                <w:rFonts w:hint="default" w:ascii="Times New Roman" w:hAnsi="Times New Roman" w:eastAsia="宋体" w:cs="Times New Roman"/>
                <w:color w:val="auto"/>
                <w:sz w:val="21"/>
                <w:szCs w:val="21"/>
                <w:highlight w:val="none"/>
                <w:u w:val="none"/>
              </w:rPr>
              <w:t>箱变</w:t>
            </w:r>
            <w:r>
              <w:rPr>
                <w:rFonts w:hint="default" w:ascii="Times New Roman" w:hAnsi="Times New Roman" w:eastAsia="宋体" w:cs="Times New Roman"/>
                <w:color w:val="auto"/>
                <w:sz w:val="21"/>
                <w:szCs w:val="21"/>
                <w:highlight w:val="none"/>
                <w:u w:val="none"/>
                <w:lang w:eastAsia="zh-CN"/>
              </w:rPr>
              <w:t>及风机安装平台</w:t>
            </w:r>
          </w:p>
        </w:tc>
        <w:tc>
          <w:tcPr>
            <w:tcW w:w="4067" w:type="dxa"/>
            <w:tcBorders>
              <w:tl2br w:val="nil"/>
              <w:tr2bl w:val="nil"/>
            </w:tcBorders>
            <w:noWrap w:val="0"/>
            <w:vAlign w:val="center"/>
          </w:tcPr>
          <w:p w14:paraId="1389925E">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lang w:val="en-US" w:eastAsia="zh-CN"/>
              </w:rPr>
              <w:t>安装20台单机容量5.0MW风力发电机组，总装机容量为100MW，总占地面积5.72hm</w:t>
            </w:r>
            <w:r>
              <w:rPr>
                <w:rFonts w:hint="default" w:ascii="Times New Roman" w:hAnsi="Times New Roman" w:eastAsia="宋体" w:cs="Times New Roman"/>
                <w:color w:val="auto"/>
                <w:sz w:val="21"/>
                <w:szCs w:val="21"/>
                <w:highlight w:val="none"/>
                <w:u w:val="none"/>
                <w:vertAlign w:val="superscript"/>
                <w:lang w:val="en-US" w:eastAsia="zh-CN"/>
              </w:rPr>
              <w:t>2</w:t>
            </w:r>
            <w:r>
              <w:rPr>
                <w:rFonts w:hint="default" w:ascii="Times New Roman" w:hAnsi="Times New Roman" w:eastAsia="宋体" w:cs="Times New Roman"/>
                <w:color w:val="auto"/>
                <w:sz w:val="21"/>
                <w:szCs w:val="21"/>
                <w:highlight w:val="none"/>
                <w:u w:val="none"/>
                <w:vertAlign w:val="baseline"/>
                <w:lang w:val="en-US" w:eastAsia="zh-CN"/>
              </w:rPr>
              <w:t>，其中风机及箱变基础占地0.73hm</w:t>
            </w:r>
            <w:r>
              <w:rPr>
                <w:rFonts w:hint="default" w:ascii="Times New Roman" w:hAnsi="Times New Roman" w:eastAsia="宋体" w:cs="Times New Roman"/>
                <w:color w:val="auto"/>
                <w:sz w:val="21"/>
                <w:szCs w:val="21"/>
                <w:highlight w:val="none"/>
                <w:u w:val="none"/>
                <w:vertAlign w:val="superscript"/>
                <w:lang w:val="en-US" w:eastAsia="zh-CN"/>
              </w:rPr>
              <w:t>2</w:t>
            </w:r>
            <w:r>
              <w:rPr>
                <w:rFonts w:hint="default" w:ascii="Times New Roman" w:hAnsi="Times New Roman" w:eastAsia="宋体" w:cs="Times New Roman"/>
                <w:color w:val="auto"/>
                <w:sz w:val="21"/>
                <w:szCs w:val="21"/>
                <w:highlight w:val="none"/>
                <w:u w:val="none"/>
                <w:vertAlign w:val="baseline"/>
                <w:lang w:val="en-US" w:eastAsia="zh-CN"/>
              </w:rPr>
              <w:t>/20台，风机安装平台占地4.99hm</w:t>
            </w:r>
            <w:r>
              <w:rPr>
                <w:rFonts w:hint="default" w:ascii="Times New Roman" w:hAnsi="Times New Roman" w:eastAsia="宋体" w:cs="Times New Roman"/>
                <w:color w:val="auto"/>
                <w:sz w:val="21"/>
                <w:szCs w:val="21"/>
                <w:highlight w:val="none"/>
                <w:u w:val="none"/>
                <w:vertAlign w:val="superscript"/>
                <w:lang w:val="en-US" w:eastAsia="zh-CN"/>
              </w:rPr>
              <w:t>2</w:t>
            </w:r>
          </w:p>
        </w:tc>
        <w:tc>
          <w:tcPr>
            <w:tcW w:w="2068" w:type="dxa"/>
            <w:tcBorders>
              <w:tl2br w:val="nil"/>
              <w:tr2bl w:val="nil"/>
            </w:tcBorders>
            <w:noWrap w:val="0"/>
            <w:vAlign w:val="center"/>
          </w:tcPr>
          <w:p w14:paraId="7F5EBD37">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cs="Times New Roman"/>
                <w:color w:val="auto"/>
                <w:sz w:val="21"/>
                <w:szCs w:val="21"/>
                <w:highlight w:val="none"/>
                <w:u w:val="none"/>
                <w:lang w:eastAsia="zh-CN"/>
              </w:rPr>
              <w:t>其中</w:t>
            </w:r>
            <w:r>
              <w:rPr>
                <w:rFonts w:hint="eastAsia" w:ascii="Times New Roman" w:hAnsi="Times New Roman" w:cs="Times New Roman"/>
                <w:color w:val="auto"/>
                <w:sz w:val="21"/>
                <w:szCs w:val="21"/>
                <w:highlight w:val="none"/>
                <w:u w:val="none"/>
                <w:lang w:val="en-US" w:eastAsia="zh-CN"/>
              </w:rPr>
              <w:t>NC11、NC12两个机位为官家嘴风电场备用机位，官家嘴风电场在实施过程中通过设计优化调整后未选用该两个机位。根据《关于加强“未批先建”建设项目环境影响评价管理工作的通知》（环办环评[2018]18号），该两个机位只进行了土石方平衡，未进行破土开槽，不属于未批先建。</w:t>
            </w:r>
          </w:p>
        </w:tc>
      </w:tr>
      <w:tr w14:paraId="3C8C7CC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51" w:type="dxa"/>
            <w:vMerge w:val="continue"/>
            <w:tcBorders>
              <w:tl2br w:val="nil"/>
              <w:tr2bl w:val="nil"/>
            </w:tcBorders>
            <w:noWrap w:val="0"/>
            <w:vAlign w:val="center"/>
          </w:tcPr>
          <w:p w14:paraId="7BE6D0D7">
            <w:pPr>
              <w:keepNext w:val="0"/>
              <w:keepLines w:val="0"/>
              <w:pageBreakBefore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u w:val="none"/>
              </w:rPr>
            </w:pPr>
          </w:p>
        </w:tc>
        <w:tc>
          <w:tcPr>
            <w:tcW w:w="1483" w:type="dxa"/>
            <w:tcBorders>
              <w:tl2br w:val="nil"/>
              <w:tr2bl w:val="nil"/>
            </w:tcBorders>
            <w:noWrap w:val="0"/>
            <w:vAlign w:val="center"/>
          </w:tcPr>
          <w:p w14:paraId="40389EEB">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集电线路</w:t>
            </w:r>
          </w:p>
        </w:tc>
        <w:tc>
          <w:tcPr>
            <w:tcW w:w="4067" w:type="dxa"/>
            <w:tcBorders>
              <w:tl2br w:val="nil"/>
              <w:tr2bl w:val="nil"/>
            </w:tcBorders>
            <w:noWrap w:val="0"/>
            <w:vAlign w:val="center"/>
          </w:tcPr>
          <w:p w14:paraId="3A7CE187">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直埋电缆总长度</w:t>
            </w:r>
            <w:r>
              <w:rPr>
                <w:rFonts w:hint="default" w:ascii="Times New Roman" w:hAnsi="Times New Roman" w:eastAsia="宋体" w:cs="Times New Roman"/>
                <w:color w:val="auto"/>
                <w:sz w:val="21"/>
                <w:szCs w:val="21"/>
                <w:highlight w:val="none"/>
                <w:u w:val="none"/>
                <w:lang w:val="en-US" w:eastAsia="zh-CN"/>
              </w:rPr>
              <w:t>35.99</w:t>
            </w:r>
            <w:r>
              <w:rPr>
                <w:rFonts w:hint="default" w:ascii="Times New Roman" w:hAnsi="Times New Roman" w:eastAsia="宋体" w:cs="Times New Roman"/>
                <w:color w:val="auto"/>
                <w:sz w:val="21"/>
                <w:szCs w:val="21"/>
                <w:highlight w:val="none"/>
                <w:u w:val="none"/>
              </w:rPr>
              <w:t>km，宽1.0m，施工作业按1.5m，集电线路</w:t>
            </w:r>
            <w:r>
              <w:rPr>
                <w:rFonts w:hint="default" w:ascii="Times New Roman" w:hAnsi="Times New Roman" w:eastAsia="宋体" w:cs="Times New Roman"/>
                <w:color w:val="auto"/>
                <w:sz w:val="21"/>
                <w:szCs w:val="21"/>
                <w:highlight w:val="none"/>
                <w:u w:val="none"/>
                <w:lang w:eastAsia="zh-CN"/>
              </w:rPr>
              <w:t>全部</w:t>
            </w:r>
            <w:r>
              <w:rPr>
                <w:rFonts w:hint="default" w:ascii="Times New Roman" w:hAnsi="Times New Roman" w:eastAsia="宋体" w:cs="Times New Roman"/>
                <w:color w:val="auto"/>
                <w:sz w:val="21"/>
                <w:szCs w:val="21"/>
                <w:highlight w:val="none"/>
                <w:u w:val="none"/>
              </w:rPr>
              <w:t>沿场内道路布设。临时占地</w:t>
            </w:r>
            <w:r>
              <w:rPr>
                <w:rFonts w:hint="default" w:ascii="Times New Roman" w:hAnsi="Times New Roman" w:eastAsia="宋体" w:cs="Times New Roman"/>
                <w:color w:val="auto"/>
                <w:sz w:val="21"/>
                <w:szCs w:val="21"/>
                <w:highlight w:val="none"/>
                <w:u w:val="none"/>
                <w:lang w:val="en-US" w:eastAsia="zh-CN"/>
              </w:rPr>
              <w:t>3.60</w:t>
            </w:r>
            <w:r>
              <w:rPr>
                <w:rFonts w:hint="default" w:ascii="Times New Roman" w:hAnsi="Times New Roman" w:eastAsia="宋体" w:cs="Times New Roman"/>
                <w:color w:val="auto"/>
                <w:sz w:val="21"/>
                <w:szCs w:val="21"/>
                <w:highlight w:val="none"/>
                <w:u w:val="none"/>
              </w:rPr>
              <w:t>hm</w:t>
            </w:r>
            <w:r>
              <w:rPr>
                <w:rFonts w:hint="default" w:ascii="Times New Roman" w:hAnsi="Times New Roman" w:eastAsia="宋体" w:cs="Times New Roman"/>
                <w:color w:val="auto"/>
                <w:sz w:val="21"/>
                <w:szCs w:val="21"/>
                <w:highlight w:val="none"/>
                <w:u w:val="none"/>
                <w:vertAlign w:val="superscript"/>
              </w:rPr>
              <w:t>2</w:t>
            </w:r>
            <w:r>
              <w:rPr>
                <w:rFonts w:hint="default" w:ascii="Times New Roman" w:hAnsi="Times New Roman" w:eastAsia="宋体" w:cs="Times New Roman"/>
                <w:color w:val="auto"/>
                <w:sz w:val="21"/>
                <w:szCs w:val="21"/>
                <w:highlight w:val="none"/>
                <w:u w:val="none"/>
              </w:rPr>
              <w:t>。</w:t>
            </w:r>
          </w:p>
        </w:tc>
        <w:tc>
          <w:tcPr>
            <w:tcW w:w="2068" w:type="dxa"/>
            <w:tcBorders>
              <w:tl2br w:val="nil"/>
              <w:tr2bl w:val="nil"/>
            </w:tcBorders>
            <w:noWrap w:val="0"/>
            <w:vAlign w:val="center"/>
          </w:tcPr>
          <w:p w14:paraId="1EF0ED5F">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新建</w:t>
            </w:r>
          </w:p>
        </w:tc>
      </w:tr>
      <w:tr w14:paraId="0D1C208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51" w:type="dxa"/>
            <w:vMerge w:val="continue"/>
            <w:tcBorders>
              <w:tl2br w:val="nil"/>
              <w:tr2bl w:val="nil"/>
            </w:tcBorders>
            <w:noWrap w:val="0"/>
            <w:vAlign w:val="center"/>
          </w:tcPr>
          <w:p w14:paraId="0970ED01">
            <w:pPr>
              <w:keepNext w:val="0"/>
              <w:keepLines w:val="0"/>
              <w:pageBreakBefore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u w:val="none"/>
              </w:rPr>
            </w:pPr>
          </w:p>
        </w:tc>
        <w:tc>
          <w:tcPr>
            <w:tcW w:w="1483" w:type="dxa"/>
            <w:tcBorders>
              <w:tl2br w:val="nil"/>
              <w:tr2bl w:val="nil"/>
            </w:tcBorders>
            <w:noWrap w:val="0"/>
            <w:vAlign w:val="center"/>
          </w:tcPr>
          <w:p w14:paraId="3847F3B8">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道路</w:t>
            </w:r>
          </w:p>
        </w:tc>
        <w:tc>
          <w:tcPr>
            <w:tcW w:w="4067" w:type="dxa"/>
            <w:tcBorders>
              <w:tl2br w:val="nil"/>
              <w:tr2bl w:val="nil"/>
            </w:tcBorders>
            <w:noWrap w:val="0"/>
            <w:vAlign w:val="center"/>
          </w:tcPr>
          <w:p w14:paraId="59FEDD59">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lang w:val="en-US" w:eastAsia="zh-CN"/>
              </w:rPr>
              <w:t>道路工程共计占地34.66hm</w:t>
            </w:r>
            <w:r>
              <w:rPr>
                <w:rFonts w:hint="default" w:ascii="Times New Roman" w:hAnsi="Times New Roman" w:eastAsia="宋体" w:cs="Times New Roman"/>
                <w:color w:val="auto"/>
                <w:sz w:val="21"/>
                <w:szCs w:val="21"/>
                <w:highlight w:val="none"/>
                <w:u w:val="none"/>
                <w:vertAlign w:val="superscript"/>
                <w:lang w:val="en-US" w:eastAsia="zh-CN"/>
              </w:rPr>
              <w:t>2</w:t>
            </w:r>
            <w:r>
              <w:rPr>
                <w:rFonts w:hint="default" w:ascii="Times New Roman" w:hAnsi="Times New Roman" w:eastAsia="宋体" w:cs="Times New Roman"/>
                <w:color w:val="auto"/>
                <w:sz w:val="21"/>
                <w:szCs w:val="21"/>
                <w:highlight w:val="none"/>
                <w:u w:val="none"/>
                <w:lang w:val="en-US" w:eastAsia="zh-CN"/>
              </w:rPr>
              <w:t>/</w:t>
            </w:r>
            <w:r>
              <w:rPr>
                <w:rFonts w:hint="eastAsia" w:ascii="Times New Roman" w:hAnsi="Times New Roman" w:cs="Times New Roman"/>
                <w:color w:val="auto"/>
                <w:sz w:val="21"/>
                <w:szCs w:val="21"/>
                <w:highlight w:val="none"/>
                <w:u w:val="none"/>
                <w:lang w:val="en-US" w:eastAsia="zh-CN"/>
              </w:rPr>
              <w:t>33.86</w:t>
            </w:r>
            <w:r>
              <w:rPr>
                <w:rFonts w:hint="default" w:ascii="Times New Roman" w:hAnsi="Times New Roman" w:eastAsia="宋体" w:cs="Times New Roman"/>
                <w:color w:val="auto"/>
                <w:sz w:val="21"/>
                <w:szCs w:val="21"/>
                <w:highlight w:val="none"/>
                <w:u w:val="none"/>
                <w:lang w:val="en-US" w:eastAsia="zh-CN"/>
              </w:rPr>
              <w:t>km，其中新建场内道路占地27.00hm</w:t>
            </w:r>
            <w:r>
              <w:rPr>
                <w:rFonts w:hint="default" w:ascii="Times New Roman" w:hAnsi="Times New Roman" w:eastAsia="宋体" w:cs="Times New Roman"/>
                <w:color w:val="auto"/>
                <w:sz w:val="21"/>
                <w:szCs w:val="21"/>
                <w:highlight w:val="none"/>
                <w:u w:val="none"/>
                <w:vertAlign w:val="superscript"/>
                <w:lang w:val="en-US" w:eastAsia="zh-CN"/>
              </w:rPr>
              <w:t>2</w:t>
            </w:r>
            <w:r>
              <w:rPr>
                <w:rFonts w:hint="default" w:ascii="Times New Roman" w:hAnsi="Times New Roman" w:eastAsia="宋体" w:cs="Times New Roman"/>
                <w:color w:val="auto"/>
                <w:sz w:val="21"/>
                <w:szCs w:val="21"/>
                <w:highlight w:val="none"/>
                <w:u w:val="none"/>
                <w:lang w:val="en-US" w:eastAsia="zh-CN"/>
              </w:rPr>
              <w:t>/22.9km（含渣场道路），改造道路占地7.67hm</w:t>
            </w:r>
            <w:r>
              <w:rPr>
                <w:rFonts w:hint="default" w:ascii="Times New Roman" w:hAnsi="Times New Roman" w:eastAsia="宋体" w:cs="Times New Roman"/>
                <w:color w:val="auto"/>
                <w:sz w:val="21"/>
                <w:szCs w:val="21"/>
                <w:highlight w:val="none"/>
                <w:u w:val="none"/>
                <w:vertAlign w:val="superscript"/>
                <w:lang w:val="en-US" w:eastAsia="zh-CN"/>
              </w:rPr>
              <w:t>2</w:t>
            </w:r>
            <w:r>
              <w:rPr>
                <w:rFonts w:hint="default" w:ascii="Times New Roman" w:hAnsi="Times New Roman" w:eastAsia="宋体" w:cs="Times New Roman"/>
                <w:color w:val="auto"/>
                <w:sz w:val="21"/>
                <w:szCs w:val="21"/>
                <w:highlight w:val="none"/>
                <w:u w:val="none"/>
                <w:lang w:val="en-US" w:eastAsia="zh-CN"/>
              </w:rPr>
              <w:t>/10.95km（现有村道和机耕道）。道路路基宽度6.0m，路面宽度5.0m，路面结构型式采用20cm厚山皮石路面。</w:t>
            </w:r>
          </w:p>
        </w:tc>
        <w:tc>
          <w:tcPr>
            <w:tcW w:w="2068" w:type="dxa"/>
            <w:tcBorders>
              <w:tl2br w:val="nil"/>
              <w:tr2bl w:val="nil"/>
            </w:tcBorders>
            <w:noWrap w:val="0"/>
            <w:vAlign w:val="center"/>
          </w:tcPr>
          <w:p w14:paraId="7C233604">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新建</w:t>
            </w:r>
          </w:p>
        </w:tc>
      </w:tr>
      <w:tr w14:paraId="304CFB9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51" w:type="dxa"/>
            <w:vMerge w:val="continue"/>
            <w:tcBorders>
              <w:tl2br w:val="nil"/>
              <w:tr2bl w:val="nil"/>
            </w:tcBorders>
            <w:noWrap w:val="0"/>
            <w:vAlign w:val="center"/>
          </w:tcPr>
          <w:p w14:paraId="7B5C649C">
            <w:pPr>
              <w:keepNext w:val="0"/>
              <w:keepLines w:val="0"/>
              <w:pageBreakBefore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u w:val="none"/>
              </w:rPr>
            </w:pPr>
          </w:p>
        </w:tc>
        <w:tc>
          <w:tcPr>
            <w:tcW w:w="1483" w:type="dxa"/>
            <w:tcBorders>
              <w:tl2br w:val="nil"/>
              <w:tr2bl w:val="nil"/>
            </w:tcBorders>
            <w:noWrap w:val="0"/>
            <w:vAlign w:val="center"/>
          </w:tcPr>
          <w:p w14:paraId="10734649">
            <w:pPr>
              <w:pStyle w:val="44"/>
              <w:keepNext w:val="0"/>
              <w:keepLines w:val="0"/>
              <w:pageBreakBefore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升压站</w:t>
            </w:r>
          </w:p>
        </w:tc>
        <w:tc>
          <w:tcPr>
            <w:tcW w:w="4067" w:type="dxa"/>
            <w:tcBorders>
              <w:tl2br w:val="nil"/>
              <w:tr2bl w:val="nil"/>
            </w:tcBorders>
            <w:noWrap w:val="0"/>
            <w:vAlign w:val="center"/>
          </w:tcPr>
          <w:p w14:paraId="011D7AEC">
            <w:pPr>
              <w:pStyle w:val="44"/>
              <w:keepNext w:val="0"/>
              <w:keepLines w:val="0"/>
              <w:pageBreakBefore w:val="0"/>
              <w:widowControl/>
              <w:kinsoku/>
              <w:wordWrap/>
              <w:overflowPunct/>
              <w:topLinePunct w:val="0"/>
              <w:autoSpaceDE/>
              <w:autoSpaceDN/>
              <w:bidi w:val="0"/>
              <w:adjustRightInd w:val="0"/>
              <w:snapToGrid w:val="0"/>
              <w:spacing w:line="240" w:lineRule="auto"/>
              <w:ind w:left="0" w:leftChars="0" w:right="0" w:rightChars="0" w:firstLine="0" w:firstLineChars="0"/>
              <w:jc w:val="left"/>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lang w:val="en-US" w:eastAsia="zh-CN"/>
              </w:rPr>
              <w:t>依托大马风电场已建的110kV升压站，在升压站内本期工程需新增1台100MVA的主变、1个110kV主变进线间隔，建设2段35kV母线，设置4回集电线路、2套无功补偿装置、1套接地变等。</w:t>
            </w:r>
          </w:p>
        </w:tc>
        <w:tc>
          <w:tcPr>
            <w:tcW w:w="2068" w:type="dxa"/>
            <w:tcBorders>
              <w:tl2br w:val="nil"/>
              <w:tr2bl w:val="nil"/>
            </w:tcBorders>
            <w:noWrap w:val="0"/>
            <w:vAlign w:val="center"/>
          </w:tcPr>
          <w:p w14:paraId="0DEE609C">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扩建，不新增占地，升压站内综合楼、设备楼、附属用房等，在升压站预留用地上扩建。</w:t>
            </w:r>
          </w:p>
        </w:tc>
      </w:tr>
      <w:tr w14:paraId="6218DB4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51" w:type="dxa"/>
            <w:tcBorders>
              <w:tl2br w:val="nil"/>
              <w:tr2bl w:val="nil"/>
            </w:tcBorders>
            <w:noWrap w:val="0"/>
            <w:vAlign w:val="center"/>
          </w:tcPr>
          <w:p w14:paraId="07C3F943">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w w:val="100"/>
                <w:sz w:val="21"/>
                <w:szCs w:val="21"/>
                <w:highlight w:val="none"/>
                <w:u w:val="none"/>
                <w:lang w:eastAsia="zh-CN"/>
              </w:rPr>
            </w:pPr>
            <w:r>
              <w:rPr>
                <w:rFonts w:hint="default" w:ascii="Times New Roman" w:hAnsi="Times New Roman" w:eastAsia="宋体" w:cs="Times New Roman"/>
                <w:color w:val="auto"/>
                <w:w w:val="100"/>
                <w:sz w:val="21"/>
                <w:szCs w:val="21"/>
                <w:highlight w:val="none"/>
                <w:u w:val="none"/>
                <w:lang w:eastAsia="zh-CN"/>
              </w:rPr>
              <w:t>辅助工程</w:t>
            </w:r>
          </w:p>
        </w:tc>
        <w:tc>
          <w:tcPr>
            <w:tcW w:w="1483" w:type="dxa"/>
            <w:tcBorders>
              <w:tl2br w:val="nil"/>
              <w:tr2bl w:val="nil"/>
            </w:tcBorders>
            <w:noWrap w:val="0"/>
            <w:vAlign w:val="center"/>
          </w:tcPr>
          <w:p w14:paraId="3CE1F2CA">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w w:val="100"/>
                <w:sz w:val="21"/>
                <w:szCs w:val="21"/>
                <w:highlight w:val="none"/>
                <w:u w:val="none"/>
                <w:lang w:eastAsia="zh-CN"/>
              </w:rPr>
            </w:pPr>
            <w:r>
              <w:rPr>
                <w:rFonts w:hint="default" w:ascii="Times New Roman" w:hAnsi="Times New Roman" w:eastAsia="宋体" w:cs="Times New Roman"/>
                <w:color w:val="auto"/>
                <w:w w:val="100"/>
                <w:sz w:val="21"/>
                <w:szCs w:val="21"/>
                <w:highlight w:val="none"/>
                <w:u w:val="none"/>
                <w:lang w:eastAsia="zh-CN"/>
              </w:rPr>
              <w:t>施工临建区</w:t>
            </w:r>
          </w:p>
        </w:tc>
        <w:tc>
          <w:tcPr>
            <w:tcW w:w="4067" w:type="dxa"/>
            <w:tcBorders>
              <w:tl2br w:val="nil"/>
              <w:tr2bl w:val="nil"/>
            </w:tcBorders>
            <w:noWrap w:val="0"/>
            <w:vAlign w:val="center"/>
          </w:tcPr>
          <w:p w14:paraId="4B79BB70">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rPr>
              <w:t>施工临建区</w:t>
            </w:r>
            <w:r>
              <w:rPr>
                <w:rFonts w:hint="default" w:ascii="Times New Roman" w:hAnsi="Times New Roman" w:eastAsia="宋体" w:cs="Times New Roman"/>
                <w:color w:val="auto"/>
                <w:sz w:val="21"/>
                <w:szCs w:val="21"/>
                <w:highlight w:val="none"/>
                <w:lang w:eastAsia="zh-CN"/>
              </w:rPr>
              <w:t>利用现有升压站及新建的风机安装平台，施工人员住宿租用山脚下民房，不新增占地</w:t>
            </w:r>
          </w:p>
        </w:tc>
        <w:tc>
          <w:tcPr>
            <w:tcW w:w="2068" w:type="dxa"/>
            <w:tcBorders>
              <w:tl2br w:val="nil"/>
              <w:tr2bl w:val="nil"/>
            </w:tcBorders>
            <w:noWrap w:val="0"/>
            <w:vAlign w:val="center"/>
          </w:tcPr>
          <w:p w14:paraId="5639B891">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color w:val="auto"/>
                <w:w w:val="95"/>
                <w:szCs w:val="21"/>
                <w:highlight w:val="none"/>
                <w:u w:val="none"/>
                <w:lang w:val="en-US" w:eastAsia="zh-CN"/>
              </w:rPr>
            </w:pPr>
            <w:r>
              <w:rPr>
                <w:rFonts w:hint="default"/>
                <w:sz w:val="21"/>
                <w:szCs w:val="21"/>
                <w:lang w:val="en-US" w:eastAsia="zh-CN"/>
              </w:rPr>
              <w:t>施工场地和材料堆放布置在工程占地范围内，施工人员住宿租用民房</w:t>
            </w:r>
          </w:p>
        </w:tc>
      </w:tr>
      <w:tr w14:paraId="768F0D6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51" w:type="dxa"/>
            <w:vMerge w:val="restart"/>
            <w:tcBorders>
              <w:tl2br w:val="nil"/>
              <w:tr2bl w:val="nil"/>
            </w:tcBorders>
            <w:noWrap w:val="0"/>
            <w:vAlign w:val="center"/>
          </w:tcPr>
          <w:p w14:paraId="56971B2E">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w w:val="99"/>
                <w:sz w:val="21"/>
                <w:szCs w:val="21"/>
                <w:highlight w:val="none"/>
                <w:u w:val="none"/>
                <w:lang w:eastAsia="zh-CN"/>
              </w:rPr>
            </w:pPr>
            <w:r>
              <w:rPr>
                <w:rFonts w:hint="default" w:ascii="Times New Roman" w:hAnsi="Times New Roman" w:eastAsia="宋体" w:cs="Times New Roman"/>
                <w:color w:val="auto"/>
                <w:w w:val="100"/>
                <w:sz w:val="21"/>
                <w:szCs w:val="21"/>
                <w:highlight w:val="none"/>
                <w:u w:val="none"/>
                <w:lang w:eastAsia="zh-CN"/>
              </w:rPr>
              <w:t>公用工程</w:t>
            </w:r>
          </w:p>
        </w:tc>
        <w:tc>
          <w:tcPr>
            <w:tcW w:w="1483" w:type="dxa"/>
            <w:tcBorders>
              <w:tl2br w:val="nil"/>
              <w:tr2bl w:val="nil"/>
            </w:tcBorders>
            <w:noWrap w:val="0"/>
            <w:vAlign w:val="center"/>
          </w:tcPr>
          <w:p w14:paraId="2698F0B3">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u w:val="none"/>
                <w:lang w:val="en-US" w:eastAsia="zh-CN" w:bidi="ar-SA"/>
              </w:rPr>
            </w:pPr>
            <w:r>
              <w:rPr>
                <w:rFonts w:hint="default" w:ascii="Times New Roman" w:hAnsi="Times New Roman" w:eastAsia="宋体" w:cs="Times New Roman"/>
                <w:color w:val="auto"/>
                <w:sz w:val="21"/>
                <w:szCs w:val="21"/>
                <w:highlight w:val="none"/>
                <w:u w:val="none"/>
              </w:rPr>
              <w:t>供电</w:t>
            </w:r>
          </w:p>
        </w:tc>
        <w:tc>
          <w:tcPr>
            <w:tcW w:w="4067" w:type="dxa"/>
            <w:tcBorders>
              <w:tl2br w:val="nil"/>
              <w:tr2bl w:val="nil"/>
            </w:tcBorders>
            <w:noWrap w:val="0"/>
            <w:vAlign w:val="center"/>
          </w:tcPr>
          <w:p w14:paraId="0D0F6A8B">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施工用电在升压站施工现场安装一台200kVA的10/0.4kV变压器一台，经变压器降压后引线至各施工用电点，施工</w:t>
            </w:r>
            <w:r>
              <w:rPr>
                <w:rFonts w:hint="default" w:ascii="Times New Roman" w:hAnsi="Times New Roman" w:eastAsia="宋体" w:cs="Times New Roman"/>
                <w:color w:val="auto"/>
                <w:sz w:val="21"/>
                <w:szCs w:val="21"/>
                <w:highlight w:val="none"/>
                <w:u w:val="none"/>
                <w:lang w:eastAsia="zh-CN"/>
              </w:rPr>
              <w:t>结束后</w:t>
            </w:r>
            <w:r>
              <w:rPr>
                <w:rFonts w:hint="default" w:ascii="Times New Roman" w:hAnsi="Times New Roman" w:eastAsia="宋体" w:cs="Times New Roman"/>
                <w:color w:val="auto"/>
                <w:sz w:val="21"/>
                <w:szCs w:val="21"/>
                <w:highlight w:val="none"/>
                <w:u w:val="none"/>
              </w:rPr>
              <w:t>作为后期升压站运营期站用备用</w:t>
            </w:r>
            <w:r>
              <w:rPr>
                <w:rFonts w:hint="default" w:ascii="Times New Roman" w:hAnsi="Times New Roman" w:eastAsia="宋体" w:cs="Times New Roman"/>
                <w:color w:val="auto"/>
                <w:sz w:val="21"/>
                <w:szCs w:val="21"/>
                <w:highlight w:val="none"/>
                <w:u w:val="none"/>
                <w:lang w:eastAsia="zh-CN"/>
              </w:rPr>
              <w:t>变压器</w:t>
            </w:r>
            <w:r>
              <w:rPr>
                <w:rFonts w:hint="default" w:ascii="Times New Roman" w:hAnsi="Times New Roman" w:eastAsia="宋体" w:cs="Times New Roman"/>
                <w:color w:val="auto"/>
                <w:sz w:val="21"/>
                <w:szCs w:val="21"/>
                <w:highlight w:val="none"/>
                <w:u w:val="none"/>
              </w:rPr>
              <w:t>。</w:t>
            </w:r>
          </w:p>
        </w:tc>
        <w:tc>
          <w:tcPr>
            <w:tcW w:w="2068" w:type="dxa"/>
            <w:tcBorders>
              <w:tl2br w:val="nil"/>
              <w:tr2bl w:val="nil"/>
            </w:tcBorders>
            <w:noWrap w:val="0"/>
            <w:vAlign w:val="center"/>
          </w:tcPr>
          <w:p w14:paraId="5221B671">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依托现有升压站用地，不新增用地</w:t>
            </w:r>
          </w:p>
        </w:tc>
      </w:tr>
      <w:tr w14:paraId="4CA1E8A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51" w:type="dxa"/>
            <w:vMerge w:val="continue"/>
            <w:tcBorders>
              <w:tl2br w:val="nil"/>
              <w:tr2bl w:val="nil"/>
            </w:tcBorders>
            <w:noWrap w:val="0"/>
            <w:vAlign w:val="center"/>
          </w:tcPr>
          <w:p w14:paraId="4E9D9C4F">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w w:val="99"/>
                <w:sz w:val="21"/>
                <w:szCs w:val="21"/>
                <w:highlight w:val="none"/>
                <w:u w:val="none"/>
                <w:lang w:eastAsia="zh-CN"/>
              </w:rPr>
            </w:pPr>
          </w:p>
        </w:tc>
        <w:tc>
          <w:tcPr>
            <w:tcW w:w="1483" w:type="dxa"/>
            <w:tcBorders>
              <w:tl2br w:val="nil"/>
              <w:tr2bl w:val="nil"/>
            </w:tcBorders>
            <w:noWrap w:val="0"/>
            <w:vAlign w:val="center"/>
          </w:tcPr>
          <w:p w14:paraId="47484343">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u w:val="none"/>
                <w:lang w:val="en-US" w:eastAsia="zh-CN" w:bidi="ar-SA"/>
              </w:rPr>
            </w:pPr>
            <w:r>
              <w:rPr>
                <w:rFonts w:hint="default" w:ascii="Times New Roman" w:hAnsi="Times New Roman" w:eastAsia="宋体" w:cs="Times New Roman"/>
                <w:color w:val="auto"/>
                <w:sz w:val="21"/>
                <w:szCs w:val="21"/>
                <w:highlight w:val="none"/>
                <w:u w:val="none"/>
              </w:rPr>
              <w:t>供水</w:t>
            </w:r>
          </w:p>
        </w:tc>
        <w:tc>
          <w:tcPr>
            <w:tcW w:w="4067" w:type="dxa"/>
            <w:tcBorders>
              <w:tl2br w:val="nil"/>
              <w:tr2bl w:val="nil"/>
            </w:tcBorders>
            <w:noWrap w:val="0"/>
            <w:vAlign w:val="center"/>
          </w:tcPr>
          <w:p w14:paraId="7F2BC027">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rPr>
              <w:t>施工用水水源从已建</w:t>
            </w:r>
            <w:r>
              <w:rPr>
                <w:rFonts w:hint="default" w:ascii="Times New Roman" w:hAnsi="Times New Roman" w:eastAsia="宋体" w:cs="Times New Roman"/>
                <w:color w:val="auto"/>
                <w:sz w:val="21"/>
                <w:szCs w:val="21"/>
                <w:highlight w:val="none"/>
                <w:u w:val="none"/>
                <w:lang w:val="en-US" w:eastAsia="zh-CN"/>
              </w:rPr>
              <w:t>大马风电场</w:t>
            </w:r>
            <w:r>
              <w:rPr>
                <w:rFonts w:hint="default" w:ascii="Times New Roman" w:hAnsi="Times New Roman" w:eastAsia="宋体" w:cs="Times New Roman"/>
                <w:color w:val="auto"/>
                <w:sz w:val="21"/>
                <w:szCs w:val="21"/>
                <w:highlight w:val="none"/>
                <w:u w:val="none"/>
              </w:rPr>
              <w:t>升压站引接</w:t>
            </w:r>
          </w:p>
        </w:tc>
        <w:tc>
          <w:tcPr>
            <w:tcW w:w="2068" w:type="dxa"/>
            <w:tcBorders>
              <w:tl2br w:val="nil"/>
              <w:tr2bl w:val="nil"/>
            </w:tcBorders>
            <w:noWrap w:val="0"/>
            <w:vAlign w:val="center"/>
          </w:tcPr>
          <w:p w14:paraId="5635DB9C">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依托</w:t>
            </w:r>
          </w:p>
        </w:tc>
      </w:tr>
      <w:tr w14:paraId="4E2088D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51" w:type="dxa"/>
            <w:vMerge w:val="continue"/>
            <w:tcBorders>
              <w:tl2br w:val="nil"/>
              <w:tr2bl w:val="nil"/>
            </w:tcBorders>
            <w:noWrap w:val="0"/>
            <w:vAlign w:val="center"/>
          </w:tcPr>
          <w:p w14:paraId="226C52E7">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w w:val="99"/>
                <w:sz w:val="21"/>
                <w:szCs w:val="21"/>
                <w:highlight w:val="none"/>
                <w:u w:val="none"/>
                <w:lang w:eastAsia="zh-CN"/>
              </w:rPr>
            </w:pPr>
          </w:p>
        </w:tc>
        <w:tc>
          <w:tcPr>
            <w:tcW w:w="1483" w:type="dxa"/>
            <w:tcBorders>
              <w:tl2br w:val="nil"/>
              <w:tr2bl w:val="nil"/>
            </w:tcBorders>
            <w:noWrap w:val="0"/>
            <w:vAlign w:val="center"/>
          </w:tcPr>
          <w:p w14:paraId="30490A22">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u w:val="none"/>
                <w:lang w:val="en-US" w:eastAsia="zh-CN" w:bidi="ar-SA"/>
              </w:rPr>
            </w:pPr>
            <w:r>
              <w:rPr>
                <w:rFonts w:hint="default" w:ascii="Times New Roman" w:hAnsi="Times New Roman" w:eastAsia="宋体" w:cs="Times New Roman"/>
                <w:color w:val="auto"/>
                <w:sz w:val="21"/>
                <w:szCs w:val="21"/>
                <w:highlight w:val="none"/>
                <w:u w:val="none"/>
              </w:rPr>
              <w:t>排水</w:t>
            </w:r>
          </w:p>
        </w:tc>
        <w:tc>
          <w:tcPr>
            <w:tcW w:w="4067" w:type="dxa"/>
            <w:tcBorders>
              <w:tl2br w:val="nil"/>
              <w:tr2bl w:val="nil"/>
            </w:tcBorders>
            <w:noWrap w:val="0"/>
            <w:vAlign w:val="center"/>
          </w:tcPr>
          <w:p w14:paraId="547FD166">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rPr>
                <w:rFonts w:hint="default" w:ascii="Times New Roman" w:hAnsi="Times New Roman" w:eastAsia="宋体" w:cs="Times New Roman"/>
                <w:color w:val="auto"/>
                <w:sz w:val="21"/>
                <w:szCs w:val="21"/>
                <w:highlight w:val="none"/>
                <w:u w:val="none"/>
              </w:rPr>
            </w:pPr>
            <w:r>
              <w:rPr>
                <w:rFonts w:hint="default" w:ascii="Times New Roman" w:hAnsi="Times New Roman" w:eastAsia="宋体" w:cs="Times New Roman"/>
                <w:color w:val="auto"/>
                <w:sz w:val="21"/>
                <w:szCs w:val="21"/>
                <w:highlight w:val="none"/>
                <w:u w:val="none"/>
                <w:lang w:val="en-US" w:eastAsia="zh-CN"/>
              </w:rPr>
              <w:t>施工期生产废水循环使用不外排；施工期生活污水依托租用民房的化粪池处理；营运期生活污水依托大马风电场已建的地埋式一体化污水处理设施处理。</w:t>
            </w:r>
          </w:p>
        </w:tc>
        <w:tc>
          <w:tcPr>
            <w:tcW w:w="2068" w:type="dxa"/>
            <w:tcBorders>
              <w:tl2br w:val="nil"/>
              <w:tr2bl w:val="nil"/>
            </w:tcBorders>
            <w:noWrap w:val="0"/>
            <w:vAlign w:val="center"/>
          </w:tcPr>
          <w:p w14:paraId="5CD8EFFD">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依托</w:t>
            </w:r>
          </w:p>
        </w:tc>
      </w:tr>
      <w:tr w14:paraId="5A40B47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51" w:type="dxa"/>
            <w:vMerge w:val="restart"/>
            <w:tcBorders>
              <w:tl2br w:val="nil"/>
              <w:tr2bl w:val="nil"/>
            </w:tcBorders>
            <w:noWrap w:val="0"/>
            <w:vAlign w:val="center"/>
          </w:tcPr>
          <w:p w14:paraId="6C33928D">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w w:val="99"/>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环保工程</w:t>
            </w:r>
          </w:p>
        </w:tc>
        <w:tc>
          <w:tcPr>
            <w:tcW w:w="1483" w:type="dxa"/>
            <w:tcBorders>
              <w:tl2br w:val="nil"/>
              <w:tr2bl w:val="nil"/>
            </w:tcBorders>
            <w:noWrap w:val="0"/>
            <w:vAlign w:val="center"/>
          </w:tcPr>
          <w:p w14:paraId="68255873">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u w:val="none"/>
                <w:lang w:val="en-US" w:eastAsia="zh-CN" w:bidi="ar-SA"/>
              </w:rPr>
            </w:pPr>
            <w:r>
              <w:rPr>
                <w:rFonts w:hint="default" w:ascii="Times New Roman" w:hAnsi="Times New Roman" w:eastAsia="宋体" w:cs="Times New Roman"/>
                <w:color w:val="auto"/>
                <w:kern w:val="0"/>
                <w:sz w:val="21"/>
                <w:szCs w:val="21"/>
                <w:highlight w:val="none"/>
                <w:u w:val="none"/>
                <w:lang w:val="en-US" w:eastAsia="zh-CN" w:bidi="ar-SA"/>
              </w:rPr>
              <w:t>水土保持</w:t>
            </w:r>
          </w:p>
        </w:tc>
        <w:tc>
          <w:tcPr>
            <w:tcW w:w="4067" w:type="dxa"/>
            <w:tcBorders>
              <w:tl2br w:val="nil"/>
              <w:tr2bl w:val="nil"/>
            </w:tcBorders>
            <w:noWrap w:val="0"/>
            <w:vAlign w:val="center"/>
          </w:tcPr>
          <w:p w14:paraId="0F3317E1">
            <w:pPr>
              <w:keepNext w:val="0"/>
              <w:keepLines w:val="0"/>
              <w:pageBreakBefore w:val="0"/>
              <w:widowControl/>
              <w:suppressLineNumbers w:val="0"/>
              <w:kinsoku/>
              <w:wordWrap/>
              <w:overflowPunct/>
              <w:topLinePunct w:val="0"/>
              <w:autoSpaceDE/>
              <w:autoSpaceDN/>
              <w:bidi w:val="0"/>
              <w:adjustRightInd w:val="0"/>
              <w:snapToGrid w:val="0"/>
              <w:spacing w:line="240" w:lineRule="auto"/>
              <w:ind w:left="0" w:right="0" w:firstLine="0" w:firstLineChars="0"/>
              <w:jc w:val="left"/>
              <w:textAlignment w:val="auto"/>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kern w:val="0"/>
                <w:sz w:val="21"/>
                <w:szCs w:val="21"/>
                <w:highlight w:val="none"/>
                <w:lang w:val="en-US" w:eastAsia="zh-CN" w:bidi="ar"/>
              </w:rPr>
              <w:t>设置排水沟、沉砂池、挡土墙、护坡、植物防护措施等。</w:t>
            </w:r>
          </w:p>
        </w:tc>
        <w:tc>
          <w:tcPr>
            <w:tcW w:w="2068" w:type="dxa"/>
            <w:tcBorders>
              <w:tl2br w:val="nil"/>
              <w:tr2bl w:val="nil"/>
            </w:tcBorders>
            <w:noWrap w:val="0"/>
            <w:vAlign w:val="center"/>
          </w:tcPr>
          <w:p w14:paraId="7F541627">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新建</w:t>
            </w:r>
          </w:p>
        </w:tc>
      </w:tr>
      <w:tr w14:paraId="255510A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51" w:type="dxa"/>
            <w:vMerge w:val="continue"/>
            <w:tcBorders>
              <w:tl2br w:val="nil"/>
              <w:tr2bl w:val="nil"/>
            </w:tcBorders>
            <w:noWrap w:val="0"/>
            <w:vAlign w:val="center"/>
          </w:tcPr>
          <w:p w14:paraId="2E9A8BF5">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u w:val="none"/>
                <w:lang w:eastAsia="zh-CN"/>
              </w:rPr>
            </w:pPr>
          </w:p>
        </w:tc>
        <w:tc>
          <w:tcPr>
            <w:tcW w:w="1483" w:type="dxa"/>
            <w:tcBorders>
              <w:tl2br w:val="nil"/>
              <w:tr2bl w:val="nil"/>
            </w:tcBorders>
            <w:noWrap w:val="0"/>
            <w:vAlign w:val="center"/>
          </w:tcPr>
          <w:p w14:paraId="6C6C631D">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u w:val="none"/>
                <w:lang w:val="en-US" w:eastAsia="zh-CN" w:bidi="ar-SA"/>
              </w:rPr>
            </w:pPr>
            <w:r>
              <w:rPr>
                <w:rFonts w:hint="default" w:ascii="Times New Roman" w:hAnsi="Times New Roman" w:eastAsia="宋体" w:cs="Times New Roman"/>
                <w:color w:val="auto"/>
                <w:sz w:val="21"/>
                <w:szCs w:val="21"/>
                <w:highlight w:val="none"/>
                <w:u w:val="none"/>
                <w:lang w:eastAsia="zh-CN"/>
              </w:rPr>
              <w:t>弃渣场</w:t>
            </w:r>
          </w:p>
        </w:tc>
        <w:tc>
          <w:tcPr>
            <w:tcW w:w="4067" w:type="dxa"/>
            <w:tcBorders>
              <w:tl2br w:val="nil"/>
              <w:tr2bl w:val="nil"/>
            </w:tcBorders>
            <w:noWrap w:val="0"/>
            <w:vAlign w:val="center"/>
          </w:tcPr>
          <w:p w14:paraId="58C63500">
            <w:pPr>
              <w:keepNext w:val="0"/>
              <w:keepLines w:val="0"/>
              <w:pageBreakBefore w:val="0"/>
              <w:widowControl/>
              <w:suppressLineNumbers w:val="0"/>
              <w:kinsoku/>
              <w:wordWrap/>
              <w:overflowPunct/>
              <w:topLinePunct w:val="0"/>
              <w:autoSpaceDE/>
              <w:autoSpaceDN/>
              <w:bidi w:val="0"/>
              <w:adjustRightInd w:val="0"/>
              <w:snapToGrid w:val="0"/>
              <w:spacing w:line="240" w:lineRule="auto"/>
              <w:ind w:left="0" w:right="0" w:firstLine="0" w:firstLineChars="0"/>
              <w:jc w:val="left"/>
              <w:textAlignment w:val="auto"/>
              <w:rPr>
                <w:rFonts w:hint="default" w:ascii="Times New Roman" w:hAnsi="Times New Roman" w:eastAsia="宋体" w:cs="Times New Roman"/>
                <w:color w:val="auto"/>
                <w:kern w:val="0"/>
                <w:sz w:val="21"/>
                <w:szCs w:val="21"/>
                <w:highlight w:val="none"/>
                <w:u w:val="none"/>
                <w:lang w:val="en-US" w:eastAsia="zh-CN" w:bidi="ar-SA"/>
              </w:rPr>
            </w:pPr>
            <w:r>
              <w:rPr>
                <w:rFonts w:hint="default" w:ascii="Times New Roman" w:hAnsi="Times New Roman" w:eastAsia="宋体" w:cs="Times New Roman"/>
                <w:color w:val="auto"/>
                <w:kern w:val="0"/>
                <w:sz w:val="21"/>
                <w:szCs w:val="21"/>
                <w:highlight w:val="none"/>
                <w:lang w:val="en-US" w:eastAsia="zh-CN" w:bidi="ar"/>
              </w:rPr>
              <w:t>本工程水土保持方案共</w:t>
            </w:r>
            <w:r>
              <w:rPr>
                <w:rFonts w:hint="default" w:ascii="Times New Roman" w:hAnsi="Times New Roman" w:eastAsia="宋体" w:cs="Times New Roman"/>
                <w:color w:val="auto"/>
                <w:sz w:val="21"/>
                <w:szCs w:val="21"/>
                <w:highlight w:val="none"/>
                <w:u w:val="none"/>
                <w:lang w:val="en-US" w:eastAsia="zh-CN"/>
              </w:rPr>
              <w:t>规划弃渣场12处，总占地面积5.4hm</w:t>
            </w:r>
            <w:r>
              <w:rPr>
                <w:rFonts w:hint="default" w:ascii="Times New Roman" w:hAnsi="Times New Roman" w:eastAsia="宋体" w:cs="Times New Roman"/>
                <w:color w:val="auto"/>
                <w:sz w:val="21"/>
                <w:szCs w:val="21"/>
                <w:highlight w:val="none"/>
                <w:u w:val="none"/>
                <w:vertAlign w:val="superscript"/>
                <w:lang w:val="en-US" w:eastAsia="zh-CN"/>
              </w:rPr>
              <w:t>2</w:t>
            </w:r>
            <w:r>
              <w:rPr>
                <w:rFonts w:hint="default" w:ascii="Times New Roman" w:hAnsi="Times New Roman" w:eastAsia="宋体" w:cs="Times New Roman"/>
                <w:color w:val="auto"/>
                <w:sz w:val="21"/>
                <w:szCs w:val="21"/>
                <w:highlight w:val="none"/>
                <w:u w:val="none"/>
                <w:lang w:val="en-US" w:eastAsia="zh-CN"/>
              </w:rPr>
              <w:t>。</w:t>
            </w:r>
          </w:p>
        </w:tc>
        <w:tc>
          <w:tcPr>
            <w:tcW w:w="2068" w:type="dxa"/>
            <w:tcBorders>
              <w:tl2br w:val="nil"/>
              <w:tr2bl w:val="nil"/>
            </w:tcBorders>
            <w:noWrap w:val="0"/>
            <w:vAlign w:val="center"/>
          </w:tcPr>
          <w:p w14:paraId="2A82BD0F">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u w:val="none"/>
                <w:lang w:val="en-US" w:eastAsia="zh-CN" w:bidi="ar-SA"/>
              </w:rPr>
            </w:pPr>
            <w:r>
              <w:rPr>
                <w:rFonts w:hint="default" w:ascii="Times New Roman" w:hAnsi="Times New Roman" w:eastAsia="宋体" w:cs="Times New Roman"/>
                <w:color w:val="auto"/>
                <w:sz w:val="21"/>
                <w:szCs w:val="21"/>
                <w:highlight w:val="none"/>
                <w:u w:val="none"/>
                <w:lang w:eastAsia="zh-CN"/>
              </w:rPr>
              <w:t>新建</w:t>
            </w:r>
          </w:p>
        </w:tc>
      </w:tr>
      <w:tr w14:paraId="656D7D6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51" w:type="dxa"/>
            <w:vMerge w:val="continue"/>
            <w:tcBorders>
              <w:tl2br w:val="nil"/>
              <w:tr2bl w:val="nil"/>
            </w:tcBorders>
            <w:noWrap w:val="0"/>
            <w:vAlign w:val="center"/>
          </w:tcPr>
          <w:p w14:paraId="06AB58CB">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w w:val="99"/>
                <w:sz w:val="21"/>
                <w:szCs w:val="21"/>
                <w:highlight w:val="none"/>
                <w:u w:val="none"/>
                <w:lang w:eastAsia="zh-CN"/>
              </w:rPr>
            </w:pPr>
          </w:p>
        </w:tc>
        <w:tc>
          <w:tcPr>
            <w:tcW w:w="1483" w:type="dxa"/>
            <w:tcBorders>
              <w:tl2br w:val="nil"/>
              <w:tr2bl w:val="nil"/>
            </w:tcBorders>
            <w:noWrap w:val="0"/>
            <w:vAlign w:val="center"/>
          </w:tcPr>
          <w:p w14:paraId="1D5F79DD">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u w:val="none"/>
                <w:lang w:val="en-US" w:eastAsia="zh-CN" w:bidi="ar-SA"/>
              </w:rPr>
            </w:pPr>
            <w:r>
              <w:rPr>
                <w:rFonts w:hint="default" w:ascii="Times New Roman" w:hAnsi="Times New Roman" w:eastAsia="宋体" w:cs="Times New Roman"/>
                <w:color w:val="auto"/>
                <w:sz w:val="21"/>
                <w:szCs w:val="21"/>
                <w:highlight w:val="none"/>
                <w:u w:val="none"/>
                <w:lang w:eastAsia="zh-CN"/>
              </w:rPr>
              <w:t>污水处理设施</w:t>
            </w:r>
          </w:p>
        </w:tc>
        <w:tc>
          <w:tcPr>
            <w:tcW w:w="4067" w:type="dxa"/>
            <w:tcBorders>
              <w:tl2br w:val="nil"/>
              <w:tr2bl w:val="nil"/>
            </w:tcBorders>
            <w:noWrap w:val="0"/>
            <w:vAlign w:val="center"/>
          </w:tcPr>
          <w:p w14:paraId="79E27A1C">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val="en-US" w:eastAsia="zh-CN"/>
              </w:rPr>
              <w:t>依托大马风电场升压站内地埋式污水处理设施，生活废水处理达标后用于绿化浇灌。</w:t>
            </w:r>
          </w:p>
        </w:tc>
        <w:tc>
          <w:tcPr>
            <w:tcW w:w="2068" w:type="dxa"/>
            <w:tcBorders>
              <w:tl2br w:val="nil"/>
              <w:tr2bl w:val="nil"/>
            </w:tcBorders>
            <w:noWrap w:val="0"/>
            <w:vAlign w:val="center"/>
          </w:tcPr>
          <w:p w14:paraId="0DE55905">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依托</w:t>
            </w:r>
          </w:p>
        </w:tc>
      </w:tr>
      <w:tr w14:paraId="5A02AE5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51" w:type="dxa"/>
            <w:vMerge w:val="continue"/>
            <w:tcBorders>
              <w:tl2br w:val="nil"/>
              <w:tr2bl w:val="nil"/>
            </w:tcBorders>
            <w:noWrap w:val="0"/>
            <w:vAlign w:val="center"/>
          </w:tcPr>
          <w:p w14:paraId="1994147E">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w w:val="99"/>
                <w:sz w:val="21"/>
                <w:szCs w:val="21"/>
                <w:highlight w:val="none"/>
                <w:u w:val="none"/>
                <w:lang w:eastAsia="zh-CN"/>
              </w:rPr>
            </w:pPr>
          </w:p>
        </w:tc>
        <w:tc>
          <w:tcPr>
            <w:tcW w:w="1483" w:type="dxa"/>
            <w:tcBorders>
              <w:tl2br w:val="nil"/>
              <w:tr2bl w:val="nil"/>
            </w:tcBorders>
            <w:noWrap w:val="0"/>
            <w:vAlign w:val="center"/>
          </w:tcPr>
          <w:p w14:paraId="43D3A209">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噪声处理</w:t>
            </w:r>
          </w:p>
        </w:tc>
        <w:tc>
          <w:tcPr>
            <w:tcW w:w="4067" w:type="dxa"/>
            <w:tcBorders>
              <w:tl2br w:val="nil"/>
              <w:tr2bl w:val="nil"/>
            </w:tcBorders>
            <w:noWrap w:val="0"/>
            <w:vAlign w:val="center"/>
          </w:tcPr>
          <w:p w14:paraId="0A7AAC13">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rPr>
                <w:rFonts w:hint="default" w:ascii="Times New Roman" w:hAnsi="Times New Roman" w:eastAsia="宋体" w:cs="Times New Roman"/>
                <w:color w:val="auto"/>
                <w:sz w:val="21"/>
                <w:szCs w:val="21"/>
                <w:highlight w:val="none"/>
                <w:u w:val="none"/>
                <w:lang w:val="en-US" w:eastAsia="zh-CN"/>
              </w:rPr>
            </w:pPr>
            <w:r>
              <w:rPr>
                <w:rFonts w:hint="default" w:ascii="Times New Roman" w:hAnsi="Times New Roman" w:eastAsia="宋体" w:cs="Times New Roman"/>
                <w:color w:val="auto"/>
                <w:sz w:val="21"/>
                <w:szCs w:val="21"/>
                <w:highlight w:val="none"/>
                <w:u w:val="none"/>
                <w:lang w:val="en-US" w:eastAsia="zh-CN"/>
              </w:rPr>
              <w:t>减振、隔声、降噪</w:t>
            </w:r>
          </w:p>
        </w:tc>
        <w:tc>
          <w:tcPr>
            <w:tcW w:w="2068" w:type="dxa"/>
            <w:tcBorders>
              <w:tl2br w:val="nil"/>
              <w:tr2bl w:val="nil"/>
            </w:tcBorders>
            <w:noWrap w:val="0"/>
            <w:vAlign w:val="center"/>
          </w:tcPr>
          <w:p w14:paraId="056B4203">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eastAsia="zh-CN"/>
              </w:rPr>
              <w:t>新建</w:t>
            </w:r>
          </w:p>
        </w:tc>
      </w:tr>
      <w:tr w14:paraId="2DE5D01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51" w:type="dxa"/>
            <w:vMerge w:val="continue"/>
            <w:tcBorders>
              <w:tl2br w:val="nil"/>
              <w:tr2bl w:val="nil"/>
            </w:tcBorders>
            <w:noWrap w:val="0"/>
            <w:vAlign w:val="center"/>
          </w:tcPr>
          <w:p w14:paraId="3EECC456">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w w:val="99"/>
                <w:sz w:val="21"/>
                <w:szCs w:val="21"/>
                <w:highlight w:val="none"/>
                <w:u w:val="none"/>
                <w:lang w:eastAsia="zh-CN"/>
              </w:rPr>
            </w:pPr>
          </w:p>
        </w:tc>
        <w:tc>
          <w:tcPr>
            <w:tcW w:w="1483" w:type="dxa"/>
            <w:tcBorders>
              <w:tl2br w:val="nil"/>
              <w:tr2bl w:val="nil"/>
            </w:tcBorders>
            <w:noWrap w:val="0"/>
            <w:vAlign w:val="center"/>
          </w:tcPr>
          <w:p w14:paraId="3295D61B">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u w:val="none"/>
                <w:lang w:eastAsia="zh-CN"/>
              </w:rPr>
            </w:pPr>
            <w:r>
              <w:rPr>
                <w:rFonts w:hint="default" w:ascii="Times New Roman" w:hAnsi="Times New Roman" w:eastAsia="宋体" w:cs="Times New Roman"/>
                <w:color w:val="auto"/>
                <w:sz w:val="21"/>
                <w:szCs w:val="21"/>
                <w:highlight w:val="none"/>
                <w:u w:val="none"/>
                <w:lang w:val="en-US" w:eastAsia="zh-CN"/>
              </w:rPr>
              <w:t>固体废物</w:t>
            </w:r>
          </w:p>
          <w:p w14:paraId="6FF92612">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u w:val="none"/>
                <w:lang w:val="en-US" w:eastAsia="zh-CN" w:bidi="ar-SA"/>
              </w:rPr>
            </w:pPr>
            <w:r>
              <w:rPr>
                <w:rFonts w:hint="default" w:ascii="Times New Roman" w:hAnsi="Times New Roman" w:eastAsia="宋体" w:cs="Times New Roman"/>
                <w:color w:val="auto"/>
                <w:sz w:val="21"/>
                <w:szCs w:val="21"/>
                <w:highlight w:val="none"/>
                <w:u w:val="none"/>
                <w:lang w:val="en-US" w:eastAsia="zh-CN"/>
              </w:rPr>
              <w:t>处理工程</w:t>
            </w:r>
          </w:p>
        </w:tc>
        <w:tc>
          <w:tcPr>
            <w:tcW w:w="4067" w:type="dxa"/>
            <w:tcBorders>
              <w:tl2br w:val="nil"/>
              <w:tr2bl w:val="nil"/>
            </w:tcBorders>
            <w:noWrap w:val="0"/>
            <w:vAlign w:val="center"/>
          </w:tcPr>
          <w:p w14:paraId="2F591C4F">
            <w:pPr>
              <w:keepNext w:val="0"/>
              <w:keepLines w:val="0"/>
              <w:pageBreakBefore w:val="0"/>
              <w:widowControl/>
              <w:suppressLineNumbers w:val="0"/>
              <w:kinsoku/>
              <w:wordWrap/>
              <w:overflowPunct/>
              <w:topLinePunct w:val="0"/>
              <w:autoSpaceDE/>
              <w:autoSpaceDN/>
              <w:bidi w:val="0"/>
              <w:adjustRightInd w:val="0"/>
              <w:snapToGrid w:val="0"/>
              <w:spacing w:line="240" w:lineRule="auto"/>
              <w:ind w:left="0" w:right="0" w:firstLine="0" w:firstLineChars="0"/>
              <w:jc w:val="left"/>
              <w:textAlignment w:val="auto"/>
              <w:rPr>
                <w:rFonts w:hint="default" w:ascii="Times New Roman" w:hAnsi="Times New Roman" w:eastAsia="宋体" w:cs="Times New Roman"/>
                <w:color w:val="auto"/>
                <w:kern w:val="0"/>
                <w:sz w:val="21"/>
                <w:szCs w:val="21"/>
                <w:highlight w:val="none"/>
                <w:u w:val="none"/>
                <w:lang w:val="en-US" w:eastAsia="zh-CN" w:bidi="ar-SA"/>
              </w:rPr>
            </w:pPr>
            <w:r>
              <w:rPr>
                <w:rFonts w:hint="default" w:ascii="Times New Roman" w:hAnsi="Times New Roman" w:eastAsia="宋体" w:cs="Times New Roman"/>
                <w:color w:val="auto"/>
                <w:kern w:val="0"/>
                <w:sz w:val="21"/>
                <w:szCs w:val="21"/>
                <w:highlight w:val="none"/>
                <w:u w:val="none"/>
                <w:lang w:val="en-US" w:eastAsia="zh-CN" w:bidi="ar-SA"/>
              </w:rPr>
              <w:t>废机油、废液压油，定期及时交给有资质的单位进行处理；废旧</w:t>
            </w:r>
            <w:r>
              <w:rPr>
                <w:rFonts w:hint="eastAsia" w:cs="Times New Roman"/>
                <w:color w:val="auto"/>
                <w:kern w:val="0"/>
                <w:sz w:val="21"/>
                <w:szCs w:val="21"/>
                <w:highlight w:val="none"/>
                <w:u w:val="none"/>
                <w:lang w:val="en-US" w:eastAsia="zh-CN" w:bidi="ar-SA"/>
              </w:rPr>
              <w:t>铅蓄电池</w:t>
            </w:r>
            <w:r>
              <w:rPr>
                <w:rFonts w:hint="default" w:ascii="Times New Roman" w:hAnsi="Times New Roman" w:eastAsia="宋体" w:cs="Times New Roman"/>
                <w:color w:val="auto"/>
                <w:kern w:val="0"/>
                <w:sz w:val="21"/>
                <w:szCs w:val="21"/>
                <w:highlight w:val="none"/>
                <w:u w:val="none"/>
                <w:lang w:val="en-US" w:eastAsia="zh-CN" w:bidi="ar-SA"/>
              </w:rPr>
              <w:t>严格按照国家危废转移、处置有关规定对退役的</w:t>
            </w:r>
            <w:r>
              <w:rPr>
                <w:rFonts w:hint="eastAsia" w:cs="Times New Roman"/>
                <w:color w:val="auto"/>
                <w:kern w:val="0"/>
                <w:sz w:val="21"/>
                <w:szCs w:val="21"/>
                <w:highlight w:val="none"/>
                <w:u w:val="none"/>
                <w:lang w:val="en-US" w:eastAsia="zh-CN" w:bidi="ar-SA"/>
              </w:rPr>
              <w:t>铅蓄电池</w:t>
            </w:r>
            <w:r>
              <w:rPr>
                <w:rFonts w:hint="default" w:ascii="Times New Roman" w:hAnsi="Times New Roman" w:eastAsia="宋体" w:cs="Times New Roman"/>
                <w:color w:val="auto"/>
                <w:kern w:val="0"/>
                <w:sz w:val="21"/>
                <w:szCs w:val="21"/>
                <w:highlight w:val="none"/>
                <w:u w:val="none"/>
                <w:lang w:val="en-US" w:eastAsia="zh-CN" w:bidi="ar-SA"/>
              </w:rPr>
              <w:t>进行转移、处置。依托</w:t>
            </w:r>
            <w:r>
              <w:rPr>
                <w:rFonts w:hint="default" w:ascii="Times New Roman" w:hAnsi="Times New Roman" w:eastAsia="宋体" w:cs="Times New Roman"/>
                <w:color w:val="auto"/>
                <w:sz w:val="21"/>
                <w:szCs w:val="21"/>
                <w:highlight w:val="none"/>
                <w:u w:val="none"/>
                <w:lang w:val="en-US" w:eastAsia="zh-CN"/>
              </w:rPr>
              <w:t>大马风电场</w:t>
            </w:r>
            <w:r>
              <w:rPr>
                <w:rFonts w:hint="default" w:ascii="Times New Roman" w:hAnsi="Times New Roman" w:eastAsia="宋体" w:cs="Times New Roman"/>
                <w:color w:val="auto"/>
                <w:sz w:val="21"/>
                <w:szCs w:val="21"/>
                <w:highlight w:val="none"/>
                <w:u w:val="none"/>
              </w:rPr>
              <w:t>升压站</w:t>
            </w:r>
            <w:r>
              <w:rPr>
                <w:rFonts w:hint="default" w:ascii="Times New Roman" w:hAnsi="Times New Roman" w:eastAsia="宋体" w:cs="Times New Roman"/>
                <w:color w:val="auto"/>
                <w:sz w:val="21"/>
                <w:szCs w:val="21"/>
                <w:highlight w:val="none"/>
                <w:u w:val="none"/>
                <w:lang w:eastAsia="zh-CN"/>
              </w:rPr>
              <w:t>内已建危废暂存间。</w:t>
            </w:r>
          </w:p>
        </w:tc>
        <w:tc>
          <w:tcPr>
            <w:tcW w:w="2068" w:type="dxa"/>
            <w:tcBorders>
              <w:tl2br w:val="nil"/>
              <w:tr2bl w:val="nil"/>
            </w:tcBorders>
            <w:noWrap w:val="0"/>
            <w:vAlign w:val="center"/>
          </w:tcPr>
          <w:p w14:paraId="1866F388">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u w:val="none"/>
                <w:lang w:val="en-US" w:eastAsia="zh-CN" w:bidi="ar-SA"/>
              </w:rPr>
            </w:pPr>
            <w:r>
              <w:rPr>
                <w:rFonts w:hint="default" w:ascii="Times New Roman" w:hAnsi="Times New Roman" w:eastAsia="宋体" w:cs="Times New Roman"/>
                <w:color w:val="auto"/>
                <w:sz w:val="21"/>
                <w:szCs w:val="21"/>
                <w:highlight w:val="none"/>
                <w:u w:val="none"/>
                <w:lang w:eastAsia="zh-CN"/>
              </w:rPr>
              <w:t>依托</w:t>
            </w:r>
          </w:p>
        </w:tc>
      </w:tr>
      <w:tr w14:paraId="7FA6240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51" w:type="dxa"/>
            <w:vMerge w:val="continue"/>
            <w:tcBorders>
              <w:tl2br w:val="nil"/>
              <w:tr2bl w:val="nil"/>
            </w:tcBorders>
            <w:noWrap w:val="0"/>
            <w:vAlign w:val="center"/>
          </w:tcPr>
          <w:p w14:paraId="11922CF5">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w w:val="99"/>
                <w:sz w:val="21"/>
                <w:szCs w:val="21"/>
                <w:highlight w:val="none"/>
                <w:u w:val="none"/>
                <w:lang w:eastAsia="zh-CN"/>
              </w:rPr>
            </w:pPr>
          </w:p>
        </w:tc>
        <w:tc>
          <w:tcPr>
            <w:tcW w:w="1483" w:type="dxa"/>
            <w:tcBorders>
              <w:tl2br w:val="nil"/>
              <w:tr2bl w:val="nil"/>
            </w:tcBorders>
            <w:noWrap w:val="0"/>
            <w:vAlign w:val="center"/>
          </w:tcPr>
          <w:p w14:paraId="6554B389">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cs="Times New Roman"/>
                <w:color w:val="auto"/>
                <w:sz w:val="21"/>
                <w:szCs w:val="21"/>
                <w:highlight w:val="none"/>
                <w:u w:val="none"/>
                <w:lang w:val="en-US" w:eastAsia="zh-CN"/>
              </w:rPr>
              <w:t>电磁辐射防护措施</w:t>
            </w:r>
          </w:p>
        </w:tc>
        <w:tc>
          <w:tcPr>
            <w:tcW w:w="4067" w:type="dxa"/>
            <w:tcBorders>
              <w:tl2br w:val="nil"/>
              <w:tr2bl w:val="nil"/>
            </w:tcBorders>
            <w:noWrap w:val="0"/>
            <w:vAlign w:val="center"/>
          </w:tcPr>
          <w:p w14:paraId="6002A3B5">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宋体" w:hAnsi="宋体" w:cs="宋体"/>
                <w:color w:val="auto"/>
                <w:sz w:val="21"/>
                <w:szCs w:val="21"/>
                <w:highlight w:val="none"/>
              </w:rPr>
            </w:pPr>
            <w:r>
              <w:rPr>
                <w:rFonts w:hint="eastAsia" w:ascii="宋体" w:hAnsi="宋体" w:cs="宋体"/>
                <w:color w:val="auto"/>
                <w:sz w:val="21"/>
                <w:szCs w:val="21"/>
                <w:highlight w:val="none"/>
              </w:rPr>
              <w:fldChar w:fldCharType="begin"/>
            </w:r>
            <w:r>
              <w:rPr>
                <w:rFonts w:hint="eastAsia" w:ascii="宋体" w:hAnsi="宋体" w:cs="宋体"/>
                <w:color w:val="auto"/>
                <w:sz w:val="21"/>
                <w:szCs w:val="21"/>
                <w:highlight w:val="none"/>
              </w:rPr>
              <w:instrText xml:space="preserve"> = 1 \* GB3 \* MERGEFORMAT </w:instrText>
            </w:r>
            <w:r>
              <w:rPr>
                <w:rFonts w:hint="eastAsia" w:ascii="宋体" w:hAnsi="宋体" w:cs="宋体"/>
                <w:color w:val="auto"/>
                <w:sz w:val="21"/>
                <w:szCs w:val="21"/>
                <w:highlight w:val="none"/>
              </w:rPr>
              <w:fldChar w:fldCharType="separate"/>
            </w:r>
            <w:r>
              <w:rPr>
                <w:color w:val="auto"/>
                <w:sz w:val="21"/>
                <w:szCs w:val="21"/>
                <w:highlight w:val="none"/>
              </w:rPr>
              <w:t>①</w:t>
            </w:r>
            <w:r>
              <w:rPr>
                <w:rFonts w:hint="eastAsia" w:ascii="宋体" w:hAnsi="宋体" w:cs="宋体"/>
                <w:color w:val="auto"/>
                <w:sz w:val="21"/>
                <w:szCs w:val="21"/>
                <w:highlight w:val="none"/>
              </w:rPr>
              <w:fldChar w:fldCharType="end"/>
            </w:r>
            <w:r>
              <w:rPr>
                <w:rFonts w:hint="eastAsia" w:ascii="宋体" w:hAnsi="宋体" w:cs="宋体"/>
                <w:color w:val="auto"/>
                <w:sz w:val="21"/>
                <w:szCs w:val="21"/>
                <w:highlight w:val="none"/>
              </w:rPr>
              <w:t>合理设计并保证变电设备及配件加工精良；减小因接触不良而产生的火花放电。</w:t>
            </w:r>
          </w:p>
          <w:p w14:paraId="2AC58611">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宋体" w:hAnsi="宋体" w:cs="宋体"/>
                <w:color w:val="auto"/>
                <w:sz w:val="21"/>
                <w:szCs w:val="21"/>
                <w:highlight w:val="none"/>
              </w:rPr>
            </w:pPr>
            <w:r>
              <w:rPr>
                <w:rFonts w:hint="eastAsia" w:ascii="宋体" w:hAnsi="宋体" w:cs="宋体"/>
                <w:color w:val="auto"/>
                <w:sz w:val="21"/>
                <w:szCs w:val="21"/>
                <w:highlight w:val="none"/>
              </w:rPr>
              <w:fldChar w:fldCharType="begin"/>
            </w:r>
            <w:r>
              <w:rPr>
                <w:rFonts w:hint="eastAsia" w:ascii="宋体" w:hAnsi="宋体" w:cs="宋体"/>
                <w:color w:val="auto"/>
                <w:sz w:val="21"/>
                <w:szCs w:val="21"/>
                <w:highlight w:val="none"/>
              </w:rPr>
              <w:instrText xml:space="preserve"> = 2 \* GB3 \* MERGEFORMAT </w:instrText>
            </w:r>
            <w:r>
              <w:rPr>
                <w:rFonts w:hint="eastAsia" w:ascii="宋体" w:hAnsi="宋体" w:cs="宋体"/>
                <w:color w:val="auto"/>
                <w:sz w:val="21"/>
                <w:szCs w:val="21"/>
                <w:highlight w:val="none"/>
              </w:rPr>
              <w:fldChar w:fldCharType="separate"/>
            </w:r>
            <w:r>
              <w:rPr>
                <w:color w:val="auto"/>
                <w:sz w:val="21"/>
                <w:szCs w:val="21"/>
                <w:highlight w:val="none"/>
              </w:rPr>
              <w:t>②</w:t>
            </w:r>
            <w:r>
              <w:rPr>
                <w:rFonts w:hint="eastAsia" w:ascii="宋体" w:hAnsi="宋体" w:cs="宋体"/>
                <w:color w:val="auto"/>
                <w:sz w:val="21"/>
                <w:szCs w:val="21"/>
                <w:highlight w:val="none"/>
              </w:rPr>
              <w:fldChar w:fldCharType="end"/>
            </w:r>
            <w:r>
              <w:rPr>
                <w:rFonts w:hint="eastAsia" w:ascii="宋体" w:hAnsi="宋体" w:cs="宋体"/>
                <w:color w:val="auto"/>
                <w:sz w:val="21"/>
                <w:szCs w:val="21"/>
                <w:highlight w:val="none"/>
              </w:rPr>
              <w:t>在满足升压站内电气布局设计要求的前提下，加大主变与厂界的距离。</w:t>
            </w:r>
          </w:p>
          <w:p w14:paraId="7CA7AD16">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宋体" w:hAnsi="宋体" w:cs="宋体"/>
                <w:color w:val="auto"/>
                <w:sz w:val="21"/>
                <w:szCs w:val="21"/>
                <w:highlight w:val="none"/>
              </w:rPr>
            </w:pPr>
            <w:r>
              <w:rPr>
                <w:rFonts w:hint="eastAsia" w:ascii="宋体" w:hAnsi="宋体" w:cs="宋体"/>
                <w:color w:val="auto"/>
                <w:sz w:val="21"/>
                <w:szCs w:val="21"/>
                <w:highlight w:val="none"/>
              </w:rPr>
              <w:fldChar w:fldCharType="begin"/>
            </w:r>
            <w:r>
              <w:rPr>
                <w:rFonts w:hint="eastAsia" w:ascii="宋体" w:hAnsi="宋体" w:cs="宋体"/>
                <w:color w:val="auto"/>
                <w:sz w:val="21"/>
                <w:szCs w:val="21"/>
                <w:highlight w:val="none"/>
              </w:rPr>
              <w:instrText xml:space="preserve"> = 3 \* GB3 \* MERGEFORMAT </w:instrText>
            </w:r>
            <w:r>
              <w:rPr>
                <w:rFonts w:hint="eastAsia" w:ascii="宋体" w:hAnsi="宋体" w:cs="宋体"/>
                <w:color w:val="auto"/>
                <w:sz w:val="21"/>
                <w:szCs w:val="21"/>
                <w:highlight w:val="none"/>
              </w:rPr>
              <w:fldChar w:fldCharType="separate"/>
            </w:r>
            <w:r>
              <w:rPr>
                <w:color w:val="auto"/>
                <w:sz w:val="21"/>
                <w:szCs w:val="21"/>
                <w:highlight w:val="none"/>
              </w:rPr>
              <w:t>③</w:t>
            </w:r>
            <w:r>
              <w:rPr>
                <w:rFonts w:hint="eastAsia" w:ascii="宋体" w:hAnsi="宋体" w:cs="宋体"/>
                <w:color w:val="auto"/>
                <w:sz w:val="21"/>
                <w:szCs w:val="21"/>
                <w:highlight w:val="none"/>
              </w:rPr>
              <w:fldChar w:fldCharType="end"/>
            </w:r>
            <w:r>
              <w:rPr>
                <w:rFonts w:hint="eastAsia" w:ascii="宋体" w:hAnsi="宋体" w:cs="宋体"/>
                <w:color w:val="auto"/>
                <w:sz w:val="21"/>
                <w:szCs w:val="21"/>
                <w:highlight w:val="none"/>
              </w:rPr>
              <w:t>加强宣传，避免工作人员和群众长期在输电线路下工作。</w:t>
            </w:r>
          </w:p>
          <w:p w14:paraId="5E69F1DC">
            <w:pPr>
              <w:keepNext w:val="0"/>
              <w:keepLines w:val="0"/>
              <w:pageBreakBefore w:val="0"/>
              <w:widowControl/>
              <w:suppressLineNumbers w:val="0"/>
              <w:kinsoku/>
              <w:wordWrap/>
              <w:overflowPunct/>
              <w:topLinePunct w:val="0"/>
              <w:autoSpaceDE/>
              <w:autoSpaceDN/>
              <w:bidi w:val="0"/>
              <w:adjustRightInd w:val="0"/>
              <w:snapToGrid w:val="0"/>
              <w:spacing w:line="240" w:lineRule="auto"/>
              <w:ind w:left="0" w:right="0" w:firstLine="0" w:firstLineChars="0"/>
              <w:jc w:val="left"/>
              <w:textAlignment w:val="auto"/>
              <w:rPr>
                <w:rFonts w:hint="eastAsia" w:ascii="宋体" w:hAnsi="宋体" w:cs="宋体"/>
                <w:color w:val="auto"/>
                <w:sz w:val="21"/>
                <w:szCs w:val="21"/>
                <w:highlight w:val="none"/>
                <w:lang w:eastAsia="zh-CN"/>
              </w:rPr>
            </w:pPr>
            <w:r>
              <w:rPr>
                <w:rFonts w:hint="eastAsia" w:ascii="宋体" w:hAnsi="宋体" w:cs="宋体"/>
                <w:color w:val="auto"/>
                <w:sz w:val="21"/>
                <w:szCs w:val="21"/>
                <w:highlight w:val="none"/>
              </w:rPr>
              <w:fldChar w:fldCharType="begin"/>
            </w:r>
            <w:r>
              <w:rPr>
                <w:rFonts w:hint="eastAsia" w:ascii="宋体" w:hAnsi="宋体" w:cs="宋体"/>
                <w:color w:val="auto"/>
                <w:sz w:val="21"/>
                <w:szCs w:val="21"/>
                <w:highlight w:val="none"/>
              </w:rPr>
              <w:instrText xml:space="preserve"> = 4 \* GB3 \* MERGEFORMAT </w:instrText>
            </w:r>
            <w:r>
              <w:rPr>
                <w:rFonts w:hint="eastAsia" w:ascii="宋体" w:hAnsi="宋体" w:cs="宋体"/>
                <w:color w:val="auto"/>
                <w:sz w:val="21"/>
                <w:szCs w:val="21"/>
                <w:highlight w:val="none"/>
              </w:rPr>
              <w:fldChar w:fldCharType="separate"/>
            </w:r>
            <w:r>
              <w:rPr>
                <w:color w:val="auto"/>
                <w:sz w:val="21"/>
                <w:szCs w:val="21"/>
                <w:highlight w:val="none"/>
              </w:rPr>
              <w:t>④</w:t>
            </w:r>
            <w:r>
              <w:rPr>
                <w:rFonts w:hint="eastAsia" w:ascii="宋体" w:hAnsi="宋体" w:cs="宋体"/>
                <w:color w:val="auto"/>
                <w:sz w:val="21"/>
                <w:szCs w:val="21"/>
                <w:highlight w:val="none"/>
              </w:rPr>
              <w:fldChar w:fldCharType="end"/>
            </w:r>
            <w:r>
              <w:rPr>
                <w:rFonts w:hint="eastAsia" w:ascii="宋体" w:hAnsi="宋体" w:cs="宋体"/>
                <w:color w:val="auto"/>
                <w:sz w:val="21"/>
                <w:szCs w:val="21"/>
                <w:highlight w:val="none"/>
              </w:rPr>
              <w:t>加强电磁环境影响宣传，消除公众的恐惧心理，设置明显的警告标志</w:t>
            </w:r>
            <w:r>
              <w:rPr>
                <w:rFonts w:hint="eastAsia" w:ascii="宋体" w:hAnsi="宋体" w:cs="宋体"/>
                <w:color w:val="auto"/>
                <w:sz w:val="21"/>
                <w:szCs w:val="21"/>
                <w:highlight w:val="none"/>
                <w:lang w:eastAsia="zh-CN"/>
              </w:rPr>
              <w:t>；</w:t>
            </w:r>
          </w:p>
          <w:p w14:paraId="66B99933">
            <w:pPr>
              <w:keepNext w:val="0"/>
              <w:keepLines w:val="0"/>
              <w:pageBreakBefore w:val="0"/>
              <w:widowControl/>
              <w:suppressLineNumbers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rPr>
                <w:rFonts w:hint="default" w:ascii="Times New Roman" w:hAnsi="Times New Roman" w:eastAsia="宋体" w:cs="Times New Roman"/>
                <w:color w:val="auto"/>
                <w:kern w:val="0"/>
                <w:sz w:val="21"/>
                <w:szCs w:val="21"/>
                <w:highlight w:val="none"/>
                <w:u w:val="none"/>
                <w:lang w:val="en-US" w:eastAsia="zh-CN" w:bidi="ar-SA"/>
              </w:rPr>
            </w:pPr>
            <w:r>
              <w:rPr>
                <w:rFonts w:hint="eastAsia" w:ascii="宋体" w:hAnsi="宋体" w:cs="宋体"/>
                <w:color w:val="auto"/>
                <w:sz w:val="21"/>
                <w:szCs w:val="21"/>
                <w:highlight w:val="none"/>
                <w:lang w:eastAsia="zh-CN"/>
              </w:rPr>
              <w:t>⑤</w:t>
            </w:r>
            <w:r>
              <w:rPr>
                <w:rFonts w:hint="default" w:ascii="Times New Roman" w:hAnsi="Times New Roman" w:cs="Times New Roman"/>
                <w:color w:val="auto"/>
                <w:sz w:val="21"/>
                <w:szCs w:val="21"/>
                <w:highlight w:val="none"/>
                <w:lang w:eastAsia="zh-CN"/>
              </w:rPr>
              <w:t>升压站四周布置2.5m高的实体围墙</w:t>
            </w:r>
            <w:r>
              <w:rPr>
                <w:rFonts w:hint="default" w:ascii="Times New Roman" w:hAnsi="Times New Roman" w:cs="Times New Roman"/>
                <w:color w:val="auto"/>
                <w:sz w:val="21"/>
                <w:szCs w:val="21"/>
                <w:highlight w:val="none"/>
              </w:rPr>
              <w:t>。</w:t>
            </w:r>
          </w:p>
        </w:tc>
        <w:tc>
          <w:tcPr>
            <w:tcW w:w="2068" w:type="dxa"/>
            <w:tcBorders>
              <w:tl2br w:val="nil"/>
              <w:tr2bl w:val="nil"/>
            </w:tcBorders>
            <w:noWrap w:val="0"/>
            <w:vAlign w:val="center"/>
          </w:tcPr>
          <w:p w14:paraId="04CF59B4">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u w:val="none"/>
                <w:lang w:eastAsia="zh-CN"/>
              </w:rPr>
            </w:pPr>
            <w:r>
              <w:rPr>
                <w:rFonts w:hint="eastAsia" w:ascii="Times New Roman" w:hAnsi="Times New Roman" w:cs="Times New Roman"/>
                <w:color w:val="auto"/>
                <w:sz w:val="21"/>
                <w:szCs w:val="21"/>
                <w:highlight w:val="none"/>
                <w:u w:val="none"/>
                <w:lang w:eastAsia="zh-CN"/>
              </w:rPr>
              <w:t>依托升压站四周围墙，其余新建</w:t>
            </w:r>
          </w:p>
        </w:tc>
      </w:tr>
      <w:tr w14:paraId="1DF5810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51" w:type="dxa"/>
            <w:vMerge w:val="continue"/>
            <w:tcBorders>
              <w:tl2br w:val="nil"/>
              <w:tr2bl w:val="nil"/>
            </w:tcBorders>
            <w:noWrap w:val="0"/>
            <w:vAlign w:val="center"/>
          </w:tcPr>
          <w:p w14:paraId="7F2BCA0B">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w w:val="99"/>
                <w:sz w:val="21"/>
                <w:szCs w:val="21"/>
                <w:highlight w:val="none"/>
                <w:u w:val="none"/>
                <w:lang w:eastAsia="zh-CN"/>
              </w:rPr>
            </w:pPr>
          </w:p>
        </w:tc>
        <w:tc>
          <w:tcPr>
            <w:tcW w:w="1483" w:type="dxa"/>
            <w:tcBorders>
              <w:tl2br w:val="nil"/>
              <w:tr2bl w:val="nil"/>
            </w:tcBorders>
            <w:noWrap w:val="0"/>
            <w:vAlign w:val="center"/>
          </w:tcPr>
          <w:p w14:paraId="2C32B6AE">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u w:val="none"/>
                <w:lang w:val="en-US" w:eastAsia="zh-CN"/>
              </w:rPr>
            </w:pPr>
            <w:r>
              <w:rPr>
                <w:rFonts w:hint="eastAsia" w:ascii="Times New Roman" w:hAnsi="Times New Roman" w:cs="Times New Roman"/>
                <w:color w:val="auto"/>
                <w:sz w:val="21"/>
                <w:szCs w:val="21"/>
                <w:highlight w:val="none"/>
                <w:u w:val="none"/>
                <w:lang w:val="en-US" w:eastAsia="zh-CN"/>
              </w:rPr>
              <w:t>风险防范措施</w:t>
            </w:r>
          </w:p>
        </w:tc>
        <w:tc>
          <w:tcPr>
            <w:tcW w:w="4067" w:type="dxa"/>
            <w:tcBorders>
              <w:tl2br w:val="nil"/>
              <w:tr2bl w:val="nil"/>
            </w:tcBorders>
            <w:noWrap w:val="0"/>
            <w:vAlign w:val="center"/>
          </w:tcPr>
          <w:p w14:paraId="4EA18BC7">
            <w:pPr>
              <w:keepNext w:val="0"/>
              <w:keepLines w:val="0"/>
              <w:pageBreakBefore w:val="0"/>
              <w:widowControl/>
              <w:suppressLineNumbers w:val="0"/>
              <w:kinsoku/>
              <w:wordWrap/>
              <w:overflowPunct/>
              <w:topLinePunct w:val="0"/>
              <w:autoSpaceDE/>
              <w:autoSpaceDN/>
              <w:bidi w:val="0"/>
              <w:adjustRightInd w:val="0"/>
              <w:snapToGrid w:val="0"/>
              <w:spacing w:line="240" w:lineRule="auto"/>
              <w:ind w:left="0" w:right="0" w:firstLine="0" w:firstLineChars="0"/>
              <w:jc w:val="left"/>
              <w:textAlignment w:val="auto"/>
              <w:rPr>
                <w:rFonts w:hint="eastAsia" w:cs="Times New Roman"/>
                <w:color w:val="auto"/>
                <w:kern w:val="0"/>
                <w:sz w:val="21"/>
                <w:szCs w:val="21"/>
                <w:highlight w:val="none"/>
                <w:u w:val="none"/>
                <w:lang w:val="en-US" w:eastAsia="zh-CN" w:bidi="ar-SA"/>
              </w:rPr>
            </w:pPr>
            <w:r>
              <w:rPr>
                <w:rFonts w:hint="eastAsia" w:cs="Times New Roman"/>
                <w:color w:val="auto"/>
                <w:kern w:val="0"/>
                <w:sz w:val="21"/>
                <w:szCs w:val="21"/>
                <w:highlight w:val="none"/>
                <w:u w:val="none"/>
                <w:lang w:val="en-US" w:eastAsia="zh-CN" w:bidi="ar-SA"/>
              </w:rPr>
              <w:t>①升压站变压器的下方依托大马风电场已见建的1个30m</w:t>
            </w:r>
            <w:r>
              <w:rPr>
                <w:rFonts w:hint="eastAsia" w:cs="Times New Roman"/>
                <w:color w:val="auto"/>
                <w:kern w:val="0"/>
                <w:sz w:val="21"/>
                <w:szCs w:val="21"/>
                <w:highlight w:val="none"/>
                <w:u w:val="none"/>
                <w:vertAlign w:val="superscript"/>
                <w:lang w:val="en-US" w:eastAsia="zh-CN" w:bidi="ar-SA"/>
              </w:rPr>
              <w:t>3</w:t>
            </w:r>
            <w:r>
              <w:rPr>
                <w:rFonts w:hint="eastAsia" w:cs="Times New Roman"/>
                <w:color w:val="auto"/>
                <w:kern w:val="0"/>
                <w:sz w:val="21"/>
                <w:szCs w:val="21"/>
                <w:highlight w:val="none"/>
                <w:u w:val="none"/>
                <w:lang w:val="en-US" w:eastAsia="zh-CN" w:bidi="ar-SA"/>
              </w:rPr>
              <w:t>事故油池，排油沟槽、防渗等措施；</w:t>
            </w:r>
          </w:p>
          <w:p w14:paraId="045299E9">
            <w:pPr>
              <w:keepNext w:val="0"/>
              <w:keepLines w:val="0"/>
              <w:pageBreakBefore w:val="0"/>
              <w:widowControl/>
              <w:suppressLineNumbers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rPr>
                <w:rFonts w:hint="default" w:ascii="Times New Roman" w:hAnsi="Times New Roman" w:eastAsia="宋体" w:cs="Times New Roman"/>
                <w:color w:val="auto"/>
                <w:kern w:val="0"/>
                <w:sz w:val="21"/>
                <w:szCs w:val="21"/>
                <w:highlight w:val="none"/>
                <w:u w:val="none"/>
                <w:lang w:val="en-US" w:eastAsia="zh-CN" w:bidi="ar-SA"/>
              </w:rPr>
            </w:pPr>
            <w:r>
              <w:rPr>
                <w:rFonts w:hint="eastAsia" w:cs="Times New Roman"/>
                <w:color w:val="auto"/>
                <w:kern w:val="0"/>
                <w:sz w:val="21"/>
                <w:szCs w:val="21"/>
                <w:highlight w:val="none"/>
                <w:u w:val="none"/>
                <w:lang w:val="en-US" w:eastAsia="zh-CN" w:bidi="ar-SA"/>
              </w:rPr>
              <w:t>②</w:t>
            </w:r>
            <w:r>
              <w:rPr>
                <w:rStyle w:val="64"/>
                <w:sz w:val="21"/>
              </w:rPr>
              <w:t>各箱式变压器下方各设置1个1.5m</w:t>
            </w:r>
            <w:r>
              <w:rPr>
                <w:rStyle w:val="64"/>
                <w:sz w:val="21"/>
                <w:vertAlign w:val="superscript"/>
              </w:rPr>
              <w:t>3</w:t>
            </w:r>
            <w:r>
              <w:rPr>
                <w:rStyle w:val="64"/>
                <w:sz w:val="21"/>
              </w:rPr>
              <w:t>的事故油池，共20个事故油池</w:t>
            </w:r>
            <w:r>
              <w:rPr>
                <w:rStyle w:val="64"/>
                <w:rFonts w:hint="eastAsia"/>
                <w:sz w:val="21"/>
                <w:lang w:eastAsia="zh-CN"/>
              </w:rPr>
              <w:t>。</w:t>
            </w:r>
          </w:p>
        </w:tc>
        <w:tc>
          <w:tcPr>
            <w:tcW w:w="2068" w:type="dxa"/>
            <w:tcBorders>
              <w:tl2br w:val="nil"/>
              <w:tr2bl w:val="nil"/>
            </w:tcBorders>
            <w:noWrap w:val="0"/>
            <w:vAlign w:val="center"/>
          </w:tcPr>
          <w:p w14:paraId="76765467">
            <w:pPr>
              <w:pStyle w:val="44"/>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u w:val="none"/>
                <w:lang w:eastAsia="zh-CN"/>
              </w:rPr>
            </w:pPr>
            <w:r>
              <w:rPr>
                <w:rFonts w:hint="eastAsia" w:ascii="Times New Roman" w:hAnsi="Times New Roman" w:cs="Times New Roman"/>
                <w:color w:val="auto"/>
                <w:sz w:val="21"/>
                <w:szCs w:val="21"/>
                <w:highlight w:val="none"/>
                <w:u w:val="none"/>
                <w:lang w:eastAsia="zh-CN"/>
              </w:rPr>
              <w:t>升压站风险防范措施依托现有，各机位旁箱式变压器下方事故油池新建</w:t>
            </w:r>
          </w:p>
        </w:tc>
      </w:tr>
    </w:tbl>
    <w:p w14:paraId="509C8848">
      <w:pPr>
        <w:pStyle w:val="4"/>
        <w:bidi w:val="0"/>
        <w:rPr>
          <w:rFonts w:hint="default" w:ascii="Times New Roman" w:hAnsi="Times New Roman" w:cs="Times New Roman"/>
          <w:color w:val="auto"/>
          <w:highlight w:val="none"/>
        </w:rPr>
      </w:pPr>
      <w:bookmarkStart w:id="66" w:name="_Toc22295"/>
      <w:r>
        <w:rPr>
          <w:rFonts w:hint="eastAsia" w:ascii="Times New Roman" w:hAnsi="Times New Roman" w:cs="Times New Roman"/>
          <w:color w:val="auto"/>
          <w:highlight w:val="none"/>
          <w:lang w:val="en-US" w:eastAsia="zh-CN"/>
        </w:rPr>
        <w:t>项目建设规模及主要技术指标</w:t>
      </w:r>
      <w:bookmarkEnd w:id="66"/>
    </w:p>
    <w:p w14:paraId="5CFEA802">
      <w:pPr>
        <w:pStyle w:val="5"/>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工程建设占地</w:t>
      </w:r>
    </w:p>
    <w:p w14:paraId="19273FD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eastAsia="宋体" w:cs="Times New Roman"/>
          <w:color w:val="auto"/>
          <w:kern w:val="0"/>
          <w:sz w:val="24"/>
          <w:szCs w:val="24"/>
          <w:highlight w:val="none"/>
          <w:lang w:val="en-US" w:eastAsia="zh-CN"/>
        </w:rPr>
        <w:t>根据可研报告，本工程总占地面积</w:t>
      </w:r>
      <w:r>
        <w:rPr>
          <w:rFonts w:hint="eastAsia" w:ascii="Times New Roman" w:hAnsi="Times New Roman" w:eastAsia="宋体" w:cs="Times New Roman"/>
          <w:color w:val="auto"/>
          <w:kern w:val="0"/>
          <w:sz w:val="24"/>
          <w:szCs w:val="24"/>
          <w:highlight w:val="none"/>
          <w:lang w:val="en-US" w:eastAsia="zh-CN"/>
        </w:rPr>
        <w:t>49.38</w:t>
      </w:r>
      <w:r>
        <w:rPr>
          <w:rFonts w:hint="default" w:ascii="Times New Roman" w:hAnsi="Times New Roman" w:eastAsia="宋体" w:cs="Times New Roman"/>
          <w:color w:val="auto"/>
          <w:kern w:val="0"/>
          <w:sz w:val="24"/>
          <w:szCs w:val="24"/>
          <w:highlight w:val="none"/>
          <w:lang w:val="en-US" w:eastAsia="zh-CN"/>
        </w:rPr>
        <w:t>hm</w:t>
      </w:r>
      <w:r>
        <w:rPr>
          <w:rFonts w:hint="default" w:ascii="Times New Roman" w:hAnsi="Times New Roman" w:eastAsia="宋体" w:cs="Times New Roman"/>
          <w:color w:val="auto"/>
          <w:kern w:val="0"/>
          <w:sz w:val="24"/>
          <w:szCs w:val="24"/>
          <w:highlight w:val="none"/>
          <w:vertAlign w:val="superscript"/>
          <w:lang w:val="en-US" w:eastAsia="zh-CN"/>
        </w:rPr>
        <w:t>2</w:t>
      </w:r>
      <w:r>
        <w:rPr>
          <w:rFonts w:hint="default" w:ascii="Times New Roman" w:hAnsi="Times New Roman" w:eastAsia="宋体" w:cs="Times New Roman"/>
          <w:color w:val="auto"/>
          <w:kern w:val="0"/>
          <w:sz w:val="24"/>
          <w:szCs w:val="24"/>
          <w:highlight w:val="none"/>
          <w:lang w:val="en-US" w:eastAsia="zh-CN"/>
        </w:rPr>
        <w:t>，其中永久性占地面积为</w:t>
      </w:r>
      <w:r>
        <w:rPr>
          <w:rFonts w:hint="eastAsia" w:ascii="Times New Roman" w:hAnsi="Times New Roman" w:eastAsia="宋体" w:cs="Times New Roman"/>
          <w:color w:val="auto"/>
          <w:kern w:val="0"/>
          <w:sz w:val="24"/>
          <w:szCs w:val="24"/>
          <w:highlight w:val="none"/>
          <w:lang w:val="en-US" w:eastAsia="zh-CN"/>
        </w:rPr>
        <w:t>0.73</w:t>
      </w:r>
      <w:r>
        <w:rPr>
          <w:rFonts w:hint="default" w:ascii="Times New Roman" w:hAnsi="Times New Roman" w:eastAsia="宋体" w:cs="Times New Roman"/>
          <w:color w:val="auto"/>
          <w:kern w:val="0"/>
          <w:sz w:val="24"/>
          <w:szCs w:val="24"/>
          <w:highlight w:val="none"/>
          <w:lang w:val="en-US" w:eastAsia="zh-CN"/>
        </w:rPr>
        <w:t>hm</w:t>
      </w:r>
      <w:r>
        <w:rPr>
          <w:rFonts w:hint="default" w:ascii="Times New Roman" w:hAnsi="Times New Roman" w:eastAsia="宋体" w:cs="Times New Roman"/>
          <w:color w:val="auto"/>
          <w:kern w:val="0"/>
          <w:sz w:val="24"/>
          <w:szCs w:val="24"/>
          <w:highlight w:val="none"/>
          <w:vertAlign w:val="superscript"/>
          <w:lang w:val="en-US" w:eastAsia="zh-CN"/>
        </w:rPr>
        <w:t>2</w:t>
      </w:r>
      <w:r>
        <w:rPr>
          <w:rFonts w:hint="default" w:ascii="Times New Roman" w:hAnsi="Times New Roman" w:eastAsia="宋体" w:cs="Times New Roman"/>
          <w:color w:val="auto"/>
          <w:kern w:val="0"/>
          <w:sz w:val="24"/>
          <w:szCs w:val="24"/>
          <w:highlight w:val="none"/>
          <w:lang w:val="en-US" w:eastAsia="zh-CN"/>
        </w:rPr>
        <w:t>，临时性占地面积</w:t>
      </w:r>
      <w:r>
        <w:rPr>
          <w:rFonts w:hint="eastAsia" w:ascii="Times New Roman" w:hAnsi="Times New Roman" w:cs="Times New Roman"/>
          <w:color w:val="auto"/>
          <w:kern w:val="0"/>
          <w:sz w:val="24"/>
          <w:szCs w:val="24"/>
          <w:highlight w:val="none"/>
          <w:lang w:val="en-US" w:eastAsia="zh-CN"/>
        </w:rPr>
        <w:t>48.65</w:t>
      </w:r>
      <w:r>
        <w:rPr>
          <w:rFonts w:hint="default" w:ascii="Times New Roman" w:hAnsi="Times New Roman" w:eastAsia="宋体" w:cs="Times New Roman"/>
          <w:color w:val="auto"/>
          <w:kern w:val="0"/>
          <w:sz w:val="24"/>
          <w:szCs w:val="24"/>
          <w:highlight w:val="none"/>
          <w:lang w:val="en-US" w:eastAsia="zh-CN"/>
        </w:rPr>
        <w:t>hm</w:t>
      </w:r>
      <w:r>
        <w:rPr>
          <w:rFonts w:hint="default" w:ascii="Times New Roman" w:hAnsi="Times New Roman" w:eastAsia="宋体" w:cs="Times New Roman"/>
          <w:color w:val="auto"/>
          <w:kern w:val="0"/>
          <w:sz w:val="24"/>
          <w:szCs w:val="24"/>
          <w:highlight w:val="none"/>
          <w:vertAlign w:val="superscript"/>
          <w:lang w:val="en-US" w:eastAsia="zh-CN"/>
        </w:rPr>
        <w:t>2</w:t>
      </w:r>
      <w:r>
        <w:rPr>
          <w:rFonts w:hint="default" w:ascii="Times New Roman" w:hAnsi="Times New Roman" w:eastAsia="宋体" w:cs="Times New Roman"/>
          <w:color w:val="auto"/>
          <w:kern w:val="0"/>
          <w:sz w:val="24"/>
          <w:szCs w:val="24"/>
          <w:highlight w:val="none"/>
          <w:lang w:val="en-US" w:eastAsia="zh-CN"/>
        </w:rPr>
        <w:t>，占地类型主要为林地、草地、交通用地。</w:t>
      </w:r>
      <w:r>
        <w:rPr>
          <w:rFonts w:hint="default" w:ascii="Times New Roman" w:hAnsi="Times New Roman" w:eastAsia="宋体" w:cs="Times New Roman"/>
          <w:b/>
          <w:bCs/>
          <w:color w:val="auto"/>
          <w:kern w:val="0"/>
          <w:sz w:val="24"/>
          <w:szCs w:val="24"/>
          <w:highlight w:val="none"/>
          <w:lang w:val="en-US" w:eastAsia="zh-CN"/>
        </w:rPr>
        <w:t>永久性占地包括风电机组基础及箱变基础占地。临时性占地包括风电机组安装场地、</w:t>
      </w:r>
      <w:r>
        <w:rPr>
          <w:rFonts w:hint="eastAsia" w:ascii="Times New Roman" w:hAnsi="Times New Roman" w:eastAsia="宋体" w:cs="Times New Roman"/>
          <w:b/>
          <w:bCs/>
          <w:color w:val="auto"/>
          <w:kern w:val="0"/>
          <w:sz w:val="24"/>
          <w:szCs w:val="24"/>
          <w:highlight w:val="none"/>
          <w:lang w:val="en-US" w:eastAsia="zh-CN"/>
        </w:rPr>
        <w:t>检修道路、集电线路</w:t>
      </w:r>
      <w:r>
        <w:rPr>
          <w:rFonts w:hint="default" w:ascii="Times New Roman" w:hAnsi="Times New Roman" w:eastAsia="宋体" w:cs="Times New Roman"/>
          <w:b/>
          <w:bCs/>
          <w:color w:val="auto"/>
          <w:kern w:val="0"/>
          <w:sz w:val="24"/>
          <w:szCs w:val="24"/>
          <w:highlight w:val="none"/>
          <w:lang w:val="en-US" w:eastAsia="zh-CN"/>
        </w:rPr>
        <w:t>、施工临建设施区以及弃渣场所需临时占地，施工临建区利用升压站及风机安装场地，不新增占地。</w:t>
      </w:r>
      <w:r>
        <w:rPr>
          <w:rFonts w:hint="default" w:ascii="Times New Roman" w:hAnsi="Times New Roman" w:eastAsia="宋体" w:cs="Times New Roman"/>
          <w:color w:val="auto"/>
          <w:kern w:val="0"/>
          <w:sz w:val="24"/>
          <w:szCs w:val="24"/>
          <w:highlight w:val="none"/>
          <w:lang w:val="en-US" w:eastAsia="zh-CN"/>
        </w:rPr>
        <w:t>主体设计占地情况详见表</w:t>
      </w:r>
      <w:r>
        <w:rPr>
          <w:rFonts w:hint="eastAsia" w:ascii="Times New Roman" w:hAnsi="Times New Roman" w:cs="Times New Roman"/>
          <w:color w:val="auto"/>
          <w:kern w:val="0"/>
          <w:sz w:val="24"/>
          <w:szCs w:val="24"/>
          <w:highlight w:val="none"/>
          <w:lang w:val="en-US" w:eastAsia="zh-CN"/>
        </w:rPr>
        <w:t>4.</w:t>
      </w:r>
      <w:r>
        <w:rPr>
          <w:rFonts w:hint="eastAsia" w:cs="Times New Roman"/>
          <w:color w:val="auto"/>
          <w:kern w:val="0"/>
          <w:sz w:val="24"/>
          <w:szCs w:val="24"/>
          <w:highlight w:val="none"/>
          <w:lang w:val="en-US" w:eastAsia="zh-CN"/>
        </w:rPr>
        <w:t>4</w:t>
      </w:r>
      <w:r>
        <w:rPr>
          <w:rFonts w:hint="eastAsia" w:ascii="Times New Roman" w:hAnsi="Times New Roman" w:cs="Times New Roman"/>
          <w:color w:val="auto"/>
          <w:kern w:val="0"/>
          <w:sz w:val="24"/>
          <w:szCs w:val="24"/>
          <w:highlight w:val="none"/>
          <w:lang w:val="en-US" w:eastAsia="zh-CN"/>
        </w:rPr>
        <w:t>-1</w:t>
      </w:r>
      <w:r>
        <w:rPr>
          <w:rFonts w:hint="default" w:ascii="Times New Roman" w:hAnsi="Times New Roman" w:eastAsia="宋体" w:cs="Times New Roman"/>
          <w:color w:val="auto"/>
          <w:kern w:val="0"/>
          <w:sz w:val="24"/>
          <w:szCs w:val="24"/>
          <w:highlight w:val="none"/>
          <w:lang w:val="en-US" w:eastAsia="zh-CN"/>
        </w:rPr>
        <w:t>。</w:t>
      </w:r>
    </w:p>
    <w:p w14:paraId="6D2EF012">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b/>
          <w:bCs/>
          <w:color w:val="auto"/>
          <w:sz w:val="24"/>
          <w:szCs w:val="24"/>
          <w:highlight w:val="none"/>
          <w:lang w:val="en-US" w:eastAsia="zh-CN"/>
        </w:rPr>
      </w:pPr>
      <w:r>
        <w:rPr>
          <w:rFonts w:hint="default" w:ascii="Times New Roman" w:hAnsi="Times New Roman" w:cs="Times New Roman"/>
          <w:b/>
          <w:bCs/>
          <w:color w:val="auto"/>
          <w:sz w:val="24"/>
          <w:szCs w:val="24"/>
          <w:highlight w:val="none"/>
          <w:lang w:eastAsia="zh-CN"/>
        </w:rPr>
        <w:t>表</w:t>
      </w:r>
      <w:r>
        <w:rPr>
          <w:rFonts w:hint="eastAsia" w:ascii="Times New Roman" w:hAnsi="Times New Roman" w:cs="Times New Roman"/>
          <w:b/>
          <w:bCs/>
          <w:color w:val="auto"/>
          <w:sz w:val="24"/>
          <w:szCs w:val="24"/>
          <w:highlight w:val="none"/>
          <w:lang w:val="en-US" w:eastAsia="zh-CN"/>
        </w:rPr>
        <w:t>4.</w:t>
      </w:r>
      <w:r>
        <w:rPr>
          <w:rFonts w:hint="eastAsia" w:cs="Times New Roman"/>
          <w:b/>
          <w:bCs/>
          <w:color w:val="auto"/>
          <w:sz w:val="24"/>
          <w:szCs w:val="24"/>
          <w:highlight w:val="none"/>
          <w:lang w:val="en-US" w:eastAsia="zh-CN"/>
        </w:rPr>
        <w:t>4</w:t>
      </w:r>
      <w:r>
        <w:rPr>
          <w:rFonts w:hint="eastAsia" w:ascii="Times New Roman" w:hAnsi="Times New Roman" w:cs="Times New Roman"/>
          <w:b/>
          <w:bCs/>
          <w:color w:val="auto"/>
          <w:sz w:val="24"/>
          <w:szCs w:val="24"/>
          <w:highlight w:val="none"/>
          <w:lang w:val="en-US" w:eastAsia="zh-CN"/>
        </w:rPr>
        <w:t xml:space="preserve">-1  </w:t>
      </w:r>
      <w:r>
        <w:rPr>
          <w:rFonts w:hint="default" w:ascii="Times New Roman" w:hAnsi="Times New Roman" w:cs="Times New Roman"/>
          <w:b/>
          <w:bCs/>
          <w:color w:val="auto"/>
          <w:sz w:val="24"/>
          <w:szCs w:val="24"/>
          <w:highlight w:val="none"/>
          <w:lang w:val="en-US" w:eastAsia="zh-CN"/>
        </w:rPr>
        <w:t>工程占地一览表</w:t>
      </w:r>
    </w:p>
    <w:tbl>
      <w:tblPr>
        <w:tblStyle w:val="19"/>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199"/>
        <w:gridCol w:w="2526"/>
        <w:gridCol w:w="2305"/>
        <w:gridCol w:w="2305"/>
      </w:tblGrid>
      <w:tr w14:paraId="6A2D29B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840" w:type="dxa"/>
            <w:tcBorders>
              <w:tl2br w:val="nil"/>
              <w:tr2bl w:val="nil"/>
            </w:tcBorders>
            <w:noWrap w:val="0"/>
            <w:vAlign w:val="center"/>
          </w:tcPr>
          <w:p w14:paraId="57B1C08C">
            <w:pPr>
              <w:pStyle w:val="45"/>
              <w:bidi w:val="0"/>
              <w:rPr>
                <w:rFonts w:hint="default"/>
                <w:b w:val="0"/>
                <w:bCs/>
                <w:color w:val="auto"/>
                <w:highlight w:val="none"/>
              </w:rPr>
            </w:pPr>
            <w:r>
              <w:rPr>
                <w:rFonts w:hint="default"/>
                <w:b w:val="0"/>
                <w:bCs/>
                <w:color w:val="auto"/>
                <w:highlight w:val="none"/>
              </w:rPr>
              <w:t>序号</w:t>
            </w:r>
          </w:p>
        </w:tc>
        <w:tc>
          <w:tcPr>
            <w:tcW w:w="3892" w:type="dxa"/>
            <w:tcBorders>
              <w:tl2br w:val="nil"/>
              <w:tr2bl w:val="nil"/>
            </w:tcBorders>
            <w:noWrap w:val="0"/>
            <w:vAlign w:val="center"/>
          </w:tcPr>
          <w:p w14:paraId="7281BA75">
            <w:pPr>
              <w:pStyle w:val="45"/>
              <w:bidi w:val="0"/>
              <w:rPr>
                <w:rFonts w:hint="default"/>
                <w:b w:val="0"/>
                <w:bCs/>
                <w:color w:val="auto"/>
                <w:highlight w:val="none"/>
              </w:rPr>
            </w:pPr>
            <w:r>
              <w:rPr>
                <w:rFonts w:hint="default"/>
                <w:b w:val="0"/>
                <w:bCs/>
                <w:color w:val="auto"/>
                <w:highlight w:val="none"/>
              </w:rPr>
              <w:t>项目</w:t>
            </w:r>
          </w:p>
        </w:tc>
        <w:tc>
          <w:tcPr>
            <w:tcW w:w="3550" w:type="dxa"/>
            <w:tcBorders>
              <w:tl2br w:val="nil"/>
              <w:tr2bl w:val="nil"/>
            </w:tcBorders>
            <w:noWrap w:val="0"/>
            <w:vAlign w:val="center"/>
          </w:tcPr>
          <w:p w14:paraId="457DED42">
            <w:pPr>
              <w:pStyle w:val="45"/>
              <w:bidi w:val="0"/>
              <w:rPr>
                <w:rFonts w:hint="default"/>
                <w:b w:val="0"/>
                <w:bCs/>
                <w:color w:val="auto"/>
                <w:highlight w:val="none"/>
              </w:rPr>
            </w:pPr>
            <w:r>
              <w:rPr>
                <w:rFonts w:hint="default"/>
                <w:b w:val="0"/>
                <w:bCs/>
                <w:color w:val="auto"/>
                <w:highlight w:val="none"/>
              </w:rPr>
              <w:t>永久征用地</w:t>
            </w:r>
          </w:p>
        </w:tc>
        <w:tc>
          <w:tcPr>
            <w:tcW w:w="3550" w:type="dxa"/>
            <w:tcBorders>
              <w:tl2br w:val="nil"/>
              <w:tr2bl w:val="nil"/>
            </w:tcBorders>
            <w:noWrap w:val="0"/>
            <w:vAlign w:val="center"/>
          </w:tcPr>
          <w:p w14:paraId="57B44583">
            <w:pPr>
              <w:pStyle w:val="45"/>
              <w:bidi w:val="0"/>
              <w:rPr>
                <w:rFonts w:hint="default"/>
                <w:b w:val="0"/>
                <w:bCs/>
                <w:color w:val="auto"/>
                <w:highlight w:val="none"/>
              </w:rPr>
            </w:pPr>
            <w:r>
              <w:rPr>
                <w:rFonts w:hint="default"/>
                <w:b w:val="0"/>
                <w:bCs/>
                <w:color w:val="auto"/>
                <w:highlight w:val="none"/>
              </w:rPr>
              <w:t>临时征用地</w:t>
            </w:r>
          </w:p>
        </w:tc>
      </w:tr>
      <w:tr w14:paraId="4700A43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840" w:type="dxa"/>
            <w:tcBorders>
              <w:tl2br w:val="nil"/>
              <w:tr2bl w:val="nil"/>
            </w:tcBorders>
            <w:noWrap w:val="0"/>
            <w:vAlign w:val="center"/>
          </w:tcPr>
          <w:p w14:paraId="799F6A7A">
            <w:pPr>
              <w:pStyle w:val="45"/>
              <w:bidi w:val="0"/>
              <w:rPr>
                <w:rFonts w:hint="default"/>
                <w:b w:val="0"/>
                <w:bCs/>
                <w:color w:val="auto"/>
                <w:highlight w:val="none"/>
              </w:rPr>
            </w:pPr>
            <w:r>
              <w:rPr>
                <w:rFonts w:hint="default"/>
                <w:b w:val="0"/>
                <w:bCs/>
                <w:color w:val="auto"/>
                <w:highlight w:val="none"/>
              </w:rPr>
              <w:t>1</w:t>
            </w:r>
          </w:p>
        </w:tc>
        <w:tc>
          <w:tcPr>
            <w:tcW w:w="3892" w:type="dxa"/>
            <w:tcBorders>
              <w:tl2br w:val="nil"/>
              <w:tr2bl w:val="nil"/>
            </w:tcBorders>
            <w:noWrap w:val="0"/>
            <w:vAlign w:val="center"/>
          </w:tcPr>
          <w:p w14:paraId="6B373585">
            <w:pPr>
              <w:pStyle w:val="45"/>
              <w:bidi w:val="0"/>
              <w:rPr>
                <w:rFonts w:hint="default"/>
                <w:b w:val="0"/>
                <w:bCs/>
                <w:color w:val="auto"/>
                <w:highlight w:val="none"/>
              </w:rPr>
            </w:pPr>
            <w:r>
              <w:rPr>
                <w:rFonts w:hint="default"/>
                <w:b w:val="0"/>
                <w:bCs/>
                <w:color w:val="auto"/>
                <w:highlight w:val="none"/>
              </w:rPr>
              <w:t>风机、箱变基础</w:t>
            </w:r>
          </w:p>
        </w:tc>
        <w:tc>
          <w:tcPr>
            <w:tcW w:w="3550" w:type="dxa"/>
            <w:tcBorders>
              <w:tl2br w:val="nil"/>
              <w:tr2bl w:val="nil"/>
            </w:tcBorders>
            <w:noWrap w:val="0"/>
            <w:vAlign w:val="center"/>
          </w:tcPr>
          <w:p w14:paraId="02D49AE5">
            <w:pPr>
              <w:pStyle w:val="45"/>
              <w:bidi w:val="0"/>
              <w:rPr>
                <w:rFonts w:hint="default"/>
                <w:b w:val="0"/>
                <w:bCs/>
                <w:color w:val="auto"/>
                <w:highlight w:val="none"/>
                <w:lang w:val="en-US" w:eastAsia="zh-CN"/>
              </w:rPr>
            </w:pPr>
            <w:r>
              <w:rPr>
                <w:rFonts w:hint="eastAsia"/>
                <w:b w:val="0"/>
                <w:bCs/>
                <w:color w:val="auto"/>
                <w:highlight w:val="none"/>
                <w:lang w:val="en-US" w:eastAsia="zh-CN"/>
              </w:rPr>
              <w:t>0.73</w:t>
            </w:r>
          </w:p>
        </w:tc>
        <w:tc>
          <w:tcPr>
            <w:tcW w:w="3550" w:type="dxa"/>
            <w:tcBorders>
              <w:tl2br w:val="nil"/>
              <w:tr2bl w:val="nil"/>
            </w:tcBorders>
            <w:noWrap w:val="0"/>
            <w:vAlign w:val="center"/>
          </w:tcPr>
          <w:p w14:paraId="019C846A">
            <w:pPr>
              <w:pStyle w:val="45"/>
              <w:bidi w:val="0"/>
              <w:rPr>
                <w:rFonts w:hint="default"/>
                <w:b w:val="0"/>
                <w:bCs/>
                <w:color w:val="auto"/>
                <w:highlight w:val="none"/>
                <w:lang w:val="en-US" w:eastAsia="zh-CN"/>
              </w:rPr>
            </w:pPr>
          </w:p>
        </w:tc>
      </w:tr>
      <w:tr w14:paraId="159609D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840" w:type="dxa"/>
            <w:tcBorders>
              <w:tl2br w:val="nil"/>
              <w:tr2bl w:val="nil"/>
            </w:tcBorders>
            <w:noWrap w:val="0"/>
            <w:vAlign w:val="center"/>
          </w:tcPr>
          <w:p w14:paraId="307A4AC9">
            <w:pPr>
              <w:pStyle w:val="45"/>
              <w:bidi w:val="0"/>
              <w:rPr>
                <w:rFonts w:hint="default"/>
                <w:b w:val="0"/>
                <w:bCs/>
                <w:color w:val="auto"/>
                <w:highlight w:val="none"/>
              </w:rPr>
            </w:pPr>
            <w:r>
              <w:rPr>
                <w:rFonts w:hint="default"/>
                <w:b w:val="0"/>
                <w:bCs/>
                <w:color w:val="auto"/>
                <w:highlight w:val="none"/>
              </w:rPr>
              <w:t>2</w:t>
            </w:r>
          </w:p>
        </w:tc>
        <w:tc>
          <w:tcPr>
            <w:tcW w:w="3892" w:type="dxa"/>
            <w:tcBorders>
              <w:tl2br w:val="nil"/>
              <w:tr2bl w:val="nil"/>
            </w:tcBorders>
            <w:noWrap w:val="0"/>
            <w:vAlign w:val="center"/>
          </w:tcPr>
          <w:p w14:paraId="5B451E24">
            <w:pPr>
              <w:pStyle w:val="45"/>
              <w:bidi w:val="0"/>
              <w:rPr>
                <w:rFonts w:hint="default"/>
                <w:b w:val="0"/>
                <w:bCs/>
                <w:color w:val="auto"/>
                <w:highlight w:val="none"/>
              </w:rPr>
            </w:pPr>
            <w:r>
              <w:rPr>
                <w:rFonts w:hint="default"/>
                <w:b w:val="0"/>
                <w:bCs/>
                <w:color w:val="auto"/>
                <w:highlight w:val="none"/>
              </w:rPr>
              <w:t>风机安装场地</w:t>
            </w:r>
          </w:p>
        </w:tc>
        <w:tc>
          <w:tcPr>
            <w:tcW w:w="3550" w:type="dxa"/>
            <w:tcBorders>
              <w:tl2br w:val="nil"/>
              <w:tr2bl w:val="nil"/>
            </w:tcBorders>
            <w:noWrap w:val="0"/>
            <w:vAlign w:val="center"/>
          </w:tcPr>
          <w:p w14:paraId="41F7B09A">
            <w:pPr>
              <w:pStyle w:val="45"/>
              <w:bidi w:val="0"/>
              <w:rPr>
                <w:rFonts w:hint="default"/>
                <w:b w:val="0"/>
                <w:bCs/>
                <w:color w:val="auto"/>
                <w:highlight w:val="none"/>
                <w:lang w:val="en-US" w:eastAsia="zh-CN"/>
              </w:rPr>
            </w:pPr>
          </w:p>
        </w:tc>
        <w:tc>
          <w:tcPr>
            <w:tcW w:w="3550" w:type="dxa"/>
            <w:tcBorders>
              <w:tl2br w:val="nil"/>
              <w:tr2bl w:val="nil"/>
            </w:tcBorders>
            <w:noWrap w:val="0"/>
            <w:vAlign w:val="top"/>
          </w:tcPr>
          <w:p w14:paraId="5E813A3E">
            <w:pPr>
              <w:pStyle w:val="45"/>
              <w:bidi w:val="0"/>
              <w:rPr>
                <w:rFonts w:hint="default"/>
                <w:b w:val="0"/>
                <w:bCs/>
                <w:color w:val="auto"/>
                <w:highlight w:val="none"/>
                <w:lang w:val="en-US" w:eastAsia="zh-CN"/>
              </w:rPr>
            </w:pPr>
            <w:r>
              <w:rPr>
                <w:rFonts w:hint="eastAsia"/>
                <w:b w:val="0"/>
                <w:bCs/>
                <w:color w:val="auto"/>
                <w:highlight w:val="none"/>
                <w:lang w:val="en-US" w:eastAsia="zh-CN"/>
              </w:rPr>
              <w:t>4.99</w:t>
            </w:r>
          </w:p>
        </w:tc>
      </w:tr>
      <w:tr w14:paraId="73D99B9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840" w:type="dxa"/>
            <w:tcBorders>
              <w:tl2br w:val="nil"/>
              <w:tr2bl w:val="nil"/>
            </w:tcBorders>
            <w:noWrap w:val="0"/>
            <w:vAlign w:val="center"/>
          </w:tcPr>
          <w:p w14:paraId="0F7EE900">
            <w:pPr>
              <w:pStyle w:val="45"/>
              <w:bidi w:val="0"/>
              <w:rPr>
                <w:rFonts w:hint="default"/>
                <w:b w:val="0"/>
                <w:bCs/>
                <w:color w:val="auto"/>
                <w:highlight w:val="none"/>
                <w:lang w:val="en-US" w:eastAsia="zh-CN"/>
              </w:rPr>
            </w:pPr>
            <w:r>
              <w:rPr>
                <w:rFonts w:hint="default"/>
                <w:b w:val="0"/>
                <w:bCs/>
                <w:color w:val="auto"/>
                <w:highlight w:val="none"/>
                <w:lang w:val="en-US" w:eastAsia="zh-CN"/>
              </w:rPr>
              <w:t>3</w:t>
            </w:r>
          </w:p>
        </w:tc>
        <w:tc>
          <w:tcPr>
            <w:tcW w:w="3892" w:type="dxa"/>
            <w:tcBorders>
              <w:tl2br w:val="nil"/>
              <w:tr2bl w:val="nil"/>
            </w:tcBorders>
            <w:noWrap w:val="0"/>
            <w:vAlign w:val="center"/>
          </w:tcPr>
          <w:p w14:paraId="265BC838">
            <w:pPr>
              <w:pStyle w:val="45"/>
              <w:bidi w:val="0"/>
              <w:rPr>
                <w:rFonts w:hint="default"/>
                <w:b w:val="0"/>
                <w:bCs/>
                <w:color w:val="auto"/>
                <w:highlight w:val="none"/>
                <w:lang w:eastAsia="zh-CN"/>
              </w:rPr>
            </w:pPr>
            <w:r>
              <w:rPr>
                <w:rFonts w:hint="default"/>
                <w:b w:val="0"/>
                <w:bCs/>
                <w:color w:val="auto"/>
                <w:highlight w:val="none"/>
              </w:rPr>
              <w:t>施工</w:t>
            </w:r>
            <w:r>
              <w:rPr>
                <w:rFonts w:hint="default"/>
                <w:b w:val="0"/>
                <w:bCs/>
                <w:color w:val="auto"/>
                <w:highlight w:val="none"/>
                <w:lang w:eastAsia="zh-CN"/>
              </w:rPr>
              <w:t>检修</w:t>
            </w:r>
            <w:r>
              <w:rPr>
                <w:rFonts w:hint="default"/>
                <w:b w:val="0"/>
                <w:bCs/>
                <w:color w:val="auto"/>
                <w:highlight w:val="none"/>
              </w:rPr>
              <w:t>道路</w:t>
            </w:r>
            <w:r>
              <w:rPr>
                <w:rFonts w:hint="default"/>
                <w:b w:val="0"/>
                <w:bCs/>
                <w:color w:val="auto"/>
                <w:highlight w:val="none"/>
                <w:lang w:eastAsia="zh-CN"/>
              </w:rPr>
              <w:t>区</w:t>
            </w:r>
          </w:p>
        </w:tc>
        <w:tc>
          <w:tcPr>
            <w:tcW w:w="3550" w:type="dxa"/>
            <w:tcBorders>
              <w:tl2br w:val="nil"/>
              <w:tr2bl w:val="nil"/>
            </w:tcBorders>
            <w:noWrap w:val="0"/>
            <w:vAlign w:val="center"/>
          </w:tcPr>
          <w:p w14:paraId="7F4D4DFD">
            <w:pPr>
              <w:pStyle w:val="45"/>
              <w:bidi w:val="0"/>
              <w:rPr>
                <w:rFonts w:hint="default"/>
                <w:b w:val="0"/>
                <w:bCs/>
                <w:color w:val="auto"/>
                <w:highlight w:val="none"/>
                <w:lang w:val="en-US" w:eastAsia="zh-CN"/>
              </w:rPr>
            </w:pPr>
          </w:p>
        </w:tc>
        <w:tc>
          <w:tcPr>
            <w:tcW w:w="3550" w:type="dxa"/>
            <w:tcBorders>
              <w:tl2br w:val="nil"/>
              <w:tr2bl w:val="nil"/>
            </w:tcBorders>
            <w:noWrap w:val="0"/>
            <w:vAlign w:val="top"/>
          </w:tcPr>
          <w:p w14:paraId="3C42A079">
            <w:pPr>
              <w:pStyle w:val="45"/>
              <w:bidi w:val="0"/>
              <w:rPr>
                <w:rFonts w:hint="default"/>
                <w:b w:val="0"/>
                <w:bCs/>
                <w:color w:val="auto"/>
                <w:highlight w:val="none"/>
                <w:lang w:val="en-US" w:eastAsia="zh-CN"/>
              </w:rPr>
            </w:pPr>
            <w:r>
              <w:rPr>
                <w:rFonts w:hint="eastAsia"/>
                <w:b w:val="0"/>
                <w:bCs/>
                <w:color w:val="auto"/>
                <w:highlight w:val="none"/>
                <w:lang w:val="en-US" w:eastAsia="zh-CN"/>
              </w:rPr>
              <w:t>34.66</w:t>
            </w:r>
          </w:p>
        </w:tc>
      </w:tr>
      <w:tr w14:paraId="0853F5E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840" w:type="dxa"/>
            <w:tcBorders>
              <w:tl2br w:val="nil"/>
              <w:tr2bl w:val="nil"/>
            </w:tcBorders>
            <w:noWrap w:val="0"/>
            <w:vAlign w:val="center"/>
          </w:tcPr>
          <w:p w14:paraId="611F292A">
            <w:pPr>
              <w:pStyle w:val="45"/>
              <w:bidi w:val="0"/>
              <w:rPr>
                <w:rFonts w:hint="default"/>
                <w:b w:val="0"/>
                <w:bCs/>
                <w:color w:val="auto"/>
                <w:highlight w:val="none"/>
                <w:lang w:val="en-US" w:eastAsia="zh-CN"/>
              </w:rPr>
            </w:pPr>
            <w:r>
              <w:rPr>
                <w:rFonts w:hint="default"/>
                <w:b w:val="0"/>
                <w:bCs/>
                <w:color w:val="auto"/>
                <w:highlight w:val="none"/>
                <w:lang w:val="en-US" w:eastAsia="zh-CN"/>
              </w:rPr>
              <w:t>4</w:t>
            </w:r>
          </w:p>
        </w:tc>
        <w:tc>
          <w:tcPr>
            <w:tcW w:w="3892" w:type="dxa"/>
            <w:tcBorders>
              <w:tl2br w:val="nil"/>
              <w:tr2bl w:val="nil"/>
            </w:tcBorders>
            <w:noWrap w:val="0"/>
            <w:vAlign w:val="center"/>
          </w:tcPr>
          <w:p w14:paraId="25CD6A1C">
            <w:pPr>
              <w:pStyle w:val="45"/>
              <w:bidi w:val="0"/>
              <w:rPr>
                <w:rFonts w:hint="default"/>
                <w:b w:val="0"/>
                <w:bCs/>
                <w:color w:val="auto"/>
                <w:highlight w:val="none"/>
              </w:rPr>
            </w:pPr>
            <w:r>
              <w:rPr>
                <w:rFonts w:hint="default"/>
                <w:b w:val="0"/>
                <w:bCs/>
                <w:color w:val="auto"/>
                <w:highlight w:val="none"/>
              </w:rPr>
              <w:t>集电线路</w:t>
            </w:r>
          </w:p>
        </w:tc>
        <w:tc>
          <w:tcPr>
            <w:tcW w:w="3550" w:type="dxa"/>
            <w:tcBorders>
              <w:tl2br w:val="nil"/>
              <w:tr2bl w:val="nil"/>
            </w:tcBorders>
            <w:noWrap w:val="0"/>
            <w:vAlign w:val="center"/>
          </w:tcPr>
          <w:p w14:paraId="203BD2F9">
            <w:pPr>
              <w:pStyle w:val="45"/>
              <w:bidi w:val="0"/>
              <w:rPr>
                <w:rFonts w:hint="default"/>
                <w:b w:val="0"/>
                <w:bCs/>
                <w:color w:val="auto"/>
                <w:highlight w:val="none"/>
                <w:lang w:val="en-US" w:eastAsia="zh-CN"/>
              </w:rPr>
            </w:pPr>
          </w:p>
        </w:tc>
        <w:tc>
          <w:tcPr>
            <w:tcW w:w="3550" w:type="dxa"/>
            <w:tcBorders>
              <w:tl2br w:val="nil"/>
              <w:tr2bl w:val="nil"/>
            </w:tcBorders>
            <w:noWrap w:val="0"/>
            <w:vAlign w:val="top"/>
          </w:tcPr>
          <w:p w14:paraId="71D31906">
            <w:pPr>
              <w:pStyle w:val="45"/>
              <w:bidi w:val="0"/>
              <w:rPr>
                <w:rFonts w:hint="default"/>
                <w:b w:val="0"/>
                <w:bCs/>
                <w:color w:val="auto"/>
                <w:highlight w:val="none"/>
                <w:lang w:val="en-US" w:eastAsia="zh-CN"/>
              </w:rPr>
            </w:pPr>
            <w:r>
              <w:rPr>
                <w:rFonts w:hint="eastAsia"/>
                <w:b w:val="0"/>
                <w:bCs/>
                <w:color w:val="auto"/>
                <w:highlight w:val="none"/>
                <w:lang w:val="en-US" w:eastAsia="zh-CN"/>
              </w:rPr>
              <w:t>3.600</w:t>
            </w:r>
          </w:p>
        </w:tc>
      </w:tr>
      <w:tr w14:paraId="4DEC96E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840" w:type="dxa"/>
            <w:tcBorders>
              <w:tl2br w:val="nil"/>
              <w:tr2bl w:val="nil"/>
            </w:tcBorders>
            <w:noWrap w:val="0"/>
            <w:vAlign w:val="center"/>
          </w:tcPr>
          <w:p w14:paraId="628CE6DD">
            <w:pPr>
              <w:pStyle w:val="45"/>
              <w:bidi w:val="0"/>
              <w:rPr>
                <w:rFonts w:hint="default"/>
                <w:b w:val="0"/>
                <w:bCs/>
                <w:color w:val="auto"/>
                <w:highlight w:val="none"/>
                <w:lang w:val="en-US" w:eastAsia="zh-CN"/>
              </w:rPr>
            </w:pPr>
            <w:r>
              <w:rPr>
                <w:rFonts w:hint="default"/>
                <w:b w:val="0"/>
                <w:bCs/>
                <w:color w:val="auto"/>
                <w:highlight w:val="none"/>
                <w:lang w:val="en-US" w:eastAsia="zh-CN"/>
              </w:rPr>
              <w:t>6</w:t>
            </w:r>
          </w:p>
        </w:tc>
        <w:tc>
          <w:tcPr>
            <w:tcW w:w="3892" w:type="dxa"/>
            <w:tcBorders>
              <w:tl2br w:val="nil"/>
              <w:tr2bl w:val="nil"/>
            </w:tcBorders>
            <w:noWrap w:val="0"/>
            <w:vAlign w:val="center"/>
          </w:tcPr>
          <w:p w14:paraId="7BEF836B">
            <w:pPr>
              <w:pStyle w:val="45"/>
              <w:bidi w:val="0"/>
              <w:rPr>
                <w:rFonts w:hint="default"/>
                <w:b w:val="0"/>
                <w:bCs/>
                <w:color w:val="auto"/>
                <w:highlight w:val="none"/>
                <w:lang w:eastAsia="zh-CN"/>
              </w:rPr>
            </w:pPr>
            <w:r>
              <w:rPr>
                <w:rFonts w:hint="default"/>
                <w:b w:val="0"/>
                <w:bCs/>
                <w:color w:val="auto"/>
                <w:highlight w:val="none"/>
                <w:lang w:eastAsia="zh-CN"/>
              </w:rPr>
              <w:t>弃渣场</w:t>
            </w:r>
          </w:p>
        </w:tc>
        <w:tc>
          <w:tcPr>
            <w:tcW w:w="3550" w:type="dxa"/>
            <w:tcBorders>
              <w:tl2br w:val="nil"/>
              <w:tr2bl w:val="nil"/>
            </w:tcBorders>
            <w:noWrap w:val="0"/>
            <w:vAlign w:val="center"/>
          </w:tcPr>
          <w:p w14:paraId="570ED909">
            <w:pPr>
              <w:pStyle w:val="45"/>
              <w:bidi w:val="0"/>
              <w:rPr>
                <w:rFonts w:hint="default"/>
                <w:b w:val="0"/>
                <w:bCs/>
                <w:color w:val="auto"/>
                <w:highlight w:val="none"/>
                <w:lang w:val="en-US" w:eastAsia="zh-CN"/>
              </w:rPr>
            </w:pPr>
          </w:p>
        </w:tc>
        <w:tc>
          <w:tcPr>
            <w:tcW w:w="3550" w:type="dxa"/>
            <w:tcBorders>
              <w:tl2br w:val="nil"/>
              <w:tr2bl w:val="nil"/>
            </w:tcBorders>
            <w:noWrap w:val="0"/>
            <w:vAlign w:val="top"/>
          </w:tcPr>
          <w:p w14:paraId="0D85F777">
            <w:pPr>
              <w:pStyle w:val="45"/>
              <w:bidi w:val="0"/>
              <w:rPr>
                <w:rFonts w:hint="default"/>
                <w:b w:val="0"/>
                <w:bCs/>
                <w:color w:val="auto"/>
                <w:highlight w:val="none"/>
                <w:lang w:val="en-US" w:eastAsia="zh-CN"/>
              </w:rPr>
            </w:pPr>
            <w:r>
              <w:rPr>
                <w:rFonts w:hint="eastAsia"/>
                <w:b w:val="0"/>
                <w:bCs/>
                <w:color w:val="auto"/>
                <w:highlight w:val="none"/>
                <w:lang w:val="en-US" w:eastAsia="zh-CN"/>
              </w:rPr>
              <w:t>5.40</w:t>
            </w:r>
          </w:p>
        </w:tc>
      </w:tr>
      <w:tr w14:paraId="1820369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840" w:type="dxa"/>
            <w:tcBorders>
              <w:tl2br w:val="nil"/>
              <w:tr2bl w:val="nil"/>
            </w:tcBorders>
            <w:noWrap w:val="0"/>
            <w:vAlign w:val="center"/>
          </w:tcPr>
          <w:p w14:paraId="3958A8A8">
            <w:pPr>
              <w:pStyle w:val="45"/>
              <w:bidi w:val="0"/>
              <w:rPr>
                <w:rFonts w:hint="default"/>
                <w:b w:val="0"/>
                <w:bCs/>
                <w:color w:val="auto"/>
                <w:highlight w:val="none"/>
                <w:lang w:val="en-US" w:eastAsia="zh-CN"/>
              </w:rPr>
            </w:pPr>
            <w:r>
              <w:rPr>
                <w:rFonts w:hint="default"/>
                <w:b w:val="0"/>
                <w:bCs/>
                <w:color w:val="auto"/>
                <w:highlight w:val="none"/>
                <w:lang w:val="en-US" w:eastAsia="zh-CN"/>
              </w:rPr>
              <w:t>7</w:t>
            </w:r>
          </w:p>
        </w:tc>
        <w:tc>
          <w:tcPr>
            <w:tcW w:w="3892" w:type="dxa"/>
            <w:tcBorders>
              <w:tl2br w:val="nil"/>
              <w:tr2bl w:val="nil"/>
            </w:tcBorders>
            <w:noWrap w:val="0"/>
            <w:vAlign w:val="center"/>
          </w:tcPr>
          <w:p w14:paraId="6DA3C05F">
            <w:pPr>
              <w:pStyle w:val="45"/>
              <w:bidi w:val="0"/>
              <w:rPr>
                <w:rFonts w:hint="default"/>
                <w:b w:val="0"/>
                <w:bCs/>
                <w:color w:val="auto"/>
                <w:highlight w:val="none"/>
                <w:lang w:eastAsia="zh-CN"/>
              </w:rPr>
            </w:pPr>
            <w:r>
              <w:rPr>
                <w:rFonts w:hint="default"/>
                <w:b w:val="0"/>
                <w:bCs/>
                <w:color w:val="auto"/>
                <w:highlight w:val="none"/>
                <w:lang w:eastAsia="zh-CN"/>
              </w:rPr>
              <w:t>合计</w:t>
            </w:r>
          </w:p>
        </w:tc>
        <w:tc>
          <w:tcPr>
            <w:tcW w:w="3550" w:type="dxa"/>
            <w:tcBorders>
              <w:tl2br w:val="nil"/>
              <w:tr2bl w:val="nil"/>
            </w:tcBorders>
            <w:noWrap w:val="0"/>
            <w:vAlign w:val="center"/>
          </w:tcPr>
          <w:p w14:paraId="5BE02C2F">
            <w:pPr>
              <w:pStyle w:val="45"/>
              <w:bidi w:val="0"/>
              <w:rPr>
                <w:rFonts w:hint="default"/>
                <w:b w:val="0"/>
                <w:bCs/>
                <w:color w:val="auto"/>
                <w:highlight w:val="none"/>
                <w:lang w:val="en-US" w:eastAsia="zh-CN"/>
              </w:rPr>
            </w:pPr>
            <w:r>
              <w:rPr>
                <w:rFonts w:hint="eastAsia"/>
                <w:b w:val="0"/>
                <w:bCs/>
                <w:color w:val="auto"/>
                <w:highlight w:val="none"/>
                <w:lang w:val="en-US" w:eastAsia="zh-CN"/>
              </w:rPr>
              <w:t>0.73</w:t>
            </w:r>
          </w:p>
        </w:tc>
        <w:tc>
          <w:tcPr>
            <w:tcW w:w="3550" w:type="dxa"/>
            <w:tcBorders>
              <w:tl2br w:val="nil"/>
              <w:tr2bl w:val="nil"/>
            </w:tcBorders>
            <w:noWrap w:val="0"/>
            <w:vAlign w:val="top"/>
          </w:tcPr>
          <w:p w14:paraId="1EDD9FFB">
            <w:pPr>
              <w:pStyle w:val="45"/>
              <w:bidi w:val="0"/>
              <w:rPr>
                <w:rFonts w:hint="default"/>
                <w:b w:val="0"/>
                <w:bCs/>
                <w:color w:val="auto"/>
                <w:highlight w:val="none"/>
                <w:lang w:val="en-US" w:eastAsia="zh-CN"/>
              </w:rPr>
            </w:pPr>
            <w:r>
              <w:rPr>
                <w:rFonts w:hint="eastAsia"/>
                <w:b w:val="0"/>
                <w:bCs/>
                <w:color w:val="auto"/>
                <w:highlight w:val="none"/>
                <w:lang w:val="en-US" w:eastAsia="zh-CN"/>
              </w:rPr>
              <w:t>48.65</w:t>
            </w:r>
          </w:p>
        </w:tc>
      </w:tr>
      <w:tr w14:paraId="509EE25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840" w:type="dxa"/>
            <w:tcBorders>
              <w:tl2br w:val="nil"/>
              <w:tr2bl w:val="nil"/>
            </w:tcBorders>
            <w:noWrap w:val="0"/>
            <w:vAlign w:val="center"/>
          </w:tcPr>
          <w:p w14:paraId="00DB6B85">
            <w:pPr>
              <w:pStyle w:val="45"/>
              <w:bidi w:val="0"/>
              <w:rPr>
                <w:rFonts w:hint="default"/>
                <w:b w:val="0"/>
                <w:bCs/>
                <w:color w:val="auto"/>
                <w:highlight w:val="none"/>
                <w:lang w:val="en-US" w:eastAsia="zh-CN"/>
              </w:rPr>
            </w:pPr>
            <w:r>
              <w:rPr>
                <w:rFonts w:hint="eastAsia"/>
                <w:b w:val="0"/>
                <w:bCs/>
                <w:color w:val="auto"/>
                <w:highlight w:val="none"/>
                <w:lang w:val="en-US" w:eastAsia="zh-CN"/>
              </w:rPr>
              <w:t>8</w:t>
            </w:r>
          </w:p>
        </w:tc>
        <w:tc>
          <w:tcPr>
            <w:tcW w:w="3892" w:type="dxa"/>
            <w:tcBorders>
              <w:tl2br w:val="nil"/>
              <w:tr2bl w:val="nil"/>
            </w:tcBorders>
            <w:noWrap w:val="0"/>
            <w:vAlign w:val="center"/>
          </w:tcPr>
          <w:p w14:paraId="73A165F9">
            <w:pPr>
              <w:pStyle w:val="45"/>
              <w:bidi w:val="0"/>
              <w:rPr>
                <w:rFonts w:hint="default"/>
                <w:b w:val="0"/>
                <w:bCs/>
                <w:color w:val="auto"/>
                <w:highlight w:val="none"/>
                <w:lang w:eastAsia="zh-CN"/>
              </w:rPr>
            </w:pPr>
            <w:r>
              <w:rPr>
                <w:rFonts w:hint="eastAsia"/>
                <w:b w:val="0"/>
                <w:bCs/>
                <w:color w:val="auto"/>
                <w:highlight w:val="none"/>
                <w:lang w:eastAsia="zh-CN"/>
              </w:rPr>
              <w:t>总用地面积</w:t>
            </w:r>
          </w:p>
        </w:tc>
        <w:tc>
          <w:tcPr>
            <w:tcW w:w="7100" w:type="dxa"/>
            <w:gridSpan w:val="2"/>
            <w:tcBorders>
              <w:tl2br w:val="nil"/>
              <w:tr2bl w:val="nil"/>
            </w:tcBorders>
            <w:noWrap w:val="0"/>
            <w:vAlign w:val="center"/>
          </w:tcPr>
          <w:p w14:paraId="2358D1C7">
            <w:pPr>
              <w:pStyle w:val="45"/>
              <w:bidi w:val="0"/>
              <w:rPr>
                <w:rFonts w:hint="default"/>
                <w:b w:val="0"/>
                <w:bCs/>
                <w:color w:val="auto"/>
                <w:highlight w:val="none"/>
                <w:lang w:val="en-US" w:eastAsia="zh-CN"/>
              </w:rPr>
            </w:pPr>
            <w:r>
              <w:rPr>
                <w:rFonts w:hint="eastAsia"/>
                <w:b w:val="0"/>
                <w:bCs/>
                <w:color w:val="auto"/>
                <w:highlight w:val="none"/>
                <w:lang w:val="en-US" w:eastAsia="zh-CN"/>
              </w:rPr>
              <w:t>49.38</w:t>
            </w:r>
          </w:p>
        </w:tc>
      </w:tr>
    </w:tbl>
    <w:p w14:paraId="677E5F5C">
      <w:pPr>
        <w:pStyle w:val="2"/>
        <w:keepNext w:val="0"/>
        <w:keepLines w:val="0"/>
        <w:pageBreakBefore w:val="0"/>
        <w:widowControl w:val="0"/>
        <w:kinsoku/>
        <w:wordWrap/>
        <w:overflowPunct/>
        <w:topLinePunct w:val="0"/>
        <w:autoSpaceDE/>
        <w:autoSpaceDN/>
        <w:bidi w:val="0"/>
        <w:adjustRightInd w:val="0"/>
        <w:snapToGrid w:val="0"/>
        <w:spacing w:before="0" w:after="0" w:line="360" w:lineRule="auto"/>
        <w:ind w:left="0" w:leftChars="0" w:right="0" w:rightChars="0" w:firstLine="480" w:firstLineChars="200"/>
        <w:jc w:val="left"/>
        <w:textAlignment w:val="auto"/>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项目总征占用地中</w:t>
      </w:r>
      <w:r>
        <w:rPr>
          <w:rFonts w:hint="default" w:ascii="Times New Roman" w:hAnsi="Times New Roman" w:cs="Times New Roman"/>
          <w:color w:val="auto"/>
          <w:sz w:val="24"/>
          <w:szCs w:val="24"/>
          <w:highlight w:val="none"/>
          <w:lang w:eastAsia="zh-CN"/>
        </w:rPr>
        <w:t>：</w:t>
      </w:r>
      <w:r>
        <w:rPr>
          <w:rFonts w:hint="eastAsia" w:ascii="Times New Roman" w:hAnsi="Times New Roman" w:cs="Times New Roman"/>
          <w:color w:val="auto"/>
          <w:sz w:val="24"/>
          <w:szCs w:val="24"/>
          <w:highlight w:val="none"/>
          <w:lang w:eastAsia="zh-CN"/>
        </w:rPr>
        <w:t>林地</w:t>
      </w:r>
      <w:r>
        <w:rPr>
          <w:rFonts w:hint="eastAsia" w:ascii="Times New Roman" w:hAnsi="Times New Roman" w:cs="Times New Roman"/>
          <w:color w:val="auto"/>
          <w:sz w:val="24"/>
          <w:szCs w:val="24"/>
          <w:highlight w:val="none"/>
          <w:lang w:val="en-US" w:eastAsia="zh-CN"/>
        </w:rPr>
        <w:t>35.97</w:t>
      </w:r>
      <w:r>
        <w:rPr>
          <w:rFonts w:hint="default" w:ascii="Times New Roman" w:hAnsi="Times New Roman" w:cs="Times New Roman"/>
          <w:color w:val="auto"/>
          <w:sz w:val="24"/>
          <w:szCs w:val="24"/>
          <w:highlight w:val="none"/>
        </w:rPr>
        <w:t>hm</w:t>
      </w:r>
      <w:r>
        <w:rPr>
          <w:rFonts w:hint="default" w:ascii="Times New Roman" w:hAnsi="Times New Roman" w:cs="Times New Roman"/>
          <w:color w:val="auto"/>
          <w:sz w:val="24"/>
          <w:szCs w:val="24"/>
          <w:highlight w:val="none"/>
          <w:vertAlign w:val="superscript"/>
          <w:lang w:val="en-US" w:eastAsia="zh-CN"/>
        </w:rPr>
        <w:t>2</w:t>
      </w:r>
      <w:r>
        <w:rPr>
          <w:rFonts w:hint="default" w:ascii="Times New Roman" w:hAnsi="Times New Roman" w:cs="Times New Roman"/>
          <w:color w:val="auto"/>
          <w:sz w:val="24"/>
          <w:szCs w:val="24"/>
          <w:highlight w:val="none"/>
          <w:lang w:val="en-US" w:eastAsia="zh-CN"/>
        </w:rPr>
        <w:t>，</w:t>
      </w:r>
      <w:r>
        <w:rPr>
          <w:rFonts w:hint="eastAsia" w:ascii="Times New Roman" w:hAnsi="Times New Roman" w:cs="Times New Roman"/>
          <w:color w:val="auto"/>
          <w:sz w:val="24"/>
          <w:szCs w:val="24"/>
          <w:highlight w:val="none"/>
          <w:lang w:eastAsia="zh-CN"/>
        </w:rPr>
        <w:t>草地</w:t>
      </w:r>
      <w:r>
        <w:rPr>
          <w:rFonts w:hint="eastAsia" w:ascii="Times New Roman" w:hAnsi="Times New Roman" w:cs="Times New Roman"/>
          <w:color w:val="auto"/>
          <w:sz w:val="24"/>
          <w:szCs w:val="24"/>
          <w:highlight w:val="none"/>
          <w:lang w:val="en-US" w:eastAsia="zh-CN"/>
        </w:rPr>
        <w:t>11.88</w:t>
      </w:r>
      <w:r>
        <w:rPr>
          <w:rFonts w:hint="default" w:ascii="Times New Roman" w:hAnsi="Times New Roman" w:cs="Times New Roman"/>
          <w:color w:val="auto"/>
          <w:sz w:val="24"/>
          <w:szCs w:val="24"/>
          <w:highlight w:val="none"/>
        </w:rPr>
        <w:t>hm</w:t>
      </w:r>
      <w:r>
        <w:rPr>
          <w:rFonts w:hint="default" w:ascii="Times New Roman" w:hAnsi="Times New Roman" w:cs="Times New Roman"/>
          <w:color w:val="auto"/>
          <w:sz w:val="24"/>
          <w:szCs w:val="24"/>
          <w:highlight w:val="none"/>
          <w:vertAlign w:val="superscript"/>
        </w:rPr>
        <w:t>2</w:t>
      </w:r>
      <w:r>
        <w:rPr>
          <w:rFonts w:hint="default" w:ascii="Times New Roman" w:hAnsi="Times New Roman" w:cs="Times New Roman"/>
          <w:color w:val="auto"/>
          <w:sz w:val="24"/>
          <w:szCs w:val="24"/>
          <w:highlight w:val="none"/>
        </w:rPr>
        <w:t>，</w:t>
      </w:r>
      <w:r>
        <w:rPr>
          <w:rFonts w:hint="eastAsia" w:ascii="Times New Roman" w:hAnsi="Times New Roman" w:cs="Times New Roman"/>
          <w:color w:val="auto"/>
          <w:sz w:val="24"/>
          <w:szCs w:val="24"/>
          <w:highlight w:val="none"/>
          <w:lang w:eastAsia="zh-CN"/>
        </w:rPr>
        <w:t>交通用地</w:t>
      </w:r>
      <w:r>
        <w:rPr>
          <w:rFonts w:hint="eastAsia" w:ascii="Times New Roman" w:hAnsi="Times New Roman" w:cs="Times New Roman"/>
          <w:color w:val="auto"/>
          <w:sz w:val="24"/>
          <w:szCs w:val="24"/>
          <w:highlight w:val="none"/>
          <w:lang w:val="en-US" w:eastAsia="zh-CN"/>
        </w:rPr>
        <w:t>1.53</w:t>
      </w:r>
      <w:r>
        <w:rPr>
          <w:rFonts w:hint="default" w:ascii="Times New Roman" w:hAnsi="Times New Roman" w:cs="Times New Roman"/>
          <w:color w:val="auto"/>
          <w:sz w:val="24"/>
          <w:szCs w:val="24"/>
          <w:highlight w:val="none"/>
        </w:rPr>
        <w:t>hm</w:t>
      </w:r>
      <w:r>
        <w:rPr>
          <w:rFonts w:hint="default" w:ascii="Times New Roman" w:hAnsi="Times New Roman" w:cs="Times New Roman"/>
          <w:color w:val="auto"/>
          <w:sz w:val="24"/>
          <w:szCs w:val="24"/>
          <w:highlight w:val="none"/>
          <w:vertAlign w:val="superscript"/>
        </w:rPr>
        <w:t>2</w:t>
      </w:r>
      <w:r>
        <w:rPr>
          <w:rFonts w:hint="default" w:ascii="Times New Roman" w:hAnsi="Times New Roman" w:cs="Times New Roman"/>
          <w:color w:val="auto"/>
          <w:sz w:val="24"/>
          <w:szCs w:val="24"/>
          <w:highlight w:val="none"/>
        </w:rPr>
        <w:t>。项目占地情况见表</w:t>
      </w:r>
      <w:r>
        <w:rPr>
          <w:rFonts w:hint="eastAsia" w:ascii="Times New Roman" w:hAnsi="Times New Roman" w:cs="Times New Roman"/>
          <w:color w:val="auto"/>
          <w:sz w:val="24"/>
          <w:szCs w:val="24"/>
          <w:highlight w:val="none"/>
          <w:lang w:val="en-US" w:eastAsia="zh-CN"/>
        </w:rPr>
        <w:t>4.</w:t>
      </w:r>
      <w:r>
        <w:rPr>
          <w:rFonts w:hint="eastAsia" w:cs="Times New Roman"/>
          <w:color w:val="auto"/>
          <w:sz w:val="24"/>
          <w:szCs w:val="24"/>
          <w:highlight w:val="none"/>
          <w:lang w:val="en-US" w:eastAsia="zh-CN"/>
        </w:rPr>
        <w:t>4</w:t>
      </w:r>
      <w:r>
        <w:rPr>
          <w:rFonts w:hint="eastAsia" w:ascii="Times New Roman" w:hAnsi="Times New Roman" w:cs="Times New Roman"/>
          <w:color w:val="auto"/>
          <w:sz w:val="24"/>
          <w:szCs w:val="24"/>
          <w:highlight w:val="none"/>
          <w:lang w:val="en-US" w:eastAsia="zh-CN"/>
        </w:rPr>
        <w:t>-2</w:t>
      </w:r>
      <w:r>
        <w:rPr>
          <w:rFonts w:hint="default" w:ascii="Times New Roman" w:hAnsi="Times New Roman" w:cs="Times New Roman"/>
          <w:color w:val="auto"/>
          <w:sz w:val="24"/>
          <w:szCs w:val="24"/>
          <w:highlight w:val="none"/>
        </w:rPr>
        <w:t>。</w:t>
      </w:r>
    </w:p>
    <w:p w14:paraId="76112E9B">
      <w:pPr>
        <w:pStyle w:val="2"/>
        <w:keepNext w:val="0"/>
        <w:keepLines w:val="0"/>
        <w:pageBreakBefore w:val="0"/>
        <w:widowControl w:val="0"/>
        <w:kinsoku/>
        <w:wordWrap/>
        <w:overflowPunct/>
        <w:topLinePunct w:val="0"/>
        <w:autoSpaceDE/>
        <w:autoSpaceDN/>
        <w:bidi w:val="0"/>
        <w:adjustRightInd w:val="0"/>
        <w:snapToGrid w:val="0"/>
        <w:spacing w:after="0" w:line="240" w:lineRule="auto"/>
        <w:ind w:left="0" w:leftChars="0" w:right="0" w:rightChars="0" w:firstLine="0" w:firstLineChars="0"/>
        <w:jc w:val="center"/>
        <w:textAlignment w:val="auto"/>
        <w:rPr>
          <w:rFonts w:hint="default" w:ascii="Times New Roman" w:hAnsi="Times New Roman" w:eastAsia="宋体" w:cs="Times New Roman"/>
          <w:b/>
          <w:bCs/>
          <w:color w:val="auto"/>
          <w:sz w:val="24"/>
          <w:szCs w:val="24"/>
          <w:highlight w:val="none"/>
          <w:lang w:val="en-US" w:eastAsia="zh-CN"/>
        </w:rPr>
      </w:pPr>
      <w:r>
        <w:rPr>
          <w:rFonts w:hint="default" w:ascii="Times New Roman" w:hAnsi="Times New Roman" w:cs="Times New Roman"/>
          <w:b/>
          <w:bCs/>
          <w:color w:val="auto"/>
          <w:sz w:val="24"/>
          <w:szCs w:val="24"/>
          <w:highlight w:val="none"/>
          <w:lang w:eastAsia="zh-CN"/>
        </w:rPr>
        <w:t>表</w:t>
      </w:r>
      <w:r>
        <w:rPr>
          <w:rFonts w:hint="eastAsia" w:ascii="Times New Roman" w:hAnsi="Times New Roman" w:cs="Times New Roman"/>
          <w:b/>
          <w:bCs/>
          <w:color w:val="auto"/>
          <w:sz w:val="24"/>
          <w:szCs w:val="24"/>
          <w:highlight w:val="none"/>
          <w:lang w:val="en-US" w:eastAsia="zh-CN"/>
        </w:rPr>
        <w:t>4.</w:t>
      </w:r>
      <w:r>
        <w:rPr>
          <w:rFonts w:hint="eastAsia" w:cs="Times New Roman"/>
          <w:b/>
          <w:bCs/>
          <w:color w:val="auto"/>
          <w:sz w:val="24"/>
          <w:szCs w:val="24"/>
          <w:highlight w:val="none"/>
          <w:lang w:val="en-US" w:eastAsia="zh-CN"/>
        </w:rPr>
        <w:t>4</w:t>
      </w:r>
      <w:r>
        <w:rPr>
          <w:rFonts w:hint="eastAsia" w:ascii="Times New Roman" w:hAnsi="Times New Roman" w:cs="Times New Roman"/>
          <w:b/>
          <w:bCs/>
          <w:color w:val="auto"/>
          <w:sz w:val="24"/>
          <w:szCs w:val="24"/>
          <w:highlight w:val="none"/>
          <w:lang w:val="en-US" w:eastAsia="zh-CN"/>
        </w:rPr>
        <w:t xml:space="preserve">-2  </w:t>
      </w:r>
      <w:r>
        <w:rPr>
          <w:rFonts w:hint="default" w:ascii="Times New Roman" w:hAnsi="Times New Roman" w:cs="Times New Roman"/>
          <w:b/>
          <w:bCs/>
          <w:color w:val="auto"/>
          <w:sz w:val="24"/>
          <w:szCs w:val="24"/>
          <w:highlight w:val="none"/>
          <w:lang w:val="en-US" w:eastAsia="zh-CN"/>
        </w:rPr>
        <w:t>项目征占地情况表</w:t>
      </w:r>
    </w:p>
    <w:tbl>
      <w:tblPr>
        <w:tblStyle w:val="1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62"/>
        <w:gridCol w:w="1671"/>
        <w:gridCol w:w="861"/>
        <w:gridCol w:w="968"/>
        <w:gridCol w:w="763"/>
        <w:gridCol w:w="763"/>
        <w:gridCol w:w="1137"/>
        <w:gridCol w:w="1097"/>
      </w:tblGrid>
      <w:tr w14:paraId="13F51A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283" w:hRule="atLeast"/>
          <w:jc w:val="center"/>
        </w:trPr>
        <w:tc>
          <w:tcPr>
            <w:tcW w:w="2942" w:type="dxa"/>
            <w:gridSpan w:val="2"/>
            <w:vMerge w:val="restart"/>
            <w:tcBorders>
              <w:tl2br w:val="nil"/>
              <w:tr2bl w:val="nil"/>
            </w:tcBorders>
            <w:noWrap/>
            <w:vAlign w:val="center"/>
          </w:tcPr>
          <w:p w14:paraId="38A7709F">
            <w:pPr>
              <w:pStyle w:val="45"/>
              <w:bidi w:val="0"/>
              <w:rPr>
                <w:b w:val="0"/>
                <w:bCs/>
                <w:color w:val="auto"/>
                <w:sz w:val="21"/>
                <w:szCs w:val="21"/>
                <w:highlight w:val="none"/>
              </w:rPr>
            </w:pPr>
            <w:r>
              <w:rPr>
                <w:rFonts w:hint="default"/>
                <w:b w:val="0"/>
                <w:bCs/>
                <w:color w:val="auto"/>
                <w:sz w:val="21"/>
                <w:szCs w:val="21"/>
                <w:highlight w:val="none"/>
              </w:rPr>
              <w:t>项目分区</w:t>
            </w:r>
          </w:p>
        </w:tc>
        <w:tc>
          <w:tcPr>
            <w:tcW w:w="1825" w:type="dxa"/>
            <w:gridSpan w:val="2"/>
            <w:tcBorders>
              <w:tl2br w:val="nil"/>
              <w:tr2bl w:val="nil"/>
            </w:tcBorders>
            <w:noWrap/>
            <w:vAlign w:val="center"/>
          </w:tcPr>
          <w:p w14:paraId="6314C490">
            <w:pPr>
              <w:pStyle w:val="45"/>
              <w:bidi w:val="0"/>
              <w:rPr>
                <w:rFonts w:hint="default"/>
                <w:b w:val="0"/>
                <w:bCs/>
                <w:color w:val="auto"/>
                <w:sz w:val="21"/>
                <w:szCs w:val="21"/>
                <w:highlight w:val="none"/>
              </w:rPr>
            </w:pPr>
            <w:r>
              <w:rPr>
                <w:rFonts w:hint="default"/>
                <w:b w:val="0"/>
                <w:bCs/>
                <w:color w:val="auto"/>
                <w:sz w:val="21"/>
                <w:szCs w:val="21"/>
                <w:highlight w:val="none"/>
              </w:rPr>
              <w:t>占地性质</w:t>
            </w:r>
          </w:p>
        </w:tc>
        <w:tc>
          <w:tcPr>
            <w:tcW w:w="2657" w:type="dxa"/>
            <w:gridSpan w:val="3"/>
            <w:tcBorders>
              <w:tl2br w:val="nil"/>
              <w:tr2bl w:val="nil"/>
            </w:tcBorders>
            <w:noWrap/>
            <w:vAlign w:val="center"/>
          </w:tcPr>
          <w:p w14:paraId="3113D179">
            <w:pPr>
              <w:pStyle w:val="45"/>
              <w:bidi w:val="0"/>
              <w:rPr>
                <w:rFonts w:hint="default"/>
                <w:b w:val="0"/>
                <w:bCs/>
                <w:color w:val="auto"/>
                <w:sz w:val="21"/>
                <w:szCs w:val="21"/>
                <w:highlight w:val="none"/>
              </w:rPr>
            </w:pPr>
            <w:r>
              <w:rPr>
                <w:rFonts w:hint="default"/>
                <w:b w:val="0"/>
                <w:bCs/>
                <w:color w:val="auto"/>
                <w:sz w:val="21"/>
                <w:szCs w:val="21"/>
                <w:highlight w:val="none"/>
              </w:rPr>
              <w:t>占地类型</w:t>
            </w:r>
          </w:p>
        </w:tc>
        <w:tc>
          <w:tcPr>
            <w:tcW w:w="1097" w:type="dxa"/>
            <w:vMerge w:val="restart"/>
            <w:tcBorders>
              <w:tl2br w:val="nil"/>
              <w:tr2bl w:val="nil"/>
            </w:tcBorders>
            <w:noWrap/>
            <w:vAlign w:val="center"/>
          </w:tcPr>
          <w:p w14:paraId="083855BA">
            <w:pPr>
              <w:pStyle w:val="45"/>
              <w:bidi w:val="0"/>
              <w:rPr>
                <w:rFonts w:hint="default"/>
                <w:b w:val="0"/>
                <w:bCs/>
                <w:color w:val="auto"/>
                <w:sz w:val="21"/>
                <w:szCs w:val="21"/>
                <w:highlight w:val="none"/>
              </w:rPr>
            </w:pPr>
            <w:r>
              <w:rPr>
                <w:rFonts w:hint="default"/>
                <w:b w:val="0"/>
                <w:bCs/>
                <w:color w:val="auto"/>
                <w:sz w:val="21"/>
                <w:szCs w:val="21"/>
                <w:highlight w:val="none"/>
              </w:rPr>
              <w:t>小计</w:t>
            </w:r>
          </w:p>
        </w:tc>
      </w:tr>
      <w:tr w14:paraId="148F8F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942" w:type="dxa"/>
            <w:gridSpan w:val="2"/>
            <w:vMerge w:val="continue"/>
            <w:tcBorders>
              <w:tl2br w:val="nil"/>
              <w:tr2bl w:val="nil"/>
            </w:tcBorders>
            <w:noWrap w:val="0"/>
            <w:vAlign w:val="center"/>
          </w:tcPr>
          <w:p w14:paraId="4DEACE39">
            <w:pPr>
              <w:pStyle w:val="45"/>
              <w:bidi w:val="0"/>
              <w:rPr>
                <w:b w:val="0"/>
                <w:bCs/>
                <w:color w:val="auto"/>
                <w:sz w:val="21"/>
                <w:szCs w:val="21"/>
                <w:highlight w:val="none"/>
              </w:rPr>
            </w:pPr>
          </w:p>
        </w:tc>
        <w:tc>
          <w:tcPr>
            <w:tcW w:w="859" w:type="dxa"/>
            <w:tcBorders>
              <w:tl2br w:val="nil"/>
              <w:tr2bl w:val="nil"/>
            </w:tcBorders>
            <w:noWrap/>
            <w:vAlign w:val="center"/>
          </w:tcPr>
          <w:p w14:paraId="1370BD2A">
            <w:pPr>
              <w:pStyle w:val="45"/>
              <w:bidi w:val="0"/>
              <w:rPr>
                <w:rFonts w:hint="default"/>
                <w:b w:val="0"/>
                <w:bCs/>
                <w:color w:val="auto"/>
                <w:sz w:val="21"/>
                <w:szCs w:val="21"/>
                <w:highlight w:val="none"/>
              </w:rPr>
            </w:pPr>
            <w:r>
              <w:rPr>
                <w:rFonts w:hint="default"/>
                <w:b w:val="0"/>
                <w:bCs/>
                <w:color w:val="auto"/>
                <w:sz w:val="21"/>
                <w:szCs w:val="21"/>
                <w:highlight w:val="none"/>
              </w:rPr>
              <w:t>永久</w:t>
            </w:r>
          </w:p>
        </w:tc>
        <w:tc>
          <w:tcPr>
            <w:tcW w:w="966" w:type="dxa"/>
            <w:tcBorders>
              <w:tl2br w:val="nil"/>
              <w:tr2bl w:val="nil"/>
            </w:tcBorders>
            <w:noWrap/>
            <w:vAlign w:val="center"/>
          </w:tcPr>
          <w:p w14:paraId="115C9015">
            <w:pPr>
              <w:pStyle w:val="45"/>
              <w:bidi w:val="0"/>
              <w:rPr>
                <w:rFonts w:hint="default"/>
                <w:b w:val="0"/>
                <w:bCs/>
                <w:color w:val="auto"/>
                <w:sz w:val="21"/>
                <w:szCs w:val="21"/>
                <w:highlight w:val="none"/>
              </w:rPr>
            </w:pPr>
            <w:r>
              <w:rPr>
                <w:rFonts w:hint="default"/>
                <w:b w:val="0"/>
                <w:bCs/>
                <w:color w:val="auto"/>
                <w:sz w:val="21"/>
                <w:szCs w:val="21"/>
                <w:highlight w:val="none"/>
              </w:rPr>
              <w:t>临时</w:t>
            </w:r>
          </w:p>
        </w:tc>
        <w:tc>
          <w:tcPr>
            <w:tcW w:w="760" w:type="dxa"/>
            <w:tcBorders>
              <w:tl2br w:val="nil"/>
              <w:tr2bl w:val="nil"/>
            </w:tcBorders>
            <w:noWrap/>
            <w:vAlign w:val="center"/>
          </w:tcPr>
          <w:p w14:paraId="126926A6">
            <w:pPr>
              <w:pStyle w:val="45"/>
              <w:bidi w:val="0"/>
              <w:rPr>
                <w:rFonts w:hint="default"/>
                <w:b w:val="0"/>
                <w:bCs/>
                <w:color w:val="auto"/>
                <w:sz w:val="21"/>
                <w:szCs w:val="21"/>
                <w:highlight w:val="none"/>
              </w:rPr>
            </w:pPr>
            <w:r>
              <w:rPr>
                <w:rFonts w:hint="default"/>
                <w:b w:val="0"/>
                <w:bCs/>
                <w:color w:val="auto"/>
                <w:sz w:val="21"/>
                <w:szCs w:val="21"/>
                <w:highlight w:val="none"/>
              </w:rPr>
              <w:t>林地</w:t>
            </w:r>
          </w:p>
        </w:tc>
        <w:tc>
          <w:tcPr>
            <w:tcW w:w="760" w:type="dxa"/>
            <w:tcBorders>
              <w:tl2br w:val="nil"/>
              <w:tr2bl w:val="nil"/>
            </w:tcBorders>
            <w:noWrap/>
            <w:vAlign w:val="center"/>
          </w:tcPr>
          <w:p w14:paraId="5CD85865">
            <w:pPr>
              <w:pStyle w:val="45"/>
              <w:bidi w:val="0"/>
              <w:rPr>
                <w:rFonts w:hint="default"/>
                <w:b w:val="0"/>
                <w:bCs/>
                <w:color w:val="auto"/>
                <w:sz w:val="21"/>
                <w:szCs w:val="21"/>
                <w:highlight w:val="none"/>
              </w:rPr>
            </w:pPr>
            <w:r>
              <w:rPr>
                <w:rFonts w:hint="default"/>
                <w:b w:val="0"/>
                <w:bCs/>
                <w:color w:val="auto"/>
                <w:sz w:val="21"/>
                <w:szCs w:val="21"/>
                <w:highlight w:val="none"/>
              </w:rPr>
              <w:t>草地</w:t>
            </w:r>
          </w:p>
        </w:tc>
        <w:tc>
          <w:tcPr>
            <w:tcW w:w="1137" w:type="dxa"/>
            <w:tcBorders>
              <w:tl2br w:val="nil"/>
              <w:tr2bl w:val="nil"/>
            </w:tcBorders>
            <w:noWrap/>
            <w:vAlign w:val="center"/>
          </w:tcPr>
          <w:p w14:paraId="1C4DB73B">
            <w:pPr>
              <w:pStyle w:val="45"/>
              <w:bidi w:val="0"/>
              <w:rPr>
                <w:rFonts w:hint="default"/>
                <w:b w:val="0"/>
                <w:bCs/>
                <w:color w:val="auto"/>
                <w:sz w:val="21"/>
                <w:szCs w:val="21"/>
                <w:highlight w:val="none"/>
              </w:rPr>
            </w:pPr>
            <w:r>
              <w:rPr>
                <w:rFonts w:hint="default"/>
                <w:b w:val="0"/>
                <w:bCs/>
                <w:color w:val="auto"/>
                <w:sz w:val="21"/>
                <w:szCs w:val="21"/>
                <w:highlight w:val="none"/>
              </w:rPr>
              <w:t>交通用地</w:t>
            </w:r>
          </w:p>
        </w:tc>
        <w:tc>
          <w:tcPr>
            <w:tcW w:w="1097" w:type="dxa"/>
            <w:vMerge w:val="continue"/>
            <w:tcBorders>
              <w:tl2br w:val="nil"/>
              <w:tr2bl w:val="nil"/>
            </w:tcBorders>
            <w:noWrap w:val="0"/>
            <w:vAlign w:val="center"/>
          </w:tcPr>
          <w:p w14:paraId="72ACE2F6">
            <w:pPr>
              <w:pStyle w:val="45"/>
              <w:bidi w:val="0"/>
              <w:rPr>
                <w:b w:val="0"/>
                <w:bCs/>
                <w:color w:val="auto"/>
                <w:sz w:val="21"/>
                <w:szCs w:val="21"/>
                <w:highlight w:val="none"/>
              </w:rPr>
            </w:pPr>
          </w:p>
        </w:tc>
      </w:tr>
      <w:tr w14:paraId="056396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264" w:type="dxa"/>
            <w:vMerge w:val="restart"/>
            <w:tcBorders>
              <w:tl2br w:val="nil"/>
              <w:tr2bl w:val="nil"/>
            </w:tcBorders>
            <w:noWrap w:val="0"/>
            <w:vAlign w:val="center"/>
          </w:tcPr>
          <w:p w14:paraId="7427384E">
            <w:pPr>
              <w:pStyle w:val="45"/>
              <w:bidi w:val="0"/>
              <w:rPr>
                <w:rFonts w:hint="default"/>
                <w:b w:val="0"/>
                <w:bCs/>
                <w:color w:val="auto"/>
                <w:sz w:val="21"/>
                <w:szCs w:val="21"/>
                <w:highlight w:val="none"/>
              </w:rPr>
            </w:pPr>
            <w:r>
              <w:rPr>
                <w:rFonts w:hint="default"/>
                <w:b w:val="0"/>
                <w:bCs/>
                <w:color w:val="auto"/>
                <w:sz w:val="21"/>
                <w:szCs w:val="21"/>
                <w:highlight w:val="none"/>
              </w:rPr>
              <w:t>风电机组区</w:t>
            </w:r>
          </w:p>
        </w:tc>
        <w:tc>
          <w:tcPr>
            <w:tcW w:w="1678" w:type="dxa"/>
            <w:tcBorders>
              <w:tl2br w:val="nil"/>
              <w:tr2bl w:val="nil"/>
            </w:tcBorders>
            <w:noWrap/>
            <w:vAlign w:val="center"/>
          </w:tcPr>
          <w:p w14:paraId="5D8E5092">
            <w:pPr>
              <w:pStyle w:val="45"/>
              <w:bidi w:val="0"/>
              <w:rPr>
                <w:rFonts w:hint="default"/>
                <w:b w:val="0"/>
                <w:bCs/>
                <w:color w:val="auto"/>
                <w:sz w:val="21"/>
                <w:szCs w:val="21"/>
                <w:highlight w:val="none"/>
              </w:rPr>
            </w:pPr>
            <w:r>
              <w:rPr>
                <w:rFonts w:hint="default"/>
                <w:b w:val="0"/>
                <w:bCs/>
                <w:color w:val="auto"/>
                <w:sz w:val="21"/>
                <w:szCs w:val="21"/>
                <w:highlight w:val="none"/>
              </w:rPr>
              <w:t>风机及箱变基础</w:t>
            </w:r>
          </w:p>
        </w:tc>
        <w:tc>
          <w:tcPr>
            <w:tcW w:w="859" w:type="dxa"/>
            <w:tcBorders>
              <w:tl2br w:val="nil"/>
              <w:tr2bl w:val="nil"/>
            </w:tcBorders>
            <w:noWrap/>
            <w:vAlign w:val="center"/>
          </w:tcPr>
          <w:p w14:paraId="444AA822">
            <w:pPr>
              <w:pStyle w:val="45"/>
              <w:bidi w:val="0"/>
              <w:rPr>
                <w:rFonts w:hint="default"/>
                <w:b w:val="0"/>
                <w:bCs/>
                <w:color w:val="auto"/>
                <w:sz w:val="21"/>
                <w:szCs w:val="21"/>
                <w:highlight w:val="none"/>
                <w:lang w:val="en-US" w:eastAsia="zh-CN"/>
              </w:rPr>
            </w:pPr>
            <w:r>
              <w:rPr>
                <w:b w:val="0"/>
                <w:bCs/>
                <w:color w:val="auto"/>
                <w:sz w:val="21"/>
                <w:szCs w:val="21"/>
                <w:highlight w:val="none"/>
              </w:rPr>
              <w:t>0.</w:t>
            </w:r>
            <w:r>
              <w:rPr>
                <w:rFonts w:hint="eastAsia"/>
                <w:b w:val="0"/>
                <w:bCs/>
                <w:color w:val="auto"/>
                <w:sz w:val="21"/>
                <w:szCs w:val="21"/>
                <w:highlight w:val="none"/>
                <w:lang w:val="en-US" w:eastAsia="zh-CN"/>
              </w:rPr>
              <w:t>73</w:t>
            </w:r>
          </w:p>
        </w:tc>
        <w:tc>
          <w:tcPr>
            <w:tcW w:w="966" w:type="dxa"/>
            <w:tcBorders>
              <w:tl2br w:val="nil"/>
              <w:tr2bl w:val="nil"/>
            </w:tcBorders>
            <w:noWrap/>
            <w:vAlign w:val="center"/>
          </w:tcPr>
          <w:p w14:paraId="58ED44EC">
            <w:pPr>
              <w:pStyle w:val="45"/>
              <w:bidi w:val="0"/>
              <w:rPr>
                <w:b w:val="0"/>
                <w:bCs/>
                <w:color w:val="auto"/>
                <w:sz w:val="21"/>
                <w:szCs w:val="21"/>
                <w:highlight w:val="none"/>
              </w:rPr>
            </w:pPr>
          </w:p>
        </w:tc>
        <w:tc>
          <w:tcPr>
            <w:tcW w:w="760" w:type="dxa"/>
            <w:tcBorders>
              <w:tl2br w:val="nil"/>
              <w:tr2bl w:val="nil"/>
            </w:tcBorders>
            <w:noWrap/>
            <w:vAlign w:val="center"/>
          </w:tcPr>
          <w:p w14:paraId="0A62EFCF">
            <w:pPr>
              <w:pStyle w:val="45"/>
              <w:bidi w:val="0"/>
              <w:rPr>
                <w:rFonts w:hint="default"/>
                <w:b w:val="0"/>
                <w:bCs/>
                <w:color w:val="auto"/>
                <w:sz w:val="21"/>
                <w:szCs w:val="21"/>
                <w:highlight w:val="none"/>
              </w:rPr>
            </w:pPr>
            <w:r>
              <w:rPr>
                <w:b w:val="0"/>
                <w:bCs/>
                <w:color w:val="auto"/>
                <w:sz w:val="21"/>
                <w:szCs w:val="21"/>
                <w:highlight w:val="none"/>
              </w:rPr>
              <w:t>0.61</w:t>
            </w:r>
          </w:p>
        </w:tc>
        <w:tc>
          <w:tcPr>
            <w:tcW w:w="760" w:type="dxa"/>
            <w:tcBorders>
              <w:tl2br w:val="nil"/>
              <w:tr2bl w:val="nil"/>
            </w:tcBorders>
            <w:noWrap/>
            <w:vAlign w:val="center"/>
          </w:tcPr>
          <w:p w14:paraId="66C70C92">
            <w:pPr>
              <w:pStyle w:val="45"/>
              <w:bidi w:val="0"/>
              <w:rPr>
                <w:rFonts w:hint="default"/>
                <w:b w:val="0"/>
                <w:bCs/>
                <w:color w:val="auto"/>
                <w:sz w:val="21"/>
                <w:szCs w:val="21"/>
                <w:highlight w:val="none"/>
                <w:lang w:val="en-US" w:eastAsia="zh-CN"/>
              </w:rPr>
            </w:pPr>
            <w:r>
              <w:rPr>
                <w:b w:val="0"/>
                <w:bCs/>
                <w:color w:val="auto"/>
                <w:sz w:val="21"/>
                <w:szCs w:val="21"/>
                <w:highlight w:val="none"/>
              </w:rPr>
              <w:t>0.</w:t>
            </w:r>
            <w:r>
              <w:rPr>
                <w:rFonts w:hint="eastAsia"/>
                <w:b w:val="0"/>
                <w:bCs/>
                <w:color w:val="auto"/>
                <w:sz w:val="21"/>
                <w:szCs w:val="21"/>
                <w:highlight w:val="none"/>
                <w:lang w:val="en-US" w:eastAsia="zh-CN"/>
              </w:rPr>
              <w:t>12</w:t>
            </w:r>
          </w:p>
        </w:tc>
        <w:tc>
          <w:tcPr>
            <w:tcW w:w="1137" w:type="dxa"/>
            <w:tcBorders>
              <w:tl2br w:val="nil"/>
              <w:tr2bl w:val="nil"/>
            </w:tcBorders>
            <w:noWrap/>
            <w:vAlign w:val="center"/>
          </w:tcPr>
          <w:p w14:paraId="07893EE9">
            <w:pPr>
              <w:pStyle w:val="45"/>
              <w:bidi w:val="0"/>
              <w:rPr>
                <w:b w:val="0"/>
                <w:bCs/>
                <w:color w:val="auto"/>
                <w:sz w:val="21"/>
                <w:szCs w:val="21"/>
                <w:highlight w:val="none"/>
              </w:rPr>
            </w:pPr>
          </w:p>
        </w:tc>
        <w:tc>
          <w:tcPr>
            <w:tcW w:w="1097" w:type="dxa"/>
            <w:tcBorders>
              <w:tl2br w:val="nil"/>
              <w:tr2bl w:val="nil"/>
            </w:tcBorders>
            <w:noWrap/>
            <w:vAlign w:val="center"/>
          </w:tcPr>
          <w:p w14:paraId="45D6BB48">
            <w:pPr>
              <w:pStyle w:val="45"/>
              <w:bidi w:val="0"/>
              <w:rPr>
                <w:rFonts w:hint="default"/>
                <w:b w:val="0"/>
                <w:bCs/>
                <w:color w:val="auto"/>
                <w:sz w:val="21"/>
                <w:szCs w:val="21"/>
                <w:highlight w:val="none"/>
                <w:lang w:val="en-US" w:eastAsia="zh-CN"/>
              </w:rPr>
            </w:pPr>
            <w:r>
              <w:rPr>
                <w:b w:val="0"/>
                <w:bCs/>
                <w:color w:val="auto"/>
                <w:sz w:val="21"/>
                <w:szCs w:val="21"/>
                <w:highlight w:val="none"/>
              </w:rPr>
              <w:t>0.</w:t>
            </w:r>
            <w:r>
              <w:rPr>
                <w:rFonts w:hint="eastAsia"/>
                <w:b w:val="0"/>
                <w:bCs/>
                <w:color w:val="auto"/>
                <w:sz w:val="21"/>
                <w:szCs w:val="21"/>
                <w:highlight w:val="none"/>
                <w:lang w:val="en-US" w:eastAsia="zh-CN"/>
              </w:rPr>
              <w:t>73</w:t>
            </w:r>
          </w:p>
        </w:tc>
      </w:tr>
      <w:tr w14:paraId="278C38A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264" w:type="dxa"/>
            <w:vMerge w:val="continue"/>
            <w:tcBorders>
              <w:tl2br w:val="nil"/>
              <w:tr2bl w:val="nil"/>
            </w:tcBorders>
            <w:noWrap w:val="0"/>
            <w:vAlign w:val="center"/>
          </w:tcPr>
          <w:p w14:paraId="20F6A54B">
            <w:pPr>
              <w:pStyle w:val="45"/>
              <w:bidi w:val="0"/>
              <w:rPr>
                <w:b w:val="0"/>
                <w:bCs/>
                <w:color w:val="auto"/>
                <w:sz w:val="21"/>
                <w:szCs w:val="21"/>
                <w:highlight w:val="none"/>
              </w:rPr>
            </w:pPr>
          </w:p>
        </w:tc>
        <w:tc>
          <w:tcPr>
            <w:tcW w:w="1678" w:type="dxa"/>
            <w:tcBorders>
              <w:tl2br w:val="nil"/>
              <w:tr2bl w:val="nil"/>
            </w:tcBorders>
            <w:noWrap/>
            <w:vAlign w:val="center"/>
          </w:tcPr>
          <w:p w14:paraId="1DF5D1B4">
            <w:pPr>
              <w:pStyle w:val="45"/>
              <w:bidi w:val="0"/>
              <w:rPr>
                <w:b w:val="0"/>
                <w:bCs/>
                <w:color w:val="auto"/>
                <w:sz w:val="21"/>
                <w:szCs w:val="21"/>
                <w:highlight w:val="none"/>
              </w:rPr>
            </w:pPr>
            <w:r>
              <w:rPr>
                <w:rFonts w:hint="default"/>
                <w:b w:val="0"/>
                <w:bCs/>
                <w:color w:val="auto"/>
                <w:sz w:val="21"/>
                <w:szCs w:val="21"/>
                <w:highlight w:val="none"/>
              </w:rPr>
              <w:t>风机安装场区</w:t>
            </w:r>
          </w:p>
        </w:tc>
        <w:tc>
          <w:tcPr>
            <w:tcW w:w="859" w:type="dxa"/>
            <w:tcBorders>
              <w:tl2br w:val="nil"/>
              <w:tr2bl w:val="nil"/>
            </w:tcBorders>
            <w:noWrap/>
            <w:vAlign w:val="center"/>
          </w:tcPr>
          <w:p w14:paraId="2D3B64B1">
            <w:pPr>
              <w:pStyle w:val="45"/>
              <w:bidi w:val="0"/>
              <w:rPr>
                <w:rFonts w:hint="default"/>
                <w:b w:val="0"/>
                <w:bCs/>
                <w:color w:val="auto"/>
                <w:sz w:val="21"/>
                <w:szCs w:val="21"/>
                <w:highlight w:val="none"/>
              </w:rPr>
            </w:pPr>
          </w:p>
        </w:tc>
        <w:tc>
          <w:tcPr>
            <w:tcW w:w="966" w:type="dxa"/>
            <w:tcBorders>
              <w:tl2br w:val="nil"/>
              <w:tr2bl w:val="nil"/>
            </w:tcBorders>
            <w:noWrap/>
            <w:vAlign w:val="center"/>
          </w:tcPr>
          <w:p w14:paraId="26F227A9">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4.99</w:t>
            </w:r>
          </w:p>
        </w:tc>
        <w:tc>
          <w:tcPr>
            <w:tcW w:w="760" w:type="dxa"/>
            <w:tcBorders>
              <w:tl2br w:val="nil"/>
              <w:tr2bl w:val="nil"/>
            </w:tcBorders>
            <w:noWrap/>
            <w:vAlign w:val="center"/>
          </w:tcPr>
          <w:p w14:paraId="175CC03E">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3.98</w:t>
            </w:r>
          </w:p>
        </w:tc>
        <w:tc>
          <w:tcPr>
            <w:tcW w:w="760" w:type="dxa"/>
            <w:tcBorders>
              <w:tl2br w:val="nil"/>
              <w:tr2bl w:val="nil"/>
            </w:tcBorders>
            <w:noWrap/>
            <w:vAlign w:val="center"/>
          </w:tcPr>
          <w:p w14:paraId="34BA2B88">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1.01</w:t>
            </w:r>
          </w:p>
        </w:tc>
        <w:tc>
          <w:tcPr>
            <w:tcW w:w="1137" w:type="dxa"/>
            <w:tcBorders>
              <w:tl2br w:val="nil"/>
              <w:tr2bl w:val="nil"/>
            </w:tcBorders>
            <w:noWrap/>
            <w:vAlign w:val="center"/>
          </w:tcPr>
          <w:p w14:paraId="1E1516E9">
            <w:pPr>
              <w:pStyle w:val="45"/>
              <w:bidi w:val="0"/>
              <w:rPr>
                <w:b w:val="0"/>
                <w:bCs/>
                <w:color w:val="auto"/>
                <w:sz w:val="21"/>
                <w:szCs w:val="21"/>
                <w:highlight w:val="none"/>
              </w:rPr>
            </w:pPr>
          </w:p>
        </w:tc>
        <w:tc>
          <w:tcPr>
            <w:tcW w:w="1097" w:type="dxa"/>
            <w:tcBorders>
              <w:tl2br w:val="nil"/>
              <w:tr2bl w:val="nil"/>
            </w:tcBorders>
            <w:noWrap/>
            <w:vAlign w:val="center"/>
          </w:tcPr>
          <w:p w14:paraId="00C969B3">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4.99</w:t>
            </w:r>
          </w:p>
        </w:tc>
      </w:tr>
      <w:tr w14:paraId="6DE82E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283" w:hRule="atLeast"/>
          <w:jc w:val="center"/>
        </w:trPr>
        <w:tc>
          <w:tcPr>
            <w:tcW w:w="1264" w:type="dxa"/>
            <w:vMerge w:val="continue"/>
            <w:tcBorders>
              <w:tl2br w:val="nil"/>
              <w:tr2bl w:val="nil"/>
            </w:tcBorders>
            <w:noWrap w:val="0"/>
            <w:vAlign w:val="center"/>
          </w:tcPr>
          <w:p w14:paraId="163FD445">
            <w:pPr>
              <w:pStyle w:val="45"/>
              <w:bidi w:val="0"/>
              <w:rPr>
                <w:b w:val="0"/>
                <w:bCs/>
                <w:color w:val="auto"/>
                <w:sz w:val="21"/>
                <w:szCs w:val="21"/>
                <w:highlight w:val="none"/>
              </w:rPr>
            </w:pPr>
          </w:p>
        </w:tc>
        <w:tc>
          <w:tcPr>
            <w:tcW w:w="1678" w:type="dxa"/>
            <w:tcBorders>
              <w:tl2br w:val="nil"/>
              <w:tr2bl w:val="nil"/>
            </w:tcBorders>
            <w:noWrap/>
            <w:vAlign w:val="center"/>
          </w:tcPr>
          <w:p w14:paraId="29DDF38E">
            <w:pPr>
              <w:pStyle w:val="45"/>
              <w:bidi w:val="0"/>
              <w:rPr>
                <w:b w:val="0"/>
                <w:bCs/>
                <w:color w:val="auto"/>
                <w:sz w:val="21"/>
                <w:szCs w:val="21"/>
                <w:highlight w:val="none"/>
              </w:rPr>
            </w:pPr>
            <w:r>
              <w:rPr>
                <w:rFonts w:hint="default"/>
                <w:b w:val="0"/>
                <w:bCs/>
                <w:color w:val="auto"/>
                <w:sz w:val="21"/>
                <w:szCs w:val="21"/>
                <w:highlight w:val="none"/>
              </w:rPr>
              <w:t>小计</w:t>
            </w:r>
          </w:p>
        </w:tc>
        <w:tc>
          <w:tcPr>
            <w:tcW w:w="859" w:type="dxa"/>
            <w:tcBorders>
              <w:tl2br w:val="nil"/>
              <w:tr2bl w:val="nil"/>
            </w:tcBorders>
            <w:noWrap/>
            <w:vAlign w:val="center"/>
          </w:tcPr>
          <w:p w14:paraId="33E8F518">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0.73</w:t>
            </w:r>
          </w:p>
        </w:tc>
        <w:tc>
          <w:tcPr>
            <w:tcW w:w="966" w:type="dxa"/>
            <w:tcBorders>
              <w:tl2br w:val="nil"/>
              <w:tr2bl w:val="nil"/>
            </w:tcBorders>
            <w:noWrap/>
            <w:vAlign w:val="center"/>
          </w:tcPr>
          <w:p w14:paraId="04751ADA">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4.99</w:t>
            </w:r>
          </w:p>
        </w:tc>
        <w:tc>
          <w:tcPr>
            <w:tcW w:w="760" w:type="dxa"/>
            <w:tcBorders>
              <w:tl2br w:val="nil"/>
              <w:tr2bl w:val="nil"/>
            </w:tcBorders>
            <w:noWrap/>
            <w:vAlign w:val="center"/>
          </w:tcPr>
          <w:p w14:paraId="3FF998A0">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4.59</w:t>
            </w:r>
          </w:p>
        </w:tc>
        <w:tc>
          <w:tcPr>
            <w:tcW w:w="760" w:type="dxa"/>
            <w:tcBorders>
              <w:tl2br w:val="nil"/>
              <w:tr2bl w:val="nil"/>
            </w:tcBorders>
            <w:noWrap/>
            <w:vAlign w:val="center"/>
          </w:tcPr>
          <w:p w14:paraId="118291A4">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1.13</w:t>
            </w:r>
          </w:p>
        </w:tc>
        <w:tc>
          <w:tcPr>
            <w:tcW w:w="1137" w:type="dxa"/>
            <w:tcBorders>
              <w:tl2br w:val="nil"/>
              <w:tr2bl w:val="nil"/>
            </w:tcBorders>
            <w:noWrap/>
            <w:vAlign w:val="center"/>
          </w:tcPr>
          <w:p w14:paraId="5C74D993">
            <w:pPr>
              <w:pStyle w:val="45"/>
              <w:bidi w:val="0"/>
              <w:rPr>
                <w:b w:val="0"/>
                <w:bCs/>
                <w:color w:val="auto"/>
                <w:sz w:val="21"/>
                <w:szCs w:val="21"/>
                <w:highlight w:val="none"/>
              </w:rPr>
            </w:pPr>
          </w:p>
        </w:tc>
        <w:tc>
          <w:tcPr>
            <w:tcW w:w="1097" w:type="dxa"/>
            <w:tcBorders>
              <w:tl2br w:val="nil"/>
              <w:tr2bl w:val="nil"/>
            </w:tcBorders>
            <w:noWrap/>
            <w:vAlign w:val="center"/>
          </w:tcPr>
          <w:p w14:paraId="612C6EA5">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5.72</w:t>
            </w:r>
          </w:p>
        </w:tc>
      </w:tr>
      <w:tr w14:paraId="0D7D37E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264" w:type="dxa"/>
            <w:vMerge w:val="restart"/>
            <w:tcBorders>
              <w:tl2br w:val="nil"/>
              <w:tr2bl w:val="nil"/>
            </w:tcBorders>
            <w:noWrap/>
            <w:vAlign w:val="center"/>
          </w:tcPr>
          <w:p w14:paraId="55D48629">
            <w:pPr>
              <w:pStyle w:val="45"/>
              <w:bidi w:val="0"/>
              <w:rPr>
                <w:b w:val="0"/>
                <w:bCs/>
                <w:color w:val="auto"/>
                <w:sz w:val="21"/>
                <w:szCs w:val="21"/>
                <w:highlight w:val="none"/>
              </w:rPr>
            </w:pPr>
            <w:r>
              <w:rPr>
                <w:rFonts w:hint="default"/>
                <w:b w:val="0"/>
                <w:bCs/>
                <w:color w:val="auto"/>
                <w:sz w:val="21"/>
                <w:szCs w:val="21"/>
                <w:highlight w:val="none"/>
              </w:rPr>
              <w:t>道路工程区</w:t>
            </w:r>
          </w:p>
        </w:tc>
        <w:tc>
          <w:tcPr>
            <w:tcW w:w="1678" w:type="dxa"/>
            <w:tcBorders>
              <w:tl2br w:val="nil"/>
              <w:tr2bl w:val="nil"/>
            </w:tcBorders>
            <w:noWrap/>
            <w:vAlign w:val="center"/>
          </w:tcPr>
          <w:p w14:paraId="3DF27D40">
            <w:pPr>
              <w:pStyle w:val="45"/>
              <w:bidi w:val="0"/>
              <w:rPr>
                <w:rFonts w:hint="eastAsia"/>
                <w:b w:val="0"/>
                <w:bCs/>
                <w:color w:val="auto"/>
                <w:sz w:val="21"/>
                <w:szCs w:val="21"/>
                <w:highlight w:val="none"/>
              </w:rPr>
            </w:pPr>
            <w:r>
              <w:rPr>
                <w:rFonts w:hint="eastAsia"/>
                <w:b w:val="0"/>
                <w:bCs/>
                <w:color w:val="auto"/>
                <w:sz w:val="21"/>
                <w:szCs w:val="21"/>
                <w:highlight w:val="none"/>
              </w:rPr>
              <w:t>改建道路</w:t>
            </w:r>
          </w:p>
        </w:tc>
        <w:tc>
          <w:tcPr>
            <w:tcW w:w="859" w:type="dxa"/>
            <w:tcBorders>
              <w:tl2br w:val="nil"/>
              <w:tr2bl w:val="nil"/>
            </w:tcBorders>
            <w:noWrap/>
            <w:vAlign w:val="center"/>
          </w:tcPr>
          <w:p w14:paraId="3BCC3436">
            <w:pPr>
              <w:pStyle w:val="45"/>
              <w:bidi w:val="0"/>
              <w:rPr>
                <w:rFonts w:hint="default"/>
                <w:b w:val="0"/>
                <w:bCs/>
                <w:color w:val="auto"/>
                <w:sz w:val="21"/>
                <w:szCs w:val="21"/>
                <w:highlight w:val="none"/>
              </w:rPr>
            </w:pPr>
          </w:p>
        </w:tc>
        <w:tc>
          <w:tcPr>
            <w:tcW w:w="966" w:type="dxa"/>
            <w:tcBorders>
              <w:tl2br w:val="nil"/>
              <w:tr2bl w:val="nil"/>
            </w:tcBorders>
            <w:noWrap/>
            <w:vAlign w:val="center"/>
          </w:tcPr>
          <w:p w14:paraId="059391EF">
            <w:pPr>
              <w:pStyle w:val="45"/>
              <w:bidi w:val="0"/>
              <w:rPr>
                <w:rFonts w:hint="default"/>
                <w:b w:val="0"/>
                <w:bCs/>
                <w:color w:val="auto"/>
                <w:sz w:val="21"/>
                <w:szCs w:val="21"/>
                <w:highlight w:val="none"/>
                <w:lang w:val="en-US" w:eastAsia="zh-CN"/>
              </w:rPr>
            </w:pPr>
            <w:r>
              <w:rPr>
                <w:b w:val="0"/>
                <w:bCs/>
                <w:color w:val="auto"/>
                <w:sz w:val="21"/>
                <w:szCs w:val="21"/>
                <w:highlight w:val="none"/>
              </w:rPr>
              <w:t>7.67</w:t>
            </w:r>
          </w:p>
        </w:tc>
        <w:tc>
          <w:tcPr>
            <w:tcW w:w="760" w:type="dxa"/>
            <w:tcBorders>
              <w:tl2br w:val="nil"/>
              <w:tr2bl w:val="nil"/>
            </w:tcBorders>
            <w:noWrap/>
            <w:vAlign w:val="center"/>
          </w:tcPr>
          <w:p w14:paraId="1E96C425">
            <w:pPr>
              <w:pStyle w:val="45"/>
              <w:bidi w:val="0"/>
              <w:rPr>
                <w:b w:val="0"/>
                <w:bCs/>
                <w:color w:val="auto"/>
                <w:sz w:val="21"/>
                <w:szCs w:val="21"/>
                <w:highlight w:val="none"/>
              </w:rPr>
            </w:pPr>
            <w:r>
              <w:rPr>
                <w:b w:val="0"/>
                <w:bCs/>
                <w:color w:val="auto"/>
                <w:sz w:val="21"/>
                <w:szCs w:val="21"/>
                <w:highlight w:val="none"/>
              </w:rPr>
              <w:t>5.37</w:t>
            </w:r>
          </w:p>
        </w:tc>
        <w:tc>
          <w:tcPr>
            <w:tcW w:w="760" w:type="dxa"/>
            <w:tcBorders>
              <w:tl2br w:val="nil"/>
              <w:tr2bl w:val="nil"/>
            </w:tcBorders>
            <w:noWrap/>
            <w:vAlign w:val="center"/>
          </w:tcPr>
          <w:p w14:paraId="34DEDF24">
            <w:pPr>
              <w:pStyle w:val="45"/>
              <w:bidi w:val="0"/>
              <w:rPr>
                <w:b w:val="0"/>
                <w:bCs/>
                <w:color w:val="auto"/>
                <w:sz w:val="21"/>
                <w:szCs w:val="21"/>
                <w:highlight w:val="none"/>
              </w:rPr>
            </w:pPr>
            <w:r>
              <w:rPr>
                <w:b w:val="0"/>
                <w:bCs/>
                <w:color w:val="auto"/>
                <w:sz w:val="21"/>
                <w:szCs w:val="21"/>
                <w:highlight w:val="none"/>
              </w:rPr>
              <w:t>0.77</w:t>
            </w:r>
          </w:p>
        </w:tc>
        <w:tc>
          <w:tcPr>
            <w:tcW w:w="1137" w:type="dxa"/>
            <w:tcBorders>
              <w:tl2br w:val="nil"/>
              <w:tr2bl w:val="nil"/>
            </w:tcBorders>
            <w:noWrap/>
            <w:vAlign w:val="center"/>
          </w:tcPr>
          <w:p w14:paraId="622588D5">
            <w:pPr>
              <w:pStyle w:val="45"/>
              <w:bidi w:val="0"/>
              <w:rPr>
                <w:b w:val="0"/>
                <w:bCs/>
                <w:color w:val="auto"/>
                <w:sz w:val="21"/>
                <w:szCs w:val="21"/>
                <w:highlight w:val="none"/>
              </w:rPr>
            </w:pPr>
            <w:r>
              <w:rPr>
                <w:rFonts w:hint="default"/>
                <w:b w:val="0"/>
                <w:bCs/>
                <w:color w:val="auto"/>
                <w:sz w:val="21"/>
                <w:szCs w:val="21"/>
                <w:highlight w:val="none"/>
              </w:rPr>
              <w:t>1.53</w:t>
            </w:r>
          </w:p>
        </w:tc>
        <w:tc>
          <w:tcPr>
            <w:tcW w:w="1097" w:type="dxa"/>
            <w:tcBorders>
              <w:tl2br w:val="nil"/>
              <w:tr2bl w:val="nil"/>
            </w:tcBorders>
            <w:noWrap/>
            <w:vAlign w:val="center"/>
          </w:tcPr>
          <w:p w14:paraId="4770764A">
            <w:pPr>
              <w:pStyle w:val="45"/>
              <w:bidi w:val="0"/>
              <w:rPr>
                <w:rFonts w:hint="default"/>
                <w:b w:val="0"/>
                <w:bCs/>
                <w:color w:val="auto"/>
                <w:sz w:val="21"/>
                <w:szCs w:val="21"/>
                <w:highlight w:val="none"/>
              </w:rPr>
            </w:pPr>
            <w:r>
              <w:rPr>
                <w:b w:val="0"/>
                <w:bCs/>
                <w:color w:val="auto"/>
                <w:sz w:val="21"/>
                <w:szCs w:val="21"/>
                <w:highlight w:val="none"/>
              </w:rPr>
              <w:t>7.67</w:t>
            </w:r>
          </w:p>
        </w:tc>
      </w:tr>
      <w:tr w14:paraId="344F1B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264" w:type="dxa"/>
            <w:vMerge w:val="continue"/>
            <w:tcBorders>
              <w:tl2br w:val="nil"/>
              <w:tr2bl w:val="nil"/>
            </w:tcBorders>
            <w:noWrap w:val="0"/>
            <w:vAlign w:val="center"/>
          </w:tcPr>
          <w:p w14:paraId="3118E461">
            <w:pPr>
              <w:pStyle w:val="45"/>
              <w:bidi w:val="0"/>
              <w:rPr>
                <w:b w:val="0"/>
                <w:bCs/>
                <w:color w:val="auto"/>
                <w:sz w:val="21"/>
                <w:szCs w:val="21"/>
                <w:highlight w:val="none"/>
              </w:rPr>
            </w:pPr>
          </w:p>
        </w:tc>
        <w:tc>
          <w:tcPr>
            <w:tcW w:w="1678" w:type="dxa"/>
            <w:tcBorders>
              <w:tl2br w:val="nil"/>
              <w:tr2bl w:val="nil"/>
            </w:tcBorders>
            <w:noWrap/>
            <w:vAlign w:val="center"/>
          </w:tcPr>
          <w:p w14:paraId="79ABEBA5">
            <w:pPr>
              <w:pStyle w:val="45"/>
              <w:bidi w:val="0"/>
              <w:rPr>
                <w:rFonts w:hint="eastAsia"/>
                <w:b w:val="0"/>
                <w:bCs/>
                <w:color w:val="auto"/>
                <w:sz w:val="21"/>
                <w:szCs w:val="21"/>
                <w:highlight w:val="none"/>
              </w:rPr>
            </w:pPr>
            <w:r>
              <w:rPr>
                <w:rFonts w:hint="eastAsia"/>
                <w:b w:val="0"/>
                <w:bCs/>
                <w:color w:val="auto"/>
                <w:sz w:val="21"/>
                <w:szCs w:val="21"/>
                <w:highlight w:val="none"/>
              </w:rPr>
              <w:t>新建道路</w:t>
            </w:r>
          </w:p>
        </w:tc>
        <w:tc>
          <w:tcPr>
            <w:tcW w:w="859" w:type="dxa"/>
            <w:tcBorders>
              <w:tl2br w:val="nil"/>
              <w:tr2bl w:val="nil"/>
            </w:tcBorders>
            <w:noWrap/>
            <w:vAlign w:val="center"/>
          </w:tcPr>
          <w:p w14:paraId="2E06D60C">
            <w:pPr>
              <w:pStyle w:val="45"/>
              <w:bidi w:val="0"/>
              <w:rPr>
                <w:rFonts w:hint="default"/>
                <w:b w:val="0"/>
                <w:bCs/>
                <w:color w:val="auto"/>
                <w:sz w:val="21"/>
                <w:szCs w:val="21"/>
                <w:highlight w:val="none"/>
              </w:rPr>
            </w:pPr>
          </w:p>
        </w:tc>
        <w:tc>
          <w:tcPr>
            <w:tcW w:w="966" w:type="dxa"/>
            <w:tcBorders>
              <w:tl2br w:val="nil"/>
              <w:tr2bl w:val="nil"/>
            </w:tcBorders>
            <w:noWrap/>
            <w:vAlign w:val="center"/>
          </w:tcPr>
          <w:p w14:paraId="4AF80014">
            <w:pPr>
              <w:pStyle w:val="45"/>
              <w:bidi w:val="0"/>
              <w:rPr>
                <w:rFonts w:hint="default"/>
                <w:b w:val="0"/>
                <w:bCs/>
                <w:color w:val="auto"/>
                <w:sz w:val="21"/>
                <w:szCs w:val="21"/>
                <w:highlight w:val="none"/>
                <w:lang w:val="en-US" w:eastAsia="zh-CN"/>
              </w:rPr>
            </w:pPr>
            <w:r>
              <w:rPr>
                <w:b w:val="0"/>
                <w:bCs/>
                <w:color w:val="auto"/>
                <w:sz w:val="21"/>
                <w:szCs w:val="21"/>
                <w:highlight w:val="none"/>
              </w:rPr>
              <w:t>27.00</w:t>
            </w:r>
          </w:p>
        </w:tc>
        <w:tc>
          <w:tcPr>
            <w:tcW w:w="760" w:type="dxa"/>
            <w:tcBorders>
              <w:tl2br w:val="nil"/>
              <w:tr2bl w:val="nil"/>
            </w:tcBorders>
            <w:noWrap/>
            <w:vAlign w:val="center"/>
          </w:tcPr>
          <w:p w14:paraId="7968AFEC">
            <w:pPr>
              <w:pStyle w:val="45"/>
              <w:bidi w:val="0"/>
              <w:rPr>
                <w:b w:val="0"/>
                <w:bCs/>
                <w:color w:val="auto"/>
                <w:sz w:val="21"/>
                <w:szCs w:val="21"/>
                <w:highlight w:val="none"/>
              </w:rPr>
            </w:pPr>
            <w:r>
              <w:rPr>
                <w:b w:val="0"/>
                <w:bCs/>
                <w:color w:val="auto"/>
                <w:sz w:val="21"/>
                <w:szCs w:val="21"/>
                <w:highlight w:val="none"/>
              </w:rPr>
              <w:t>18.9</w:t>
            </w:r>
          </w:p>
        </w:tc>
        <w:tc>
          <w:tcPr>
            <w:tcW w:w="760" w:type="dxa"/>
            <w:tcBorders>
              <w:tl2br w:val="nil"/>
              <w:tr2bl w:val="nil"/>
            </w:tcBorders>
            <w:noWrap/>
            <w:vAlign w:val="center"/>
          </w:tcPr>
          <w:p w14:paraId="3FEEBF14">
            <w:pPr>
              <w:pStyle w:val="45"/>
              <w:bidi w:val="0"/>
              <w:rPr>
                <w:b w:val="0"/>
                <w:bCs/>
                <w:color w:val="auto"/>
                <w:sz w:val="21"/>
                <w:szCs w:val="21"/>
                <w:highlight w:val="none"/>
              </w:rPr>
            </w:pPr>
            <w:r>
              <w:rPr>
                <w:b w:val="0"/>
                <w:bCs/>
                <w:color w:val="auto"/>
                <w:sz w:val="21"/>
                <w:szCs w:val="21"/>
                <w:highlight w:val="none"/>
              </w:rPr>
              <w:t>8.1</w:t>
            </w:r>
          </w:p>
        </w:tc>
        <w:tc>
          <w:tcPr>
            <w:tcW w:w="1137" w:type="dxa"/>
            <w:tcBorders>
              <w:tl2br w:val="nil"/>
              <w:tr2bl w:val="nil"/>
            </w:tcBorders>
            <w:noWrap/>
            <w:vAlign w:val="center"/>
          </w:tcPr>
          <w:p w14:paraId="665ECE75">
            <w:pPr>
              <w:pStyle w:val="45"/>
              <w:bidi w:val="0"/>
              <w:rPr>
                <w:b w:val="0"/>
                <w:bCs/>
                <w:color w:val="auto"/>
                <w:sz w:val="21"/>
                <w:szCs w:val="21"/>
                <w:highlight w:val="none"/>
              </w:rPr>
            </w:pPr>
          </w:p>
        </w:tc>
        <w:tc>
          <w:tcPr>
            <w:tcW w:w="1097" w:type="dxa"/>
            <w:tcBorders>
              <w:tl2br w:val="nil"/>
              <w:tr2bl w:val="nil"/>
            </w:tcBorders>
            <w:noWrap/>
            <w:vAlign w:val="center"/>
          </w:tcPr>
          <w:p w14:paraId="05B4D709">
            <w:pPr>
              <w:pStyle w:val="45"/>
              <w:bidi w:val="0"/>
              <w:rPr>
                <w:rFonts w:hint="default"/>
                <w:b w:val="0"/>
                <w:bCs/>
                <w:color w:val="auto"/>
                <w:sz w:val="21"/>
                <w:szCs w:val="21"/>
                <w:highlight w:val="none"/>
              </w:rPr>
            </w:pPr>
            <w:r>
              <w:rPr>
                <w:b w:val="0"/>
                <w:bCs/>
                <w:color w:val="auto"/>
                <w:sz w:val="21"/>
                <w:szCs w:val="21"/>
                <w:highlight w:val="none"/>
              </w:rPr>
              <w:t>27.00</w:t>
            </w:r>
          </w:p>
        </w:tc>
      </w:tr>
      <w:tr w14:paraId="157668F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264" w:type="dxa"/>
            <w:vMerge w:val="continue"/>
            <w:tcBorders>
              <w:tl2br w:val="nil"/>
              <w:tr2bl w:val="nil"/>
            </w:tcBorders>
            <w:noWrap w:val="0"/>
            <w:vAlign w:val="center"/>
          </w:tcPr>
          <w:p w14:paraId="6FD91856">
            <w:pPr>
              <w:pStyle w:val="45"/>
              <w:bidi w:val="0"/>
              <w:rPr>
                <w:b w:val="0"/>
                <w:bCs/>
                <w:color w:val="auto"/>
                <w:sz w:val="21"/>
                <w:szCs w:val="21"/>
                <w:highlight w:val="none"/>
              </w:rPr>
            </w:pPr>
          </w:p>
        </w:tc>
        <w:tc>
          <w:tcPr>
            <w:tcW w:w="1678" w:type="dxa"/>
            <w:tcBorders>
              <w:tl2br w:val="nil"/>
              <w:tr2bl w:val="nil"/>
            </w:tcBorders>
            <w:noWrap/>
            <w:vAlign w:val="center"/>
          </w:tcPr>
          <w:p w14:paraId="2031CDCE">
            <w:pPr>
              <w:pStyle w:val="45"/>
              <w:bidi w:val="0"/>
              <w:rPr>
                <w:rFonts w:hint="eastAsia"/>
                <w:b w:val="0"/>
                <w:bCs/>
                <w:color w:val="auto"/>
                <w:sz w:val="21"/>
                <w:szCs w:val="21"/>
                <w:highlight w:val="none"/>
              </w:rPr>
            </w:pPr>
            <w:r>
              <w:rPr>
                <w:rFonts w:hint="eastAsia"/>
                <w:b w:val="0"/>
                <w:bCs/>
                <w:color w:val="auto"/>
                <w:sz w:val="21"/>
                <w:szCs w:val="21"/>
                <w:highlight w:val="none"/>
              </w:rPr>
              <w:t>小计</w:t>
            </w:r>
          </w:p>
        </w:tc>
        <w:tc>
          <w:tcPr>
            <w:tcW w:w="859" w:type="dxa"/>
            <w:tcBorders>
              <w:tl2br w:val="nil"/>
              <w:tr2bl w:val="nil"/>
            </w:tcBorders>
            <w:noWrap/>
            <w:vAlign w:val="center"/>
          </w:tcPr>
          <w:p w14:paraId="5A3F6448">
            <w:pPr>
              <w:pStyle w:val="45"/>
              <w:bidi w:val="0"/>
              <w:rPr>
                <w:rFonts w:hint="default"/>
                <w:b w:val="0"/>
                <w:bCs/>
                <w:color w:val="auto"/>
                <w:sz w:val="21"/>
                <w:szCs w:val="21"/>
                <w:highlight w:val="none"/>
              </w:rPr>
            </w:pPr>
          </w:p>
        </w:tc>
        <w:tc>
          <w:tcPr>
            <w:tcW w:w="966" w:type="dxa"/>
            <w:tcBorders>
              <w:tl2br w:val="nil"/>
              <w:tr2bl w:val="nil"/>
            </w:tcBorders>
            <w:noWrap/>
            <w:vAlign w:val="center"/>
          </w:tcPr>
          <w:p w14:paraId="04A33A9C">
            <w:pPr>
              <w:pStyle w:val="45"/>
              <w:bidi w:val="0"/>
              <w:rPr>
                <w:rFonts w:hint="eastAsia"/>
                <w:b w:val="0"/>
                <w:bCs/>
                <w:color w:val="auto"/>
                <w:sz w:val="21"/>
                <w:szCs w:val="21"/>
                <w:highlight w:val="none"/>
                <w:lang w:val="en-US" w:eastAsia="zh-CN"/>
              </w:rPr>
            </w:pPr>
            <w:r>
              <w:rPr>
                <w:b w:val="0"/>
                <w:bCs/>
                <w:color w:val="auto"/>
                <w:sz w:val="21"/>
                <w:szCs w:val="21"/>
                <w:highlight w:val="none"/>
              </w:rPr>
              <w:t>34.6</w:t>
            </w:r>
            <w:r>
              <w:rPr>
                <w:rFonts w:hint="eastAsia"/>
                <w:b w:val="0"/>
                <w:bCs/>
                <w:color w:val="auto"/>
                <w:sz w:val="21"/>
                <w:szCs w:val="21"/>
                <w:highlight w:val="none"/>
                <w:lang w:val="en-US" w:eastAsia="zh-CN"/>
              </w:rPr>
              <w:t>6</w:t>
            </w:r>
          </w:p>
        </w:tc>
        <w:tc>
          <w:tcPr>
            <w:tcW w:w="760" w:type="dxa"/>
            <w:tcBorders>
              <w:tl2br w:val="nil"/>
              <w:tr2bl w:val="nil"/>
            </w:tcBorders>
            <w:noWrap/>
            <w:vAlign w:val="center"/>
          </w:tcPr>
          <w:p w14:paraId="342AE2F6">
            <w:pPr>
              <w:pStyle w:val="45"/>
              <w:bidi w:val="0"/>
              <w:rPr>
                <w:b w:val="0"/>
                <w:bCs/>
                <w:color w:val="auto"/>
                <w:sz w:val="21"/>
                <w:szCs w:val="21"/>
                <w:highlight w:val="none"/>
              </w:rPr>
            </w:pPr>
            <w:r>
              <w:rPr>
                <w:b w:val="0"/>
                <w:bCs/>
                <w:color w:val="auto"/>
                <w:sz w:val="21"/>
                <w:szCs w:val="21"/>
                <w:highlight w:val="none"/>
              </w:rPr>
              <w:t>24.27</w:t>
            </w:r>
          </w:p>
        </w:tc>
        <w:tc>
          <w:tcPr>
            <w:tcW w:w="760" w:type="dxa"/>
            <w:tcBorders>
              <w:tl2br w:val="nil"/>
              <w:tr2bl w:val="nil"/>
            </w:tcBorders>
            <w:noWrap/>
            <w:vAlign w:val="center"/>
          </w:tcPr>
          <w:p w14:paraId="71E3B4B3">
            <w:pPr>
              <w:pStyle w:val="45"/>
              <w:bidi w:val="0"/>
              <w:rPr>
                <w:b w:val="0"/>
                <w:bCs/>
                <w:color w:val="auto"/>
                <w:sz w:val="21"/>
                <w:szCs w:val="21"/>
                <w:highlight w:val="none"/>
              </w:rPr>
            </w:pPr>
            <w:r>
              <w:rPr>
                <w:b w:val="0"/>
                <w:bCs/>
                <w:color w:val="auto"/>
                <w:sz w:val="21"/>
                <w:szCs w:val="21"/>
                <w:highlight w:val="none"/>
              </w:rPr>
              <w:t>8.87</w:t>
            </w:r>
          </w:p>
        </w:tc>
        <w:tc>
          <w:tcPr>
            <w:tcW w:w="1137" w:type="dxa"/>
            <w:tcBorders>
              <w:tl2br w:val="nil"/>
              <w:tr2bl w:val="nil"/>
            </w:tcBorders>
            <w:noWrap/>
            <w:vAlign w:val="center"/>
          </w:tcPr>
          <w:p w14:paraId="15C6446C">
            <w:pPr>
              <w:pStyle w:val="45"/>
              <w:bidi w:val="0"/>
              <w:rPr>
                <w:b w:val="0"/>
                <w:bCs/>
                <w:color w:val="auto"/>
                <w:sz w:val="21"/>
                <w:szCs w:val="21"/>
                <w:highlight w:val="none"/>
              </w:rPr>
            </w:pPr>
            <w:r>
              <w:rPr>
                <w:b w:val="0"/>
                <w:bCs/>
                <w:color w:val="auto"/>
                <w:sz w:val="21"/>
                <w:szCs w:val="21"/>
                <w:highlight w:val="none"/>
              </w:rPr>
              <w:t>1.53</w:t>
            </w:r>
          </w:p>
        </w:tc>
        <w:tc>
          <w:tcPr>
            <w:tcW w:w="1097" w:type="dxa"/>
            <w:tcBorders>
              <w:tl2br w:val="nil"/>
              <w:tr2bl w:val="nil"/>
            </w:tcBorders>
            <w:noWrap/>
            <w:vAlign w:val="center"/>
          </w:tcPr>
          <w:p w14:paraId="68D9C896">
            <w:pPr>
              <w:pStyle w:val="45"/>
              <w:bidi w:val="0"/>
              <w:rPr>
                <w:rFonts w:hint="eastAsia"/>
                <w:b w:val="0"/>
                <w:bCs/>
                <w:color w:val="auto"/>
                <w:sz w:val="21"/>
                <w:szCs w:val="21"/>
                <w:highlight w:val="none"/>
                <w:lang w:eastAsia="zh-CN"/>
              </w:rPr>
            </w:pPr>
            <w:r>
              <w:rPr>
                <w:b w:val="0"/>
                <w:bCs/>
                <w:color w:val="auto"/>
                <w:sz w:val="21"/>
                <w:szCs w:val="21"/>
                <w:highlight w:val="none"/>
              </w:rPr>
              <w:t>34.6</w:t>
            </w:r>
            <w:r>
              <w:rPr>
                <w:rFonts w:hint="eastAsia"/>
                <w:b w:val="0"/>
                <w:bCs/>
                <w:color w:val="auto"/>
                <w:sz w:val="21"/>
                <w:szCs w:val="21"/>
                <w:highlight w:val="none"/>
                <w:lang w:val="en-US" w:eastAsia="zh-CN"/>
              </w:rPr>
              <w:t>6</w:t>
            </w:r>
          </w:p>
        </w:tc>
      </w:tr>
      <w:tr w14:paraId="250908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942" w:type="dxa"/>
            <w:gridSpan w:val="2"/>
            <w:tcBorders>
              <w:tl2br w:val="nil"/>
              <w:tr2bl w:val="nil"/>
            </w:tcBorders>
            <w:noWrap/>
            <w:vAlign w:val="center"/>
          </w:tcPr>
          <w:p w14:paraId="7CF88593">
            <w:pPr>
              <w:pStyle w:val="45"/>
              <w:bidi w:val="0"/>
              <w:rPr>
                <w:b w:val="0"/>
                <w:bCs/>
                <w:color w:val="auto"/>
                <w:sz w:val="21"/>
                <w:szCs w:val="21"/>
                <w:highlight w:val="none"/>
              </w:rPr>
            </w:pPr>
            <w:r>
              <w:rPr>
                <w:rFonts w:hint="default"/>
                <w:b w:val="0"/>
                <w:bCs/>
                <w:color w:val="auto"/>
                <w:sz w:val="21"/>
                <w:szCs w:val="21"/>
                <w:highlight w:val="none"/>
              </w:rPr>
              <w:t>弃渣场区</w:t>
            </w:r>
          </w:p>
        </w:tc>
        <w:tc>
          <w:tcPr>
            <w:tcW w:w="859" w:type="dxa"/>
            <w:tcBorders>
              <w:tl2br w:val="nil"/>
              <w:tr2bl w:val="nil"/>
            </w:tcBorders>
            <w:noWrap/>
            <w:vAlign w:val="center"/>
          </w:tcPr>
          <w:p w14:paraId="64885A1B">
            <w:pPr>
              <w:pStyle w:val="45"/>
              <w:bidi w:val="0"/>
              <w:rPr>
                <w:rFonts w:hint="default"/>
                <w:b w:val="0"/>
                <w:bCs/>
                <w:color w:val="auto"/>
                <w:sz w:val="21"/>
                <w:szCs w:val="21"/>
                <w:highlight w:val="none"/>
              </w:rPr>
            </w:pPr>
          </w:p>
        </w:tc>
        <w:tc>
          <w:tcPr>
            <w:tcW w:w="966" w:type="dxa"/>
            <w:tcBorders>
              <w:tl2br w:val="nil"/>
              <w:tr2bl w:val="nil"/>
            </w:tcBorders>
            <w:noWrap/>
            <w:vAlign w:val="center"/>
          </w:tcPr>
          <w:p w14:paraId="3EB5F734">
            <w:pPr>
              <w:pStyle w:val="45"/>
              <w:bidi w:val="0"/>
              <w:rPr>
                <w:rFonts w:hint="default"/>
                <w:b w:val="0"/>
                <w:bCs/>
                <w:color w:val="auto"/>
                <w:sz w:val="21"/>
                <w:szCs w:val="21"/>
                <w:highlight w:val="none"/>
                <w:lang w:val="en-US" w:eastAsia="zh-CN"/>
              </w:rPr>
            </w:pPr>
            <w:r>
              <w:rPr>
                <w:b w:val="0"/>
                <w:bCs/>
                <w:color w:val="auto"/>
                <w:sz w:val="21"/>
                <w:szCs w:val="21"/>
                <w:highlight w:val="none"/>
              </w:rPr>
              <w:t>5.4</w:t>
            </w:r>
            <w:r>
              <w:rPr>
                <w:rFonts w:hint="eastAsia"/>
                <w:b w:val="0"/>
                <w:bCs/>
                <w:color w:val="auto"/>
                <w:sz w:val="21"/>
                <w:szCs w:val="21"/>
                <w:highlight w:val="none"/>
                <w:lang w:val="en-US" w:eastAsia="zh-CN"/>
              </w:rPr>
              <w:t>0</w:t>
            </w:r>
          </w:p>
        </w:tc>
        <w:tc>
          <w:tcPr>
            <w:tcW w:w="760" w:type="dxa"/>
            <w:tcBorders>
              <w:tl2br w:val="nil"/>
              <w:tr2bl w:val="nil"/>
            </w:tcBorders>
            <w:noWrap/>
            <w:vAlign w:val="center"/>
          </w:tcPr>
          <w:p w14:paraId="3D904605">
            <w:pPr>
              <w:pStyle w:val="45"/>
              <w:bidi w:val="0"/>
              <w:rPr>
                <w:b w:val="0"/>
                <w:bCs/>
                <w:color w:val="auto"/>
                <w:sz w:val="21"/>
                <w:szCs w:val="21"/>
                <w:highlight w:val="none"/>
              </w:rPr>
            </w:pPr>
            <w:r>
              <w:rPr>
                <w:b w:val="0"/>
                <w:bCs/>
                <w:color w:val="auto"/>
                <w:sz w:val="21"/>
                <w:szCs w:val="21"/>
                <w:highlight w:val="none"/>
              </w:rPr>
              <w:t>4.59</w:t>
            </w:r>
          </w:p>
        </w:tc>
        <w:tc>
          <w:tcPr>
            <w:tcW w:w="760" w:type="dxa"/>
            <w:tcBorders>
              <w:tl2br w:val="nil"/>
              <w:tr2bl w:val="nil"/>
            </w:tcBorders>
            <w:noWrap/>
            <w:vAlign w:val="center"/>
          </w:tcPr>
          <w:p w14:paraId="5F206E28">
            <w:pPr>
              <w:pStyle w:val="45"/>
              <w:bidi w:val="0"/>
              <w:rPr>
                <w:b w:val="0"/>
                <w:bCs/>
                <w:color w:val="auto"/>
                <w:sz w:val="21"/>
                <w:szCs w:val="21"/>
                <w:highlight w:val="none"/>
              </w:rPr>
            </w:pPr>
            <w:r>
              <w:rPr>
                <w:b w:val="0"/>
                <w:bCs/>
                <w:color w:val="auto"/>
                <w:sz w:val="21"/>
                <w:szCs w:val="21"/>
                <w:highlight w:val="none"/>
              </w:rPr>
              <w:t>0.81</w:t>
            </w:r>
          </w:p>
        </w:tc>
        <w:tc>
          <w:tcPr>
            <w:tcW w:w="1137" w:type="dxa"/>
            <w:tcBorders>
              <w:tl2br w:val="nil"/>
              <w:tr2bl w:val="nil"/>
            </w:tcBorders>
            <w:noWrap/>
            <w:vAlign w:val="center"/>
          </w:tcPr>
          <w:p w14:paraId="5C41911F">
            <w:pPr>
              <w:pStyle w:val="45"/>
              <w:bidi w:val="0"/>
              <w:rPr>
                <w:b w:val="0"/>
                <w:bCs/>
                <w:color w:val="auto"/>
                <w:sz w:val="21"/>
                <w:szCs w:val="21"/>
                <w:highlight w:val="none"/>
              </w:rPr>
            </w:pPr>
          </w:p>
        </w:tc>
        <w:tc>
          <w:tcPr>
            <w:tcW w:w="1097" w:type="dxa"/>
            <w:tcBorders>
              <w:tl2br w:val="nil"/>
              <w:tr2bl w:val="nil"/>
            </w:tcBorders>
            <w:noWrap/>
            <w:vAlign w:val="center"/>
          </w:tcPr>
          <w:p w14:paraId="68128D80">
            <w:pPr>
              <w:pStyle w:val="45"/>
              <w:bidi w:val="0"/>
              <w:rPr>
                <w:rFonts w:hint="eastAsia"/>
                <w:b w:val="0"/>
                <w:bCs/>
                <w:color w:val="auto"/>
                <w:sz w:val="21"/>
                <w:szCs w:val="21"/>
                <w:highlight w:val="none"/>
                <w:lang w:val="en-US" w:eastAsia="zh-CN"/>
              </w:rPr>
            </w:pPr>
            <w:r>
              <w:rPr>
                <w:b w:val="0"/>
                <w:bCs/>
                <w:color w:val="auto"/>
                <w:sz w:val="21"/>
                <w:szCs w:val="21"/>
                <w:highlight w:val="none"/>
              </w:rPr>
              <w:t>5.4</w:t>
            </w:r>
            <w:r>
              <w:rPr>
                <w:rFonts w:hint="eastAsia"/>
                <w:b w:val="0"/>
                <w:bCs/>
                <w:color w:val="auto"/>
                <w:sz w:val="21"/>
                <w:szCs w:val="21"/>
                <w:highlight w:val="none"/>
                <w:lang w:val="en-US" w:eastAsia="zh-CN"/>
              </w:rPr>
              <w:t>0</w:t>
            </w:r>
          </w:p>
        </w:tc>
      </w:tr>
      <w:tr w14:paraId="2093751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942" w:type="dxa"/>
            <w:gridSpan w:val="2"/>
            <w:tcBorders>
              <w:tl2br w:val="nil"/>
              <w:tr2bl w:val="nil"/>
            </w:tcBorders>
            <w:noWrap/>
            <w:vAlign w:val="center"/>
          </w:tcPr>
          <w:p w14:paraId="77E96A1A">
            <w:pPr>
              <w:pStyle w:val="45"/>
              <w:bidi w:val="0"/>
              <w:rPr>
                <w:b w:val="0"/>
                <w:bCs/>
                <w:color w:val="auto"/>
                <w:sz w:val="21"/>
                <w:szCs w:val="21"/>
                <w:highlight w:val="none"/>
              </w:rPr>
            </w:pPr>
            <w:r>
              <w:rPr>
                <w:rFonts w:hint="default"/>
                <w:b w:val="0"/>
                <w:bCs/>
                <w:color w:val="auto"/>
                <w:sz w:val="21"/>
                <w:szCs w:val="21"/>
                <w:highlight w:val="none"/>
              </w:rPr>
              <w:t>集电线路区</w:t>
            </w:r>
          </w:p>
        </w:tc>
        <w:tc>
          <w:tcPr>
            <w:tcW w:w="859" w:type="dxa"/>
            <w:tcBorders>
              <w:tl2br w:val="nil"/>
              <w:tr2bl w:val="nil"/>
            </w:tcBorders>
            <w:noWrap/>
            <w:vAlign w:val="center"/>
          </w:tcPr>
          <w:p w14:paraId="5D672E99">
            <w:pPr>
              <w:pStyle w:val="45"/>
              <w:bidi w:val="0"/>
              <w:rPr>
                <w:rFonts w:hint="default"/>
                <w:b w:val="0"/>
                <w:bCs/>
                <w:color w:val="auto"/>
                <w:sz w:val="21"/>
                <w:szCs w:val="21"/>
                <w:highlight w:val="none"/>
              </w:rPr>
            </w:pPr>
          </w:p>
        </w:tc>
        <w:tc>
          <w:tcPr>
            <w:tcW w:w="966" w:type="dxa"/>
            <w:tcBorders>
              <w:tl2br w:val="nil"/>
              <w:tr2bl w:val="nil"/>
            </w:tcBorders>
            <w:noWrap/>
            <w:vAlign w:val="center"/>
          </w:tcPr>
          <w:p w14:paraId="193F8C41">
            <w:pPr>
              <w:pStyle w:val="45"/>
              <w:bidi w:val="0"/>
              <w:rPr>
                <w:rFonts w:hint="default"/>
                <w:b w:val="0"/>
                <w:bCs/>
                <w:color w:val="auto"/>
                <w:sz w:val="21"/>
                <w:szCs w:val="21"/>
                <w:highlight w:val="none"/>
                <w:lang w:val="en-US" w:eastAsia="zh-CN"/>
              </w:rPr>
            </w:pPr>
            <w:r>
              <w:rPr>
                <w:b w:val="0"/>
                <w:bCs/>
                <w:color w:val="auto"/>
                <w:sz w:val="21"/>
                <w:szCs w:val="21"/>
                <w:highlight w:val="none"/>
              </w:rPr>
              <w:t>3.60</w:t>
            </w:r>
          </w:p>
        </w:tc>
        <w:tc>
          <w:tcPr>
            <w:tcW w:w="760" w:type="dxa"/>
            <w:tcBorders>
              <w:tl2br w:val="nil"/>
              <w:tr2bl w:val="nil"/>
            </w:tcBorders>
            <w:noWrap/>
            <w:vAlign w:val="center"/>
          </w:tcPr>
          <w:p w14:paraId="2C4C0BFF">
            <w:pPr>
              <w:pStyle w:val="45"/>
              <w:bidi w:val="0"/>
              <w:rPr>
                <w:b w:val="0"/>
                <w:bCs/>
                <w:color w:val="auto"/>
                <w:sz w:val="21"/>
                <w:szCs w:val="21"/>
                <w:highlight w:val="none"/>
              </w:rPr>
            </w:pPr>
            <w:r>
              <w:rPr>
                <w:b w:val="0"/>
                <w:bCs/>
                <w:color w:val="auto"/>
                <w:sz w:val="21"/>
                <w:szCs w:val="21"/>
                <w:highlight w:val="none"/>
              </w:rPr>
              <w:t>2.52</w:t>
            </w:r>
          </w:p>
        </w:tc>
        <w:tc>
          <w:tcPr>
            <w:tcW w:w="760" w:type="dxa"/>
            <w:tcBorders>
              <w:tl2br w:val="nil"/>
              <w:tr2bl w:val="nil"/>
            </w:tcBorders>
            <w:noWrap/>
            <w:vAlign w:val="center"/>
          </w:tcPr>
          <w:p w14:paraId="51ACEB47">
            <w:pPr>
              <w:pStyle w:val="45"/>
              <w:bidi w:val="0"/>
              <w:rPr>
                <w:b w:val="0"/>
                <w:bCs/>
                <w:color w:val="auto"/>
                <w:sz w:val="21"/>
                <w:szCs w:val="21"/>
                <w:highlight w:val="none"/>
              </w:rPr>
            </w:pPr>
            <w:r>
              <w:rPr>
                <w:b w:val="0"/>
                <w:bCs/>
                <w:color w:val="auto"/>
                <w:sz w:val="21"/>
                <w:szCs w:val="21"/>
                <w:highlight w:val="none"/>
              </w:rPr>
              <w:t>1.08</w:t>
            </w:r>
          </w:p>
        </w:tc>
        <w:tc>
          <w:tcPr>
            <w:tcW w:w="1137" w:type="dxa"/>
            <w:tcBorders>
              <w:tl2br w:val="nil"/>
              <w:tr2bl w:val="nil"/>
            </w:tcBorders>
            <w:noWrap/>
            <w:vAlign w:val="center"/>
          </w:tcPr>
          <w:p w14:paraId="4C346497">
            <w:pPr>
              <w:pStyle w:val="45"/>
              <w:bidi w:val="0"/>
              <w:rPr>
                <w:b w:val="0"/>
                <w:bCs/>
                <w:color w:val="auto"/>
                <w:sz w:val="21"/>
                <w:szCs w:val="21"/>
                <w:highlight w:val="none"/>
              </w:rPr>
            </w:pPr>
          </w:p>
        </w:tc>
        <w:tc>
          <w:tcPr>
            <w:tcW w:w="1097" w:type="dxa"/>
            <w:tcBorders>
              <w:tl2br w:val="nil"/>
              <w:tr2bl w:val="nil"/>
            </w:tcBorders>
            <w:noWrap/>
            <w:vAlign w:val="center"/>
          </w:tcPr>
          <w:p w14:paraId="77147352">
            <w:pPr>
              <w:pStyle w:val="45"/>
              <w:bidi w:val="0"/>
              <w:rPr>
                <w:rFonts w:hint="default"/>
                <w:b w:val="0"/>
                <w:bCs/>
                <w:color w:val="auto"/>
                <w:sz w:val="21"/>
                <w:szCs w:val="21"/>
                <w:highlight w:val="none"/>
              </w:rPr>
            </w:pPr>
            <w:r>
              <w:rPr>
                <w:b w:val="0"/>
                <w:bCs/>
                <w:color w:val="auto"/>
                <w:sz w:val="21"/>
                <w:szCs w:val="21"/>
                <w:highlight w:val="none"/>
              </w:rPr>
              <w:t>3.60</w:t>
            </w:r>
          </w:p>
        </w:tc>
      </w:tr>
      <w:tr w14:paraId="6BCD715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2942" w:type="dxa"/>
            <w:gridSpan w:val="2"/>
            <w:tcBorders>
              <w:tl2br w:val="nil"/>
              <w:tr2bl w:val="nil"/>
            </w:tcBorders>
            <w:noWrap/>
            <w:vAlign w:val="center"/>
          </w:tcPr>
          <w:p w14:paraId="1500129A">
            <w:pPr>
              <w:pStyle w:val="45"/>
              <w:bidi w:val="0"/>
              <w:rPr>
                <w:b w:val="0"/>
                <w:bCs/>
                <w:color w:val="auto"/>
                <w:sz w:val="21"/>
                <w:szCs w:val="21"/>
                <w:highlight w:val="none"/>
              </w:rPr>
            </w:pPr>
            <w:r>
              <w:rPr>
                <w:rFonts w:hint="default"/>
                <w:b w:val="0"/>
                <w:bCs/>
                <w:color w:val="auto"/>
                <w:sz w:val="21"/>
                <w:szCs w:val="21"/>
                <w:highlight w:val="none"/>
              </w:rPr>
              <w:t>总计</w:t>
            </w:r>
          </w:p>
        </w:tc>
        <w:tc>
          <w:tcPr>
            <w:tcW w:w="859" w:type="dxa"/>
            <w:tcBorders>
              <w:tl2br w:val="nil"/>
              <w:tr2bl w:val="nil"/>
            </w:tcBorders>
            <w:noWrap/>
            <w:vAlign w:val="center"/>
          </w:tcPr>
          <w:p w14:paraId="09BA6E46">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0.73</w:t>
            </w:r>
          </w:p>
        </w:tc>
        <w:tc>
          <w:tcPr>
            <w:tcW w:w="966" w:type="dxa"/>
            <w:tcBorders>
              <w:tl2br w:val="nil"/>
              <w:tr2bl w:val="nil"/>
            </w:tcBorders>
            <w:noWrap/>
            <w:vAlign w:val="center"/>
          </w:tcPr>
          <w:p w14:paraId="0FB8FB32">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48.65</w:t>
            </w:r>
          </w:p>
        </w:tc>
        <w:tc>
          <w:tcPr>
            <w:tcW w:w="760" w:type="dxa"/>
            <w:tcBorders>
              <w:tl2br w:val="nil"/>
              <w:tr2bl w:val="nil"/>
            </w:tcBorders>
            <w:noWrap/>
            <w:vAlign w:val="center"/>
          </w:tcPr>
          <w:p w14:paraId="71816455">
            <w:pPr>
              <w:pStyle w:val="45"/>
              <w:bidi w:val="0"/>
              <w:rPr>
                <w:b w:val="0"/>
                <w:bCs/>
                <w:color w:val="auto"/>
                <w:sz w:val="21"/>
                <w:szCs w:val="21"/>
                <w:highlight w:val="none"/>
              </w:rPr>
            </w:pPr>
            <w:r>
              <w:rPr>
                <w:b w:val="0"/>
                <w:bCs/>
                <w:color w:val="auto"/>
                <w:sz w:val="21"/>
                <w:szCs w:val="21"/>
                <w:highlight w:val="none"/>
              </w:rPr>
              <w:t>35.97</w:t>
            </w:r>
          </w:p>
        </w:tc>
        <w:tc>
          <w:tcPr>
            <w:tcW w:w="760" w:type="dxa"/>
            <w:tcBorders>
              <w:tl2br w:val="nil"/>
              <w:tr2bl w:val="nil"/>
            </w:tcBorders>
            <w:noWrap/>
            <w:vAlign w:val="center"/>
          </w:tcPr>
          <w:p w14:paraId="6DB09FBA">
            <w:pPr>
              <w:pStyle w:val="45"/>
              <w:bidi w:val="0"/>
              <w:rPr>
                <w:b w:val="0"/>
                <w:bCs/>
                <w:color w:val="auto"/>
                <w:sz w:val="21"/>
                <w:szCs w:val="21"/>
                <w:highlight w:val="none"/>
              </w:rPr>
            </w:pPr>
            <w:r>
              <w:rPr>
                <w:b w:val="0"/>
                <w:bCs/>
                <w:color w:val="auto"/>
                <w:sz w:val="21"/>
                <w:szCs w:val="21"/>
                <w:highlight w:val="none"/>
              </w:rPr>
              <w:t>11.88</w:t>
            </w:r>
          </w:p>
        </w:tc>
        <w:tc>
          <w:tcPr>
            <w:tcW w:w="1137" w:type="dxa"/>
            <w:tcBorders>
              <w:tl2br w:val="nil"/>
              <w:tr2bl w:val="nil"/>
            </w:tcBorders>
            <w:noWrap/>
            <w:vAlign w:val="center"/>
          </w:tcPr>
          <w:p w14:paraId="25C4AF53">
            <w:pPr>
              <w:pStyle w:val="45"/>
              <w:bidi w:val="0"/>
              <w:rPr>
                <w:b w:val="0"/>
                <w:bCs/>
                <w:color w:val="auto"/>
                <w:sz w:val="21"/>
                <w:szCs w:val="21"/>
                <w:highlight w:val="none"/>
              </w:rPr>
            </w:pPr>
            <w:r>
              <w:rPr>
                <w:b w:val="0"/>
                <w:bCs/>
                <w:color w:val="auto"/>
                <w:sz w:val="21"/>
                <w:szCs w:val="21"/>
                <w:highlight w:val="none"/>
              </w:rPr>
              <w:t>1.53</w:t>
            </w:r>
          </w:p>
        </w:tc>
        <w:tc>
          <w:tcPr>
            <w:tcW w:w="1097" w:type="dxa"/>
            <w:tcBorders>
              <w:tl2br w:val="nil"/>
              <w:tr2bl w:val="nil"/>
            </w:tcBorders>
            <w:noWrap/>
            <w:vAlign w:val="center"/>
          </w:tcPr>
          <w:p w14:paraId="7C6F4267">
            <w:pPr>
              <w:pStyle w:val="45"/>
              <w:bidi w:val="0"/>
              <w:rPr>
                <w:b w:val="0"/>
                <w:bCs/>
                <w:color w:val="auto"/>
                <w:sz w:val="21"/>
                <w:szCs w:val="21"/>
                <w:highlight w:val="none"/>
              </w:rPr>
            </w:pPr>
            <w:r>
              <w:rPr>
                <w:b w:val="0"/>
                <w:bCs/>
                <w:color w:val="auto"/>
                <w:sz w:val="21"/>
                <w:szCs w:val="21"/>
                <w:highlight w:val="none"/>
              </w:rPr>
              <w:t>49.38</w:t>
            </w:r>
          </w:p>
        </w:tc>
      </w:tr>
    </w:tbl>
    <w:p w14:paraId="0C04FC57">
      <w:pPr>
        <w:pStyle w:val="5"/>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建设规模</w:t>
      </w:r>
    </w:p>
    <w:p w14:paraId="713F4B1C">
      <w:pPr>
        <w:bidi w:val="0"/>
        <w:rPr>
          <w:color w:val="auto"/>
          <w:highlight w:val="none"/>
        </w:rPr>
      </w:pPr>
      <w:r>
        <w:rPr>
          <w:rFonts w:hint="default" w:ascii="Times New Roman" w:hAnsi="Times New Roman" w:cs="Times New Roman"/>
          <w:color w:val="auto"/>
          <w:kern w:val="0"/>
          <w:sz w:val="24"/>
          <w:szCs w:val="24"/>
          <w:highlight w:val="none"/>
          <w:lang w:val="en-US" w:eastAsia="zh-CN"/>
        </w:rPr>
        <w:t>本风电场工程等级为Ⅱ级，工程规模为中型。安装</w:t>
      </w:r>
      <w:r>
        <w:rPr>
          <w:rFonts w:hint="eastAsia" w:ascii="Times New Roman" w:hAnsi="Times New Roman" w:cs="Times New Roman"/>
          <w:color w:val="auto"/>
          <w:kern w:val="0"/>
          <w:sz w:val="24"/>
          <w:szCs w:val="24"/>
          <w:highlight w:val="none"/>
          <w:lang w:val="en-US" w:eastAsia="zh-CN"/>
        </w:rPr>
        <w:t>20</w:t>
      </w:r>
      <w:r>
        <w:rPr>
          <w:rFonts w:hint="default" w:ascii="Times New Roman" w:hAnsi="Times New Roman" w:cs="Times New Roman"/>
          <w:color w:val="auto"/>
          <w:kern w:val="0"/>
          <w:sz w:val="24"/>
          <w:szCs w:val="24"/>
          <w:highlight w:val="none"/>
          <w:lang w:val="en-US" w:eastAsia="zh-CN"/>
        </w:rPr>
        <w:t>台单机容量5.0MW风力发电机组，总装机容量为100MW，</w:t>
      </w:r>
      <w:r>
        <w:rPr>
          <w:rFonts w:hint="default" w:ascii="Times New Roman" w:hAnsi="Times New Roman" w:cs="Times New Roman"/>
          <w:color w:val="auto"/>
          <w:sz w:val="24"/>
          <w:szCs w:val="24"/>
          <w:highlight w:val="none"/>
        </w:rPr>
        <w:t>预计年上网电量为</w:t>
      </w:r>
      <w:r>
        <w:rPr>
          <w:rFonts w:hint="default" w:ascii="Times New Roman" w:hAnsi="Times New Roman" w:cs="Times New Roman"/>
          <w:color w:val="auto"/>
          <w:sz w:val="24"/>
          <w:szCs w:val="24"/>
          <w:highlight w:val="none"/>
        </w:rPr>
        <w:fldChar w:fldCharType="begin"/>
      </w:r>
      <w:r>
        <w:rPr>
          <w:rFonts w:hint="default" w:ascii="Times New Roman" w:hAnsi="Times New Roman" w:cs="Times New Roman"/>
          <w:color w:val="auto"/>
          <w:sz w:val="24"/>
          <w:szCs w:val="24"/>
          <w:highlight w:val="none"/>
        </w:rPr>
        <w:instrText xml:space="preserve"> LINK Excel.Sheet.12 "D:\\2022风电场项目摸板\\风电项目算表（摸板）.xlsx" "基本情况!R15C3" \t \a  \* MERGEFORMAT</w:instrText>
      </w:r>
      <w:r>
        <w:rPr>
          <w:rFonts w:hint="default" w:ascii="Times New Roman" w:hAnsi="Times New Roman" w:cs="Times New Roman"/>
          <w:color w:val="auto"/>
          <w:sz w:val="24"/>
          <w:szCs w:val="24"/>
          <w:highlight w:val="none"/>
        </w:rPr>
        <w:fldChar w:fldCharType="separate"/>
      </w:r>
      <w:r>
        <w:rPr>
          <w:rFonts w:hint="default" w:ascii="Times New Roman" w:hAnsi="Times New Roman" w:cs="Times New Roman"/>
          <w:color w:val="auto"/>
          <w:sz w:val="24"/>
          <w:szCs w:val="24"/>
          <w:highlight w:val="none"/>
        </w:rPr>
        <w:t>20803万kW·h</w:t>
      </w:r>
      <w:r>
        <w:rPr>
          <w:rFonts w:hint="default" w:ascii="Times New Roman" w:hAnsi="Times New Roman" w:cs="Times New Roman"/>
          <w:color w:val="auto"/>
          <w:sz w:val="24"/>
          <w:szCs w:val="24"/>
          <w:highlight w:val="none"/>
        </w:rPr>
        <w:fldChar w:fldCharType="end"/>
      </w:r>
      <w:r>
        <w:rPr>
          <w:rFonts w:hint="default" w:ascii="Times New Roman" w:hAnsi="Times New Roman" w:cs="Times New Roman"/>
          <w:color w:val="auto"/>
          <w:sz w:val="24"/>
          <w:szCs w:val="24"/>
          <w:highlight w:val="none"/>
        </w:rPr>
        <w:t>，年等效满负荷小时数为</w:t>
      </w:r>
      <w:r>
        <w:rPr>
          <w:rFonts w:hint="default" w:ascii="Times New Roman" w:hAnsi="Times New Roman" w:cs="Times New Roman"/>
          <w:color w:val="auto"/>
          <w:sz w:val="24"/>
          <w:szCs w:val="24"/>
          <w:highlight w:val="none"/>
        </w:rPr>
        <w:fldChar w:fldCharType="begin"/>
      </w:r>
      <w:r>
        <w:rPr>
          <w:rFonts w:hint="default" w:ascii="Times New Roman" w:hAnsi="Times New Roman" w:cs="Times New Roman"/>
          <w:color w:val="auto"/>
          <w:sz w:val="24"/>
          <w:szCs w:val="24"/>
          <w:highlight w:val="none"/>
        </w:rPr>
        <w:instrText xml:space="preserve"> LINK Excel.Sheet.12 "D:\\2022风电场项目摸板\\风电项目算表（摸板）.xlsx" "基本情况!R16C3" \t \a  \* MERGEFORMAT</w:instrText>
      </w:r>
      <w:r>
        <w:rPr>
          <w:rFonts w:hint="default" w:ascii="Times New Roman" w:hAnsi="Times New Roman" w:cs="Times New Roman"/>
          <w:color w:val="auto"/>
          <w:sz w:val="24"/>
          <w:szCs w:val="24"/>
          <w:highlight w:val="none"/>
        </w:rPr>
        <w:fldChar w:fldCharType="separate"/>
      </w:r>
      <w:r>
        <w:rPr>
          <w:rFonts w:hint="default" w:ascii="Times New Roman" w:hAnsi="Times New Roman" w:cs="Times New Roman"/>
          <w:color w:val="auto"/>
          <w:sz w:val="24"/>
          <w:szCs w:val="24"/>
          <w:highlight w:val="none"/>
        </w:rPr>
        <w:t>2080h</w:t>
      </w:r>
      <w:r>
        <w:rPr>
          <w:rFonts w:hint="default" w:ascii="Times New Roman" w:hAnsi="Times New Roman" w:cs="Times New Roman"/>
          <w:color w:val="auto"/>
          <w:sz w:val="24"/>
          <w:szCs w:val="24"/>
          <w:highlight w:val="none"/>
        </w:rPr>
        <w:fldChar w:fldCharType="end"/>
      </w:r>
      <w:r>
        <w:rPr>
          <w:rFonts w:hint="default" w:ascii="Times New Roman" w:hAnsi="Times New Roman" w:cs="Times New Roman"/>
          <w:color w:val="auto"/>
          <w:sz w:val="24"/>
          <w:szCs w:val="24"/>
          <w:highlight w:val="none"/>
        </w:rPr>
        <w:t>，容量系数为0.237</w:t>
      </w:r>
      <w:r>
        <w:rPr>
          <w:rFonts w:hint="default" w:ascii="Times New Roman" w:hAnsi="Times New Roman" w:cs="Times New Roman"/>
          <w:color w:val="auto"/>
          <w:kern w:val="0"/>
          <w:sz w:val="24"/>
          <w:szCs w:val="24"/>
          <w:highlight w:val="none"/>
          <w:lang w:val="en-US" w:eastAsia="zh-CN"/>
        </w:rPr>
        <w:t>。</w:t>
      </w:r>
    </w:p>
    <w:p w14:paraId="036F3B5F">
      <w:pPr>
        <w:pStyle w:val="5"/>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主要技术指标</w:t>
      </w:r>
    </w:p>
    <w:p w14:paraId="5BAFC3D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cs="Times New Roman"/>
          <w:color w:val="auto"/>
          <w:kern w:val="0"/>
          <w:sz w:val="24"/>
          <w:szCs w:val="24"/>
          <w:highlight w:val="none"/>
          <w:lang w:val="en-US" w:eastAsia="zh-CN"/>
        </w:rPr>
      </w:pPr>
      <w:r>
        <w:rPr>
          <w:rFonts w:hint="eastAsia" w:ascii="Times New Roman" w:hAnsi="Times New Roman" w:cs="Times New Roman"/>
          <w:color w:val="auto"/>
          <w:kern w:val="0"/>
          <w:sz w:val="24"/>
          <w:szCs w:val="24"/>
          <w:highlight w:val="none"/>
          <w:lang w:val="en-US" w:eastAsia="zh-CN"/>
        </w:rPr>
        <w:t>本风电场工程的主要技术经济指标表见下表。</w:t>
      </w:r>
    </w:p>
    <w:p w14:paraId="601B17E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b/>
          <w:bCs/>
          <w:color w:val="auto"/>
          <w:sz w:val="24"/>
          <w:szCs w:val="24"/>
          <w:highlight w:val="none"/>
          <w:u w:val="none"/>
          <w:lang w:val="en-US" w:eastAsia="zh-CN"/>
        </w:rPr>
      </w:pPr>
      <w:r>
        <w:rPr>
          <w:rFonts w:hint="eastAsia" w:ascii="Times New Roman" w:hAnsi="Times New Roman" w:eastAsia="宋体" w:cs="Times New Roman"/>
          <w:b/>
          <w:bCs/>
          <w:color w:val="auto"/>
          <w:sz w:val="24"/>
          <w:szCs w:val="24"/>
          <w:highlight w:val="none"/>
          <w:u w:val="none"/>
          <w:lang w:val="en-US" w:eastAsia="zh-CN"/>
        </w:rPr>
        <w:t>表4.</w:t>
      </w:r>
      <w:r>
        <w:rPr>
          <w:rFonts w:hint="eastAsia" w:cs="Times New Roman"/>
          <w:b/>
          <w:bCs/>
          <w:color w:val="auto"/>
          <w:sz w:val="24"/>
          <w:szCs w:val="24"/>
          <w:highlight w:val="none"/>
          <w:u w:val="none"/>
          <w:lang w:val="en-US" w:eastAsia="zh-CN"/>
        </w:rPr>
        <w:t>4</w:t>
      </w:r>
      <w:r>
        <w:rPr>
          <w:rFonts w:hint="eastAsia" w:ascii="Times New Roman" w:hAnsi="Times New Roman" w:eastAsia="宋体" w:cs="Times New Roman"/>
          <w:b/>
          <w:bCs/>
          <w:color w:val="auto"/>
          <w:sz w:val="24"/>
          <w:szCs w:val="24"/>
          <w:highlight w:val="none"/>
          <w:u w:val="none"/>
          <w:lang w:val="en-US" w:eastAsia="zh-CN"/>
        </w:rPr>
        <w:t>-</w:t>
      </w:r>
      <w:r>
        <w:rPr>
          <w:rFonts w:hint="eastAsia" w:cs="Times New Roman"/>
          <w:b/>
          <w:bCs/>
          <w:color w:val="auto"/>
          <w:sz w:val="24"/>
          <w:szCs w:val="24"/>
          <w:highlight w:val="none"/>
          <w:u w:val="none"/>
          <w:lang w:val="en-US" w:eastAsia="zh-CN"/>
        </w:rPr>
        <w:t>3</w:t>
      </w:r>
      <w:r>
        <w:rPr>
          <w:rFonts w:hint="eastAsia" w:ascii="Times New Roman" w:hAnsi="Times New Roman" w:eastAsia="宋体" w:cs="Times New Roman"/>
          <w:b/>
          <w:bCs/>
          <w:color w:val="auto"/>
          <w:sz w:val="24"/>
          <w:szCs w:val="24"/>
          <w:highlight w:val="none"/>
          <w:u w:val="none"/>
          <w:lang w:val="en-US" w:eastAsia="zh-CN"/>
        </w:rPr>
        <w:t xml:space="preserve">  主要技术经济指标表</w:t>
      </w:r>
    </w:p>
    <w:tbl>
      <w:tblPr>
        <w:tblStyle w:val="38"/>
        <w:tblW w:w="5000" w:type="pct"/>
        <w:tblInd w:w="2"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744"/>
        <w:gridCol w:w="982"/>
        <w:gridCol w:w="944"/>
        <w:gridCol w:w="1749"/>
        <w:gridCol w:w="1348"/>
        <w:gridCol w:w="1609"/>
        <w:gridCol w:w="958"/>
        <w:gridCol w:w="2"/>
      </w:tblGrid>
      <w:tr w14:paraId="34EB9E7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4325" w:type="dxa"/>
            <w:gridSpan w:val="4"/>
            <w:tcBorders>
              <w:tl2br w:val="nil"/>
              <w:tr2bl w:val="nil"/>
            </w:tcBorders>
            <w:noWrap w:val="0"/>
            <w:vAlign w:val="center"/>
          </w:tcPr>
          <w:p w14:paraId="2C17F483">
            <w:pPr>
              <w:pStyle w:val="45"/>
              <w:bidi w:val="0"/>
              <w:rPr>
                <w:rFonts w:hint="default"/>
                <w:color w:val="auto"/>
                <w:highlight w:val="none"/>
              </w:rPr>
            </w:pPr>
            <w:r>
              <w:rPr>
                <w:rFonts w:hint="default"/>
                <w:color w:val="auto"/>
                <w:highlight w:val="none"/>
              </w:rPr>
              <w:t>名称</w:t>
            </w:r>
          </w:p>
        </w:tc>
        <w:tc>
          <w:tcPr>
            <w:tcW w:w="1319" w:type="dxa"/>
            <w:tcBorders>
              <w:tl2br w:val="nil"/>
              <w:tr2bl w:val="nil"/>
            </w:tcBorders>
            <w:noWrap w:val="0"/>
            <w:vAlign w:val="center"/>
          </w:tcPr>
          <w:p w14:paraId="10635BF4">
            <w:pPr>
              <w:pStyle w:val="45"/>
              <w:bidi w:val="0"/>
              <w:rPr>
                <w:rFonts w:hint="default"/>
                <w:color w:val="auto"/>
                <w:highlight w:val="none"/>
              </w:rPr>
            </w:pPr>
            <w:r>
              <w:rPr>
                <w:rFonts w:hint="default"/>
                <w:color w:val="auto"/>
                <w:highlight w:val="none"/>
              </w:rPr>
              <w:t>单位(或型号)</w:t>
            </w:r>
          </w:p>
        </w:tc>
        <w:tc>
          <w:tcPr>
            <w:tcW w:w="1575" w:type="dxa"/>
            <w:tcBorders>
              <w:tl2br w:val="nil"/>
              <w:tr2bl w:val="nil"/>
            </w:tcBorders>
            <w:noWrap w:val="0"/>
            <w:vAlign w:val="center"/>
          </w:tcPr>
          <w:p w14:paraId="49B05771">
            <w:pPr>
              <w:pStyle w:val="45"/>
              <w:bidi w:val="0"/>
              <w:rPr>
                <w:rFonts w:hint="default"/>
                <w:color w:val="auto"/>
                <w:highlight w:val="none"/>
              </w:rPr>
            </w:pPr>
            <w:r>
              <w:rPr>
                <w:rFonts w:hint="default"/>
                <w:color w:val="auto"/>
                <w:highlight w:val="none"/>
              </w:rPr>
              <w:t>数量</w:t>
            </w:r>
          </w:p>
        </w:tc>
        <w:tc>
          <w:tcPr>
            <w:tcW w:w="938" w:type="dxa"/>
            <w:tcBorders>
              <w:tl2br w:val="nil"/>
              <w:tr2bl w:val="nil"/>
            </w:tcBorders>
            <w:noWrap w:val="0"/>
            <w:vAlign w:val="center"/>
          </w:tcPr>
          <w:p w14:paraId="5F35A448">
            <w:pPr>
              <w:pStyle w:val="45"/>
              <w:bidi w:val="0"/>
              <w:rPr>
                <w:rFonts w:hint="default"/>
                <w:color w:val="auto"/>
                <w:highlight w:val="none"/>
              </w:rPr>
            </w:pPr>
            <w:r>
              <w:rPr>
                <w:rFonts w:hint="default"/>
                <w:color w:val="auto"/>
                <w:highlight w:val="none"/>
              </w:rPr>
              <w:t>备注</w:t>
            </w:r>
          </w:p>
        </w:tc>
      </w:tr>
      <w:tr w14:paraId="6593C76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restart"/>
            <w:tcBorders>
              <w:tl2br w:val="nil"/>
              <w:tr2bl w:val="nil"/>
            </w:tcBorders>
            <w:noWrap w:val="0"/>
            <w:vAlign w:val="center"/>
          </w:tcPr>
          <w:p w14:paraId="09DE485C">
            <w:pPr>
              <w:pStyle w:val="45"/>
              <w:bidi w:val="0"/>
              <w:rPr>
                <w:rFonts w:hint="default"/>
                <w:b w:val="0"/>
                <w:bCs/>
                <w:color w:val="auto"/>
                <w:highlight w:val="none"/>
              </w:rPr>
            </w:pPr>
            <w:r>
              <w:rPr>
                <w:rFonts w:hint="default"/>
                <w:b w:val="0"/>
                <w:bCs/>
                <w:color w:val="auto"/>
                <w:highlight w:val="none"/>
              </w:rPr>
              <w:t>风电场场址</w:t>
            </w:r>
          </w:p>
        </w:tc>
        <w:tc>
          <w:tcPr>
            <w:tcW w:w="3597" w:type="dxa"/>
            <w:gridSpan w:val="3"/>
            <w:tcBorders>
              <w:tl2br w:val="nil"/>
              <w:tr2bl w:val="nil"/>
            </w:tcBorders>
            <w:noWrap w:val="0"/>
            <w:vAlign w:val="center"/>
          </w:tcPr>
          <w:p w14:paraId="21547656">
            <w:pPr>
              <w:pStyle w:val="45"/>
              <w:bidi w:val="0"/>
              <w:rPr>
                <w:rFonts w:hint="default"/>
                <w:b w:val="0"/>
                <w:bCs/>
                <w:color w:val="auto"/>
                <w:highlight w:val="none"/>
              </w:rPr>
            </w:pPr>
            <w:r>
              <w:rPr>
                <w:rFonts w:hint="default"/>
                <w:b w:val="0"/>
                <w:bCs/>
                <w:color w:val="auto"/>
                <w:highlight w:val="none"/>
              </w:rPr>
              <w:t>海拔高度</w:t>
            </w:r>
          </w:p>
        </w:tc>
        <w:tc>
          <w:tcPr>
            <w:tcW w:w="1319" w:type="dxa"/>
            <w:tcBorders>
              <w:tl2br w:val="nil"/>
              <w:tr2bl w:val="nil"/>
            </w:tcBorders>
            <w:noWrap w:val="0"/>
            <w:vAlign w:val="center"/>
          </w:tcPr>
          <w:p w14:paraId="398F35E9">
            <w:pPr>
              <w:pStyle w:val="45"/>
              <w:bidi w:val="0"/>
              <w:rPr>
                <w:rFonts w:hint="default"/>
                <w:b w:val="0"/>
                <w:bCs/>
                <w:color w:val="auto"/>
                <w:highlight w:val="none"/>
              </w:rPr>
            </w:pPr>
            <w:r>
              <w:rPr>
                <w:rFonts w:hint="default"/>
                <w:b w:val="0"/>
                <w:bCs/>
                <w:color w:val="auto"/>
                <w:highlight w:val="none"/>
              </w:rPr>
              <w:t>m</w:t>
            </w:r>
          </w:p>
        </w:tc>
        <w:tc>
          <w:tcPr>
            <w:tcW w:w="1575" w:type="dxa"/>
            <w:tcBorders>
              <w:tl2br w:val="nil"/>
              <w:tr2bl w:val="nil"/>
            </w:tcBorders>
            <w:noWrap w:val="0"/>
            <w:vAlign w:val="center"/>
          </w:tcPr>
          <w:p w14:paraId="147B651D">
            <w:pPr>
              <w:pStyle w:val="45"/>
              <w:bidi w:val="0"/>
              <w:rPr>
                <w:rFonts w:hint="default"/>
                <w:b w:val="0"/>
                <w:bCs/>
                <w:color w:val="auto"/>
                <w:highlight w:val="none"/>
              </w:rPr>
            </w:pPr>
            <w:r>
              <w:rPr>
                <w:rFonts w:hint="default"/>
                <w:b w:val="0"/>
                <w:bCs/>
                <w:color w:val="auto"/>
                <w:highlight w:val="none"/>
              </w:rPr>
              <w:t>400-650</w:t>
            </w:r>
          </w:p>
        </w:tc>
        <w:tc>
          <w:tcPr>
            <w:tcW w:w="938" w:type="dxa"/>
            <w:tcBorders>
              <w:tl2br w:val="nil"/>
              <w:tr2bl w:val="nil"/>
            </w:tcBorders>
            <w:noWrap w:val="0"/>
            <w:vAlign w:val="center"/>
          </w:tcPr>
          <w:p w14:paraId="5B074E46">
            <w:pPr>
              <w:pStyle w:val="45"/>
              <w:bidi w:val="0"/>
              <w:rPr>
                <w:rFonts w:hint="default"/>
                <w:b w:val="0"/>
                <w:bCs/>
                <w:color w:val="auto"/>
                <w:highlight w:val="none"/>
              </w:rPr>
            </w:pPr>
          </w:p>
        </w:tc>
      </w:tr>
      <w:tr w14:paraId="5EEB035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64CBA8FF">
            <w:pPr>
              <w:pStyle w:val="45"/>
              <w:bidi w:val="0"/>
              <w:rPr>
                <w:rFonts w:hint="default"/>
                <w:b w:val="0"/>
                <w:bCs/>
                <w:color w:val="auto"/>
                <w:highlight w:val="none"/>
              </w:rPr>
            </w:pPr>
          </w:p>
        </w:tc>
        <w:tc>
          <w:tcPr>
            <w:tcW w:w="3597" w:type="dxa"/>
            <w:gridSpan w:val="3"/>
            <w:tcBorders>
              <w:tl2br w:val="nil"/>
              <w:tr2bl w:val="nil"/>
            </w:tcBorders>
            <w:noWrap w:val="0"/>
            <w:vAlign w:val="center"/>
          </w:tcPr>
          <w:p w14:paraId="564F4ED7">
            <w:pPr>
              <w:pStyle w:val="45"/>
              <w:bidi w:val="0"/>
              <w:rPr>
                <w:rFonts w:hint="default"/>
                <w:b w:val="0"/>
                <w:bCs/>
                <w:color w:val="auto"/>
                <w:highlight w:val="none"/>
              </w:rPr>
            </w:pPr>
            <w:r>
              <w:rPr>
                <w:rFonts w:hint="default"/>
                <w:b w:val="0"/>
                <w:bCs/>
                <w:color w:val="auto"/>
                <w:highlight w:val="none"/>
              </w:rPr>
              <w:t>经度(东经)</w:t>
            </w:r>
          </w:p>
        </w:tc>
        <w:tc>
          <w:tcPr>
            <w:tcW w:w="1319" w:type="dxa"/>
            <w:tcBorders>
              <w:tl2br w:val="nil"/>
              <w:tr2bl w:val="nil"/>
            </w:tcBorders>
            <w:noWrap w:val="0"/>
            <w:vAlign w:val="center"/>
          </w:tcPr>
          <w:p w14:paraId="7DF4CB70">
            <w:pPr>
              <w:pStyle w:val="45"/>
              <w:bidi w:val="0"/>
              <w:rPr>
                <w:rFonts w:hint="default"/>
                <w:b w:val="0"/>
                <w:bCs/>
                <w:color w:val="auto"/>
                <w:highlight w:val="none"/>
              </w:rPr>
            </w:pPr>
          </w:p>
        </w:tc>
        <w:tc>
          <w:tcPr>
            <w:tcW w:w="1575" w:type="dxa"/>
            <w:tcBorders>
              <w:tl2br w:val="nil"/>
              <w:tr2bl w:val="nil"/>
            </w:tcBorders>
            <w:noWrap w:val="0"/>
            <w:vAlign w:val="center"/>
          </w:tcPr>
          <w:p w14:paraId="74D4CCCD">
            <w:pPr>
              <w:pStyle w:val="45"/>
              <w:bidi w:val="0"/>
              <w:rPr>
                <w:rFonts w:hint="default"/>
                <w:b w:val="0"/>
                <w:bCs/>
                <w:color w:val="auto"/>
                <w:highlight w:val="none"/>
              </w:rPr>
            </w:pPr>
            <w:r>
              <w:rPr>
                <w:rFonts w:hint="default"/>
                <w:b w:val="0"/>
                <w:bCs/>
                <w:color w:val="auto"/>
                <w:highlight w:val="none"/>
              </w:rPr>
              <w:t>111°55′49.15″</w:t>
            </w:r>
          </w:p>
        </w:tc>
        <w:tc>
          <w:tcPr>
            <w:tcW w:w="938" w:type="dxa"/>
            <w:tcBorders>
              <w:tl2br w:val="nil"/>
              <w:tr2bl w:val="nil"/>
            </w:tcBorders>
            <w:noWrap w:val="0"/>
            <w:vAlign w:val="center"/>
          </w:tcPr>
          <w:p w14:paraId="79055548">
            <w:pPr>
              <w:pStyle w:val="45"/>
              <w:bidi w:val="0"/>
              <w:rPr>
                <w:rFonts w:hint="default"/>
                <w:b w:val="0"/>
                <w:bCs/>
                <w:color w:val="auto"/>
                <w:highlight w:val="none"/>
              </w:rPr>
            </w:pPr>
          </w:p>
        </w:tc>
      </w:tr>
      <w:tr w14:paraId="6CD5274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58E4ED51">
            <w:pPr>
              <w:pStyle w:val="45"/>
              <w:bidi w:val="0"/>
              <w:rPr>
                <w:rFonts w:hint="default"/>
                <w:b w:val="0"/>
                <w:bCs/>
                <w:color w:val="auto"/>
                <w:highlight w:val="none"/>
              </w:rPr>
            </w:pPr>
          </w:p>
        </w:tc>
        <w:tc>
          <w:tcPr>
            <w:tcW w:w="3597" w:type="dxa"/>
            <w:gridSpan w:val="3"/>
            <w:tcBorders>
              <w:tl2br w:val="nil"/>
              <w:tr2bl w:val="nil"/>
            </w:tcBorders>
            <w:noWrap w:val="0"/>
            <w:vAlign w:val="center"/>
          </w:tcPr>
          <w:p w14:paraId="4B3BEBA2">
            <w:pPr>
              <w:pStyle w:val="45"/>
              <w:bidi w:val="0"/>
              <w:rPr>
                <w:rFonts w:hint="default"/>
                <w:b w:val="0"/>
                <w:bCs/>
                <w:color w:val="auto"/>
                <w:highlight w:val="none"/>
              </w:rPr>
            </w:pPr>
            <w:r>
              <w:rPr>
                <w:rFonts w:hint="default"/>
                <w:b w:val="0"/>
                <w:bCs/>
                <w:color w:val="auto"/>
                <w:highlight w:val="none"/>
              </w:rPr>
              <w:t>纬度(北纬)</w:t>
            </w:r>
          </w:p>
        </w:tc>
        <w:tc>
          <w:tcPr>
            <w:tcW w:w="1319" w:type="dxa"/>
            <w:tcBorders>
              <w:tl2br w:val="nil"/>
              <w:tr2bl w:val="nil"/>
            </w:tcBorders>
            <w:noWrap w:val="0"/>
            <w:vAlign w:val="center"/>
          </w:tcPr>
          <w:p w14:paraId="610649D0">
            <w:pPr>
              <w:pStyle w:val="45"/>
              <w:bidi w:val="0"/>
              <w:rPr>
                <w:rFonts w:hint="default"/>
                <w:b w:val="0"/>
                <w:bCs/>
                <w:color w:val="auto"/>
                <w:highlight w:val="none"/>
              </w:rPr>
            </w:pPr>
          </w:p>
        </w:tc>
        <w:tc>
          <w:tcPr>
            <w:tcW w:w="1575" w:type="dxa"/>
            <w:tcBorders>
              <w:tl2br w:val="nil"/>
              <w:tr2bl w:val="nil"/>
            </w:tcBorders>
            <w:noWrap w:val="0"/>
            <w:vAlign w:val="center"/>
          </w:tcPr>
          <w:p w14:paraId="62BE7968">
            <w:pPr>
              <w:pStyle w:val="45"/>
              <w:bidi w:val="0"/>
              <w:rPr>
                <w:rFonts w:hint="default"/>
                <w:b w:val="0"/>
                <w:bCs/>
                <w:color w:val="auto"/>
                <w:highlight w:val="none"/>
              </w:rPr>
            </w:pPr>
            <w:r>
              <w:rPr>
                <w:rFonts w:hint="default"/>
                <w:b w:val="0"/>
                <w:bCs/>
                <w:color w:val="auto"/>
                <w:highlight w:val="none"/>
              </w:rPr>
              <w:t>26°56′24.64″</w:t>
            </w:r>
          </w:p>
        </w:tc>
        <w:tc>
          <w:tcPr>
            <w:tcW w:w="938" w:type="dxa"/>
            <w:tcBorders>
              <w:tl2br w:val="nil"/>
              <w:tr2bl w:val="nil"/>
            </w:tcBorders>
            <w:noWrap w:val="0"/>
            <w:vAlign w:val="center"/>
          </w:tcPr>
          <w:p w14:paraId="71107199">
            <w:pPr>
              <w:pStyle w:val="45"/>
              <w:bidi w:val="0"/>
              <w:rPr>
                <w:rFonts w:hint="default"/>
                <w:b w:val="0"/>
                <w:bCs/>
                <w:color w:val="auto"/>
                <w:highlight w:val="none"/>
              </w:rPr>
            </w:pPr>
          </w:p>
        </w:tc>
      </w:tr>
      <w:tr w14:paraId="1FCD28B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40E8F0BE">
            <w:pPr>
              <w:pStyle w:val="45"/>
              <w:bidi w:val="0"/>
              <w:rPr>
                <w:rFonts w:hint="default"/>
                <w:b w:val="0"/>
                <w:bCs/>
                <w:color w:val="auto"/>
                <w:highlight w:val="none"/>
              </w:rPr>
            </w:pPr>
          </w:p>
        </w:tc>
        <w:tc>
          <w:tcPr>
            <w:tcW w:w="3597" w:type="dxa"/>
            <w:gridSpan w:val="3"/>
            <w:tcBorders>
              <w:tl2br w:val="nil"/>
              <w:tr2bl w:val="nil"/>
            </w:tcBorders>
            <w:noWrap w:val="0"/>
            <w:vAlign w:val="center"/>
          </w:tcPr>
          <w:p w14:paraId="79EE968F">
            <w:pPr>
              <w:pStyle w:val="45"/>
              <w:bidi w:val="0"/>
              <w:rPr>
                <w:rFonts w:hint="default"/>
                <w:b w:val="0"/>
                <w:bCs/>
                <w:color w:val="auto"/>
                <w:highlight w:val="none"/>
              </w:rPr>
            </w:pPr>
            <w:r>
              <w:rPr>
                <w:rFonts w:hint="default"/>
                <w:b w:val="0"/>
                <w:bCs/>
                <w:color w:val="auto"/>
                <w:highlight w:val="none"/>
              </w:rPr>
              <w:t>年平均风速</w:t>
            </w:r>
          </w:p>
        </w:tc>
        <w:tc>
          <w:tcPr>
            <w:tcW w:w="1319" w:type="dxa"/>
            <w:tcBorders>
              <w:tl2br w:val="nil"/>
              <w:tr2bl w:val="nil"/>
            </w:tcBorders>
            <w:noWrap w:val="0"/>
            <w:vAlign w:val="center"/>
          </w:tcPr>
          <w:p w14:paraId="52C61A86">
            <w:pPr>
              <w:pStyle w:val="45"/>
              <w:bidi w:val="0"/>
              <w:rPr>
                <w:rFonts w:hint="default"/>
                <w:b w:val="0"/>
                <w:bCs/>
                <w:color w:val="auto"/>
                <w:highlight w:val="none"/>
              </w:rPr>
            </w:pPr>
            <w:r>
              <w:rPr>
                <w:rFonts w:hint="default"/>
                <w:b w:val="0"/>
                <w:bCs/>
                <w:color w:val="auto"/>
                <w:highlight w:val="none"/>
              </w:rPr>
              <w:t>m/s</w:t>
            </w:r>
          </w:p>
        </w:tc>
        <w:tc>
          <w:tcPr>
            <w:tcW w:w="1575" w:type="dxa"/>
            <w:tcBorders>
              <w:tl2br w:val="nil"/>
              <w:tr2bl w:val="nil"/>
            </w:tcBorders>
            <w:noWrap w:val="0"/>
            <w:vAlign w:val="center"/>
          </w:tcPr>
          <w:p w14:paraId="53BA0A55">
            <w:pPr>
              <w:pStyle w:val="45"/>
              <w:bidi w:val="0"/>
              <w:rPr>
                <w:rFonts w:hint="default"/>
                <w:b w:val="0"/>
                <w:bCs/>
                <w:color w:val="auto"/>
                <w:highlight w:val="none"/>
                <w:lang w:val="en-US" w:eastAsia="zh-CN"/>
              </w:rPr>
            </w:pPr>
            <w:r>
              <w:rPr>
                <w:rFonts w:hint="eastAsia"/>
                <w:b w:val="0"/>
                <w:bCs/>
                <w:color w:val="auto"/>
                <w:highlight w:val="none"/>
                <w:lang w:val="en-US" w:eastAsia="zh-CN"/>
              </w:rPr>
              <w:t>5.72</w:t>
            </w:r>
          </w:p>
        </w:tc>
        <w:tc>
          <w:tcPr>
            <w:tcW w:w="938" w:type="dxa"/>
            <w:vMerge w:val="restart"/>
            <w:tcBorders>
              <w:tl2br w:val="nil"/>
              <w:tr2bl w:val="nil"/>
            </w:tcBorders>
            <w:noWrap w:val="0"/>
            <w:vAlign w:val="center"/>
          </w:tcPr>
          <w:p w14:paraId="613C3CE8">
            <w:pPr>
              <w:pStyle w:val="45"/>
              <w:bidi w:val="0"/>
              <w:rPr>
                <w:rFonts w:hint="default"/>
                <w:b w:val="0"/>
                <w:bCs/>
                <w:color w:val="auto"/>
                <w:highlight w:val="none"/>
              </w:rPr>
            </w:pPr>
            <w:r>
              <w:rPr>
                <w:rFonts w:hint="default"/>
                <w:b w:val="0"/>
                <w:bCs/>
                <w:color w:val="auto"/>
                <w:highlight w:val="none"/>
              </w:rPr>
              <w:t>代表塔轮毂高度</w:t>
            </w:r>
          </w:p>
        </w:tc>
      </w:tr>
      <w:tr w14:paraId="2EC0932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37A6361F">
            <w:pPr>
              <w:pStyle w:val="45"/>
              <w:bidi w:val="0"/>
              <w:rPr>
                <w:rFonts w:hint="default"/>
                <w:b w:val="0"/>
                <w:bCs/>
                <w:color w:val="auto"/>
                <w:highlight w:val="none"/>
              </w:rPr>
            </w:pPr>
          </w:p>
        </w:tc>
        <w:tc>
          <w:tcPr>
            <w:tcW w:w="3597" w:type="dxa"/>
            <w:gridSpan w:val="3"/>
            <w:tcBorders>
              <w:tl2br w:val="nil"/>
              <w:tr2bl w:val="nil"/>
            </w:tcBorders>
            <w:noWrap w:val="0"/>
            <w:vAlign w:val="center"/>
          </w:tcPr>
          <w:p w14:paraId="54A5FFD5">
            <w:pPr>
              <w:pStyle w:val="45"/>
              <w:bidi w:val="0"/>
              <w:rPr>
                <w:rFonts w:hint="default"/>
                <w:b w:val="0"/>
                <w:bCs/>
                <w:color w:val="auto"/>
                <w:highlight w:val="none"/>
              </w:rPr>
            </w:pPr>
            <w:r>
              <w:rPr>
                <w:rFonts w:hint="default"/>
                <w:b w:val="0"/>
                <w:bCs/>
                <w:color w:val="auto"/>
                <w:highlight w:val="none"/>
              </w:rPr>
              <w:t>风功率密度</w:t>
            </w:r>
          </w:p>
        </w:tc>
        <w:tc>
          <w:tcPr>
            <w:tcW w:w="1319" w:type="dxa"/>
            <w:tcBorders>
              <w:tl2br w:val="nil"/>
              <w:tr2bl w:val="nil"/>
            </w:tcBorders>
            <w:noWrap w:val="0"/>
            <w:vAlign w:val="center"/>
          </w:tcPr>
          <w:p w14:paraId="54588FF4">
            <w:pPr>
              <w:pStyle w:val="45"/>
              <w:bidi w:val="0"/>
              <w:rPr>
                <w:rFonts w:hint="eastAsia"/>
                <w:b w:val="0"/>
                <w:bCs/>
                <w:color w:val="auto"/>
                <w:highlight w:val="none"/>
                <w:lang w:val="en-US" w:eastAsia="zh-CN"/>
              </w:rPr>
            </w:pPr>
            <w:r>
              <w:rPr>
                <w:rFonts w:hint="default"/>
                <w:b w:val="0"/>
                <w:bCs/>
                <w:color w:val="auto"/>
                <w:highlight w:val="none"/>
              </w:rPr>
              <w:t>W/m</w:t>
            </w:r>
            <w:r>
              <w:rPr>
                <w:rFonts w:hint="eastAsia"/>
                <w:b w:val="0"/>
                <w:bCs/>
                <w:color w:val="auto"/>
                <w:highlight w:val="none"/>
                <w:vertAlign w:val="superscript"/>
                <w:lang w:val="en-US" w:eastAsia="zh-CN"/>
              </w:rPr>
              <w:t>2</w:t>
            </w:r>
          </w:p>
        </w:tc>
        <w:tc>
          <w:tcPr>
            <w:tcW w:w="1575" w:type="dxa"/>
            <w:tcBorders>
              <w:tl2br w:val="nil"/>
              <w:tr2bl w:val="nil"/>
            </w:tcBorders>
            <w:noWrap w:val="0"/>
            <w:vAlign w:val="center"/>
          </w:tcPr>
          <w:p w14:paraId="537C23D4">
            <w:pPr>
              <w:pStyle w:val="45"/>
              <w:bidi w:val="0"/>
              <w:rPr>
                <w:rFonts w:hint="default"/>
                <w:b w:val="0"/>
                <w:bCs/>
                <w:color w:val="auto"/>
                <w:highlight w:val="none"/>
                <w:lang w:val="en-US" w:eastAsia="zh-CN"/>
              </w:rPr>
            </w:pPr>
            <w:r>
              <w:rPr>
                <w:rFonts w:hint="eastAsia"/>
                <w:b w:val="0"/>
                <w:bCs/>
                <w:color w:val="auto"/>
                <w:highlight w:val="none"/>
                <w:lang w:val="en-US" w:eastAsia="zh-CN"/>
              </w:rPr>
              <w:t>224.7</w:t>
            </w:r>
          </w:p>
        </w:tc>
        <w:tc>
          <w:tcPr>
            <w:tcW w:w="938" w:type="dxa"/>
            <w:vMerge w:val="continue"/>
            <w:tcBorders>
              <w:tl2br w:val="nil"/>
              <w:tr2bl w:val="nil"/>
            </w:tcBorders>
            <w:noWrap w:val="0"/>
            <w:vAlign w:val="center"/>
          </w:tcPr>
          <w:p w14:paraId="5F2296AB">
            <w:pPr>
              <w:pStyle w:val="45"/>
              <w:bidi w:val="0"/>
              <w:rPr>
                <w:rFonts w:hint="default"/>
                <w:b w:val="0"/>
                <w:bCs/>
                <w:color w:val="auto"/>
                <w:highlight w:val="none"/>
              </w:rPr>
            </w:pPr>
          </w:p>
        </w:tc>
      </w:tr>
      <w:tr w14:paraId="5336087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3E3D5572">
            <w:pPr>
              <w:pStyle w:val="45"/>
              <w:bidi w:val="0"/>
              <w:rPr>
                <w:rFonts w:hint="default"/>
                <w:b w:val="0"/>
                <w:bCs/>
                <w:color w:val="auto"/>
                <w:highlight w:val="none"/>
              </w:rPr>
            </w:pPr>
          </w:p>
        </w:tc>
        <w:tc>
          <w:tcPr>
            <w:tcW w:w="3597" w:type="dxa"/>
            <w:gridSpan w:val="3"/>
            <w:tcBorders>
              <w:tl2br w:val="nil"/>
              <w:tr2bl w:val="nil"/>
            </w:tcBorders>
            <w:noWrap w:val="0"/>
            <w:vAlign w:val="center"/>
          </w:tcPr>
          <w:p w14:paraId="15F24368">
            <w:pPr>
              <w:pStyle w:val="45"/>
              <w:bidi w:val="0"/>
              <w:rPr>
                <w:rFonts w:hint="default"/>
                <w:b w:val="0"/>
                <w:bCs/>
                <w:color w:val="auto"/>
                <w:highlight w:val="none"/>
              </w:rPr>
            </w:pPr>
            <w:r>
              <w:rPr>
                <w:rFonts w:hint="default"/>
                <w:b w:val="0"/>
                <w:bCs/>
                <w:color w:val="auto"/>
                <w:highlight w:val="none"/>
              </w:rPr>
              <w:t>盛行风向</w:t>
            </w:r>
          </w:p>
        </w:tc>
        <w:tc>
          <w:tcPr>
            <w:tcW w:w="1319" w:type="dxa"/>
            <w:tcBorders>
              <w:tl2br w:val="nil"/>
              <w:tr2bl w:val="nil"/>
            </w:tcBorders>
            <w:noWrap w:val="0"/>
            <w:vAlign w:val="center"/>
          </w:tcPr>
          <w:p w14:paraId="3D0FCEDD">
            <w:pPr>
              <w:pStyle w:val="45"/>
              <w:bidi w:val="0"/>
              <w:rPr>
                <w:rFonts w:hint="default"/>
                <w:b w:val="0"/>
                <w:bCs/>
                <w:color w:val="auto"/>
                <w:highlight w:val="none"/>
              </w:rPr>
            </w:pPr>
          </w:p>
        </w:tc>
        <w:tc>
          <w:tcPr>
            <w:tcW w:w="1575" w:type="dxa"/>
            <w:tcBorders>
              <w:tl2br w:val="nil"/>
              <w:tr2bl w:val="nil"/>
            </w:tcBorders>
            <w:noWrap w:val="0"/>
            <w:vAlign w:val="center"/>
          </w:tcPr>
          <w:p w14:paraId="28669A02">
            <w:pPr>
              <w:pStyle w:val="45"/>
              <w:bidi w:val="0"/>
              <w:rPr>
                <w:rFonts w:hint="default"/>
                <w:b w:val="0"/>
                <w:bCs/>
                <w:color w:val="auto"/>
                <w:highlight w:val="none"/>
              </w:rPr>
            </w:pPr>
            <w:r>
              <w:rPr>
                <w:rFonts w:hint="default"/>
                <w:b w:val="0"/>
                <w:bCs/>
                <w:color w:val="auto"/>
                <w:highlight w:val="none"/>
              </w:rPr>
              <w:t>NNE</w:t>
            </w:r>
          </w:p>
        </w:tc>
        <w:tc>
          <w:tcPr>
            <w:tcW w:w="938" w:type="dxa"/>
            <w:tcBorders>
              <w:tl2br w:val="nil"/>
              <w:tr2bl w:val="nil"/>
            </w:tcBorders>
            <w:noWrap w:val="0"/>
            <w:vAlign w:val="center"/>
          </w:tcPr>
          <w:p w14:paraId="121BA465">
            <w:pPr>
              <w:pStyle w:val="45"/>
              <w:bidi w:val="0"/>
              <w:rPr>
                <w:rFonts w:hint="default"/>
                <w:b w:val="0"/>
                <w:bCs/>
                <w:color w:val="auto"/>
                <w:highlight w:val="none"/>
              </w:rPr>
            </w:pPr>
          </w:p>
        </w:tc>
      </w:tr>
      <w:tr w14:paraId="295368F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restart"/>
            <w:tcBorders>
              <w:tl2br w:val="nil"/>
              <w:tr2bl w:val="nil"/>
            </w:tcBorders>
            <w:noWrap w:val="0"/>
            <w:vAlign w:val="center"/>
          </w:tcPr>
          <w:p w14:paraId="15D48904">
            <w:pPr>
              <w:pStyle w:val="45"/>
              <w:bidi w:val="0"/>
              <w:rPr>
                <w:rFonts w:hint="default"/>
                <w:b w:val="0"/>
                <w:bCs/>
                <w:color w:val="auto"/>
                <w:highlight w:val="none"/>
              </w:rPr>
            </w:pPr>
            <w:r>
              <w:rPr>
                <w:rFonts w:hint="default"/>
                <w:b w:val="0"/>
                <w:bCs/>
                <w:color w:val="auto"/>
                <w:highlight w:val="none"/>
              </w:rPr>
              <w:t>主要</w:t>
            </w:r>
          </w:p>
          <w:p w14:paraId="45E75BBD">
            <w:pPr>
              <w:pStyle w:val="45"/>
              <w:bidi w:val="0"/>
              <w:rPr>
                <w:rFonts w:hint="default"/>
                <w:b w:val="0"/>
                <w:bCs/>
                <w:color w:val="auto"/>
                <w:highlight w:val="none"/>
              </w:rPr>
            </w:pPr>
            <w:r>
              <w:rPr>
                <w:rFonts w:hint="default"/>
                <w:b w:val="0"/>
                <w:bCs/>
                <w:color w:val="auto"/>
                <w:highlight w:val="none"/>
              </w:rPr>
              <w:t>设备</w:t>
            </w:r>
          </w:p>
        </w:tc>
        <w:tc>
          <w:tcPr>
            <w:tcW w:w="961" w:type="dxa"/>
            <w:vMerge w:val="restart"/>
            <w:tcBorders>
              <w:tl2br w:val="nil"/>
              <w:tr2bl w:val="nil"/>
            </w:tcBorders>
            <w:noWrap w:val="0"/>
            <w:vAlign w:val="center"/>
          </w:tcPr>
          <w:p w14:paraId="5474627A">
            <w:pPr>
              <w:pStyle w:val="45"/>
              <w:bidi w:val="0"/>
              <w:rPr>
                <w:rFonts w:hint="default"/>
                <w:b w:val="0"/>
                <w:bCs/>
                <w:color w:val="auto"/>
                <w:highlight w:val="none"/>
              </w:rPr>
            </w:pPr>
            <w:r>
              <w:rPr>
                <w:rFonts w:hint="default"/>
                <w:b w:val="0"/>
                <w:bCs/>
                <w:color w:val="auto"/>
                <w:highlight w:val="none"/>
              </w:rPr>
              <w:t>风电场主要机电设备</w:t>
            </w:r>
          </w:p>
        </w:tc>
        <w:tc>
          <w:tcPr>
            <w:tcW w:w="924" w:type="dxa"/>
            <w:vMerge w:val="restart"/>
            <w:tcBorders>
              <w:tl2br w:val="nil"/>
              <w:tr2bl w:val="nil"/>
            </w:tcBorders>
            <w:noWrap w:val="0"/>
            <w:vAlign w:val="center"/>
          </w:tcPr>
          <w:p w14:paraId="68624073">
            <w:pPr>
              <w:pStyle w:val="45"/>
              <w:bidi w:val="0"/>
              <w:rPr>
                <w:rFonts w:hint="default"/>
                <w:b w:val="0"/>
                <w:bCs/>
                <w:color w:val="auto"/>
                <w:highlight w:val="none"/>
              </w:rPr>
            </w:pPr>
            <w:r>
              <w:rPr>
                <w:rFonts w:hint="default"/>
                <w:b w:val="0"/>
                <w:bCs/>
                <w:color w:val="auto"/>
                <w:highlight w:val="none"/>
              </w:rPr>
              <w:t>风电机组</w:t>
            </w:r>
          </w:p>
        </w:tc>
        <w:tc>
          <w:tcPr>
            <w:tcW w:w="1712" w:type="dxa"/>
            <w:tcBorders>
              <w:tl2br w:val="nil"/>
              <w:tr2bl w:val="nil"/>
            </w:tcBorders>
            <w:noWrap w:val="0"/>
            <w:vAlign w:val="center"/>
          </w:tcPr>
          <w:p w14:paraId="6B8FC988">
            <w:pPr>
              <w:pStyle w:val="45"/>
              <w:bidi w:val="0"/>
              <w:rPr>
                <w:rFonts w:hint="default"/>
                <w:b w:val="0"/>
                <w:bCs/>
                <w:color w:val="auto"/>
                <w:highlight w:val="none"/>
              </w:rPr>
            </w:pPr>
            <w:r>
              <w:rPr>
                <w:rFonts w:hint="default"/>
                <w:b w:val="0"/>
                <w:bCs/>
                <w:color w:val="auto"/>
                <w:highlight w:val="none"/>
              </w:rPr>
              <w:t>台数</w:t>
            </w:r>
          </w:p>
        </w:tc>
        <w:tc>
          <w:tcPr>
            <w:tcW w:w="1319" w:type="dxa"/>
            <w:tcBorders>
              <w:tl2br w:val="nil"/>
              <w:tr2bl w:val="nil"/>
            </w:tcBorders>
            <w:noWrap w:val="0"/>
            <w:vAlign w:val="center"/>
          </w:tcPr>
          <w:p w14:paraId="1A84EFB6">
            <w:pPr>
              <w:pStyle w:val="45"/>
              <w:bidi w:val="0"/>
              <w:rPr>
                <w:rFonts w:hint="default"/>
                <w:b w:val="0"/>
                <w:bCs/>
                <w:color w:val="auto"/>
                <w:highlight w:val="none"/>
              </w:rPr>
            </w:pPr>
            <w:r>
              <w:rPr>
                <w:rFonts w:hint="default"/>
                <w:b w:val="0"/>
                <w:bCs/>
                <w:color w:val="auto"/>
                <w:highlight w:val="none"/>
              </w:rPr>
              <w:t>台</w:t>
            </w:r>
          </w:p>
        </w:tc>
        <w:tc>
          <w:tcPr>
            <w:tcW w:w="1575" w:type="dxa"/>
            <w:tcBorders>
              <w:tl2br w:val="nil"/>
              <w:tr2bl w:val="nil"/>
            </w:tcBorders>
            <w:noWrap w:val="0"/>
            <w:vAlign w:val="center"/>
          </w:tcPr>
          <w:p w14:paraId="19D60401">
            <w:pPr>
              <w:pStyle w:val="45"/>
              <w:bidi w:val="0"/>
              <w:rPr>
                <w:rFonts w:hint="default"/>
                <w:b w:val="0"/>
                <w:bCs/>
                <w:color w:val="auto"/>
                <w:highlight w:val="none"/>
                <w:lang w:val="en-US" w:eastAsia="zh-CN"/>
              </w:rPr>
            </w:pPr>
            <w:r>
              <w:rPr>
                <w:rFonts w:hint="eastAsia"/>
                <w:b w:val="0"/>
                <w:bCs/>
                <w:color w:val="auto"/>
                <w:highlight w:val="none"/>
                <w:lang w:val="en-US" w:eastAsia="zh-CN"/>
              </w:rPr>
              <w:t>20</w:t>
            </w:r>
          </w:p>
        </w:tc>
        <w:tc>
          <w:tcPr>
            <w:tcW w:w="938" w:type="dxa"/>
            <w:tcBorders>
              <w:tl2br w:val="nil"/>
              <w:tr2bl w:val="nil"/>
            </w:tcBorders>
            <w:noWrap w:val="0"/>
            <w:vAlign w:val="center"/>
          </w:tcPr>
          <w:p w14:paraId="6E09965C">
            <w:pPr>
              <w:pStyle w:val="45"/>
              <w:bidi w:val="0"/>
              <w:rPr>
                <w:rFonts w:hint="default"/>
                <w:b w:val="0"/>
                <w:bCs/>
                <w:color w:val="auto"/>
                <w:highlight w:val="none"/>
              </w:rPr>
            </w:pPr>
          </w:p>
        </w:tc>
      </w:tr>
      <w:tr w14:paraId="36D823C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4D3E2E56">
            <w:pPr>
              <w:pStyle w:val="45"/>
              <w:bidi w:val="0"/>
              <w:rPr>
                <w:rFonts w:hint="default"/>
                <w:b w:val="0"/>
                <w:bCs/>
                <w:color w:val="auto"/>
                <w:highlight w:val="none"/>
              </w:rPr>
            </w:pPr>
          </w:p>
        </w:tc>
        <w:tc>
          <w:tcPr>
            <w:tcW w:w="961" w:type="dxa"/>
            <w:vMerge w:val="continue"/>
            <w:tcBorders>
              <w:tl2br w:val="nil"/>
              <w:tr2bl w:val="nil"/>
            </w:tcBorders>
            <w:noWrap w:val="0"/>
            <w:vAlign w:val="center"/>
          </w:tcPr>
          <w:p w14:paraId="1CCC40EB">
            <w:pPr>
              <w:pStyle w:val="45"/>
              <w:bidi w:val="0"/>
              <w:rPr>
                <w:rFonts w:hint="default"/>
                <w:b w:val="0"/>
                <w:bCs/>
                <w:color w:val="auto"/>
                <w:highlight w:val="none"/>
              </w:rPr>
            </w:pPr>
          </w:p>
        </w:tc>
        <w:tc>
          <w:tcPr>
            <w:tcW w:w="924" w:type="dxa"/>
            <w:vMerge w:val="continue"/>
            <w:tcBorders>
              <w:tl2br w:val="nil"/>
              <w:tr2bl w:val="nil"/>
            </w:tcBorders>
            <w:noWrap w:val="0"/>
            <w:vAlign w:val="center"/>
          </w:tcPr>
          <w:p w14:paraId="5243C90B">
            <w:pPr>
              <w:pStyle w:val="45"/>
              <w:bidi w:val="0"/>
              <w:rPr>
                <w:rFonts w:hint="default"/>
                <w:b w:val="0"/>
                <w:bCs/>
                <w:color w:val="auto"/>
                <w:highlight w:val="none"/>
              </w:rPr>
            </w:pPr>
          </w:p>
        </w:tc>
        <w:tc>
          <w:tcPr>
            <w:tcW w:w="1712" w:type="dxa"/>
            <w:tcBorders>
              <w:tl2br w:val="nil"/>
              <w:tr2bl w:val="nil"/>
            </w:tcBorders>
            <w:noWrap w:val="0"/>
            <w:vAlign w:val="center"/>
          </w:tcPr>
          <w:p w14:paraId="1FFA8515">
            <w:pPr>
              <w:pStyle w:val="45"/>
              <w:bidi w:val="0"/>
              <w:rPr>
                <w:rFonts w:hint="default"/>
                <w:b w:val="0"/>
                <w:bCs/>
                <w:color w:val="auto"/>
                <w:highlight w:val="none"/>
              </w:rPr>
            </w:pPr>
            <w:r>
              <w:rPr>
                <w:rFonts w:hint="default"/>
                <w:b w:val="0"/>
                <w:bCs/>
                <w:color w:val="auto"/>
                <w:highlight w:val="none"/>
              </w:rPr>
              <w:t>额定功率</w:t>
            </w:r>
          </w:p>
        </w:tc>
        <w:tc>
          <w:tcPr>
            <w:tcW w:w="1319" w:type="dxa"/>
            <w:tcBorders>
              <w:tl2br w:val="nil"/>
              <w:tr2bl w:val="nil"/>
            </w:tcBorders>
            <w:noWrap w:val="0"/>
            <w:vAlign w:val="center"/>
          </w:tcPr>
          <w:p w14:paraId="119AD81A">
            <w:pPr>
              <w:pStyle w:val="45"/>
              <w:bidi w:val="0"/>
              <w:rPr>
                <w:rFonts w:hint="default"/>
                <w:b w:val="0"/>
                <w:bCs/>
                <w:color w:val="auto"/>
                <w:highlight w:val="none"/>
                <w:lang w:val="en-US" w:eastAsia="zh-CN"/>
              </w:rPr>
            </w:pPr>
            <w:r>
              <w:rPr>
                <w:rFonts w:hint="eastAsia"/>
                <w:b w:val="0"/>
                <w:bCs/>
                <w:color w:val="auto"/>
                <w:highlight w:val="none"/>
                <w:lang w:val="en-US" w:eastAsia="zh-CN"/>
              </w:rPr>
              <w:t>kw</w:t>
            </w:r>
          </w:p>
        </w:tc>
        <w:tc>
          <w:tcPr>
            <w:tcW w:w="1575" w:type="dxa"/>
            <w:tcBorders>
              <w:tl2br w:val="nil"/>
              <w:tr2bl w:val="nil"/>
            </w:tcBorders>
            <w:noWrap w:val="0"/>
            <w:vAlign w:val="center"/>
          </w:tcPr>
          <w:p w14:paraId="5AA02396">
            <w:pPr>
              <w:pStyle w:val="45"/>
              <w:bidi w:val="0"/>
              <w:rPr>
                <w:rFonts w:hint="default"/>
                <w:b w:val="0"/>
                <w:bCs/>
                <w:color w:val="auto"/>
                <w:highlight w:val="none"/>
              </w:rPr>
            </w:pPr>
            <w:r>
              <w:rPr>
                <w:rFonts w:hint="default"/>
                <w:b w:val="0"/>
                <w:bCs/>
                <w:color w:val="auto"/>
                <w:highlight w:val="none"/>
              </w:rPr>
              <w:t>5000</w:t>
            </w:r>
          </w:p>
        </w:tc>
        <w:tc>
          <w:tcPr>
            <w:tcW w:w="938" w:type="dxa"/>
            <w:tcBorders>
              <w:tl2br w:val="nil"/>
              <w:tr2bl w:val="nil"/>
            </w:tcBorders>
            <w:noWrap w:val="0"/>
            <w:vAlign w:val="center"/>
          </w:tcPr>
          <w:p w14:paraId="78488FBE">
            <w:pPr>
              <w:pStyle w:val="45"/>
              <w:bidi w:val="0"/>
              <w:rPr>
                <w:rFonts w:hint="default"/>
                <w:b w:val="0"/>
                <w:bCs/>
                <w:color w:val="auto"/>
                <w:highlight w:val="none"/>
              </w:rPr>
            </w:pPr>
          </w:p>
        </w:tc>
      </w:tr>
      <w:tr w14:paraId="6A25880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2A901B8F">
            <w:pPr>
              <w:pStyle w:val="45"/>
              <w:bidi w:val="0"/>
              <w:rPr>
                <w:rFonts w:hint="default"/>
                <w:b w:val="0"/>
                <w:bCs/>
                <w:color w:val="auto"/>
                <w:highlight w:val="none"/>
              </w:rPr>
            </w:pPr>
          </w:p>
        </w:tc>
        <w:tc>
          <w:tcPr>
            <w:tcW w:w="961" w:type="dxa"/>
            <w:vMerge w:val="continue"/>
            <w:tcBorders>
              <w:tl2br w:val="nil"/>
              <w:tr2bl w:val="nil"/>
            </w:tcBorders>
            <w:noWrap w:val="0"/>
            <w:vAlign w:val="center"/>
          </w:tcPr>
          <w:p w14:paraId="759473C2">
            <w:pPr>
              <w:pStyle w:val="45"/>
              <w:bidi w:val="0"/>
              <w:rPr>
                <w:rFonts w:hint="default"/>
                <w:b w:val="0"/>
                <w:bCs/>
                <w:color w:val="auto"/>
                <w:highlight w:val="none"/>
              </w:rPr>
            </w:pPr>
          </w:p>
        </w:tc>
        <w:tc>
          <w:tcPr>
            <w:tcW w:w="924" w:type="dxa"/>
            <w:vMerge w:val="continue"/>
            <w:tcBorders>
              <w:tl2br w:val="nil"/>
              <w:tr2bl w:val="nil"/>
            </w:tcBorders>
            <w:noWrap w:val="0"/>
            <w:vAlign w:val="center"/>
          </w:tcPr>
          <w:p w14:paraId="7B147E3B">
            <w:pPr>
              <w:pStyle w:val="45"/>
              <w:bidi w:val="0"/>
              <w:rPr>
                <w:rFonts w:hint="default"/>
                <w:b w:val="0"/>
                <w:bCs/>
                <w:color w:val="auto"/>
                <w:highlight w:val="none"/>
              </w:rPr>
            </w:pPr>
          </w:p>
        </w:tc>
        <w:tc>
          <w:tcPr>
            <w:tcW w:w="1712" w:type="dxa"/>
            <w:tcBorders>
              <w:tl2br w:val="nil"/>
              <w:tr2bl w:val="nil"/>
            </w:tcBorders>
            <w:noWrap w:val="0"/>
            <w:vAlign w:val="center"/>
          </w:tcPr>
          <w:p w14:paraId="4093EEFF">
            <w:pPr>
              <w:pStyle w:val="45"/>
              <w:bidi w:val="0"/>
              <w:rPr>
                <w:rFonts w:hint="default"/>
                <w:b w:val="0"/>
                <w:bCs/>
                <w:color w:val="auto"/>
                <w:highlight w:val="none"/>
              </w:rPr>
            </w:pPr>
            <w:r>
              <w:rPr>
                <w:rFonts w:hint="default"/>
                <w:b w:val="0"/>
                <w:bCs/>
                <w:color w:val="auto"/>
                <w:highlight w:val="none"/>
              </w:rPr>
              <w:t>叶片数</w:t>
            </w:r>
          </w:p>
        </w:tc>
        <w:tc>
          <w:tcPr>
            <w:tcW w:w="1319" w:type="dxa"/>
            <w:tcBorders>
              <w:tl2br w:val="nil"/>
              <w:tr2bl w:val="nil"/>
            </w:tcBorders>
            <w:noWrap w:val="0"/>
            <w:vAlign w:val="center"/>
          </w:tcPr>
          <w:p w14:paraId="33F53A78">
            <w:pPr>
              <w:pStyle w:val="45"/>
              <w:bidi w:val="0"/>
              <w:rPr>
                <w:rFonts w:hint="default"/>
                <w:b w:val="0"/>
                <w:bCs/>
                <w:color w:val="auto"/>
                <w:highlight w:val="none"/>
              </w:rPr>
            </w:pPr>
            <w:r>
              <w:rPr>
                <w:rFonts w:hint="default"/>
                <w:b w:val="0"/>
                <w:bCs/>
                <w:color w:val="auto"/>
                <w:highlight w:val="none"/>
              </w:rPr>
              <w:t>片</w:t>
            </w:r>
          </w:p>
        </w:tc>
        <w:tc>
          <w:tcPr>
            <w:tcW w:w="1575" w:type="dxa"/>
            <w:tcBorders>
              <w:tl2br w:val="nil"/>
              <w:tr2bl w:val="nil"/>
            </w:tcBorders>
            <w:noWrap w:val="0"/>
            <w:vAlign w:val="center"/>
          </w:tcPr>
          <w:p w14:paraId="1E9A5A3B">
            <w:pPr>
              <w:pStyle w:val="45"/>
              <w:bidi w:val="0"/>
              <w:rPr>
                <w:rFonts w:hint="default"/>
                <w:b w:val="0"/>
                <w:bCs/>
                <w:color w:val="auto"/>
                <w:highlight w:val="none"/>
              </w:rPr>
            </w:pPr>
            <w:r>
              <w:rPr>
                <w:rFonts w:hint="default"/>
                <w:b w:val="0"/>
                <w:bCs/>
                <w:color w:val="auto"/>
                <w:highlight w:val="none"/>
              </w:rPr>
              <w:t>3</w:t>
            </w:r>
          </w:p>
        </w:tc>
        <w:tc>
          <w:tcPr>
            <w:tcW w:w="938" w:type="dxa"/>
            <w:tcBorders>
              <w:tl2br w:val="nil"/>
              <w:tr2bl w:val="nil"/>
            </w:tcBorders>
            <w:noWrap w:val="0"/>
            <w:vAlign w:val="center"/>
          </w:tcPr>
          <w:p w14:paraId="3F2DA18E">
            <w:pPr>
              <w:pStyle w:val="45"/>
              <w:bidi w:val="0"/>
              <w:rPr>
                <w:rFonts w:hint="default"/>
                <w:b w:val="0"/>
                <w:bCs/>
                <w:color w:val="auto"/>
                <w:highlight w:val="none"/>
              </w:rPr>
            </w:pPr>
          </w:p>
        </w:tc>
      </w:tr>
      <w:tr w14:paraId="05DE8AA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683C57A3">
            <w:pPr>
              <w:pStyle w:val="45"/>
              <w:bidi w:val="0"/>
              <w:rPr>
                <w:rFonts w:hint="default"/>
                <w:b w:val="0"/>
                <w:bCs/>
                <w:color w:val="auto"/>
                <w:highlight w:val="none"/>
              </w:rPr>
            </w:pPr>
          </w:p>
        </w:tc>
        <w:tc>
          <w:tcPr>
            <w:tcW w:w="961" w:type="dxa"/>
            <w:vMerge w:val="continue"/>
            <w:tcBorders>
              <w:tl2br w:val="nil"/>
              <w:tr2bl w:val="nil"/>
            </w:tcBorders>
            <w:noWrap w:val="0"/>
            <w:vAlign w:val="center"/>
          </w:tcPr>
          <w:p w14:paraId="03E0FBC3">
            <w:pPr>
              <w:pStyle w:val="45"/>
              <w:bidi w:val="0"/>
              <w:rPr>
                <w:rFonts w:hint="default"/>
                <w:b w:val="0"/>
                <w:bCs/>
                <w:color w:val="auto"/>
                <w:highlight w:val="none"/>
              </w:rPr>
            </w:pPr>
          </w:p>
        </w:tc>
        <w:tc>
          <w:tcPr>
            <w:tcW w:w="924" w:type="dxa"/>
            <w:vMerge w:val="continue"/>
            <w:tcBorders>
              <w:tl2br w:val="nil"/>
              <w:tr2bl w:val="nil"/>
            </w:tcBorders>
            <w:noWrap w:val="0"/>
            <w:vAlign w:val="center"/>
          </w:tcPr>
          <w:p w14:paraId="3E7EEF66">
            <w:pPr>
              <w:pStyle w:val="45"/>
              <w:bidi w:val="0"/>
              <w:rPr>
                <w:rFonts w:hint="default"/>
                <w:b w:val="0"/>
                <w:bCs/>
                <w:color w:val="auto"/>
                <w:highlight w:val="none"/>
              </w:rPr>
            </w:pPr>
          </w:p>
        </w:tc>
        <w:tc>
          <w:tcPr>
            <w:tcW w:w="1712" w:type="dxa"/>
            <w:tcBorders>
              <w:tl2br w:val="nil"/>
              <w:tr2bl w:val="nil"/>
            </w:tcBorders>
            <w:noWrap w:val="0"/>
            <w:vAlign w:val="center"/>
          </w:tcPr>
          <w:p w14:paraId="3E32FF8B">
            <w:pPr>
              <w:pStyle w:val="45"/>
              <w:bidi w:val="0"/>
              <w:rPr>
                <w:rFonts w:hint="default"/>
                <w:b w:val="0"/>
                <w:bCs/>
                <w:color w:val="auto"/>
                <w:highlight w:val="none"/>
              </w:rPr>
            </w:pPr>
            <w:r>
              <w:rPr>
                <w:rFonts w:hint="default"/>
                <w:b w:val="0"/>
                <w:bCs/>
                <w:color w:val="auto"/>
                <w:highlight w:val="none"/>
              </w:rPr>
              <w:t>风轮直径</w:t>
            </w:r>
          </w:p>
        </w:tc>
        <w:tc>
          <w:tcPr>
            <w:tcW w:w="1319" w:type="dxa"/>
            <w:tcBorders>
              <w:tl2br w:val="nil"/>
              <w:tr2bl w:val="nil"/>
            </w:tcBorders>
            <w:noWrap w:val="0"/>
            <w:vAlign w:val="center"/>
          </w:tcPr>
          <w:p w14:paraId="563702AE">
            <w:pPr>
              <w:pStyle w:val="45"/>
              <w:bidi w:val="0"/>
              <w:rPr>
                <w:rFonts w:hint="default"/>
                <w:b w:val="0"/>
                <w:bCs/>
                <w:color w:val="auto"/>
                <w:highlight w:val="none"/>
              </w:rPr>
            </w:pPr>
            <w:r>
              <w:rPr>
                <w:rFonts w:hint="default"/>
                <w:b w:val="0"/>
                <w:bCs/>
                <w:color w:val="auto"/>
                <w:highlight w:val="none"/>
              </w:rPr>
              <w:t>m</w:t>
            </w:r>
          </w:p>
        </w:tc>
        <w:tc>
          <w:tcPr>
            <w:tcW w:w="1575" w:type="dxa"/>
            <w:tcBorders>
              <w:tl2br w:val="nil"/>
              <w:tr2bl w:val="nil"/>
            </w:tcBorders>
            <w:noWrap w:val="0"/>
            <w:vAlign w:val="center"/>
          </w:tcPr>
          <w:p w14:paraId="2BD6F152">
            <w:pPr>
              <w:pStyle w:val="45"/>
              <w:bidi w:val="0"/>
              <w:rPr>
                <w:rFonts w:hint="default"/>
                <w:b w:val="0"/>
                <w:bCs/>
                <w:color w:val="auto"/>
                <w:highlight w:val="none"/>
                <w:lang w:val="en-US" w:eastAsia="zh-CN"/>
              </w:rPr>
            </w:pPr>
            <w:r>
              <w:rPr>
                <w:rFonts w:hint="eastAsia"/>
                <w:b w:val="0"/>
                <w:bCs/>
                <w:color w:val="auto"/>
                <w:highlight w:val="none"/>
                <w:lang w:val="en-US" w:eastAsia="zh-CN"/>
              </w:rPr>
              <w:t>200</w:t>
            </w:r>
          </w:p>
        </w:tc>
        <w:tc>
          <w:tcPr>
            <w:tcW w:w="938" w:type="dxa"/>
            <w:tcBorders>
              <w:tl2br w:val="nil"/>
              <w:tr2bl w:val="nil"/>
            </w:tcBorders>
            <w:noWrap w:val="0"/>
            <w:vAlign w:val="center"/>
          </w:tcPr>
          <w:p w14:paraId="758B7EB7">
            <w:pPr>
              <w:pStyle w:val="45"/>
              <w:bidi w:val="0"/>
              <w:rPr>
                <w:rFonts w:hint="default"/>
                <w:b w:val="0"/>
                <w:bCs/>
                <w:color w:val="auto"/>
                <w:highlight w:val="none"/>
              </w:rPr>
            </w:pPr>
          </w:p>
        </w:tc>
      </w:tr>
      <w:tr w14:paraId="525A5DD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2B28115B">
            <w:pPr>
              <w:pStyle w:val="45"/>
              <w:bidi w:val="0"/>
              <w:rPr>
                <w:rFonts w:hint="default"/>
                <w:b w:val="0"/>
                <w:bCs/>
                <w:color w:val="auto"/>
                <w:highlight w:val="none"/>
              </w:rPr>
            </w:pPr>
          </w:p>
        </w:tc>
        <w:tc>
          <w:tcPr>
            <w:tcW w:w="961" w:type="dxa"/>
            <w:vMerge w:val="continue"/>
            <w:tcBorders>
              <w:tl2br w:val="nil"/>
              <w:tr2bl w:val="nil"/>
            </w:tcBorders>
            <w:noWrap w:val="0"/>
            <w:vAlign w:val="center"/>
          </w:tcPr>
          <w:p w14:paraId="50C65E5C">
            <w:pPr>
              <w:pStyle w:val="45"/>
              <w:bidi w:val="0"/>
              <w:rPr>
                <w:rFonts w:hint="default"/>
                <w:b w:val="0"/>
                <w:bCs/>
                <w:color w:val="auto"/>
                <w:highlight w:val="none"/>
              </w:rPr>
            </w:pPr>
          </w:p>
        </w:tc>
        <w:tc>
          <w:tcPr>
            <w:tcW w:w="924" w:type="dxa"/>
            <w:vMerge w:val="continue"/>
            <w:tcBorders>
              <w:tl2br w:val="nil"/>
              <w:tr2bl w:val="nil"/>
            </w:tcBorders>
            <w:noWrap w:val="0"/>
            <w:vAlign w:val="center"/>
          </w:tcPr>
          <w:p w14:paraId="0EAD1A7B">
            <w:pPr>
              <w:pStyle w:val="45"/>
              <w:bidi w:val="0"/>
              <w:rPr>
                <w:rFonts w:hint="default"/>
                <w:b w:val="0"/>
                <w:bCs/>
                <w:color w:val="auto"/>
                <w:highlight w:val="none"/>
              </w:rPr>
            </w:pPr>
          </w:p>
        </w:tc>
        <w:tc>
          <w:tcPr>
            <w:tcW w:w="1712" w:type="dxa"/>
            <w:tcBorders>
              <w:tl2br w:val="nil"/>
              <w:tr2bl w:val="nil"/>
            </w:tcBorders>
            <w:noWrap w:val="0"/>
            <w:vAlign w:val="center"/>
          </w:tcPr>
          <w:p w14:paraId="783E1A8A">
            <w:pPr>
              <w:pStyle w:val="45"/>
              <w:bidi w:val="0"/>
              <w:rPr>
                <w:rFonts w:hint="default"/>
                <w:b w:val="0"/>
                <w:bCs/>
                <w:color w:val="auto"/>
                <w:highlight w:val="none"/>
              </w:rPr>
            </w:pPr>
            <w:r>
              <w:rPr>
                <w:rFonts w:hint="default"/>
                <w:b w:val="0"/>
                <w:bCs/>
                <w:color w:val="auto"/>
                <w:highlight w:val="none"/>
                <w:lang w:val="en-US" w:eastAsia="zh-CN"/>
              </w:rPr>
              <w:t>轮毂高度</w:t>
            </w:r>
          </w:p>
        </w:tc>
        <w:tc>
          <w:tcPr>
            <w:tcW w:w="1319" w:type="dxa"/>
            <w:tcBorders>
              <w:tl2br w:val="nil"/>
              <w:tr2bl w:val="nil"/>
            </w:tcBorders>
            <w:noWrap w:val="0"/>
            <w:vAlign w:val="center"/>
          </w:tcPr>
          <w:p w14:paraId="21FDD0DC">
            <w:pPr>
              <w:pStyle w:val="45"/>
              <w:bidi w:val="0"/>
              <w:rPr>
                <w:rFonts w:hint="eastAsia"/>
                <w:b w:val="0"/>
                <w:bCs/>
                <w:color w:val="auto"/>
                <w:highlight w:val="none"/>
                <w:lang w:val="en-US" w:eastAsia="zh-CN"/>
              </w:rPr>
            </w:pPr>
            <w:r>
              <w:rPr>
                <w:rFonts w:hint="eastAsia"/>
                <w:b w:val="0"/>
                <w:bCs/>
                <w:color w:val="auto"/>
                <w:highlight w:val="none"/>
                <w:lang w:val="en-US" w:eastAsia="zh-CN"/>
              </w:rPr>
              <w:t>m</w:t>
            </w:r>
          </w:p>
        </w:tc>
        <w:tc>
          <w:tcPr>
            <w:tcW w:w="1575" w:type="dxa"/>
            <w:tcBorders>
              <w:tl2br w:val="nil"/>
              <w:tr2bl w:val="nil"/>
            </w:tcBorders>
            <w:noWrap w:val="0"/>
            <w:vAlign w:val="center"/>
          </w:tcPr>
          <w:p w14:paraId="13A00F52">
            <w:pPr>
              <w:pStyle w:val="45"/>
              <w:bidi w:val="0"/>
              <w:rPr>
                <w:rFonts w:hint="default"/>
                <w:b w:val="0"/>
                <w:bCs/>
                <w:color w:val="auto"/>
                <w:highlight w:val="none"/>
                <w:lang w:val="en-US" w:eastAsia="zh-CN"/>
              </w:rPr>
            </w:pPr>
            <w:r>
              <w:rPr>
                <w:rFonts w:hint="eastAsia"/>
                <w:b w:val="0"/>
                <w:bCs/>
                <w:color w:val="auto"/>
                <w:highlight w:val="none"/>
                <w:lang w:val="en-US" w:eastAsia="zh-CN"/>
              </w:rPr>
              <w:t>115</w:t>
            </w:r>
          </w:p>
        </w:tc>
        <w:tc>
          <w:tcPr>
            <w:tcW w:w="938" w:type="dxa"/>
            <w:tcBorders>
              <w:tl2br w:val="nil"/>
              <w:tr2bl w:val="nil"/>
            </w:tcBorders>
            <w:noWrap w:val="0"/>
            <w:vAlign w:val="center"/>
          </w:tcPr>
          <w:p w14:paraId="359E2C58">
            <w:pPr>
              <w:pStyle w:val="45"/>
              <w:bidi w:val="0"/>
              <w:rPr>
                <w:rFonts w:hint="default"/>
                <w:b w:val="0"/>
                <w:bCs/>
                <w:color w:val="auto"/>
                <w:highlight w:val="none"/>
              </w:rPr>
            </w:pPr>
          </w:p>
        </w:tc>
      </w:tr>
      <w:tr w14:paraId="4D773B1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19DD60D5">
            <w:pPr>
              <w:pStyle w:val="45"/>
              <w:bidi w:val="0"/>
              <w:rPr>
                <w:rFonts w:hint="default"/>
                <w:b w:val="0"/>
                <w:bCs/>
                <w:color w:val="auto"/>
                <w:highlight w:val="none"/>
              </w:rPr>
            </w:pPr>
          </w:p>
        </w:tc>
        <w:tc>
          <w:tcPr>
            <w:tcW w:w="961" w:type="dxa"/>
            <w:vMerge w:val="continue"/>
            <w:tcBorders>
              <w:tl2br w:val="nil"/>
              <w:tr2bl w:val="nil"/>
            </w:tcBorders>
            <w:noWrap w:val="0"/>
            <w:vAlign w:val="center"/>
          </w:tcPr>
          <w:p w14:paraId="594C9759">
            <w:pPr>
              <w:pStyle w:val="45"/>
              <w:bidi w:val="0"/>
              <w:rPr>
                <w:rFonts w:hint="default"/>
                <w:b w:val="0"/>
                <w:bCs/>
                <w:color w:val="auto"/>
                <w:highlight w:val="none"/>
              </w:rPr>
            </w:pPr>
          </w:p>
        </w:tc>
        <w:tc>
          <w:tcPr>
            <w:tcW w:w="924" w:type="dxa"/>
            <w:vMerge w:val="continue"/>
            <w:tcBorders>
              <w:tl2br w:val="nil"/>
              <w:tr2bl w:val="nil"/>
            </w:tcBorders>
            <w:noWrap w:val="0"/>
            <w:vAlign w:val="center"/>
          </w:tcPr>
          <w:p w14:paraId="6C4B428C">
            <w:pPr>
              <w:pStyle w:val="45"/>
              <w:bidi w:val="0"/>
              <w:rPr>
                <w:rFonts w:hint="default"/>
                <w:b w:val="0"/>
                <w:bCs/>
                <w:color w:val="auto"/>
                <w:highlight w:val="none"/>
              </w:rPr>
            </w:pPr>
          </w:p>
        </w:tc>
        <w:tc>
          <w:tcPr>
            <w:tcW w:w="1712" w:type="dxa"/>
            <w:tcBorders>
              <w:tl2br w:val="nil"/>
              <w:tr2bl w:val="nil"/>
            </w:tcBorders>
            <w:noWrap w:val="0"/>
            <w:vAlign w:val="center"/>
          </w:tcPr>
          <w:p w14:paraId="062B727C">
            <w:pPr>
              <w:pStyle w:val="45"/>
              <w:bidi w:val="0"/>
              <w:rPr>
                <w:rFonts w:hint="default"/>
                <w:b w:val="0"/>
                <w:bCs/>
                <w:color w:val="auto"/>
                <w:highlight w:val="none"/>
              </w:rPr>
            </w:pPr>
            <w:r>
              <w:rPr>
                <w:rFonts w:hint="default"/>
                <w:b w:val="0"/>
                <w:bCs/>
                <w:color w:val="auto"/>
                <w:highlight w:val="none"/>
              </w:rPr>
              <w:t>扫掠面积</w:t>
            </w:r>
          </w:p>
        </w:tc>
        <w:tc>
          <w:tcPr>
            <w:tcW w:w="1319" w:type="dxa"/>
            <w:tcBorders>
              <w:tl2br w:val="nil"/>
              <w:tr2bl w:val="nil"/>
            </w:tcBorders>
            <w:noWrap w:val="0"/>
            <w:vAlign w:val="center"/>
          </w:tcPr>
          <w:p w14:paraId="2598F78B">
            <w:pPr>
              <w:pStyle w:val="45"/>
              <w:bidi w:val="0"/>
              <w:rPr>
                <w:rFonts w:hint="default"/>
                <w:b w:val="0"/>
                <w:bCs/>
                <w:color w:val="auto"/>
                <w:highlight w:val="none"/>
                <w:lang w:val="en-US" w:eastAsia="zh-CN"/>
              </w:rPr>
            </w:pPr>
            <w:r>
              <w:rPr>
                <w:rFonts w:hint="eastAsia"/>
                <w:b w:val="0"/>
                <w:bCs/>
                <w:color w:val="auto"/>
                <w:highlight w:val="none"/>
                <w:lang w:val="en-US" w:eastAsia="zh-CN"/>
              </w:rPr>
              <w:t>m</w:t>
            </w:r>
            <w:r>
              <w:rPr>
                <w:rFonts w:hint="eastAsia"/>
                <w:b w:val="0"/>
                <w:bCs/>
                <w:color w:val="auto"/>
                <w:highlight w:val="none"/>
                <w:vertAlign w:val="superscript"/>
                <w:lang w:val="en-US" w:eastAsia="zh-CN"/>
              </w:rPr>
              <w:t>2</w:t>
            </w:r>
          </w:p>
        </w:tc>
        <w:tc>
          <w:tcPr>
            <w:tcW w:w="1575" w:type="dxa"/>
            <w:tcBorders>
              <w:tl2br w:val="nil"/>
              <w:tr2bl w:val="nil"/>
            </w:tcBorders>
            <w:noWrap w:val="0"/>
            <w:vAlign w:val="center"/>
          </w:tcPr>
          <w:p w14:paraId="2CABF10F">
            <w:pPr>
              <w:pStyle w:val="45"/>
              <w:bidi w:val="0"/>
              <w:rPr>
                <w:rFonts w:hint="default"/>
                <w:b w:val="0"/>
                <w:bCs/>
                <w:color w:val="auto"/>
                <w:highlight w:val="none"/>
                <w:lang w:val="en-US" w:eastAsia="zh-CN"/>
              </w:rPr>
            </w:pPr>
            <w:r>
              <w:rPr>
                <w:rFonts w:hint="eastAsia"/>
                <w:b w:val="0"/>
                <w:bCs/>
                <w:color w:val="auto"/>
                <w:highlight w:val="none"/>
                <w:lang w:val="en-US" w:eastAsia="zh-CN"/>
              </w:rPr>
              <w:t>31415</w:t>
            </w:r>
          </w:p>
        </w:tc>
        <w:tc>
          <w:tcPr>
            <w:tcW w:w="938" w:type="dxa"/>
            <w:tcBorders>
              <w:tl2br w:val="nil"/>
              <w:tr2bl w:val="nil"/>
            </w:tcBorders>
            <w:noWrap w:val="0"/>
            <w:vAlign w:val="center"/>
          </w:tcPr>
          <w:p w14:paraId="2626FA51">
            <w:pPr>
              <w:pStyle w:val="45"/>
              <w:bidi w:val="0"/>
              <w:rPr>
                <w:rFonts w:hint="default"/>
                <w:b w:val="0"/>
                <w:bCs/>
                <w:color w:val="auto"/>
                <w:highlight w:val="none"/>
              </w:rPr>
            </w:pPr>
          </w:p>
        </w:tc>
      </w:tr>
      <w:tr w14:paraId="41EDA37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468A4994">
            <w:pPr>
              <w:pStyle w:val="45"/>
              <w:bidi w:val="0"/>
              <w:rPr>
                <w:rFonts w:hint="default"/>
                <w:b w:val="0"/>
                <w:bCs/>
                <w:color w:val="auto"/>
                <w:highlight w:val="none"/>
              </w:rPr>
            </w:pPr>
          </w:p>
        </w:tc>
        <w:tc>
          <w:tcPr>
            <w:tcW w:w="961" w:type="dxa"/>
            <w:vMerge w:val="continue"/>
            <w:tcBorders>
              <w:tl2br w:val="nil"/>
              <w:tr2bl w:val="nil"/>
            </w:tcBorders>
            <w:noWrap w:val="0"/>
            <w:vAlign w:val="center"/>
          </w:tcPr>
          <w:p w14:paraId="53229189">
            <w:pPr>
              <w:pStyle w:val="45"/>
              <w:bidi w:val="0"/>
              <w:rPr>
                <w:rFonts w:hint="default"/>
                <w:b w:val="0"/>
                <w:bCs/>
                <w:color w:val="auto"/>
                <w:highlight w:val="none"/>
              </w:rPr>
            </w:pPr>
          </w:p>
        </w:tc>
        <w:tc>
          <w:tcPr>
            <w:tcW w:w="924" w:type="dxa"/>
            <w:vMerge w:val="continue"/>
            <w:tcBorders>
              <w:tl2br w:val="nil"/>
              <w:tr2bl w:val="nil"/>
            </w:tcBorders>
            <w:noWrap w:val="0"/>
            <w:vAlign w:val="center"/>
          </w:tcPr>
          <w:p w14:paraId="6819C426">
            <w:pPr>
              <w:pStyle w:val="45"/>
              <w:bidi w:val="0"/>
              <w:rPr>
                <w:rFonts w:hint="default"/>
                <w:b w:val="0"/>
                <w:bCs/>
                <w:color w:val="auto"/>
                <w:highlight w:val="none"/>
              </w:rPr>
            </w:pPr>
          </w:p>
        </w:tc>
        <w:tc>
          <w:tcPr>
            <w:tcW w:w="1712" w:type="dxa"/>
            <w:tcBorders>
              <w:tl2br w:val="nil"/>
              <w:tr2bl w:val="nil"/>
            </w:tcBorders>
            <w:noWrap w:val="0"/>
            <w:vAlign w:val="center"/>
          </w:tcPr>
          <w:p w14:paraId="3F2A38D6">
            <w:pPr>
              <w:pStyle w:val="45"/>
              <w:bidi w:val="0"/>
              <w:rPr>
                <w:rFonts w:hint="default"/>
                <w:b w:val="0"/>
                <w:bCs/>
                <w:color w:val="auto"/>
                <w:highlight w:val="none"/>
              </w:rPr>
            </w:pPr>
            <w:r>
              <w:rPr>
                <w:rFonts w:hint="default"/>
                <w:b w:val="0"/>
                <w:bCs/>
                <w:color w:val="auto"/>
                <w:highlight w:val="none"/>
              </w:rPr>
              <w:t>发电机容量</w:t>
            </w:r>
          </w:p>
        </w:tc>
        <w:tc>
          <w:tcPr>
            <w:tcW w:w="1319" w:type="dxa"/>
            <w:tcBorders>
              <w:tl2br w:val="nil"/>
              <w:tr2bl w:val="nil"/>
            </w:tcBorders>
            <w:noWrap w:val="0"/>
            <w:vAlign w:val="center"/>
          </w:tcPr>
          <w:p w14:paraId="3E9E545A">
            <w:pPr>
              <w:pStyle w:val="45"/>
              <w:bidi w:val="0"/>
              <w:rPr>
                <w:rFonts w:hint="default"/>
                <w:b w:val="0"/>
                <w:bCs/>
                <w:color w:val="auto"/>
                <w:highlight w:val="none"/>
              </w:rPr>
            </w:pPr>
            <w:r>
              <w:rPr>
                <w:rFonts w:hint="eastAsia"/>
                <w:b w:val="0"/>
                <w:bCs/>
                <w:color w:val="auto"/>
                <w:highlight w:val="none"/>
                <w:lang w:val="en-US" w:eastAsia="zh-CN"/>
              </w:rPr>
              <w:t>kw</w:t>
            </w:r>
          </w:p>
        </w:tc>
        <w:tc>
          <w:tcPr>
            <w:tcW w:w="1575" w:type="dxa"/>
            <w:tcBorders>
              <w:tl2br w:val="nil"/>
              <w:tr2bl w:val="nil"/>
            </w:tcBorders>
            <w:noWrap w:val="0"/>
            <w:vAlign w:val="center"/>
          </w:tcPr>
          <w:p w14:paraId="0BDE4981">
            <w:pPr>
              <w:pStyle w:val="45"/>
              <w:bidi w:val="0"/>
              <w:rPr>
                <w:rFonts w:hint="default"/>
                <w:b w:val="0"/>
                <w:bCs/>
                <w:color w:val="auto"/>
                <w:highlight w:val="none"/>
              </w:rPr>
            </w:pPr>
            <w:r>
              <w:rPr>
                <w:rFonts w:hint="default"/>
                <w:b w:val="0"/>
                <w:bCs/>
                <w:color w:val="auto"/>
                <w:highlight w:val="none"/>
              </w:rPr>
              <w:t>5000</w:t>
            </w:r>
          </w:p>
        </w:tc>
        <w:tc>
          <w:tcPr>
            <w:tcW w:w="938" w:type="dxa"/>
            <w:tcBorders>
              <w:tl2br w:val="nil"/>
              <w:tr2bl w:val="nil"/>
            </w:tcBorders>
            <w:noWrap w:val="0"/>
            <w:vAlign w:val="center"/>
          </w:tcPr>
          <w:p w14:paraId="03A3DA10">
            <w:pPr>
              <w:pStyle w:val="45"/>
              <w:bidi w:val="0"/>
              <w:rPr>
                <w:rFonts w:hint="default"/>
                <w:b w:val="0"/>
                <w:bCs/>
                <w:color w:val="auto"/>
                <w:highlight w:val="none"/>
              </w:rPr>
            </w:pPr>
          </w:p>
        </w:tc>
      </w:tr>
      <w:tr w14:paraId="24DC0A0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6141703B">
            <w:pPr>
              <w:pStyle w:val="45"/>
              <w:bidi w:val="0"/>
              <w:rPr>
                <w:rFonts w:hint="default"/>
                <w:b w:val="0"/>
                <w:bCs/>
                <w:color w:val="auto"/>
                <w:highlight w:val="none"/>
              </w:rPr>
            </w:pPr>
          </w:p>
        </w:tc>
        <w:tc>
          <w:tcPr>
            <w:tcW w:w="961" w:type="dxa"/>
            <w:vMerge w:val="continue"/>
            <w:tcBorders>
              <w:tl2br w:val="nil"/>
              <w:tr2bl w:val="nil"/>
            </w:tcBorders>
            <w:noWrap w:val="0"/>
            <w:vAlign w:val="center"/>
          </w:tcPr>
          <w:p w14:paraId="734D97B2">
            <w:pPr>
              <w:pStyle w:val="45"/>
              <w:bidi w:val="0"/>
              <w:rPr>
                <w:rFonts w:hint="default"/>
                <w:b w:val="0"/>
                <w:bCs/>
                <w:color w:val="auto"/>
                <w:highlight w:val="none"/>
              </w:rPr>
            </w:pPr>
          </w:p>
        </w:tc>
        <w:tc>
          <w:tcPr>
            <w:tcW w:w="924" w:type="dxa"/>
            <w:vMerge w:val="continue"/>
            <w:tcBorders>
              <w:tl2br w:val="nil"/>
              <w:tr2bl w:val="nil"/>
            </w:tcBorders>
            <w:noWrap w:val="0"/>
            <w:vAlign w:val="center"/>
          </w:tcPr>
          <w:p w14:paraId="50E3CEE2">
            <w:pPr>
              <w:pStyle w:val="45"/>
              <w:bidi w:val="0"/>
              <w:rPr>
                <w:rFonts w:hint="default"/>
                <w:b w:val="0"/>
                <w:bCs/>
                <w:color w:val="auto"/>
                <w:highlight w:val="none"/>
              </w:rPr>
            </w:pPr>
          </w:p>
        </w:tc>
        <w:tc>
          <w:tcPr>
            <w:tcW w:w="1712" w:type="dxa"/>
            <w:tcBorders>
              <w:tl2br w:val="nil"/>
              <w:tr2bl w:val="nil"/>
            </w:tcBorders>
            <w:noWrap w:val="0"/>
            <w:vAlign w:val="center"/>
          </w:tcPr>
          <w:p w14:paraId="2BAFC5AC">
            <w:pPr>
              <w:pStyle w:val="45"/>
              <w:bidi w:val="0"/>
              <w:rPr>
                <w:rFonts w:hint="default"/>
                <w:b w:val="0"/>
                <w:bCs/>
                <w:color w:val="auto"/>
                <w:highlight w:val="none"/>
              </w:rPr>
            </w:pPr>
            <w:r>
              <w:rPr>
                <w:rFonts w:hint="default"/>
                <w:b w:val="0"/>
                <w:bCs/>
                <w:color w:val="auto"/>
                <w:highlight w:val="none"/>
              </w:rPr>
              <w:t>额定电压</w:t>
            </w:r>
          </w:p>
        </w:tc>
        <w:tc>
          <w:tcPr>
            <w:tcW w:w="1319" w:type="dxa"/>
            <w:tcBorders>
              <w:tl2br w:val="nil"/>
              <w:tr2bl w:val="nil"/>
            </w:tcBorders>
            <w:noWrap w:val="0"/>
            <w:vAlign w:val="center"/>
          </w:tcPr>
          <w:p w14:paraId="46CA44A5">
            <w:pPr>
              <w:pStyle w:val="45"/>
              <w:bidi w:val="0"/>
              <w:rPr>
                <w:rFonts w:hint="default"/>
                <w:b w:val="0"/>
                <w:bCs/>
                <w:color w:val="auto"/>
                <w:highlight w:val="none"/>
              </w:rPr>
            </w:pPr>
            <w:r>
              <w:rPr>
                <w:rFonts w:hint="default"/>
                <w:b w:val="0"/>
                <w:bCs/>
                <w:color w:val="auto"/>
                <w:highlight w:val="none"/>
              </w:rPr>
              <w:t>V</w:t>
            </w:r>
          </w:p>
        </w:tc>
        <w:tc>
          <w:tcPr>
            <w:tcW w:w="1575" w:type="dxa"/>
            <w:tcBorders>
              <w:tl2br w:val="nil"/>
              <w:tr2bl w:val="nil"/>
            </w:tcBorders>
            <w:noWrap w:val="0"/>
            <w:vAlign w:val="center"/>
          </w:tcPr>
          <w:p w14:paraId="25C3756A">
            <w:pPr>
              <w:pStyle w:val="45"/>
              <w:bidi w:val="0"/>
              <w:rPr>
                <w:rFonts w:hint="default"/>
                <w:b w:val="0"/>
                <w:bCs/>
                <w:color w:val="auto"/>
                <w:highlight w:val="none"/>
              </w:rPr>
            </w:pPr>
            <w:r>
              <w:rPr>
                <w:rFonts w:hint="default"/>
                <w:b w:val="0"/>
                <w:bCs/>
                <w:color w:val="auto"/>
                <w:highlight w:val="none"/>
              </w:rPr>
              <w:t>1140V</w:t>
            </w:r>
          </w:p>
        </w:tc>
        <w:tc>
          <w:tcPr>
            <w:tcW w:w="938" w:type="dxa"/>
            <w:tcBorders>
              <w:tl2br w:val="nil"/>
              <w:tr2bl w:val="nil"/>
            </w:tcBorders>
            <w:noWrap w:val="0"/>
            <w:vAlign w:val="center"/>
          </w:tcPr>
          <w:p w14:paraId="4492F223">
            <w:pPr>
              <w:pStyle w:val="45"/>
              <w:bidi w:val="0"/>
              <w:rPr>
                <w:rFonts w:hint="default"/>
                <w:b w:val="0"/>
                <w:bCs/>
                <w:color w:val="auto"/>
                <w:highlight w:val="none"/>
              </w:rPr>
            </w:pPr>
          </w:p>
        </w:tc>
      </w:tr>
      <w:tr w14:paraId="4172898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6B60EA75">
            <w:pPr>
              <w:pStyle w:val="45"/>
              <w:bidi w:val="0"/>
              <w:rPr>
                <w:rFonts w:hint="default"/>
                <w:b w:val="0"/>
                <w:bCs/>
                <w:color w:val="auto"/>
                <w:highlight w:val="none"/>
              </w:rPr>
            </w:pPr>
          </w:p>
        </w:tc>
        <w:tc>
          <w:tcPr>
            <w:tcW w:w="961" w:type="dxa"/>
            <w:vMerge w:val="continue"/>
            <w:tcBorders>
              <w:tl2br w:val="nil"/>
              <w:tr2bl w:val="nil"/>
            </w:tcBorders>
            <w:noWrap w:val="0"/>
            <w:vAlign w:val="center"/>
          </w:tcPr>
          <w:p w14:paraId="47922C24">
            <w:pPr>
              <w:pStyle w:val="45"/>
              <w:bidi w:val="0"/>
              <w:rPr>
                <w:rFonts w:hint="default"/>
                <w:b w:val="0"/>
                <w:bCs/>
                <w:color w:val="auto"/>
                <w:highlight w:val="none"/>
              </w:rPr>
            </w:pPr>
          </w:p>
        </w:tc>
        <w:tc>
          <w:tcPr>
            <w:tcW w:w="924" w:type="dxa"/>
            <w:tcBorders>
              <w:tl2br w:val="nil"/>
              <w:tr2bl w:val="nil"/>
            </w:tcBorders>
            <w:noWrap w:val="0"/>
            <w:vAlign w:val="center"/>
          </w:tcPr>
          <w:p w14:paraId="5376B8C3">
            <w:pPr>
              <w:pStyle w:val="45"/>
              <w:bidi w:val="0"/>
              <w:rPr>
                <w:rFonts w:hint="default"/>
                <w:b w:val="0"/>
                <w:bCs/>
                <w:color w:val="auto"/>
                <w:highlight w:val="none"/>
              </w:rPr>
            </w:pPr>
            <w:r>
              <w:rPr>
                <w:rFonts w:hint="default"/>
                <w:b w:val="0"/>
                <w:bCs/>
                <w:color w:val="auto"/>
                <w:highlight w:val="none"/>
              </w:rPr>
              <w:t>主要机电设备</w:t>
            </w:r>
          </w:p>
        </w:tc>
        <w:tc>
          <w:tcPr>
            <w:tcW w:w="1712" w:type="dxa"/>
            <w:tcBorders>
              <w:tl2br w:val="nil"/>
              <w:tr2bl w:val="nil"/>
            </w:tcBorders>
            <w:noWrap w:val="0"/>
            <w:vAlign w:val="center"/>
          </w:tcPr>
          <w:p w14:paraId="5ECF360B">
            <w:pPr>
              <w:pStyle w:val="45"/>
              <w:bidi w:val="0"/>
              <w:rPr>
                <w:rFonts w:hint="default"/>
                <w:b w:val="0"/>
                <w:bCs/>
                <w:color w:val="auto"/>
                <w:highlight w:val="none"/>
              </w:rPr>
            </w:pPr>
            <w:r>
              <w:rPr>
                <w:rFonts w:hint="default"/>
                <w:b w:val="0"/>
                <w:bCs/>
                <w:color w:val="auto"/>
                <w:highlight w:val="none"/>
              </w:rPr>
              <w:t>箱式变电站</w:t>
            </w:r>
          </w:p>
        </w:tc>
        <w:tc>
          <w:tcPr>
            <w:tcW w:w="1319" w:type="dxa"/>
            <w:tcBorders>
              <w:tl2br w:val="nil"/>
              <w:tr2bl w:val="nil"/>
            </w:tcBorders>
            <w:noWrap w:val="0"/>
            <w:vAlign w:val="center"/>
          </w:tcPr>
          <w:p w14:paraId="4155C1AC">
            <w:pPr>
              <w:pStyle w:val="45"/>
              <w:bidi w:val="0"/>
              <w:rPr>
                <w:rFonts w:hint="default"/>
                <w:b w:val="0"/>
                <w:bCs/>
                <w:color w:val="auto"/>
                <w:highlight w:val="none"/>
              </w:rPr>
            </w:pPr>
            <w:r>
              <w:rPr>
                <w:rFonts w:hint="default"/>
                <w:b w:val="0"/>
                <w:bCs/>
                <w:color w:val="auto"/>
                <w:highlight w:val="none"/>
              </w:rPr>
              <w:t>台</w:t>
            </w:r>
          </w:p>
        </w:tc>
        <w:tc>
          <w:tcPr>
            <w:tcW w:w="1575" w:type="dxa"/>
            <w:tcBorders>
              <w:tl2br w:val="nil"/>
              <w:tr2bl w:val="nil"/>
            </w:tcBorders>
            <w:noWrap w:val="0"/>
            <w:vAlign w:val="center"/>
          </w:tcPr>
          <w:p w14:paraId="54693946">
            <w:pPr>
              <w:pStyle w:val="45"/>
              <w:bidi w:val="0"/>
              <w:rPr>
                <w:rFonts w:hint="default"/>
                <w:b w:val="0"/>
                <w:bCs/>
                <w:color w:val="auto"/>
                <w:highlight w:val="none"/>
                <w:lang w:val="en-US" w:eastAsia="zh-CN"/>
              </w:rPr>
            </w:pPr>
            <w:r>
              <w:rPr>
                <w:rFonts w:hint="eastAsia"/>
                <w:b w:val="0"/>
                <w:bCs/>
                <w:color w:val="auto"/>
                <w:highlight w:val="none"/>
                <w:lang w:val="en-US" w:eastAsia="zh-CN"/>
              </w:rPr>
              <w:t>20</w:t>
            </w:r>
          </w:p>
        </w:tc>
        <w:tc>
          <w:tcPr>
            <w:tcW w:w="938" w:type="dxa"/>
            <w:tcBorders>
              <w:tl2br w:val="nil"/>
              <w:tr2bl w:val="nil"/>
            </w:tcBorders>
            <w:noWrap w:val="0"/>
            <w:vAlign w:val="center"/>
          </w:tcPr>
          <w:p w14:paraId="17EA83E2">
            <w:pPr>
              <w:pStyle w:val="45"/>
              <w:bidi w:val="0"/>
              <w:rPr>
                <w:rFonts w:hint="default"/>
                <w:b w:val="0"/>
                <w:bCs/>
                <w:color w:val="auto"/>
                <w:highlight w:val="none"/>
              </w:rPr>
            </w:pPr>
          </w:p>
        </w:tc>
      </w:tr>
      <w:tr w14:paraId="367470D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3A2DE282">
            <w:pPr>
              <w:pStyle w:val="45"/>
              <w:bidi w:val="0"/>
              <w:rPr>
                <w:rFonts w:hint="default"/>
                <w:b w:val="0"/>
                <w:bCs/>
                <w:color w:val="auto"/>
                <w:highlight w:val="none"/>
              </w:rPr>
            </w:pPr>
          </w:p>
        </w:tc>
        <w:tc>
          <w:tcPr>
            <w:tcW w:w="961" w:type="dxa"/>
            <w:vMerge w:val="restart"/>
            <w:tcBorders>
              <w:tl2br w:val="nil"/>
              <w:tr2bl w:val="nil"/>
            </w:tcBorders>
            <w:noWrap w:val="0"/>
            <w:vAlign w:val="center"/>
          </w:tcPr>
          <w:p w14:paraId="053ACB4A">
            <w:pPr>
              <w:pStyle w:val="45"/>
              <w:bidi w:val="0"/>
              <w:rPr>
                <w:rFonts w:hint="default"/>
                <w:b w:val="0"/>
                <w:bCs/>
                <w:color w:val="auto"/>
                <w:highlight w:val="none"/>
              </w:rPr>
            </w:pPr>
            <w:r>
              <w:rPr>
                <w:rFonts w:hint="default"/>
                <w:b w:val="0"/>
                <w:bCs/>
                <w:color w:val="auto"/>
                <w:highlight w:val="none"/>
              </w:rPr>
              <w:t>升压变电所</w:t>
            </w:r>
          </w:p>
        </w:tc>
        <w:tc>
          <w:tcPr>
            <w:tcW w:w="924" w:type="dxa"/>
            <w:vMerge w:val="restart"/>
            <w:tcBorders>
              <w:tl2br w:val="nil"/>
              <w:tr2bl w:val="nil"/>
            </w:tcBorders>
            <w:noWrap w:val="0"/>
            <w:vAlign w:val="center"/>
          </w:tcPr>
          <w:p w14:paraId="53D2F64F">
            <w:pPr>
              <w:pStyle w:val="45"/>
              <w:bidi w:val="0"/>
              <w:rPr>
                <w:rFonts w:hint="default"/>
                <w:b w:val="0"/>
                <w:bCs/>
                <w:color w:val="auto"/>
                <w:highlight w:val="none"/>
              </w:rPr>
            </w:pPr>
            <w:r>
              <w:rPr>
                <w:rFonts w:hint="default"/>
                <w:b w:val="0"/>
                <w:bCs/>
                <w:color w:val="auto"/>
                <w:highlight w:val="none"/>
              </w:rPr>
              <w:t>主变压器</w:t>
            </w:r>
          </w:p>
        </w:tc>
        <w:tc>
          <w:tcPr>
            <w:tcW w:w="1712" w:type="dxa"/>
            <w:tcBorders>
              <w:tl2br w:val="nil"/>
              <w:tr2bl w:val="nil"/>
            </w:tcBorders>
            <w:noWrap w:val="0"/>
            <w:vAlign w:val="center"/>
          </w:tcPr>
          <w:p w14:paraId="48361648">
            <w:pPr>
              <w:pStyle w:val="45"/>
              <w:bidi w:val="0"/>
              <w:rPr>
                <w:rFonts w:hint="default"/>
                <w:b w:val="0"/>
                <w:bCs/>
                <w:color w:val="auto"/>
                <w:highlight w:val="none"/>
              </w:rPr>
            </w:pPr>
            <w:r>
              <w:rPr>
                <w:rFonts w:hint="default"/>
                <w:b w:val="0"/>
                <w:bCs/>
                <w:color w:val="auto"/>
                <w:highlight w:val="none"/>
              </w:rPr>
              <w:t>型号</w:t>
            </w:r>
          </w:p>
        </w:tc>
        <w:tc>
          <w:tcPr>
            <w:tcW w:w="1319" w:type="dxa"/>
            <w:tcBorders>
              <w:tl2br w:val="nil"/>
              <w:tr2bl w:val="nil"/>
            </w:tcBorders>
            <w:noWrap w:val="0"/>
            <w:vAlign w:val="center"/>
          </w:tcPr>
          <w:p w14:paraId="72F57AFB">
            <w:pPr>
              <w:pStyle w:val="45"/>
              <w:bidi w:val="0"/>
              <w:rPr>
                <w:rFonts w:hint="default"/>
                <w:b w:val="0"/>
                <w:bCs/>
                <w:color w:val="auto"/>
                <w:highlight w:val="none"/>
              </w:rPr>
            </w:pPr>
          </w:p>
        </w:tc>
        <w:tc>
          <w:tcPr>
            <w:tcW w:w="1575" w:type="dxa"/>
            <w:tcBorders>
              <w:tl2br w:val="nil"/>
              <w:tr2bl w:val="nil"/>
            </w:tcBorders>
            <w:noWrap w:val="0"/>
            <w:vAlign w:val="center"/>
          </w:tcPr>
          <w:p w14:paraId="79B262D0">
            <w:pPr>
              <w:pStyle w:val="45"/>
              <w:bidi w:val="0"/>
              <w:rPr>
                <w:rFonts w:hint="default"/>
                <w:b w:val="0"/>
                <w:bCs/>
                <w:color w:val="auto"/>
                <w:highlight w:val="none"/>
              </w:rPr>
            </w:pPr>
            <w:r>
              <w:rPr>
                <w:rFonts w:hint="default"/>
                <w:b w:val="0"/>
                <w:bCs/>
                <w:color w:val="auto"/>
                <w:highlight w:val="none"/>
              </w:rPr>
              <w:t>SZ1</w:t>
            </w:r>
            <w:r>
              <w:rPr>
                <w:rFonts w:hint="eastAsia"/>
                <w:b w:val="0"/>
                <w:bCs/>
                <w:color w:val="auto"/>
                <w:highlight w:val="none"/>
                <w:lang w:val="en-US" w:eastAsia="zh-CN"/>
              </w:rPr>
              <w:t>8</w:t>
            </w:r>
            <w:r>
              <w:rPr>
                <w:rFonts w:hint="default"/>
                <w:b w:val="0"/>
                <w:bCs/>
                <w:color w:val="auto"/>
                <w:highlight w:val="none"/>
              </w:rPr>
              <w:t>-</w:t>
            </w:r>
          </w:p>
          <w:p w14:paraId="486E171E">
            <w:pPr>
              <w:pStyle w:val="45"/>
              <w:bidi w:val="0"/>
              <w:rPr>
                <w:rFonts w:hint="default"/>
                <w:b w:val="0"/>
                <w:bCs/>
                <w:color w:val="auto"/>
                <w:highlight w:val="none"/>
              </w:rPr>
            </w:pPr>
            <w:r>
              <w:rPr>
                <w:rFonts w:hint="default"/>
                <w:b w:val="0"/>
                <w:bCs/>
                <w:color w:val="auto"/>
                <w:highlight w:val="none"/>
                <w:lang w:val="en-US" w:eastAsia="zh-CN"/>
              </w:rPr>
              <w:t>SZ18-100000/110</w:t>
            </w:r>
          </w:p>
        </w:tc>
        <w:tc>
          <w:tcPr>
            <w:tcW w:w="938" w:type="dxa"/>
            <w:tcBorders>
              <w:tl2br w:val="nil"/>
              <w:tr2bl w:val="nil"/>
            </w:tcBorders>
            <w:noWrap w:val="0"/>
            <w:vAlign w:val="center"/>
          </w:tcPr>
          <w:p w14:paraId="7607C2D0">
            <w:pPr>
              <w:pStyle w:val="45"/>
              <w:bidi w:val="0"/>
              <w:rPr>
                <w:rFonts w:hint="default"/>
                <w:b w:val="0"/>
                <w:bCs/>
                <w:color w:val="auto"/>
                <w:highlight w:val="none"/>
              </w:rPr>
            </w:pPr>
          </w:p>
        </w:tc>
      </w:tr>
      <w:tr w14:paraId="56F5E87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60AB1F2B">
            <w:pPr>
              <w:pStyle w:val="45"/>
              <w:bidi w:val="0"/>
              <w:rPr>
                <w:rFonts w:hint="default"/>
                <w:b w:val="0"/>
                <w:bCs/>
                <w:color w:val="auto"/>
                <w:highlight w:val="none"/>
              </w:rPr>
            </w:pPr>
          </w:p>
        </w:tc>
        <w:tc>
          <w:tcPr>
            <w:tcW w:w="961" w:type="dxa"/>
            <w:vMerge w:val="continue"/>
            <w:tcBorders>
              <w:tl2br w:val="nil"/>
              <w:tr2bl w:val="nil"/>
            </w:tcBorders>
            <w:noWrap w:val="0"/>
            <w:vAlign w:val="center"/>
          </w:tcPr>
          <w:p w14:paraId="23EAE8D2">
            <w:pPr>
              <w:pStyle w:val="45"/>
              <w:bidi w:val="0"/>
              <w:rPr>
                <w:rFonts w:hint="default"/>
                <w:b w:val="0"/>
                <w:bCs/>
                <w:color w:val="auto"/>
                <w:highlight w:val="none"/>
              </w:rPr>
            </w:pPr>
          </w:p>
        </w:tc>
        <w:tc>
          <w:tcPr>
            <w:tcW w:w="924" w:type="dxa"/>
            <w:vMerge w:val="continue"/>
            <w:tcBorders>
              <w:tl2br w:val="nil"/>
              <w:tr2bl w:val="nil"/>
            </w:tcBorders>
            <w:noWrap w:val="0"/>
            <w:vAlign w:val="center"/>
          </w:tcPr>
          <w:p w14:paraId="336A93B9">
            <w:pPr>
              <w:pStyle w:val="45"/>
              <w:bidi w:val="0"/>
              <w:rPr>
                <w:rFonts w:hint="default"/>
                <w:b w:val="0"/>
                <w:bCs/>
                <w:color w:val="auto"/>
                <w:highlight w:val="none"/>
              </w:rPr>
            </w:pPr>
          </w:p>
        </w:tc>
        <w:tc>
          <w:tcPr>
            <w:tcW w:w="1712" w:type="dxa"/>
            <w:tcBorders>
              <w:tl2br w:val="nil"/>
              <w:tr2bl w:val="nil"/>
            </w:tcBorders>
            <w:noWrap w:val="0"/>
            <w:vAlign w:val="center"/>
          </w:tcPr>
          <w:p w14:paraId="24E1853A">
            <w:pPr>
              <w:pStyle w:val="45"/>
              <w:bidi w:val="0"/>
              <w:rPr>
                <w:rFonts w:hint="default"/>
                <w:b w:val="0"/>
                <w:bCs/>
                <w:color w:val="auto"/>
                <w:highlight w:val="none"/>
              </w:rPr>
            </w:pPr>
            <w:r>
              <w:rPr>
                <w:rFonts w:hint="default"/>
                <w:b w:val="0"/>
                <w:bCs/>
                <w:color w:val="auto"/>
                <w:highlight w:val="none"/>
              </w:rPr>
              <w:t>台数</w:t>
            </w:r>
          </w:p>
        </w:tc>
        <w:tc>
          <w:tcPr>
            <w:tcW w:w="1319" w:type="dxa"/>
            <w:tcBorders>
              <w:tl2br w:val="nil"/>
              <w:tr2bl w:val="nil"/>
            </w:tcBorders>
            <w:noWrap w:val="0"/>
            <w:vAlign w:val="center"/>
          </w:tcPr>
          <w:p w14:paraId="7E2C5E4E">
            <w:pPr>
              <w:pStyle w:val="45"/>
              <w:bidi w:val="0"/>
              <w:rPr>
                <w:rFonts w:hint="default"/>
                <w:b w:val="0"/>
                <w:bCs/>
                <w:color w:val="auto"/>
                <w:highlight w:val="none"/>
              </w:rPr>
            </w:pPr>
          </w:p>
        </w:tc>
        <w:tc>
          <w:tcPr>
            <w:tcW w:w="1575" w:type="dxa"/>
            <w:tcBorders>
              <w:tl2br w:val="nil"/>
              <w:tr2bl w:val="nil"/>
            </w:tcBorders>
            <w:noWrap w:val="0"/>
            <w:vAlign w:val="center"/>
          </w:tcPr>
          <w:p w14:paraId="592EB567">
            <w:pPr>
              <w:pStyle w:val="45"/>
              <w:bidi w:val="0"/>
              <w:rPr>
                <w:rFonts w:hint="default"/>
                <w:b w:val="0"/>
                <w:bCs/>
                <w:color w:val="auto"/>
                <w:highlight w:val="none"/>
              </w:rPr>
            </w:pPr>
            <w:r>
              <w:rPr>
                <w:rFonts w:hint="default"/>
                <w:b w:val="0"/>
                <w:bCs/>
                <w:color w:val="auto"/>
                <w:highlight w:val="none"/>
              </w:rPr>
              <w:t>1</w:t>
            </w:r>
          </w:p>
        </w:tc>
        <w:tc>
          <w:tcPr>
            <w:tcW w:w="938" w:type="dxa"/>
            <w:tcBorders>
              <w:tl2br w:val="nil"/>
              <w:tr2bl w:val="nil"/>
            </w:tcBorders>
            <w:noWrap w:val="0"/>
            <w:vAlign w:val="center"/>
          </w:tcPr>
          <w:p w14:paraId="594ED961">
            <w:pPr>
              <w:pStyle w:val="45"/>
              <w:bidi w:val="0"/>
              <w:rPr>
                <w:rFonts w:hint="default"/>
                <w:b w:val="0"/>
                <w:bCs/>
                <w:color w:val="auto"/>
                <w:highlight w:val="none"/>
              </w:rPr>
            </w:pPr>
          </w:p>
        </w:tc>
      </w:tr>
      <w:tr w14:paraId="1D89544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33D5B437">
            <w:pPr>
              <w:pStyle w:val="45"/>
              <w:bidi w:val="0"/>
              <w:rPr>
                <w:rFonts w:hint="default"/>
                <w:b w:val="0"/>
                <w:bCs/>
                <w:color w:val="auto"/>
                <w:highlight w:val="none"/>
              </w:rPr>
            </w:pPr>
          </w:p>
        </w:tc>
        <w:tc>
          <w:tcPr>
            <w:tcW w:w="961" w:type="dxa"/>
            <w:vMerge w:val="continue"/>
            <w:tcBorders>
              <w:tl2br w:val="nil"/>
              <w:tr2bl w:val="nil"/>
            </w:tcBorders>
            <w:noWrap w:val="0"/>
            <w:vAlign w:val="center"/>
          </w:tcPr>
          <w:p w14:paraId="6764CDC4">
            <w:pPr>
              <w:pStyle w:val="45"/>
              <w:bidi w:val="0"/>
              <w:rPr>
                <w:rFonts w:hint="default"/>
                <w:b w:val="0"/>
                <w:bCs/>
                <w:color w:val="auto"/>
                <w:highlight w:val="none"/>
              </w:rPr>
            </w:pPr>
          </w:p>
        </w:tc>
        <w:tc>
          <w:tcPr>
            <w:tcW w:w="924" w:type="dxa"/>
            <w:vMerge w:val="continue"/>
            <w:tcBorders>
              <w:tl2br w:val="nil"/>
              <w:tr2bl w:val="nil"/>
            </w:tcBorders>
            <w:noWrap w:val="0"/>
            <w:vAlign w:val="center"/>
          </w:tcPr>
          <w:p w14:paraId="4D332EEF">
            <w:pPr>
              <w:pStyle w:val="45"/>
              <w:bidi w:val="0"/>
              <w:rPr>
                <w:rFonts w:hint="default"/>
                <w:b w:val="0"/>
                <w:bCs/>
                <w:color w:val="auto"/>
                <w:highlight w:val="none"/>
              </w:rPr>
            </w:pPr>
          </w:p>
        </w:tc>
        <w:tc>
          <w:tcPr>
            <w:tcW w:w="1712" w:type="dxa"/>
            <w:tcBorders>
              <w:tl2br w:val="nil"/>
              <w:tr2bl w:val="nil"/>
            </w:tcBorders>
            <w:noWrap w:val="0"/>
            <w:vAlign w:val="center"/>
          </w:tcPr>
          <w:p w14:paraId="078CA8C9">
            <w:pPr>
              <w:pStyle w:val="45"/>
              <w:bidi w:val="0"/>
              <w:rPr>
                <w:rFonts w:hint="default"/>
                <w:b w:val="0"/>
                <w:bCs/>
                <w:color w:val="auto"/>
                <w:highlight w:val="none"/>
              </w:rPr>
            </w:pPr>
            <w:r>
              <w:rPr>
                <w:rFonts w:hint="default"/>
                <w:b w:val="0"/>
                <w:bCs/>
                <w:color w:val="auto"/>
                <w:highlight w:val="none"/>
              </w:rPr>
              <w:t>变压器容量</w:t>
            </w:r>
          </w:p>
        </w:tc>
        <w:tc>
          <w:tcPr>
            <w:tcW w:w="1319" w:type="dxa"/>
            <w:tcBorders>
              <w:tl2br w:val="nil"/>
              <w:tr2bl w:val="nil"/>
            </w:tcBorders>
            <w:noWrap w:val="0"/>
            <w:vAlign w:val="center"/>
          </w:tcPr>
          <w:p w14:paraId="566CD4C4">
            <w:pPr>
              <w:pStyle w:val="45"/>
              <w:bidi w:val="0"/>
              <w:rPr>
                <w:rFonts w:hint="default"/>
                <w:b w:val="0"/>
                <w:bCs/>
                <w:color w:val="auto"/>
                <w:highlight w:val="none"/>
              </w:rPr>
            </w:pPr>
            <w:r>
              <w:rPr>
                <w:rFonts w:hint="default"/>
                <w:b w:val="0"/>
                <w:bCs/>
                <w:color w:val="auto"/>
                <w:highlight w:val="none"/>
              </w:rPr>
              <w:t>MVA</w:t>
            </w:r>
          </w:p>
        </w:tc>
        <w:tc>
          <w:tcPr>
            <w:tcW w:w="1575" w:type="dxa"/>
            <w:tcBorders>
              <w:tl2br w:val="nil"/>
              <w:tr2bl w:val="nil"/>
            </w:tcBorders>
            <w:noWrap w:val="0"/>
            <w:vAlign w:val="center"/>
          </w:tcPr>
          <w:p w14:paraId="225C56D4">
            <w:pPr>
              <w:pStyle w:val="45"/>
              <w:bidi w:val="0"/>
              <w:rPr>
                <w:rFonts w:hint="default"/>
                <w:b w:val="0"/>
                <w:bCs/>
                <w:color w:val="auto"/>
                <w:highlight w:val="none"/>
                <w:lang w:val="en-US" w:eastAsia="zh-CN"/>
              </w:rPr>
            </w:pPr>
            <w:r>
              <w:rPr>
                <w:rFonts w:hint="eastAsia"/>
                <w:b w:val="0"/>
                <w:bCs/>
                <w:color w:val="auto"/>
                <w:highlight w:val="none"/>
                <w:lang w:val="en-US" w:eastAsia="zh-CN"/>
              </w:rPr>
              <w:t>100</w:t>
            </w:r>
          </w:p>
        </w:tc>
        <w:tc>
          <w:tcPr>
            <w:tcW w:w="938" w:type="dxa"/>
            <w:tcBorders>
              <w:tl2br w:val="nil"/>
              <w:tr2bl w:val="nil"/>
            </w:tcBorders>
            <w:noWrap w:val="0"/>
            <w:vAlign w:val="center"/>
          </w:tcPr>
          <w:p w14:paraId="79C767FF">
            <w:pPr>
              <w:pStyle w:val="45"/>
              <w:bidi w:val="0"/>
              <w:rPr>
                <w:rFonts w:hint="default"/>
                <w:b w:val="0"/>
                <w:bCs/>
                <w:color w:val="auto"/>
                <w:highlight w:val="none"/>
              </w:rPr>
            </w:pPr>
          </w:p>
        </w:tc>
      </w:tr>
      <w:tr w14:paraId="5591975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1AE9267C">
            <w:pPr>
              <w:pStyle w:val="45"/>
              <w:bidi w:val="0"/>
              <w:rPr>
                <w:rFonts w:hint="default"/>
                <w:b w:val="0"/>
                <w:bCs/>
                <w:color w:val="auto"/>
                <w:highlight w:val="none"/>
              </w:rPr>
            </w:pPr>
          </w:p>
        </w:tc>
        <w:tc>
          <w:tcPr>
            <w:tcW w:w="961" w:type="dxa"/>
            <w:vMerge w:val="continue"/>
            <w:tcBorders>
              <w:tl2br w:val="nil"/>
              <w:tr2bl w:val="nil"/>
            </w:tcBorders>
            <w:noWrap w:val="0"/>
            <w:vAlign w:val="center"/>
          </w:tcPr>
          <w:p w14:paraId="79A2A14D">
            <w:pPr>
              <w:pStyle w:val="45"/>
              <w:bidi w:val="0"/>
              <w:rPr>
                <w:rFonts w:hint="default"/>
                <w:b w:val="0"/>
                <w:bCs/>
                <w:color w:val="auto"/>
                <w:highlight w:val="none"/>
              </w:rPr>
            </w:pPr>
          </w:p>
        </w:tc>
        <w:tc>
          <w:tcPr>
            <w:tcW w:w="924" w:type="dxa"/>
            <w:vMerge w:val="continue"/>
            <w:tcBorders>
              <w:tl2br w:val="nil"/>
              <w:tr2bl w:val="nil"/>
            </w:tcBorders>
            <w:noWrap w:val="0"/>
            <w:vAlign w:val="center"/>
          </w:tcPr>
          <w:p w14:paraId="6224D3E0">
            <w:pPr>
              <w:pStyle w:val="45"/>
              <w:bidi w:val="0"/>
              <w:rPr>
                <w:rFonts w:hint="default"/>
                <w:b w:val="0"/>
                <w:bCs/>
                <w:color w:val="auto"/>
                <w:highlight w:val="none"/>
              </w:rPr>
            </w:pPr>
          </w:p>
        </w:tc>
        <w:tc>
          <w:tcPr>
            <w:tcW w:w="1712" w:type="dxa"/>
            <w:tcBorders>
              <w:tl2br w:val="nil"/>
              <w:tr2bl w:val="nil"/>
            </w:tcBorders>
            <w:noWrap w:val="0"/>
            <w:vAlign w:val="center"/>
          </w:tcPr>
          <w:p w14:paraId="785EE34D">
            <w:pPr>
              <w:pStyle w:val="45"/>
              <w:bidi w:val="0"/>
              <w:rPr>
                <w:rFonts w:hint="default"/>
                <w:b w:val="0"/>
                <w:bCs/>
                <w:color w:val="auto"/>
                <w:highlight w:val="none"/>
              </w:rPr>
            </w:pPr>
            <w:r>
              <w:rPr>
                <w:rFonts w:hint="default"/>
                <w:b w:val="0"/>
                <w:bCs/>
                <w:color w:val="auto"/>
                <w:highlight w:val="none"/>
              </w:rPr>
              <w:t>额定电压</w:t>
            </w:r>
          </w:p>
        </w:tc>
        <w:tc>
          <w:tcPr>
            <w:tcW w:w="1319" w:type="dxa"/>
            <w:tcBorders>
              <w:tl2br w:val="nil"/>
              <w:tr2bl w:val="nil"/>
            </w:tcBorders>
            <w:noWrap w:val="0"/>
            <w:vAlign w:val="center"/>
          </w:tcPr>
          <w:p w14:paraId="0002C628">
            <w:pPr>
              <w:pStyle w:val="45"/>
              <w:bidi w:val="0"/>
              <w:rPr>
                <w:rFonts w:hint="default"/>
                <w:b w:val="0"/>
                <w:bCs/>
                <w:color w:val="auto"/>
                <w:highlight w:val="none"/>
              </w:rPr>
            </w:pPr>
            <w:r>
              <w:rPr>
                <w:rFonts w:hint="eastAsia"/>
                <w:b w:val="0"/>
                <w:bCs/>
                <w:color w:val="auto"/>
                <w:highlight w:val="none"/>
                <w:lang w:val="en-US" w:eastAsia="zh-CN"/>
              </w:rPr>
              <w:t>k</w:t>
            </w:r>
            <w:r>
              <w:rPr>
                <w:rFonts w:hint="default"/>
                <w:b w:val="0"/>
                <w:bCs/>
                <w:color w:val="auto"/>
                <w:highlight w:val="none"/>
              </w:rPr>
              <w:t>V</w:t>
            </w:r>
          </w:p>
        </w:tc>
        <w:tc>
          <w:tcPr>
            <w:tcW w:w="1575" w:type="dxa"/>
            <w:tcBorders>
              <w:tl2br w:val="nil"/>
              <w:tr2bl w:val="nil"/>
            </w:tcBorders>
            <w:noWrap w:val="0"/>
            <w:vAlign w:val="center"/>
          </w:tcPr>
          <w:p w14:paraId="6DDFFA32">
            <w:pPr>
              <w:pStyle w:val="45"/>
              <w:bidi w:val="0"/>
              <w:rPr>
                <w:rFonts w:hint="default"/>
                <w:b w:val="0"/>
                <w:bCs/>
                <w:color w:val="auto"/>
                <w:highlight w:val="none"/>
              </w:rPr>
            </w:pPr>
            <w:r>
              <w:rPr>
                <w:rFonts w:hint="default"/>
                <w:b w:val="0"/>
                <w:bCs/>
                <w:color w:val="auto"/>
                <w:highlight w:val="none"/>
              </w:rPr>
              <w:t>690kV</w:t>
            </w:r>
          </w:p>
        </w:tc>
        <w:tc>
          <w:tcPr>
            <w:tcW w:w="938" w:type="dxa"/>
            <w:tcBorders>
              <w:tl2br w:val="nil"/>
              <w:tr2bl w:val="nil"/>
            </w:tcBorders>
            <w:noWrap w:val="0"/>
            <w:vAlign w:val="center"/>
          </w:tcPr>
          <w:p w14:paraId="6F76A67B">
            <w:pPr>
              <w:pStyle w:val="45"/>
              <w:bidi w:val="0"/>
              <w:rPr>
                <w:rFonts w:hint="default"/>
                <w:b w:val="0"/>
                <w:bCs/>
                <w:color w:val="auto"/>
                <w:highlight w:val="none"/>
              </w:rPr>
            </w:pPr>
          </w:p>
        </w:tc>
      </w:tr>
      <w:tr w14:paraId="7CE53D2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31340F96">
            <w:pPr>
              <w:pStyle w:val="45"/>
              <w:bidi w:val="0"/>
              <w:rPr>
                <w:rFonts w:hint="default"/>
                <w:b w:val="0"/>
                <w:bCs/>
                <w:color w:val="auto"/>
                <w:highlight w:val="none"/>
              </w:rPr>
            </w:pPr>
          </w:p>
        </w:tc>
        <w:tc>
          <w:tcPr>
            <w:tcW w:w="961" w:type="dxa"/>
            <w:vMerge w:val="continue"/>
            <w:tcBorders>
              <w:tl2br w:val="nil"/>
              <w:tr2bl w:val="nil"/>
            </w:tcBorders>
            <w:noWrap w:val="0"/>
            <w:vAlign w:val="center"/>
          </w:tcPr>
          <w:p w14:paraId="485A327F">
            <w:pPr>
              <w:pStyle w:val="45"/>
              <w:bidi w:val="0"/>
              <w:rPr>
                <w:rFonts w:hint="default"/>
                <w:b w:val="0"/>
                <w:bCs/>
                <w:color w:val="auto"/>
                <w:highlight w:val="none"/>
              </w:rPr>
            </w:pPr>
          </w:p>
        </w:tc>
        <w:tc>
          <w:tcPr>
            <w:tcW w:w="924" w:type="dxa"/>
            <w:vMerge w:val="continue"/>
            <w:tcBorders>
              <w:tl2br w:val="nil"/>
              <w:tr2bl w:val="nil"/>
            </w:tcBorders>
            <w:noWrap w:val="0"/>
            <w:vAlign w:val="center"/>
          </w:tcPr>
          <w:p w14:paraId="5EA2B30A">
            <w:pPr>
              <w:pStyle w:val="45"/>
              <w:bidi w:val="0"/>
              <w:rPr>
                <w:rFonts w:hint="default"/>
                <w:b w:val="0"/>
                <w:bCs/>
                <w:color w:val="auto"/>
                <w:highlight w:val="none"/>
              </w:rPr>
            </w:pPr>
          </w:p>
        </w:tc>
        <w:tc>
          <w:tcPr>
            <w:tcW w:w="1712" w:type="dxa"/>
            <w:tcBorders>
              <w:tl2br w:val="nil"/>
              <w:tr2bl w:val="nil"/>
            </w:tcBorders>
            <w:noWrap w:val="0"/>
            <w:vAlign w:val="center"/>
          </w:tcPr>
          <w:p w14:paraId="51126CBA">
            <w:pPr>
              <w:pStyle w:val="45"/>
              <w:bidi w:val="0"/>
              <w:rPr>
                <w:rFonts w:hint="default"/>
                <w:b w:val="0"/>
                <w:bCs/>
                <w:color w:val="auto"/>
                <w:highlight w:val="none"/>
              </w:rPr>
            </w:pPr>
            <w:r>
              <w:rPr>
                <w:rFonts w:hint="default"/>
                <w:b w:val="0"/>
                <w:bCs/>
                <w:color w:val="auto"/>
                <w:highlight w:val="none"/>
              </w:rPr>
              <w:t>出现回路数</w:t>
            </w:r>
          </w:p>
        </w:tc>
        <w:tc>
          <w:tcPr>
            <w:tcW w:w="1319" w:type="dxa"/>
            <w:tcBorders>
              <w:tl2br w:val="nil"/>
              <w:tr2bl w:val="nil"/>
            </w:tcBorders>
            <w:noWrap w:val="0"/>
            <w:vAlign w:val="center"/>
          </w:tcPr>
          <w:p w14:paraId="32BE57A4">
            <w:pPr>
              <w:pStyle w:val="45"/>
              <w:bidi w:val="0"/>
              <w:rPr>
                <w:rFonts w:hint="default"/>
                <w:b w:val="0"/>
                <w:bCs/>
                <w:color w:val="auto"/>
                <w:highlight w:val="none"/>
              </w:rPr>
            </w:pPr>
            <w:r>
              <w:rPr>
                <w:rFonts w:hint="default"/>
                <w:b w:val="0"/>
                <w:bCs/>
                <w:color w:val="auto"/>
                <w:highlight w:val="none"/>
              </w:rPr>
              <w:t>回</w:t>
            </w:r>
          </w:p>
        </w:tc>
        <w:tc>
          <w:tcPr>
            <w:tcW w:w="1575" w:type="dxa"/>
            <w:tcBorders>
              <w:tl2br w:val="nil"/>
              <w:tr2bl w:val="nil"/>
            </w:tcBorders>
            <w:noWrap w:val="0"/>
            <w:vAlign w:val="center"/>
          </w:tcPr>
          <w:p w14:paraId="3849B389">
            <w:pPr>
              <w:pStyle w:val="45"/>
              <w:bidi w:val="0"/>
              <w:rPr>
                <w:rFonts w:hint="default"/>
                <w:b w:val="0"/>
                <w:bCs/>
                <w:color w:val="auto"/>
                <w:highlight w:val="none"/>
              </w:rPr>
            </w:pPr>
            <w:r>
              <w:rPr>
                <w:rFonts w:hint="default"/>
                <w:b w:val="0"/>
                <w:bCs/>
                <w:color w:val="auto"/>
                <w:highlight w:val="none"/>
              </w:rPr>
              <w:t>1</w:t>
            </w:r>
          </w:p>
        </w:tc>
        <w:tc>
          <w:tcPr>
            <w:tcW w:w="938" w:type="dxa"/>
            <w:tcBorders>
              <w:tl2br w:val="nil"/>
              <w:tr2bl w:val="nil"/>
            </w:tcBorders>
            <w:noWrap w:val="0"/>
            <w:vAlign w:val="center"/>
          </w:tcPr>
          <w:p w14:paraId="4A71B6E2">
            <w:pPr>
              <w:pStyle w:val="45"/>
              <w:bidi w:val="0"/>
              <w:rPr>
                <w:rFonts w:hint="default"/>
                <w:b w:val="0"/>
                <w:bCs/>
                <w:color w:val="auto"/>
                <w:highlight w:val="none"/>
              </w:rPr>
            </w:pPr>
          </w:p>
        </w:tc>
      </w:tr>
      <w:tr w14:paraId="722220F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5B151925">
            <w:pPr>
              <w:pStyle w:val="45"/>
              <w:bidi w:val="0"/>
              <w:rPr>
                <w:rFonts w:hint="default"/>
                <w:b w:val="0"/>
                <w:bCs/>
                <w:color w:val="auto"/>
                <w:highlight w:val="none"/>
              </w:rPr>
            </w:pPr>
          </w:p>
        </w:tc>
        <w:tc>
          <w:tcPr>
            <w:tcW w:w="961" w:type="dxa"/>
            <w:vMerge w:val="continue"/>
            <w:tcBorders>
              <w:tl2br w:val="nil"/>
              <w:tr2bl w:val="nil"/>
            </w:tcBorders>
            <w:noWrap w:val="0"/>
            <w:vAlign w:val="center"/>
          </w:tcPr>
          <w:p w14:paraId="523D7857">
            <w:pPr>
              <w:pStyle w:val="45"/>
              <w:bidi w:val="0"/>
              <w:rPr>
                <w:rFonts w:hint="default"/>
                <w:b w:val="0"/>
                <w:bCs/>
                <w:color w:val="auto"/>
                <w:highlight w:val="none"/>
              </w:rPr>
            </w:pPr>
          </w:p>
        </w:tc>
        <w:tc>
          <w:tcPr>
            <w:tcW w:w="924" w:type="dxa"/>
            <w:vMerge w:val="continue"/>
            <w:tcBorders>
              <w:tl2br w:val="nil"/>
              <w:tr2bl w:val="nil"/>
            </w:tcBorders>
            <w:noWrap w:val="0"/>
            <w:vAlign w:val="center"/>
          </w:tcPr>
          <w:p w14:paraId="0ECCF390">
            <w:pPr>
              <w:pStyle w:val="45"/>
              <w:bidi w:val="0"/>
              <w:rPr>
                <w:rFonts w:hint="default"/>
                <w:b w:val="0"/>
                <w:bCs/>
                <w:color w:val="auto"/>
                <w:highlight w:val="none"/>
              </w:rPr>
            </w:pPr>
          </w:p>
        </w:tc>
        <w:tc>
          <w:tcPr>
            <w:tcW w:w="1712" w:type="dxa"/>
            <w:tcBorders>
              <w:tl2br w:val="nil"/>
              <w:tr2bl w:val="nil"/>
            </w:tcBorders>
            <w:noWrap w:val="0"/>
            <w:vAlign w:val="center"/>
          </w:tcPr>
          <w:p w14:paraId="1963965F">
            <w:pPr>
              <w:pStyle w:val="45"/>
              <w:bidi w:val="0"/>
              <w:rPr>
                <w:rFonts w:hint="default"/>
                <w:b w:val="0"/>
                <w:bCs/>
                <w:color w:val="auto"/>
                <w:highlight w:val="none"/>
              </w:rPr>
            </w:pPr>
            <w:r>
              <w:rPr>
                <w:rFonts w:hint="default"/>
                <w:b w:val="0"/>
                <w:bCs/>
                <w:color w:val="auto"/>
                <w:highlight w:val="none"/>
              </w:rPr>
              <w:t>电压等级</w:t>
            </w:r>
          </w:p>
        </w:tc>
        <w:tc>
          <w:tcPr>
            <w:tcW w:w="1319" w:type="dxa"/>
            <w:tcBorders>
              <w:tl2br w:val="nil"/>
              <w:tr2bl w:val="nil"/>
            </w:tcBorders>
            <w:noWrap w:val="0"/>
            <w:vAlign w:val="center"/>
          </w:tcPr>
          <w:p w14:paraId="20FAE77B">
            <w:pPr>
              <w:pStyle w:val="45"/>
              <w:bidi w:val="0"/>
              <w:rPr>
                <w:rFonts w:hint="default"/>
                <w:b w:val="0"/>
                <w:bCs/>
                <w:color w:val="auto"/>
                <w:highlight w:val="none"/>
              </w:rPr>
            </w:pPr>
            <w:r>
              <w:rPr>
                <w:rFonts w:hint="eastAsia"/>
                <w:b w:val="0"/>
                <w:bCs/>
                <w:color w:val="auto"/>
                <w:highlight w:val="none"/>
                <w:lang w:val="en-US" w:eastAsia="zh-CN"/>
              </w:rPr>
              <w:t>k</w:t>
            </w:r>
            <w:r>
              <w:rPr>
                <w:rFonts w:hint="default"/>
                <w:b w:val="0"/>
                <w:bCs/>
                <w:color w:val="auto"/>
                <w:highlight w:val="none"/>
              </w:rPr>
              <w:t>V</w:t>
            </w:r>
          </w:p>
        </w:tc>
        <w:tc>
          <w:tcPr>
            <w:tcW w:w="1575" w:type="dxa"/>
            <w:tcBorders>
              <w:tl2br w:val="nil"/>
              <w:tr2bl w:val="nil"/>
            </w:tcBorders>
            <w:noWrap w:val="0"/>
            <w:vAlign w:val="center"/>
          </w:tcPr>
          <w:p w14:paraId="07EF0D6E">
            <w:pPr>
              <w:pStyle w:val="45"/>
              <w:bidi w:val="0"/>
              <w:rPr>
                <w:rFonts w:hint="default"/>
                <w:b w:val="0"/>
                <w:bCs/>
                <w:color w:val="auto"/>
                <w:highlight w:val="none"/>
              </w:rPr>
            </w:pPr>
            <w:r>
              <w:rPr>
                <w:rFonts w:hint="default"/>
                <w:b w:val="0"/>
                <w:bCs/>
                <w:color w:val="auto"/>
                <w:highlight w:val="none"/>
              </w:rPr>
              <w:t>110</w:t>
            </w:r>
          </w:p>
        </w:tc>
        <w:tc>
          <w:tcPr>
            <w:tcW w:w="938" w:type="dxa"/>
            <w:tcBorders>
              <w:tl2br w:val="nil"/>
              <w:tr2bl w:val="nil"/>
            </w:tcBorders>
            <w:noWrap w:val="0"/>
            <w:vAlign w:val="center"/>
          </w:tcPr>
          <w:p w14:paraId="04875273">
            <w:pPr>
              <w:pStyle w:val="45"/>
              <w:bidi w:val="0"/>
              <w:rPr>
                <w:rFonts w:hint="default"/>
                <w:b w:val="0"/>
                <w:bCs/>
                <w:color w:val="auto"/>
                <w:highlight w:val="none"/>
              </w:rPr>
            </w:pPr>
          </w:p>
        </w:tc>
      </w:tr>
      <w:tr w14:paraId="699ECA4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restart"/>
            <w:tcBorders>
              <w:tl2br w:val="nil"/>
              <w:tr2bl w:val="nil"/>
            </w:tcBorders>
            <w:noWrap w:val="0"/>
            <w:vAlign w:val="center"/>
          </w:tcPr>
          <w:p w14:paraId="7E280CAF">
            <w:pPr>
              <w:pStyle w:val="45"/>
              <w:bidi w:val="0"/>
              <w:rPr>
                <w:rFonts w:hint="default"/>
                <w:b w:val="0"/>
                <w:bCs/>
                <w:color w:val="auto"/>
                <w:highlight w:val="none"/>
              </w:rPr>
            </w:pPr>
            <w:r>
              <w:rPr>
                <w:rFonts w:hint="default"/>
                <w:b w:val="0"/>
                <w:bCs/>
                <w:color w:val="auto"/>
                <w:highlight w:val="none"/>
              </w:rPr>
              <w:t>土建</w:t>
            </w:r>
          </w:p>
          <w:p w14:paraId="6BBA8F66">
            <w:pPr>
              <w:pStyle w:val="45"/>
              <w:bidi w:val="0"/>
              <w:rPr>
                <w:rFonts w:hint="default"/>
                <w:b w:val="0"/>
                <w:bCs/>
                <w:color w:val="auto"/>
                <w:highlight w:val="none"/>
              </w:rPr>
            </w:pPr>
            <w:r>
              <w:rPr>
                <w:rFonts w:hint="default"/>
                <w:b w:val="0"/>
                <w:bCs/>
                <w:color w:val="auto"/>
                <w:highlight w:val="none"/>
              </w:rPr>
              <w:t>施工</w:t>
            </w:r>
          </w:p>
        </w:tc>
        <w:tc>
          <w:tcPr>
            <w:tcW w:w="1885" w:type="dxa"/>
            <w:gridSpan w:val="2"/>
            <w:vMerge w:val="restart"/>
            <w:tcBorders>
              <w:tl2br w:val="nil"/>
              <w:tr2bl w:val="nil"/>
            </w:tcBorders>
            <w:noWrap w:val="0"/>
            <w:vAlign w:val="center"/>
          </w:tcPr>
          <w:p w14:paraId="0192AB16">
            <w:pPr>
              <w:pStyle w:val="45"/>
              <w:bidi w:val="0"/>
              <w:rPr>
                <w:rFonts w:hint="default"/>
                <w:b w:val="0"/>
                <w:bCs/>
                <w:color w:val="auto"/>
                <w:highlight w:val="none"/>
              </w:rPr>
            </w:pPr>
            <w:r>
              <w:rPr>
                <w:rFonts w:hint="default"/>
                <w:b w:val="0"/>
                <w:bCs/>
                <w:color w:val="auto"/>
                <w:highlight w:val="none"/>
              </w:rPr>
              <w:t>风机基础</w:t>
            </w:r>
          </w:p>
        </w:tc>
        <w:tc>
          <w:tcPr>
            <w:tcW w:w="1712" w:type="dxa"/>
            <w:tcBorders>
              <w:tl2br w:val="nil"/>
              <w:tr2bl w:val="nil"/>
            </w:tcBorders>
            <w:noWrap w:val="0"/>
            <w:vAlign w:val="center"/>
          </w:tcPr>
          <w:p w14:paraId="6F042393">
            <w:pPr>
              <w:pStyle w:val="45"/>
              <w:bidi w:val="0"/>
              <w:rPr>
                <w:rFonts w:hint="default"/>
                <w:b w:val="0"/>
                <w:bCs/>
                <w:color w:val="auto"/>
                <w:highlight w:val="none"/>
              </w:rPr>
            </w:pPr>
            <w:r>
              <w:rPr>
                <w:rFonts w:hint="default"/>
                <w:b w:val="0"/>
                <w:bCs/>
                <w:color w:val="auto"/>
                <w:highlight w:val="none"/>
              </w:rPr>
              <w:t>台数</w:t>
            </w:r>
          </w:p>
        </w:tc>
        <w:tc>
          <w:tcPr>
            <w:tcW w:w="1319" w:type="dxa"/>
            <w:tcBorders>
              <w:tl2br w:val="nil"/>
              <w:tr2bl w:val="nil"/>
            </w:tcBorders>
            <w:noWrap w:val="0"/>
            <w:vAlign w:val="center"/>
          </w:tcPr>
          <w:p w14:paraId="1F10C213">
            <w:pPr>
              <w:pStyle w:val="45"/>
              <w:bidi w:val="0"/>
              <w:rPr>
                <w:rFonts w:hint="default"/>
                <w:b w:val="0"/>
                <w:bCs/>
                <w:color w:val="auto"/>
                <w:highlight w:val="none"/>
              </w:rPr>
            </w:pPr>
            <w:r>
              <w:rPr>
                <w:rFonts w:hint="default"/>
                <w:b w:val="0"/>
                <w:bCs/>
                <w:color w:val="auto"/>
                <w:highlight w:val="none"/>
              </w:rPr>
              <w:t>座</w:t>
            </w:r>
          </w:p>
        </w:tc>
        <w:tc>
          <w:tcPr>
            <w:tcW w:w="1575" w:type="dxa"/>
            <w:tcBorders>
              <w:tl2br w:val="nil"/>
              <w:tr2bl w:val="nil"/>
            </w:tcBorders>
            <w:noWrap w:val="0"/>
            <w:vAlign w:val="center"/>
          </w:tcPr>
          <w:p w14:paraId="07C1F61B">
            <w:pPr>
              <w:pStyle w:val="45"/>
              <w:bidi w:val="0"/>
              <w:rPr>
                <w:rFonts w:hint="default"/>
                <w:b w:val="0"/>
                <w:bCs/>
                <w:color w:val="auto"/>
                <w:highlight w:val="none"/>
                <w:lang w:val="en-US" w:eastAsia="zh-CN"/>
              </w:rPr>
            </w:pPr>
            <w:r>
              <w:rPr>
                <w:rFonts w:hint="eastAsia"/>
                <w:b w:val="0"/>
                <w:bCs/>
                <w:color w:val="auto"/>
                <w:highlight w:val="none"/>
                <w:lang w:val="en-US" w:eastAsia="zh-CN"/>
              </w:rPr>
              <w:t>20</w:t>
            </w:r>
          </w:p>
        </w:tc>
        <w:tc>
          <w:tcPr>
            <w:tcW w:w="938" w:type="dxa"/>
            <w:tcBorders>
              <w:tl2br w:val="nil"/>
              <w:tr2bl w:val="nil"/>
            </w:tcBorders>
            <w:noWrap w:val="0"/>
            <w:vAlign w:val="center"/>
          </w:tcPr>
          <w:p w14:paraId="20AC24E8">
            <w:pPr>
              <w:pStyle w:val="45"/>
              <w:bidi w:val="0"/>
              <w:rPr>
                <w:rFonts w:hint="default"/>
                <w:b w:val="0"/>
                <w:bCs/>
                <w:color w:val="auto"/>
                <w:highlight w:val="none"/>
              </w:rPr>
            </w:pPr>
          </w:p>
        </w:tc>
      </w:tr>
      <w:tr w14:paraId="127CCCA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71098424">
            <w:pPr>
              <w:pStyle w:val="45"/>
              <w:bidi w:val="0"/>
              <w:rPr>
                <w:rFonts w:hint="default"/>
                <w:b w:val="0"/>
                <w:bCs/>
                <w:color w:val="auto"/>
                <w:highlight w:val="none"/>
              </w:rPr>
            </w:pPr>
          </w:p>
        </w:tc>
        <w:tc>
          <w:tcPr>
            <w:tcW w:w="1885" w:type="dxa"/>
            <w:gridSpan w:val="2"/>
            <w:vMerge w:val="continue"/>
            <w:tcBorders>
              <w:tl2br w:val="nil"/>
              <w:tr2bl w:val="nil"/>
            </w:tcBorders>
            <w:noWrap w:val="0"/>
            <w:vAlign w:val="center"/>
          </w:tcPr>
          <w:p w14:paraId="15BD8C53">
            <w:pPr>
              <w:pStyle w:val="45"/>
              <w:bidi w:val="0"/>
              <w:rPr>
                <w:rFonts w:hint="default"/>
                <w:b w:val="0"/>
                <w:bCs/>
                <w:color w:val="auto"/>
                <w:highlight w:val="none"/>
              </w:rPr>
            </w:pPr>
          </w:p>
        </w:tc>
        <w:tc>
          <w:tcPr>
            <w:tcW w:w="1712" w:type="dxa"/>
            <w:tcBorders>
              <w:tl2br w:val="nil"/>
              <w:tr2bl w:val="nil"/>
            </w:tcBorders>
            <w:noWrap w:val="0"/>
            <w:vAlign w:val="center"/>
          </w:tcPr>
          <w:p w14:paraId="7913195D">
            <w:pPr>
              <w:pStyle w:val="45"/>
              <w:bidi w:val="0"/>
              <w:rPr>
                <w:rFonts w:hint="default"/>
                <w:b w:val="0"/>
                <w:bCs/>
                <w:color w:val="auto"/>
                <w:highlight w:val="none"/>
              </w:rPr>
            </w:pPr>
            <w:r>
              <w:rPr>
                <w:rFonts w:hint="default"/>
                <w:b w:val="0"/>
                <w:bCs/>
                <w:color w:val="auto"/>
                <w:highlight w:val="none"/>
              </w:rPr>
              <w:t>型式</w:t>
            </w:r>
          </w:p>
        </w:tc>
        <w:tc>
          <w:tcPr>
            <w:tcW w:w="1319" w:type="dxa"/>
            <w:tcBorders>
              <w:tl2br w:val="nil"/>
              <w:tr2bl w:val="nil"/>
            </w:tcBorders>
            <w:noWrap w:val="0"/>
            <w:vAlign w:val="center"/>
          </w:tcPr>
          <w:p w14:paraId="1204C79B">
            <w:pPr>
              <w:pStyle w:val="45"/>
              <w:bidi w:val="0"/>
              <w:rPr>
                <w:rFonts w:hint="default"/>
                <w:b w:val="0"/>
                <w:bCs/>
                <w:color w:val="auto"/>
                <w:highlight w:val="none"/>
              </w:rPr>
            </w:pPr>
          </w:p>
        </w:tc>
        <w:tc>
          <w:tcPr>
            <w:tcW w:w="1575" w:type="dxa"/>
            <w:tcBorders>
              <w:tl2br w:val="nil"/>
              <w:tr2bl w:val="nil"/>
            </w:tcBorders>
            <w:noWrap w:val="0"/>
            <w:vAlign w:val="center"/>
          </w:tcPr>
          <w:p w14:paraId="0749AC7A">
            <w:pPr>
              <w:pStyle w:val="45"/>
              <w:bidi w:val="0"/>
              <w:rPr>
                <w:rFonts w:hint="default"/>
                <w:b w:val="0"/>
                <w:bCs/>
                <w:color w:val="auto"/>
                <w:highlight w:val="none"/>
              </w:rPr>
            </w:pPr>
            <w:r>
              <w:rPr>
                <w:rFonts w:hint="default"/>
                <w:b w:val="0"/>
                <w:bCs/>
                <w:color w:val="auto"/>
                <w:highlight w:val="none"/>
              </w:rPr>
              <w:t>圆形肋梁基础</w:t>
            </w:r>
          </w:p>
        </w:tc>
        <w:tc>
          <w:tcPr>
            <w:tcW w:w="938" w:type="dxa"/>
            <w:tcBorders>
              <w:tl2br w:val="nil"/>
              <w:tr2bl w:val="nil"/>
            </w:tcBorders>
            <w:noWrap w:val="0"/>
            <w:vAlign w:val="center"/>
          </w:tcPr>
          <w:p w14:paraId="790AB3BF">
            <w:pPr>
              <w:pStyle w:val="45"/>
              <w:bidi w:val="0"/>
              <w:rPr>
                <w:rFonts w:hint="default"/>
                <w:b w:val="0"/>
                <w:bCs/>
                <w:color w:val="auto"/>
                <w:highlight w:val="none"/>
              </w:rPr>
            </w:pPr>
          </w:p>
        </w:tc>
      </w:tr>
      <w:tr w14:paraId="311EC51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38CDE60A">
            <w:pPr>
              <w:pStyle w:val="45"/>
              <w:bidi w:val="0"/>
              <w:rPr>
                <w:rFonts w:hint="default"/>
                <w:b w:val="0"/>
                <w:bCs/>
                <w:color w:val="auto"/>
                <w:highlight w:val="none"/>
              </w:rPr>
            </w:pPr>
          </w:p>
        </w:tc>
        <w:tc>
          <w:tcPr>
            <w:tcW w:w="1885" w:type="dxa"/>
            <w:gridSpan w:val="2"/>
            <w:vMerge w:val="continue"/>
            <w:tcBorders>
              <w:tl2br w:val="nil"/>
              <w:tr2bl w:val="nil"/>
            </w:tcBorders>
            <w:noWrap w:val="0"/>
            <w:vAlign w:val="center"/>
          </w:tcPr>
          <w:p w14:paraId="7CC30CC2">
            <w:pPr>
              <w:pStyle w:val="45"/>
              <w:bidi w:val="0"/>
              <w:rPr>
                <w:rFonts w:hint="default"/>
                <w:b w:val="0"/>
                <w:bCs/>
                <w:color w:val="auto"/>
                <w:highlight w:val="none"/>
              </w:rPr>
            </w:pPr>
          </w:p>
        </w:tc>
        <w:tc>
          <w:tcPr>
            <w:tcW w:w="1712" w:type="dxa"/>
            <w:tcBorders>
              <w:tl2br w:val="nil"/>
              <w:tr2bl w:val="nil"/>
            </w:tcBorders>
            <w:noWrap w:val="0"/>
            <w:vAlign w:val="center"/>
          </w:tcPr>
          <w:p w14:paraId="62935A0C">
            <w:pPr>
              <w:pStyle w:val="45"/>
              <w:bidi w:val="0"/>
              <w:rPr>
                <w:rFonts w:hint="default"/>
                <w:b w:val="0"/>
                <w:bCs/>
                <w:color w:val="auto"/>
                <w:highlight w:val="none"/>
              </w:rPr>
            </w:pPr>
            <w:r>
              <w:rPr>
                <w:rFonts w:hint="default"/>
                <w:b w:val="0"/>
                <w:bCs/>
                <w:color w:val="auto"/>
                <w:highlight w:val="none"/>
              </w:rPr>
              <w:t>地基特性</w:t>
            </w:r>
          </w:p>
        </w:tc>
        <w:tc>
          <w:tcPr>
            <w:tcW w:w="1319" w:type="dxa"/>
            <w:tcBorders>
              <w:tl2br w:val="nil"/>
              <w:tr2bl w:val="nil"/>
            </w:tcBorders>
            <w:noWrap w:val="0"/>
            <w:vAlign w:val="center"/>
          </w:tcPr>
          <w:p w14:paraId="6AE7B6EA">
            <w:pPr>
              <w:pStyle w:val="45"/>
              <w:bidi w:val="0"/>
              <w:rPr>
                <w:rFonts w:hint="default"/>
                <w:b w:val="0"/>
                <w:bCs/>
                <w:color w:val="auto"/>
                <w:highlight w:val="none"/>
              </w:rPr>
            </w:pPr>
          </w:p>
        </w:tc>
        <w:tc>
          <w:tcPr>
            <w:tcW w:w="1575" w:type="dxa"/>
            <w:tcBorders>
              <w:tl2br w:val="nil"/>
              <w:tr2bl w:val="nil"/>
            </w:tcBorders>
            <w:noWrap w:val="0"/>
            <w:vAlign w:val="center"/>
          </w:tcPr>
          <w:p w14:paraId="1849A91D">
            <w:pPr>
              <w:pStyle w:val="45"/>
              <w:bidi w:val="0"/>
              <w:rPr>
                <w:rFonts w:hint="default"/>
                <w:b w:val="0"/>
                <w:bCs/>
                <w:color w:val="auto"/>
                <w:highlight w:val="none"/>
              </w:rPr>
            </w:pPr>
            <w:r>
              <w:rPr>
                <w:rFonts w:hint="default"/>
                <w:b w:val="0"/>
                <w:bCs/>
                <w:color w:val="auto"/>
                <w:highlight w:val="none"/>
              </w:rPr>
              <w:t>中硬土</w:t>
            </w:r>
          </w:p>
        </w:tc>
        <w:tc>
          <w:tcPr>
            <w:tcW w:w="938" w:type="dxa"/>
            <w:tcBorders>
              <w:tl2br w:val="nil"/>
              <w:tr2bl w:val="nil"/>
            </w:tcBorders>
            <w:noWrap w:val="0"/>
            <w:vAlign w:val="center"/>
          </w:tcPr>
          <w:p w14:paraId="4BE7D99F">
            <w:pPr>
              <w:pStyle w:val="45"/>
              <w:bidi w:val="0"/>
              <w:rPr>
                <w:rFonts w:hint="default"/>
                <w:b w:val="0"/>
                <w:bCs/>
                <w:color w:val="auto"/>
                <w:highlight w:val="none"/>
              </w:rPr>
            </w:pPr>
          </w:p>
        </w:tc>
      </w:tr>
      <w:tr w14:paraId="43C6B4A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restart"/>
            <w:tcBorders>
              <w:tl2br w:val="nil"/>
              <w:tr2bl w:val="nil"/>
            </w:tcBorders>
            <w:noWrap w:val="0"/>
            <w:vAlign w:val="center"/>
          </w:tcPr>
          <w:p w14:paraId="4765A3E7">
            <w:pPr>
              <w:pStyle w:val="45"/>
              <w:bidi w:val="0"/>
              <w:rPr>
                <w:rFonts w:hint="default"/>
                <w:b w:val="0"/>
                <w:bCs/>
                <w:color w:val="auto"/>
                <w:highlight w:val="none"/>
              </w:rPr>
            </w:pPr>
            <w:r>
              <w:rPr>
                <w:rFonts w:hint="default"/>
                <w:b w:val="0"/>
                <w:bCs/>
                <w:color w:val="auto"/>
                <w:highlight w:val="none"/>
              </w:rPr>
              <w:t>土建</w:t>
            </w:r>
          </w:p>
          <w:p w14:paraId="29A702B8">
            <w:pPr>
              <w:pStyle w:val="45"/>
              <w:bidi w:val="0"/>
              <w:rPr>
                <w:rFonts w:hint="default"/>
                <w:b w:val="0"/>
                <w:bCs/>
                <w:color w:val="auto"/>
                <w:highlight w:val="none"/>
              </w:rPr>
            </w:pPr>
            <w:r>
              <w:rPr>
                <w:rFonts w:hint="default"/>
                <w:b w:val="0"/>
                <w:bCs/>
                <w:color w:val="auto"/>
                <w:highlight w:val="none"/>
              </w:rPr>
              <w:t>施工</w:t>
            </w:r>
          </w:p>
        </w:tc>
        <w:tc>
          <w:tcPr>
            <w:tcW w:w="961" w:type="dxa"/>
            <w:vMerge w:val="restart"/>
            <w:tcBorders>
              <w:tl2br w:val="nil"/>
              <w:tr2bl w:val="nil"/>
            </w:tcBorders>
            <w:noWrap w:val="0"/>
            <w:vAlign w:val="center"/>
          </w:tcPr>
          <w:p w14:paraId="03DF28B1">
            <w:pPr>
              <w:pStyle w:val="45"/>
              <w:bidi w:val="0"/>
              <w:rPr>
                <w:rFonts w:hint="default"/>
                <w:b w:val="0"/>
                <w:bCs/>
                <w:color w:val="auto"/>
                <w:highlight w:val="none"/>
              </w:rPr>
            </w:pPr>
            <w:r>
              <w:rPr>
                <w:rFonts w:hint="default"/>
                <w:b w:val="0"/>
                <w:bCs/>
                <w:color w:val="auto"/>
                <w:highlight w:val="none"/>
              </w:rPr>
              <w:t>工程</w:t>
            </w:r>
          </w:p>
          <w:p w14:paraId="3DF4A284">
            <w:pPr>
              <w:pStyle w:val="45"/>
              <w:bidi w:val="0"/>
              <w:rPr>
                <w:rFonts w:hint="default"/>
                <w:b w:val="0"/>
                <w:bCs/>
                <w:color w:val="auto"/>
                <w:highlight w:val="none"/>
              </w:rPr>
            </w:pPr>
            <w:r>
              <w:rPr>
                <w:rFonts w:hint="default"/>
                <w:b w:val="0"/>
                <w:bCs/>
                <w:color w:val="auto"/>
                <w:highlight w:val="none"/>
              </w:rPr>
              <w:t>数量</w:t>
            </w:r>
          </w:p>
        </w:tc>
        <w:tc>
          <w:tcPr>
            <w:tcW w:w="2636" w:type="dxa"/>
            <w:gridSpan w:val="2"/>
            <w:tcBorders>
              <w:tl2br w:val="nil"/>
              <w:tr2bl w:val="nil"/>
            </w:tcBorders>
            <w:noWrap w:val="0"/>
            <w:vAlign w:val="center"/>
          </w:tcPr>
          <w:p w14:paraId="7AF67650">
            <w:pPr>
              <w:pStyle w:val="45"/>
              <w:bidi w:val="0"/>
              <w:rPr>
                <w:rFonts w:hint="default"/>
                <w:b w:val="0"/>
                <w:bCs/>
                <w:color w:val="auto"/>
                <w:highlight w:val="none"/>
              </w:rPr>
            </w:pPr>
            <w:r>
              <w:rPr>
                <w:rFonts w:hint="default"/>
                <w:b w:val="0"/>
                <w:bCs/>
                <w:color w:val="auto"/>
                <w:highlight w:val="none"/>
              </w:rPr>
              <w:t>土石方开挖</w:t>
            </w:r>
          </w:p>
        </w:tc>
        <w:tc>
          <w:tcPr>
            <w:tcW w:w="1319" w:type="dxa"/>
            <w:tcBorders>
              <w:tl2br w:val="nil"/>
              <w:tr2bl w:val="nil"/>
            </w:tcBorders>
            <w:noWrap w:val="0"/>
            <w:vAlign w:val="center"/>
          </w:tcPr>
          <w:p w14:paraId="6F6FE9D8">
            <w:pPr>
              <w:pStyle w:val="45"/>
              <w:bidi w:val="0"/>
              <w:rPr>
                <w:rFonts w:hint="eastAsia"/>
                <w:b w:val="0"/>
                <w:bCs/>
                <w:color w:val="auto"/>
                <w:highlight w:val="none"/>
                <w:lang w:val="en-US" w:eastAsia="zh-CN"/>
              </w:rPr>
            </w:pPr>
            <w:r>
              <w:rPr>
                <w:rFonts w:hint="default"/>
                <w:b w:val="0"/>
                <w:bCs/>
                <w:color w:val="auto"/>
                <w:highlight w:val="none"/>
              </w:rPr>
              <w:t>万m</w:t>
            </w:r>
            <w:r>
              <w:rPr>
                <w:rFonts w:hint="eastAsia"/>
                <w:b w:val="0"/>
                <w:bCs/>
                <w:color w:val="auto"/>
                <w:highlight w:val="none"/>
                <w:vertAlign w:val="superscript"/>
                <w:lang w:val="en-US" w:eastAsia="zh-CN"/>
              </w:rPr>
              <w:t>3</w:t>
            </w:r>
          </w:p>
        </w:tc>
        <w:tc>
          <w:tcPr>
            <w:tcW w:w="1575" w:type="dxa"/>
            <w:tcBorders>
              <w:tl2br w:val="nil"/>
              <w:tr2bl w:val="nil"/>
            </w:tcBorders>
            <w:noWrap w:val="0"/>
            <w:vAlign w:val="center"/>
          </w:tcPr>
          <w:p w14:paraId="77072988">
            <w:pPr>
              <w:pStyle w:val="45"/>
              <w:bidi w:val="0"/>
              <w:rPr>
                <w:rFonts w:hint="default"/>
                <w:b w:val="0"/>
                <w:bCs/>
                <w:color w:val="auto"/>
                <w:highlight w:val="none"/>
                <w:lang w:val="en-US" w:eastAsia="zh-CN"/>
              </w:rPr>
            </w:pPr>
            <w:r>
              <w:rPr>
                <w:rFonts w:hint="eastAsia"/>
                <w:b w:val="0"/>
                <w:bCs/>
                <w:color w:val="auto"/>
                <w:highlight w:val="none"/>
                <w:lang w:val="en-US" w:eastAsia="zh-CN"/>
              </w:rPr>
              <w:t>118.84</w:t>
            </w:r>
          </w:p>
        </w:tc>
        <w:tc>
          <w:tcPr>
            <w:tcW w:w="938" w:type="dxa"/>
            <w:tcBorders>
              <w:tl2br w:val="nil"/>
              <w:tr2bl w:val="nil"/>
            </w:tcBorders>
            <w:noWrap w:val="0"/>
            <w:vAlign w:val="center"/>
          </w:tcPr>
          <w:p w14:paraId="78178050">
            <w:pPr>
              <w:pStyle w:val="45"/>
              <w:bidi w:val="0"/>
              <w:rPr>
                <w:rFonts w:hint="default"/>
                <w:b w:val="0"/>
                <w:bCs/>
                <w:color w:val="auto"/>
                <w:highlight w:val="none"/>
              </w:rPr>
            </w:pPr>
          </w:p>
        </w:tc>
      </w:tr>
      <w:tr w14:paraId="552965A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22633C9C">
            <w:pPr>
              <w:pStyle w:val="45"/>
              <w:bidi w:val="0"/>
              <w:rPr>
                <w:rFonts w:hint="default"/>
                <w:b w:val="0"/>
                <w:bCs/>
                <w:color w:val="auto"/>
                <w:highlight w:val="none"/>
              </w:rPr>
            </w:pPr>
          </w:p>
        </w:tc>
        <w:tc>
          <w:tcPr>
            <w:tcW w:w="961" w:type="dxa"/>
            <w:vMerge w:val="continue"/>
            <w:tcBorders>
              <w:tl2br w:val="nil"/>
              <w:tr2bl w:val="nil"/>
            </w:tcBorders>
            <w:noWrap w:val="0"/>
            <w:vAlign w:val="center"/>
          </w:tcPr>
          <w:p w14:paraId="31BE7D08">
            <w:pPr>
              <w:pStyle w:val="45"/>
              <w:bidi w:val="0"/>
              <w:rPr>
                <w:rFonts w:hint="default"/>
                <w:b w:val="0"/>
                <w:bCs/>
                <w:color w:val="auto"/>
                <w:highlight w:val="none"/>
              </w:rPr>
            </w:pPr>
          </w:p>
        </w:tc>
        <w:tc>
          <w:tcPr>
            <w:tcW w:w="2636" w:type="dxa"/>
            <w:gridSpan w:val="2"/>
            <w:tcBorders>
              <w:tl2br w:val="nil"/>
              <w:tr2bl w:val="nil"/>
            </w:tcBorders>
            <w:noWrap w:val="0"/>
            <w:vAlign w:val="center"/>
          </w:tcPr>
          <w:p w14:paraId="4B548B4A">
            <w:pPr>
              <w:pStyle w:val="45"/>
              <w:bidi w:val="0"/>
              <w:rPr>
                <w:rFonts w:hint="default"/>
                <w:b w:val="0"/>
                <w:bCs/>
                <w:color w:val="auto"/>
                <w:highlight w:val="none"/>
              </w:rPr>
            </w:pPr>
            <w:r>
              <w:rPr>
                <w:rFonts w:hint="default"/>
                <w:b w:val="0"/>
                <w:bCs/>
                <w:color w:val="auto"/>
                <w:highlight w:val="none"/>
              </w:rPr>
              <w:t>土石方回填</w:t>
            </w:r>
          </w:p>
        </w:tc>
        <w:tc>
          <w:tcPr>
            <w:tcW w:w="1319" w:type="dxa"/>
            <w:tcBorders>
              <w:tl2br w:val="nil"/>
              <w:tr2bl w:val="nil"/>
            </w:tcBorders>
            <w:noWrap w:val="0"/>
            <w:vAlign w:val="center"/>
          </w:tcPr>
          <w:p w14:paraId="19344D3F">
            <w:pPr>
              <w:pStyle w:val="45"/>
              <w:bidi w:val="0"/>
              <w:rPr>
                <w:rFonts w:hint="default"/>
                <w:b w:val="0"/>
                <w:bCs/>
                <w:color w:val="auto"/>
                <w:highlight w:val="none"/>
              </w:rPr>
            </w:pPr>
            <w:r>
              <w:rPr>
                <w:rFonts w:hint="default"/>
                <w:b w:val="0"/>
                <w:bCs/>
                <w:color w:val="auto"/>
                <w:highlight w:val="none"/>
              </w:rPr>
              <w:t>万m</w:t>
            </w:r>
            <w:r>
              <w:rPr>
                <w:rFonts w:hint="eastAsia"/>
                <w:b w:val="0"/>
                <w:bCs/>
                <w:color w:val="auto"/>
                <w:highlight w:val="none"/>
                <w:vertAlign w:val="superscript"/>
                <w:lang w:val="en-US" w:eastAsia="zh-CN"/>
              </w:rPr>
              <w:t>3</w:t>
            </w:r>
          </w:p>
        </w:tc>
        <w:tc>
          <w:tcPr>
            <w:tcW w:w="1575" w:type="dxa"/>
            <w:tcBorders>
              <w:tl2br w:val="nil"/>
              <w:tr2bl w:val="nil"/>
            </w:tcBorders>
            <w:noWrap w:val="0"/>
            <w:vAlign w:val="center"/>
          </w:tcPr>
          <w:p w14:paraId="68FF0C88">
            <w:pPr>
              <w:pStyle w:val="45"/>
              <w:bidi w:val="0"/>
              <w:rPr>
                <w:rFonts w:hint="default"/>
                <w:b w:val="0"/>
                <w:bCs/>
                <w:color w:val="auto"/>
                <w:highlight w:val="none"/>
                <w:lang w:val="en-US" w:eastAsia="zh-CN"/>
              </w:rPr>
            </w:pPr>
            <w:r>
              <w:rPr>
                <w:rFonts w:hint="eastAsia"/>
                <w:b w:val="0"/>
                <w:bCs/>
                <w:color w:val="auto"/>
                <w:highlight w:val="none"/>
                <w:lang w:val="en-US" w:eastAsia="zh-CN"/>
              </w:rPr>
              <w:t>69.13</w:t>
            </w:r>
          </w:p>
        </w:tc>
        <w:tc>
          <w:tcPr>
            <w:tcW w:w="938" w:type="dxa"/>
            <w:tcBorders>
              <w:tl2br w:val="nil"/>
              <w:tr2bl w:val="nil"/>
            </w:tcBorders>
            <w:noWrap w:val="0"/>
            <w:vAlign w:val="center"/>
          </w:tcPr>
          <w:p w14:paraId="4C884B24">
            <w:pPr>
              <w:pStyle w:val="45"/>
              <w:bidi w:val="0"/>
              <w:rPr>
                <w:rFonts w:hint="default"/>
                <w:b w:val="0"/>
                <w:bCs/>
                <w:color w:val="auto"/>
                <w:highlight w:val="none"/>
              </w:rPr>
            </w:pPr>
          </w:p>
        </w:tc>
      </w:tr>
      <w:tr w14:paraId="25BBF8F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After w:val="1"/>
          <w:wAfter w:w="2" w:type="dxa"/>
          <w:trHeight w:val="340" w:hRule="atLeast"/>
        </w:trPr>
        <w:tc>
          <w:tcPr>
            <w:tcW w:w="728" w:type="dxa"/>
            <w:vMerge w:val="continue"/>
            <w:tcBorders>
              <w:tl2br w:val="nil"/>
              <w:tr2bl w:val="nil"/>
            </w:tcBorders>
            <w:noWrap w:val="0"/>
            <w:vAlign w:val="center"/>
          </w:tcPr>
          <w:p w14:paraId="5E86B22F">
            <w:pPr>
              <w:pStyle w:val="45"/>
              <w:bidi w:val="0"/>
              <w:rPr>
                <w:rFonts w:hint="default"/>
                <w:b w:val="0"/>
                <w:bCs/>
                <w:color w:val="auto"/>
                <w:highlight w:val="none"/>
              </w:rPr>
            </w:pPr>
          </w:p>
        </w:tc>
        <w:tc>
          <w:tcPr>
            <w:tcW w:w="961" w:type="dxa"/>
            <w:vMerge w:val="continue"/>
            <w:tcBorders>
              <w:tl2br w:val="nil"/>
              <w:tr2bl w:val="nil"/>
            </w:tcBorders>
            <w:noWrap w:val="0"/>
            <w:vAlign w:val="center"/>
          </w:tcPr>
          <w:p w14:paraId="0105C3B6">
            <w:pPr>
              <w:pStyle w:val="45"/>
              <w:bidi w:val="0"/>
              <w:rPr>
                <w:rFonts w:hint="default"/>
                <w:b w:val="0"/>
                <w:bCs/>
                <w:color w:val="auto"/>
                <w:highlight w:val="none"/>
              </w:rPr>
            </w:pPr>
          </w:p>
        </w:tc>
        <w:tc>
          <w:tcPr>
            <w:tcW w:w="2636" w:type="dxa"/>
            <w:gridSpan w:val="2"/>
            <w:tcBorders>
              <w:tl2br w:val="nil"/>
              <w:tr2bl w:val="nil"/>
            </w:tcBorders>
            <w:noWrap w:val="0"/>
            <w:vAlign w:val="center"/>
          </w:tcPr>
          <w:p w14:paraId="0D39D980">
            <w:pPr>
              <w:pStyle w:val="45"/>
              <w:bidi w:val="0"/>
              <w:rPr>
                <w:rFonts w:hint="default"/>
                <w:b w:val="0"/>
                <w:bCs/>
                <w:color w:val="auto"/>
                <w:highlight w:val="none"/>
              </w:rPr>
            </w:pPr>
            <w:r>
              <w:rPr>
                <w:rFonts w:hint="default"/>
                <w:b w:val="0"/>
                <w:bCs/>
                <w:color w:val="auto"/>
                <w:highlight w:val="none"/>
              </w:rPr>
              <w:t>弃方</w:t>
            </w:r>
          </w:p>
        </w:tc>
        <w:tc>
          <w:tcPr>
            <w:tcW w:w="1319" w:type="dxa"/>
            <w:tcBorders>
              <w:tl2br w:val="nil"/>
              <w:tr2bl w:val="nil"/>
            </w:tcBorders>
            <w:noWrap w:val="0"/>
            <w:vAlign w:val="center"/>
          </w:tcPr>
          <w:p w14:paraId="76EBE7DE">
            <w:pPr>
              <w:pStyle w:val="45"/>
              <w:bidi w:val="0"/>
              <w:rPr>
                <w:rFonts w:hint="default"/>
                <w:b w:val="0"/>
                <w:bCs/>
                <w:color w:val="auto"/>
                <w:highlight w:val="none"/>
              </w:rPr>
            </w:pPr>
            <w:r>
              <w:rPr>
                <w:rFonts w:hint="default"/>
                <w:b w:val="0"/>
                <w:bCs/>
                <w:color w:val="auto"/>
                <w:highlight w:val="none"/>
              </w:rPr>
              <w:t>万m</w:t>
            </w:r>
            <w:r>
              <w:rPr>
                <w:rFonts w:hint="eastAsia"/>
                <w:b w:val="0"/>
                <w:bCs/>
                <w:color w:val="auto"/>
                <w:highlight w:val="none"/>
                <w:vertAlign w:val="superscript"/>
                <w:lang w:val="en-US" w:eastAsia="zh-CN"/>
              </w:rPr>
              <w:t>3</w:t>
            </w:r>
          </w:p>
        </w:tc>
        <w:tc>
          <w:tcPr>
            <w:tcW w:w="1575" w:type="dxa"/>
            <w:tcBorders>
              <w:tl2br w:val="nil"/>
              <w:tr2bl w:val="nil"/>
            </w:tcBorders>
            <w:noWrap w:val="0"/>
            <w:vAlign w:val="center"/>
          </w:tcPr>
          <w:p w14:paraId="4AFE3FAB">
            <w:pPr>
              <w:pStyle w:val="45"/>
              <w:bidi w:val="0"/>
              <w:rPr>
                <w:rFonts w:hint="default"/>
                <w:b w:val="0"/>
                <w:bCs/>
                <w:color w:val="auto"/>
                <w:highlight w:val="none"/>
                <w:lang w:val="en-US" w:eastAsia="zh-CN"/>
              </w:rPr>
            </w:pPr>
            <w:r>
              <w:rPr>
                <w:rFonts w:hint="eastAsia"/>
                <w:b w:val="0"/>
                <w:bCs/>
                <w:color w:val="auto"/>
                <w:highlight w:val="none"/>
                <w:lang w:val="en-US" w:eastAsia="zh-CN"/>
              </w:rPr>
              <w:t>49.71</w:t>
            </w:r>
          </w:p>
        </w:tc>
        <w:tc>
          <w:tcPr>
            <w:tcW w:w="938" w:type="dxa"/>
            <w:tcBorders>
              <w:tl2br w:val="nil"/>
              <w:tr2bl w:val="nil"/>
            </w:tcBorders>
            <w:noWrap w:val="0"/>
            <w:vAlign w:val="center"/>
          </w:tcPr>
          <w:p w14:paraId="2CB725DD">
            <w:pPr>
              <w:pStyle w:val="45"/>
              <w:bidi w:val="0"/>
              <w:rPr>
                <w:rFonts w:hint="default"/>
                <w:b w:val="0"/>
                <w:bCs/>
                <w:color w:val="auto"/>
                <w:highlight w:val="none"/>
              </w:rPr>
            </w:pPr>
          </w:p>
        </w:tc>
      </w:tr>
      <w:tr w14:paraId="7EEFBA4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728" w:type="dxa"/>
            <w:vMerge w:val="continue"/>
            <w:tcBorders>
              <w:tl2br w:val="nil"/>
              <w:tr2bl w:val="nil"/>
            </w:tcBorders>
            <w:noWrap w:val="0"/>
            <w:vAlign w:val="center"/>
          </w:tcPr>
          <w:p w14:paraId="21840E65">
            <w:pPr>
              <w:pStyle w:val="45"/>
              <w:bidi w:val="0"/>
              <w:rPr>
                <w:rFonts w:hint="default"/>
                <w:b w:val="0"/>
                <w:bCs/>
                <w:color w:val="auto"/>
                <w:highlight w:val="none"/>
              </w:rPr>
            </w:pPr>
          </w:p>
        </w:tc>
        <w:tc>
          <w:tcPr>
            <w:tcW w:w="961" w:type="dxa"/>
            <w:vMerge w:val="continue"/>
            <w:tcBorders>
              <w:tl2br w:val="nil"/>
              <w:tr2bl w:val="nil"/>
            </w:tcBorders>
            <w:noWrap w:val="0"/>
            <w:vAlign w:val="center"/>
          </w:tcPr>
          <w:p w14:paraId="4A8B0F7D">
            <w:pPr>
              <w:pStyle w:val="45"/>
              <w:bidi w:val="0"/>
              <w:rPr>
                <w:rFonts w:hint="default"/>
                <w:b w:val="0"/>
                <w:bCs/>
                <w:color w:val="auto"/>
                <w:highlight w:val="none"/>
              </w:rPr>
            </w:pPr>
          </w:p>
        </w:tc>
        <w:tc>
          <w:tcPr>
            <w:tcW w:w="2636" w:type="dxa"/>
            <w:gridSpan w:val="2"/>
            <w:tcBorders>
              <w:tl2br w:val="nil"/>
              <w:tr2bl w:val="nil"/>
            </w:tcBorders>
            <w:noWrap w:val="0"/>
            <w:vAlign w:val="center"/>
          </w:tcPr>
          <w:p w14:paraId="4BBCD221">
            <w:pPr>
              <w:pStyle w:val="45"/>
              <w:bidi w:val="0"/>
              <w:rPr>
                <w:rFonts w:hint="default"/>
                <w:b w:val="0"/>
                <w:bCs/>
                <w:color w:val="auto"/>
                <w:highlight w:val="none"/>
              </w:rPr>
            </w:pPr>
            <w:r>
              <w:rPr>
                <w:rFonts w:hint="default"/>
                <w:b w:val="0"/>
                <w:bCs/>
                <w:color w:val="auto"/>
                <w:highlight w:val="none"/>
              </w:rPr>
              <w:t>新建道路(含进站道路)</w:t>
            </w:r>
          </w:p>
        </w:tc>
        <w:tc>
          <w:tcPr>
            <w:tcW w:w="1319" w:type="dxa"/>
            <w:tcBorders>
              <w:tl2br w:val="nil"/>
              <w:tr2bl w:val="nil"/>
            </w:tcBorders>
            <w:noWrap w:val="0"/>
            <w:vAlign w:val="center"/>
          </w:tcPr>
          <w:p w14:paraId="6D47BAB6">
            <w:pPr>
              <w:pStyle w:val="45"/>
              <w:bidi w:val="0"/>
              <w:rPr>
                <w:rFonts w:hint="default"/>
                <w:b w:val="0"/>
                <w:bCs/>
                <w:color w:val="auto"/>
                <w:highlight w:val="none"/>
              </w:rPr>
            </w:pPr>
            <w:r>
              <w:rPr>
                <w:rFonts w:hint="eastAsia"/>
                <w:b w:val="0"/>
                <w:bCs/>
                <w:color w:val="auto"/>
                <w:highlight w:val="none"/>
                <w:lang w:val="en-US" w:eastAsia="zh-CN"/>
              </w:rPr>
              <w:t>k</w:t>
            </w:r>
            <w:r>
              <w:rPr>
                <w:rFonts w:hint="default"/>
                <w:b w:val="0"/>
                <w:bCs/>
                <w:color w:val="auto"/>
                <w:highlight w:val="none"/>
              </w:rPr>
              <w:t>m</w:t>
            </w:r>
          </w:p>
        </w:tc>
        <w:tc>
          <w:tcPr>
            <w:tcW w:w="1575" w:type="dxa"/>
            <w:tcBorders>
              <w:tl2br w:val="nil"/>
              <w:tr2bl w:val="nil"/>
            </w:tcBorders>
            <w:noWrap w:val="0"/>
            <w:vAlign w:val="center"/>
          </w:tcPr>
          <w:p w14:paraId="69E94857">
            <w:pPr>
              <w:pStyle w:val="45"/>
              <w:bidi w:val="0"/>
              <w:rPr>
                <w:rFonts w:hint="default"/>
                <w:b w:val="0"/>
                <w:bCs/>
                <w:color w:val="auto"/>
                <w:highlight w:val="none"/>
                <w:lang w:val="en-US" w:eastAsia="zh-CN"/>
              </w:rPr>
            </w:pPr>
            <w:r>
              <w:rPr>
                <w:rFonts w:hint="eastAsia"/>
                <w:b w:val="0"/>
                <w:bCs/>
                <w:color w:val="auto"/>
                <w:highlight w:val="none"/>
                <w:lang w:val="en-US" w:eastAsia="zh-CN"/>
              </w:rPr>
              <w:t>22.9</w:t>
            </w:r>
          </w:p>
        </w:tc>
        <w:tc>
          <w:tcPr>
            <w:tcW w:w="940" w:type="dxa"/>
            <w:gridSpan w:val="2"/>
            <w:tcBorders>
              <w:tl2br w:val="nil"/>
              <w:tr2bl w:val="nil"/>
            </w:tcBorders>
            <w:noWrap w:val="0"/>
            <w:vAlign w:val="center"/>
          </w:tcPr>
          <w:p w14:paraId="1E15DA49">
            <w:pPr>
              <w:pStyle w:val="45"/>
              <w:bidi w:val="0"/>
              <w:rPr>
                <w:rFonts w:hint="default"/>
                <w:b w:val="0"/>
                <w:bCs/>
                <w:color w:val="auto"/>
                <w:highlight w:val="none"/>
              </w:rPr>
            </w:pPr>
          </w:p>
        </w:tc>
      </w:tr>
      <w:tr w14:paraId="72265FE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728" w:type="dxa"/>
            <w:vMerge w:val="continue"/>
            <w:tcBorders>
              <w:tl2br w:val="nil"/>
              <w:tr2bl w:val="nil"/>
            </w:tcBorders>
            <w:noWrap w:val="0"/>
            <w:vAlign w:val="center"/>
          </w:tcPr>
          <w:p w14:paraId="6CF27EDF">
            <w:pPr>
              <w:pStyle w:val="45"/>
              <w:bidi w:val="0"/>
              <w:rPr>
                <w:rFonts w:hint="default"/>
                <w:b w:val="0"/>
                <w:bCs/>
                <w:color w:val="auto"/>
                <w:highlight w:val="none"/>
              </w:rPr>
            </w:pPr>
          </w:p>
        </w:tc>
        <w:tc>
          <w:tcPr>
            <w:tcW w:w="961" w:type="dxa"/>
            <w:vMerge w:val="continue"/>
            <w:tcBorders>
              <w:tl2br w:val="nil"/>
              <w:tr2bl w:val="nil"/>
            </w:tcBorders>
            <w:noWrap w:val="0"/>
            <w:vAlign w:val="center"/>
          </w:tcPr>
          <w:p w14:paraId="16E3BBBA">
            <w:pPr>
              <w:pStyle w:val="45"/>
              <w:bidi w:val="0"/>
              <w:rPr>
                <w:rFonts w:hint="default"/>
                <w:b w:val="0"/>
                <w:bCs/>
                <w:color w:val="auto"/>
                <w:highlight w:val="none"/>
              </w:rPr>
            </w:pPr>
          </w:p>
        </w:tc>
        <w:tc>
          <w:tcPr>
            <w:tcW w:w="2636" w:type="dxa"/>
            <w:gridSpan w:val="2"/>
            <w:tcBorders>
              <w:tl2br w:val="nil"/>
              <w:tr2bl w:val="nil"/>
            </w:tcBorders>
            <w:noWrap w:val="0"/>
            <w:vAlign w:val="center"/>
          </w:tcPr>
          <w:p w14:paraId="0FE3E780">
            <w:pPr>
              <w:pStyle w:val="45"/>
              <w:bidi w:val="0"/>
              <w:rPr>
                <w:rFonts w:hint="default"/>
                <w:b w:val="0"/>
                <w:bCs/>
                <w:color w:val="auto"/>
                <w:highlight w:val="none"/>
              </w:rPr>
            </w:pPr>
            <w:r>
              <w:rPr>
                <w:rFonts w:hint="default"/>
                <w:b w:val="0"/>
                <w:bCs/>
                <w:color w:val="auto"/>
                <w:highlight w:val="none"/>
              </w:rPr>
              <w:t>改造道路</w:t>
            </w:r>
          </w:p>
        </w:tc>
        <w:tc>
          <w:tcPr>
            <w:tcW w:w="1319" w:type="dxa"/>
            <w:tcBorders>
              <w:tl2br w:val="nil"/>
              <w:tr2bl w:val="nil"/>
            </w:tcBorders>
            <w:noWrap w:val="0"/>
            <w:vAlign w:val="center"/>
          </w:tcPr>
          <w:p w14:paraId="03C17D8D">
            <w:pPr>
              <w:pStyle w:val="45"/>
              <w:bidi w:val="0"/>
              <w:rPr>
                <w:rFonts w:hint="default"/>
                <w:b w:val="0"/>
                <w:bCs/>
                <w:color w:val="auto"/>
                <w:highlight w:val="none"/>
              </w:rPr>
            </w:pPr>
            <w:r>
              <w:rPr>
                <w:rFonts w:hint="eastAsia"/>
                <w:b w:val="0"/>
                <w:bCs/>
                <w:color w:val="auto"/>
                <w:highlight w:val="none"/>
                <w:lang w:val="en-US" w:eastAsia="zh-CN"/>
              </w:rPr>
              <w:t>k</w:t>
            </w:r>
            <w:r>
              <w:rPr>
                <w:rFonts w:hint="default"/>
                <w:b w:val="0"/>
                <w:bCs/>
                <w:color w:val="auto"/>
                <w:highlight w:val="none"/>
              </w:rPr>
              <w:t>m</w:t>
            </w:r>
          </w:p>
        </w:tc>
        <w:tc>
          <w:tcPr>
            <w:tcW w:w="1575" w:type="dxa"/>
            <w:tcBorders>
              <w:tl2br w:val="nil"/>
              <w:tr2bl w:val="nil"/>
            </w:tcBorders>
            <w:noWrap w:val="0"/>
            <w:vAlign w:val="center"/>
          </w:tcPr>
          <w:p w14:paraId="248BACB5">
            <w:pPr>
              <w:pStyle w:val="45"/>
              <w:bidi w:val="0"/>
              <w:rPr>
                <w:rFonts w:hint="default"/>
                <w:b w:val="0"/>
                <w:bCs/>
                <w:color w:val="auto"/>
                <w:highlight w:val="none"/>
                <w:lang w:val="en-US" w:eastAsia="zh-CN"/>
              </w:rPr>
            </w:pPr>
            <w:r>
              <w:rPr>
                <w:rFonts w:hint="eastAsia"/>
                <w:b w:val="0"/>
                <w:bCs/>
                <w:color w:val="auto"/>
                <w:highlight w:val="none"/>
                <w:lang w:val="en-US" w:eastAsia="zh-CN"/>
              </w:rPr>
              <w:t>10.95</w:t>
            </w:r>
          </w:p>
        </w:tc>
        <w:tc>
          <w:tcPr>
            <w:tcW w:w="940" w:type="dxa"/>
            <w:gridSpan w:val="2"/>
            <w:tcBorders>
              <w:tl2br w:val="nil"/>
              <w:tr2bl w:val="nil"/>
            </w:tcBorders>
            <w:noWrap w:val="0"/>
            <w:vAlign w:val="center"/>
          </w:tcPr>
          <w:p w14:paraId="253B573B">
            <w:pPr>
              <w:pStyle w:val="45"/>
              <w:bidi w:val="0"/>
              <w:rPr>
                <w:rFonts w:hint="default"/>
                <w:b w:val="0"/>
                <w:bCs/>
                <w:color w:val="auto"/>
                <w:highlight w:val="none"/>
              </w:rPr>
            </w:pPr>
          </w:p>
        </w:tc>
      </w:tr>
      <w:tr w14:paraId="7D2441F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728" w:type="dxa"/>
            <w:vMerge w:val="continue"/>
            <w:tcBorders>
              <w:tl2br w:val="nil"/>
              <w:tr2bl w:val="nil"/>
            </w:tcBorders>
            <w:noWrap w:val="0"/>
            <w:vAlign w:val="center"/>
          </w:tcPr>
          <w:p w14:paraId="26603A75">
            <w:pPr>
              <w:pStyle w:val="45"/>
              <w:bidi w:val="0"/>
              <w:rPr>
                <w:rFonts w:hint="default"/>
                <w:b w:val="0"/>
                <w:bCs/>
                <w:color w:val="auto"/>
                <w:highlight w:val="none"/>
              </w:rPr>
            </w:pPr>
          </w:p>
        </w:tc>
        <w:tc>
          <w:tcPr>
            <w:tcW w:w="961" w:type="dxa"/>
            <w:vMerge w:val="continue"/>
            <w:tcBorders>
              <w:tl2br w:val="nil"/>
              <w:tr2bl w:val="nil"/>
            </w:tcBorders>
            <w:noWrap w:val="0"/>
            <w:vAlign w:val="center"/>
          </w:tcPr>
          <w:p w14:paraId="00F4C13D">
            <w:pPr>
              <w:pStyle w:val="45"/>
              <w:bidi w:val="0"/>
              <w:rPr>
                <w:rFonts w:hint="default"/>
                <w:b w:val="0"/>
                <w:bCs/>
                <w:color w:val="auto"/>
                <w:highlight w:val="none"/>
              </w:rPr>
            </w:pPr>
          </w:p>
        </w:tc>
        <w:tc>
          <w:tcPr>
            <w:tcW w:w="2636" w:type="dxa"/>
            <w:gridSpan w:val="2"/>
            <w:tcBorders>
              <w:tl2br w:val="nil"/>
              <w:tr2bl w:val="nil"/>
            </w:tcBorders>
            <w:noWrap w:val="0"/>
            <w:vAlign w:val="center"/>
          </w:tcPr>
          <w:p w14:paraId="745CD271">
            <w:pPr>
              <w:pStyle w:val="45"/>
              <w:bidi w:val="0"/>
              <w:rPr>
                <w:rFonts w:hint="default"/>
                <w:b w:val="0"/>
                <w:bCs/>
                <w:color w:val="auto"/>
                <w:highlight w:val="none"/>
              </w:rPr>
            </w:pPr>
            <w:r>
              <w:rPr>
                <w:rFonts w:hint="default"/>
                <w:b w:val="0"/>
                <w:bCs/>
                <w:color w:val="auto"/>
                <w:highlight w:val="none"/>
              </w:rPr>
              <w:t>混凝土</w:t>
            </w:r>
          </w:p>
        </w:tc>
        <w:tc>
          <w:tcPr>
            <w:tcW w:w="1319" w:type="dxa"/>
            <w:tcBorders>
              <w:tl2br w:val="nil"/>
              <w:tr2bl w:val="nil"/>
            </w:tcBorders>
            <w:noWrap w:val="0"/>
            <w:vAlign w:val="center"/>
          </w:tcPr>
          <w:p w14:paraId="48554049">
            <w:pPr>
              <w:pStyle w:val="45"/>
              <w:bidi w:val="0"/>
              <w:rPr>
                <w:rFonts w:hint="default"/>
                <w:b w:val="0"/>
                <w:bCs/>
                <w:color w:val="auto"/>
                <w:highlight w:val="none"/>
              </w:rPr>
            </w:pPr>
            <w:r>
              <w:rPr>
                <w:rFonts w:hint="eastAsia"/>
                <w:b w:val="0"/>
                <w:bCs/>
                <w:color w:val="auto"/>
                <w:highlight w:val="none"/>
                <w:lang w:eastAsia="zh-CN"/>
              </w:rPr>
              <w:t>万</w:t>
            </w:r>
            <w:r>
              <w:rPr>
                <w:rFonts w:hint="default"/>
                <w:b w:val="0"/>
                <w:bCs/>
                <w:color w:val="auto"/>
                <w:highlight w:val="none"/>
              </w:rPr>
              <w:t>m</w:t>
            </w:r>
            <w:r>
              <w:rPr>
                <w:rFonts w:hint="eastAsia"/>
                <w:b w:val="0"/>
                <w:bCs/>
                <w:color w:val="auto"/>
                <w:highlight w:val="none"/>
                <w:lang w:val="en-US" w:eastAsia="zh-CN"/>
              </w:rPr>
              <w:t>3</w:t>
            </w:r>
          </w:p>
        </w:tc>
        <w:tc>
          <w:tcPr>
            <w:tcW w:w="1575" w:type="dxa"/>
            <w:tcBorders>
              <w:tl2br w:val="nil"/>
              <w:tr2bl w:val="nil"/>
            </w:tcBorders>
            <w:noWrap w:val="0"/>
            <w:vAlign w:val="center"/>
          </w:tcPr>
          <w:p w14:paraId="21C83968">
            <w:pPr>
              <w:pStyle w:val="45"/>
              <w:bidi w:val="0"/>
              <w:rPr>
                <w:rFonts w:hint="default"/>
                <w:b w:val="0"/>
                <w:bCs/>
                <w:color w:val="auto"/>
                <w:highlight w:val="none"/>
              </w:rPr>
            </w:pPr>
            <w:r>
              <w:rPr>
                <w:rFonts w:hint="default"/>
                <w:b w:val="0"/>
                <w:bCs/>
                <w:color w:val="auto"/>
                <w:highlight w:val="none"/>
              </w:rPr>
              <w:t>1</w:t>
            </w:r>
            <w:r>
              <w:rPr>
                <w:rFonts w:hint="eastAsia"/>
                <w:b w:val="0"/>
                <w:bCs/>
                <w:color w:val="auto"/>
                <w:highlight w:val="none"/>
                <w:lang w:val="en-US" w:eastAsia="zh-CN"/>
              </w:rPr>
              <w:t>.</w:t>
            </w:r>
            <w:r>
              <w:rPr>
                <w:rFonts w:hint="default"/>
                <w:b w:val="0"/>
                <w:bCs/>
                <w:color w:val="auto"/>
                <w:highlight w:val="none"/>
              </w:rPr>
              <w:t>17</w:t>
            </w:r>
          </w:p>
        </w:tc>
        <w:tc>
          <w:tcPr>
            <w:tcW w:w="940" w:type="dxa"/>
            <w:gridSpan w:val="2"/>
            <w:tcBorders>
              <w:tl2br w:val="nil"/>
              <w:tr2bl w:val="nil"/>
            </w:tcBorders>
            <w:noWrap w:val="0"/>
            <w:vAlign w:val="center"/>
          </w:tcPr>
          <w:p w14:paraId="6B9FFAE1">
            <w:pPr>
              <w:pStyle w:val="45"/>
              <w:bidi w:val="0"/>
              <w:rPr>
                <w:rFonts w:hint="default"/>
                <w:b w:val="0"/>
                <w:bCs/>
                <w:color w:val="auto"/>
                <w:highlight w:val="none"/>
              </w:rPr>
            </w:pPr>
          </w:p>
        </w:tc>
      </w:tr>
      <w:tr w14:paraId="708F65D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728" w:type="dxa"/>
            <w:vMerge w:val="restart"/>
            <w:tcBorders>
              <w:tl2br w:val="nil"/>
              <w:tr2bl w:val="nil"/>
            </w:tcBorders>
            <w:noWrap w:val="0"/>
            <w:vAlign w:val="center"/>
          </w:tcPr>
          <w:p w14:paraId="567968AA">
            <w:pPr>
              <w:pStyle w:val="45"/>
              <w:bidi w:val="0"/>
              <w:rPr>
                <w:rFonts w:hint="default"/>
                <w:b w:val="0"/>
                <w:bCs/>
                <w:color w:val="auto"/>
                <w:highlight w:val="none"/>
              </w:rPr>
            </w:pPr>
            <w:r>
              <w:rPr>
                <w:rFonts w:hint="default"/>
                <w:b w:val="0"/>
                <w:bCs/>
                <w:color w:val="auto"/>
                <w:highlight w:val="none"/>
              </w:rPr>
              <w:t>投资</w:t>
            </w:r>
          </w:p>
          <w:p w14:paraId="69834389">
            <w:pPr>
              <w:pStyle w:val="45"/>
              <w:bidi w:val="0"/>
              <w:rPr>
                <w:rFonts w:hint="default"/>
                <w:b w:val="0"/>
                <w:bCs/>
                <w:color w:val="auto"/>
                <w:highlight w:val="none"/>
              </w:rPr>
            </w:pPr>
            <w:r>
              <w:rPr>
                <w:rFonts w:hint="default"/>
                <w:b w:val="0"/>
                <w:bCs/>
                <w:color w:val="auto"/>
                <w:highlight w:val="none"/>
              </w:rPr>
              <w:t>指标</w:t>
            </w:r>
          </w:p>
        </w:tc>
        <w:tc>
          <w:tcPr>
            <w:tcW w:w="3597" w:type="dxa"/>
            <w:gridSpan w:val="3"/>
            <w:tcBorders>
              <w:tl2br w:val="nil"/>
              <w:tr2bl w:val="nil"/>
            </w:tcBorders>
            <w:noWrap w:val="0"/>
            <w:vAlign w:val="center"/>
          </w:tcPr>
          <w:p w14:paraId="6573A5B5">
            <w:pPr>
              <w:pStyle w:val="45"/>
              <w:bidi w:val="0"/>
              <w:rPr>
                <w:rFonts w:hint="default"/>
                <w:b w:val="0"/>
                <w:bCs/>
                <w:color w:val="auto"/>
                <w:highlight w:val="none"/>
              </w:rPr>
            </w:pPr>
            <w:r>
              <w:rPr>
                <w:rFonts w:hint="default"/>
                <w:b w:val="0"/>
                <w:bCs/>
                <w:color w:val="auto"/>
                <w:highlight w:val="none"/>
              </w:rPr>
              <w:t>工程静态总投资</w:t>
            </w:r>
          </w:p>
        </w:tc>
        <w:tc>
          <w:tcPr>
            <w:tcW w:w="1319" w:type="dxa"/>
            <w:tcBorders>
              <w:tl2br w:val="nil"/>
              <w:tr2bl w:val="nil"/>
            </w:tcBorders>
            <w:noWrap w:val="0"/>
            <w:vAlign w:val="center"/>
          </w:tcPr>
          <w:p w14:paraId="5DCD9E08">
            <w:pPr>
              <w:pStyle w:val="45"/>
              <w:bidi w:val="0"/>
              <w:rPr>
                <w:rFonts w:hint="default"/>
                <w:b w:val="0"/>
                <w:bCs/>
                <w:color w:val="auto"/>
                <w:highlight w:val="none"/>
              </w:rPr>
            </w:pPr>
            <w:r>
              <w:rPr>
                <w:rFonts w:hint="default"/>
                <w:b w:val="0"/>
                <w:bCs/>
                <w:color w:val="auto"/>
                <w:highlight w:val="none"/>
              </w:rPr>
              <w:t>万元</w:t>
            </w:r>
          </w:p>
        </w:tc>
        <w:tc>
          <w:tcPr>
            <w:tcW w:w="1575" w:type="dxa"/>
            <w:tcBorders>
              <w:tl2br w:val="nil"/>
              <w:tr2bl w:val="nil"/>
            </w:tcBorders>
            <w:noWrap w:val="0"/>
            <w:vAlign w:val="center"/>
          </w:tcPr>
          <w:p w14:paraId="47F95908">
            <w:pPr>
              <w:pStyle w:val="45"/>
              <w:bidi w:val="0"/>
              <w:rPr>
                <w:rFonts w:hint="default"/>
                <w:b w:val="0"/>
                <w:bCs/>
                <w:color w:val="auto"/>
                <w:highlight w:val="none"/>
                <w:lang w:val="en-US" w:eastAsia="zh-CN"/>
              </w:rPr>
            </w:pPr>
            <w:r>
              <w:rPr>
                <w:rFonts w:hint="eastAsia"/>
                <w:b w:val="0"/>
                <w:bCs/>
                <w:color w:val="auto"/>
                <w:highlight w:val="none"/>
                <w:lang w:val="en-US" w:eastAsia="zh-CN"/>
              </w:rPr>
              <w:t>74321</w:t>
            </w:r>
          </w:p>
        </w:tc>
        <w:tc>
          <w:tcPr>
            <w:tcW w:w="940" w:type="dxa"/>
            <w:gridSpan w:val="2"/>
            <w:tcBorders>
              <w:tl2br w:val="nil"/>
              <w:tr2bl w:val="nil"/>
            </w:tcBorders>
            <w:noWrap w:val="0"/>
            <w:vAlign w:val="center"/>
          </w:tcPr>
          <w:p w14:paraId="13DC7FB1">
            <w:pPr>
              <w:pStyle w:val="45"/>
              <w:bidi w:val="0"/>
              <w:rPr>
                <w:rFonts w:hint="default"/>
                <w:b w:val="0"/>
                <w:bCs/>
                <w:color w:val="auto"/>
                <w:highlight w:val="none"/>
              </w:rPr>
            </w:pPr>
          </w:p>
        </w:tc>
      </w:tr>
      <w:tr w14:paraId="4D77F2D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728" w:type="dxa"/>
            <w:vMerge w:val="continue"/>
            <w:tcBorders>
              <w:tl2br w:val="nil"/>
              <w:tr2bl w:val="nil"/>
            </w:tcBorders>
            <w:noWrap w:val="0"/>
            <w:vAlign w:val="center"/>
          </w:tcPr>
          <w:p w14:paraId="105823DA">
            <w:pPr>
              <w:pStyle w:val="45"/>
              <w:bidi w:val="0"/>
              <w:rPr>
                <w:rFonts w:hint="default"/>
                <w:b w:val="0"/>
                <w:bCs/>
                <w:color w:val="auto"/>
                <w:highlight w:val="none"/>
              </w:rPr>
            </w:pPr>
          </w:p>
        </w:tc>
        <w:tc>
          <w:tcPr>
            <w:tcW w:w="3597" w:type="dxa"/>
            <w:gridSpan w:val="3"/>
            <w:tcBorders>
              <w:tl2br w:val="nil"/>
              <w:tr2bl w:val="nil"/>
            </w:tcBorders>
            <w:noWrap w:val="0"/>
            <w:vAlign w:val="center"/>
          </w:tcPr>
          <w:p w14:paraId="6AFC2970">
            <w:pPr>
              <w:pStyle w:val="45"/>
              <w:bidi w:val="0"/>
              <w:rPr>
                <w:rFonts w:hint="default"/>
                <w:b w:val="0"/>
                <w:bCs/>
                <w:color w:val="auto"/>
                <w:highlight w:val="none"/>
              </w:rPr>
            </w:pPr>
            <w:r>
              <w:rPr>
                <w:rFonts w:hint="default"/>
                <w:b w:val="0"/>
                <w:bCs/>
                <w:color w:val="auto"/>
                <w:highlight w:val="none"/>
              </w:rPr>
              <w:t>土建投资</w:t>
            </w:r>
          </w:p>
        </w:tc>
        <w:tc>
          <w:tcPr>
            <w:tcW w:w="1319" w:type="dxa"/>
            <w:tcBorders>
              <w:tl2br w:val="nil"/>
              <w:tr2bl w:val="nil"/>
            </w:tcBorders>
            <w:noWrap w:val="0"/>
            <w:vAlign w:val="center"/>
          </w:tcPr>
          <w:p w14:paraId="086FC982">
            <w:pPr>
              <w:pStyle w:val="45"/>
              <w:bidi w:val="0"/>
              <w:rPr>
                <w:rFonts w:hint="default"/>
                <w:b w:val="0"/>
                <w:bCs/>
                <w:color w:val="auto"/>
                <w:highlight w:val="none"/>
              </w:rPr>
            </w:pPr>
            <w:r>
              <w:rPr>
                <w:rFonts w:hint="default"/>
                <w:b w:val="0"/>
                <w:bCs/>
                <w:color w:val="auto"/>
                <w:highlight w:val="none"/>
              </w:rPr>
              <w:t>万元</w:t>
            </w:r>
          </w:p>
        </w:tc>
        <w:tc>
          <w:tcPr>
            <w:tcW w:w="1575" w:type="dxa"/>
            <w:tcBorders>
              <w:tl2br w:val="nil"/>
              <w:tr2bl w:val="nil"/>
            </w:tcBorders>
            <w:noWrap w:val="0"/>
            <w:vAlign w:val="center"/>
          </w:tcPr>
          <w:p w14:paraId="6A48204A">
            <w:pPr>
              <w:pStyle w:val="45"/>
              <w:bidi w:val="0"/>
              <w:rPr>
                <w:rFonts w:hint="default"/>
                <w:b w:val="0"/>
                <w:bCs/>
                <w:color w:val="auto"/>
                <w:highlight w:val="none"/>
                <w:lang w:val="en-US" w:eastAsia="zh-CN"/>
              </w:rPr>
            </w:pPr>
            <w:r>
              <w:rPr>
                <w:rFonts w:hint="eastAsia"/>
                <w:b w:val="0"/>
                <w:bCs/>
                <w:color w:val="auto"/>
                <w:highlight w:val="none"/>
                <w:lang w:val="en-US" w:eastAsia="zh-CN"/>
              </w:rPr>
              <w:t>20991.5</w:t>
            </w:r>
          </w:p>
        </w:tc>
        <w:tc>
          <w:tcPr>
            <w:tcW w:w="940" w:type="dxa"/>
            <w:gridSpan w:val="2"/>
            <w:tcBorders>
              <w:tl2br w:val="nil"/>
              <w:tr2bl w:val="nil"/>
            </w:tcBorders>
            <w:noWrap w:val="0"/>
            <w:vAlign w:val="center"/>
          </w:tcPr>
          <w:p w14:paraId="14BF6DFB">
            <w:pPr>
              <w:pStyle w:val="45"/>
              <w:bidi w:val="0"/>
              <w:rPr>
                <w:rFonts w:hint="default"/>
                <w:b w:val="0"/>
                <w:bCs/>
                <w:color w:val="auto"/>
                <w:highlight w:val="none"/>
              </w:rPr>
            </w:pPr>
          </w:p>
        </w:tc>
      </w:tr>
      <w:tr w14:paraId="27DB38F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728" w:type="dxa"/>
            <w:vMerge w:val="restart"/>
            <w:tcBorders>
              <w:tl2br w:val="nil"/>
              <w:tr2bl w:val="nil"/>
            </w:tcBorders>
            <w:noWrap w:val="0"/>
            <w:vAlign w:val="center"/>
          </w:tcPr>
          <w:p w14:paraId="4B5A0624">
            <w:pPr>
              <w:pStyle w:val="45"/>
              <w:bidi w:val="0"/>
              <w:rPr>
                <w:rFonts w:hint="default"/>
                <w:b w:val="0"/>
                <w:bCs/>
                <w:color w:val="auto"/>
                <w:highlight w:val="none"/>
              </w:rPr>
            </w:pPr>
            <w:r>
              <w:rPr>
                <w:rFonts w:hint="default"/>
                <w:b w:val="0"/>
                <w:bCs/>
                <w:color w:val="auto"/>
                <w:highlight w:val="none"/>
              </w:rPr>
              <w:t>经济</w:t>
            </w:r>
          </w:p>
          <w:p w14:paraId="2C7681BB">
            <w:pPr>
              <w:pStyle w:val="45"/>
              <w:bidi w:val="0"/>
              <w:rPr>
                <w:rFonts w:hint="default"/>
                <w:b w:val="0"/>
                <w:bCs/>
                <w:color w:val="auto"/>
                <w:highlight w:val="none"/>
              </w:rPr>
            </w:pPr>
            <w:r>
              <w:rPr>
                <w:rFonts w:hint="default"/>
                <w:b w:val="0"/>
                <w:bCs/>
                <w:color w:val="auto"/>
                <w:highlight w:val="none"/>
              </w:rPr>
              <w:t>指标</w:t>
            </w:r>
          </w:p>
        </w:tc>
        <w:tc>
          <w:tcPr>
            <w:tcW w:w="3597" w:type="dxa"/>
            <w:gridSpan w:val="3"/>
            <w:tcBorders>
              <w:tl2br w:val="nil"/>
              <w:tr2bl w:val="nil"/>
            </w:tcBorders>
            <w:noWrap w:val="0"/>
            <w:vAlign w:val="center"/>
          </w:tcPr>
          <w:p w14:paraId="549DCEF5">
            <w:pPr>
              <w:pStyle w:val="45"/>
              <w:bidi w:val="0"/>
              <w:rPr>
                <w:rFonts w:hint="default"/>
                <w:b w:val="0"/>
                <w:bCs/>
                <w:color w:val="auto"/>
                <w:highlight w:val="none"/>
              </w:rPr>
            </w:pPr>
            <w:r>
              <w:rPr>
                <w:rFonts w:hint="default"/>
                <w:b w:val="0"/>
                <w:bCs/>
                <w:color w:val="auto"/>
                <w:highlight w:val="none"/>
              </w:rPr>
              <w:t>装机容量</w:t>
            </w:r>
          </w:p>
        </w:tc>
        <w:tc>
          <w:tcPr>
            <w:tcW w:w="1319" w:type="dxa"/>
            <w:tcBorders>
              <w:tl2br w:val="nil"/>
              <w:tr2bl w:val="nil"/>
            </w:tcBorders>
            <w:noWrap w:val="0"/>
            <w:vAlign w:val="center"/>
          </w:tcPr>
          <w:p w14:paraId="3944E2FF">
            <w:pPr>
              <w:pStyle w:val="45"/>
              <w:bidi w:val="0"/>
              <w:rPr>
                <w:rFonts w:hint="default"/>
                <w:b w:val="0"/>
                <w:bCs/>
                <w:color w:val="auto"/>
                <w:highlight w:val="none"/>
              </w:rPr>
            </w:pPr>
            <w:r>
              <w:rPr>
                <w:rFonts w:hint="default"/>
                <w:b w:val="0"/>
                <w:bCs/>
                <w:color w:val="auto"/>
                <w:highlight w:val="none"/>
              </w:rPr>
              <w:t>MW</w:t>
            </w:r>
          </w:p>
        </w:tc>
        <w:tc>
          <w:tcPr>
            <w:tcW w:w="1575" w:type="dxa"/>
            <w:tcBorders>
              <w:tl2br w:val="nil"/>
              <w:tr2bl w:val="nil"/>
            </w:tcBorders>
            <w:noWrap w:val="0"/>
            <w:vAlign w:val="center"/>
          </w:tcPr>
          <w:p w14:paraId="454D1941">
            <w:pPr>
              <w:pStyle w:val="45"/>
              <w:bidi w:val="0"/>
              <w:rPr>
                <w:rFonts w:hint="default"/>
                <w:b w:val="0"/>
                <w:bCs/>
                <w:color w:val="auto"/>
                <w:highlight w:val="none"/>
              </w:rPr>
            </w:pPr>
            <w:r>
              <w:rPr>
                <w:rFonts w:hint="default"/>
                <w:b w:val="0"/>
                <w:bCs/>
                <w:color w:val="auto"/>
                <w:highlight w:val="none"/>
              </w:rPr>
              <w:t>100</w:t>
            </w:r>
          </w:p>
        </w:tc>
        <w:tc>
          <w:tcPr>
            <w:tcW w:w="940" w:type="dxa"/>
            <w:gridSpan w:val="2"/>
            <w:tcBorders>
              <w:tl2br w:val="nil"/>
              <w:tr2bl w:val="nil"/>
            </w:tcBorders>
            <w:noWrap w:val="0"/>
            <w:vAlign w:val="center"/>
          </w:tcPr>
          <w:p w14:paraId="096C61C3">
            <w:pPr>
              <w:pStyle w:val="45"/>
              <w:bidi w:val="0"/>
              <w:rPr>
                <w:rFonts w:hint="default"/>
                <w:b w:val="0"/>
                <w:bCs/>
                <w:color w:val="auto"/>
                <w:highlight w:val="none"/>
              </w:rPr>
            </w:pPr>
          </w:p>
        </w:tc>
      </w:tr>
      <w:tr w14:paraId="7BF410E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728" w:type="dxa"/>
            <w:vMerge w:val="continue"/>
            <w:tcBorders>
              <w:tl2br w:val="nil"/>
              <w:tr2bl w:val="nil"/>
            </w:tcBorders>
            <w:noWrap w:val="0"/>
            <w:vAlign w:val="center"/>
          </w:tcPr>
          <w:p w14:paraId="632A2E31">
            <w:pPr>
              <w:pStyle w:val="45"/>
              <w:bidi w:val="0"/>
              <w:rPr>
                <w:rFonts w:hint="default"/>
                <w:b w:val="0"/>
                <w:bCs/>
                <w:color w:val="auto"/>
                <w:highlight w:val="none"/>
              </w:rPr>
            </w:pPr>
          </w:p>
        </w:tc>
        <w:tc>
          <w:tcPr>
            <w:tcW w:w="3597" w:type="dxa"/>
            <w:gridSpan w:val="3"/>
            <w:tcBorders>
              <w:tl2br w:val="nil"/>
              <w:tr2bl w:val="nil"/>
            </w:tcBorders>
            <w:noWrap w:val="0"/>
            <w:vAlign w:val="center"/>
          </w:tcPr>
          <w:p w14:paraId="6E26002E">
            <w:pPr>
              <w:pStyle w:val="45"/>
              <w:bidi w:val="0"/>
              <w:rPr>
                <w:rFonts w:hint="default"/>
                <w:b w:val="0"/>
                <w:bCs/>
                <w:color w:val="auto"/>
                <w:highlight w:val="none"/>
              </w:rPr>
            </w:pPr>
            <w:r>
              <w:rPr>
                <w:rFonts w:hint="default"/>
                <w:b w:val="0"/>
                <w:bCs/>
                <w:color w:val="auto"/>
                <w:highlight w:val="none"/>
              </w:rPr>
              <w:t>年上网电量</w:t>
            </w:r>
          </w:p>
        </w:tc>
        <w:tc>
          <w:tcPr>
            <w:tcW w:w="1319" w:type="dxa"/>
            <w:tcBorders>
              <w:tl2br w:val="nil"/>
              <w:tr2bl w:val="nil"/>
            </w:tcBorders>
            <w:noWrap w:val="0"/>
            <w:vAlign w:val="center"/>
          </w:tcPr>
          <w:p w14:paraId="321B51EA">
            <w:pPr>
              <w:pStyle w:val="45"/>
              <w:bidi w:val="0"/>
              <w:rPr>
                <w:rFonts w:hint="default"/>
                <w:b w:val="0"/>
                <w:bCs/>
                <w:color w:val="auto"/>
                <w:highlight w:val="none"/>
              </w:rPr>
            </w:pPr>
            <w:r>
              <w:rPr>
                <w:rFonts w:hint="default"/>
                <w:b w:val="0"/>
                <w:bCs/>
                <w:color w:val="auto"/>
                <w:highlight w:val="none"/>
              </w:rPr>
              <w:t>万kWh</w:t>
            </w:r>
          </w:p>
        </w:tc>
        <w:tc>
          <w:tcPr>
            <w:tcW w:w="1575" w:type="dxa"/>
            <w:tcBorders>
              <w:tl2br w:val="nil"/>
              <w:tr2bl w:val="nil"/>
            </w:tcBorders>
            <w:noWrap w:val="0"/>
            <w:vAlign w:val="center"/>
          </w:tcPr>
          <w:p w14:paraId="23E4D31C">
            <w:pPr>
              <w:pStyle w:val="45"/>
              <w:bidi w:val="0"/>
              <w:rPr>
                <w:rFonts w:hint="default"/>
                <w:b w:val="0"/>
                <w:bCs/>
                <w:color w:val="auto"/>
                <w:highlight w:val="none"/>
                <w:lang w:val="en-US" w:eastAsia="zh-CN"/>
              </w:rPr>
            </w:pPr>
            <w:r>
              <w:rPr>
                <w:rFonts w:hint="eastAsia"/>
                <w:b w:val="0"/>
                <w:bCs/>
                <w:color w:val="auto"/>
                <w:highlight w:val="none"/>
                <w:lang w:val="en-US" w:eastAsia="zh-CN"/>
              </w:rPr>
              <w:t>20803</w:t>
            </w:r>
          </w:p>
        </w:tc>
        <w:tc>
          <w:tcPr>
            <w:tcW w:w="940" w:type="dxa"/>
            <w:gridSpan w:val="2"/>
            <w:tcBorders>
              <w:tl2br w:val="nil"/>
              <w:tr2bl w:val="nil"/>
            </w:tcBorders>
            <w:noWrap w:val="0"/>
            <w:vAlign w:val="center"/>
          </w:tcPr>
          <w:p w14:paraId="0B45D04A">
            <w:pPr>
              <w:pStyle w:val="45"/>
              <w:bidi w:val="0"/>
              <w:rPr>
                <w:rFonts w:hint="default"/>
                <w:b w:val="0"/>
                <w:bCs/>
                <w:color w:val="auto"/>
                <w:highlight w:val="none"/>
              </w:rPr>
            </w:pPr>
          </w:p>
        </w:tc>
      </w:tr>
      <w:tr w14:paraId="36B2BCE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728" w:type="dxa"/>
            <w:vMerge w:val="continue"/>
            <w:tcBorders>
              <w:tl2br w:val="nil"/>
              <w:tr2bl w:val="nil"/>
            </w:tcBorders>
            <w:noWrap w:val="0"/>
            <w:vAlign w:val="center"/>
          </w:tcPr>
          <w:p w14:paraId="76CEF0F6">
            <w:pPr>
              <w:pStyle w:val="45"/>
              <w:bidi w:val="0"/>
              <w:rPr>
                <w:rFonts w:hint="default"/>
                <w:b w:val="0"/>
                <w:bCs/>
                <w:color w:val="auto"/>
                <w:highlight w:val="none"/>
              </w:rPr>
            </w:pPr>
          </w:p>
        </w:tc>
        <w:tc>
          <w:tcPr>
            <w:tcW w:w="3597" w:type="dxa"/>
            <w:gridSpan w:val="3"/>
            <w:tcBorders>
              <w:tl2br w:val="nil"/>
              <w:tr2bl w:val="nil"/>
            </w:tcBorders>
            <w:noWrap w:val="0"/>
            <w:vAlign w:val="center"/>
          </w:tcPr>
          <w:p w14:paraId="49748305">
            <w:pPr>
              <w:pStyle w:val="45"/>
              <w:bidi w:val="0"/>
              <w:rPr>
                <w:rFonts w:hint="default"/>
                <w:b w:val="0"/>
                <w:bCs/>
                <w:color w:val="auto"/>
                <w:highlight w:val="none"/>
              </w:rPr>
            </w:pPr>
            <w:r>
              <w:rPr>
                <w:rFonts w:hint="default"/>
                <w:b w:val="0"/>
                <w:bCs/>
                <w:color w:val="auto"/>
                <w:highlight w:val="none"/>
              </w:rPr>
              <w:t>年等效满负荷小时</w:t>
            </w:r>
          </w:p>
        </w:tc>
        <w:tc>
          <w:tcPr>
            <w:tcW w:w="1319" w:type="dxa"/>
            <w:tcBorders>
              <w:tl2br w:val="nil"/>
              <w:tr2bl w:val="nil"/>
            </w:tcBorders>
            <w:noWrap w:val="0"/>
            <w:vAlign w:val="center"/>
          </w:tcPr>
          <w:p w14:paraId="7A670ABB">
            <w:pPr>
              <w:pStyle w:val="45"/>
              <w:bidi w:val="0"/>
              <w:rPr>
                <w:rFonts w:hint="default"/>
                <w:b w:val="0"/>
                <w:bCs/>
                <w:color w:val="auto"/>
                <w:highlight w:val="none"/>
              </w:rPr>
            </w:pPr>
            <w:r>
              <w:rPr>
                <w:rFonts w:hint="default"/>
                <w:b w:val="0"/>
                <w:bCs/>
                <w:color w:val="auto"/>
                <w:highlight w:val="none"/>
              </w:rPr>
              <w:t>h</w:t>
            </w:r>
          </w:p>
        </w:tc>
        <w:tc>
          <w:tcPr>
            <w:tcW w:w="1575" w:type="dxa"/>
            <w:tcBorders>
              <w:tl2br w:val="nil"/>
              <w:tr2bl w:val="nil"/>
            </w:tcBorders>
            <w:noWrap w:val="0"/>
            <w:vAlign w:val="center"/>
          </w:tcPr>
          <w:p w14:paraId="0B8E1B06">
            <w:pPr>
              <w:pStyle w:val="45"/>
              <w:bidi w:val="0"/>
              <w:rPr>
                <w:rFonts w:hint="default"/>
                <w:b w:val="0"/>
                <w:bCs/>
                <w:color w:val="auto"/>
                <w:highlight w:val="none"/>
                <w:lang w:val="en-US" w:eastAsia="zh-CN"/>
              </w:rPr>
            </w:pPr>
            <w:r>
              <w:rPr>
                <w:rFonts w:hint="eastAsia"/>
                <w:b w:val="0"/>
                <w:bCs/>
                <w:color w:val="auto"/>
                <w:highlight w:val="none"/>
                <w:lang w:val="en-US" w:eastAsia="zh-CN"/>
              </w:rPr>
              <w:t>2080</w:t>
            </w:r>
          </w:p>
        </w:tc>
        <w:tc>
          <w:tcPr>
            <w:tcW w:w="940" w:type="dxa"/>
            <w:gridSpan w:val="2"/>
            <w:tcBorders>
              <w:tl2br w:val="nil"/>
              <w:tr2bl w:val="nil"/>
            </w:tcBorders>
            <w:noWrap w:val="0"/>
            <w:vAlign w:val="center"/>
          </w:tcPr>
          <w:p w14:paraId="2708433B">
            <w:pPr>
              <w:pStyle w:val="45"/>
              <w:bidi w:val="0"/>
              <w:rPr>
                <w:rFonts w:hint="default"/>
                <w:b w:val="0"/>
                <w:bCs/>
                <w:color w:val="auto"/>
                <w:highlight w:val="none"/>
              </w:rPr>
            </w:pPr>
          </w:p>
        </w:tc>
      </w:tr>
      <w:tr w14:paraId="47384D3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728" w:type="dxa"/>
            <w:vMerge w:val="continue"/>
            <w:tcBorders>
              <w:tl2br w:val="nil"/>
              <w:tr2bl w:val="nil"/>
            </w:tcBorders>
            <w:noWrap w:val="0"/>
            <w:vAlign w:val="center"/>
          </w:tcPr>
          <w:p w14:paraId="726A2C3A">
            <w:pPr>
              <w:pStyle w:val="45"/>
              <w:bidi w:val="0"/>
              <w:rPr>
                <w:rFonts w:hint="default"/>
                <w:b w:val="0"/>
                <w:bCs/>
                <w:color w:val="auto"/>
                <w:highlight w:val="none"/>
              </w:rPr>
            </w:pPr>
          </w:p>
        </w:tc>
        <w:tc>
          <w:tcPr>
            <w:tcW w:w="3597" w:type="dxa"/>
            <w:gridSpan w:val="3"/>
            <w:tcBorders>
              <w:tl2br w:val="nil"/>
              <w:tr2bl w:val="nil"/>
            </w:tcBorders>
            <w:noWrap w:val="0"/>
            <w:vAlign w:val="center"/>
          </w:tcPr>
          <w:p w14:paraId="1B0A8403">
            <w:pPr>
              <w:pStyle w:val="45"/>
              <w:bidi w:val="0"/>
              <w:rPr>
                <w:rFonts w:hint="default"/>
                <w:b w:val="0"/>
                <w:bCs/>
                <w:color w:val="auto"/>
                <w:highlight w:val="none"/>
              </w:rPr>
            </w:pPr>
            <w:r>
              <w:rPr>
                <w:rFonts w:hint="default"/>
                <w:b w:val="0"/>
                <w:bCs/>
                <w:color w:val="auto"/>
                <w:highlight w:val="none"/>
              </w:rPr>
              <w:t>容量系数</w:t>
            </w:r>
          </w:p>
        </w:tc>
        <w:tc>
          <w:tcPr>
            <w:tcW w:w="1319" w:type="dxa"/>
            <w:tcBorders>
              <w:tl2br w:val="nil"/>
              <w:tr2bl w:val="nil"/>
            </w:tcBorders>
            <w:noWrap w:val="0"/>
            <w:vAlign w:val="center"/>
          </w:tcPr>
          <w:p w14:paraId="430C565F">
            <w:pPr>
              <w:pStyle w:val="45"/>
              <w:bidi w:val="0"/>
              <w:rPr>
                <w:rFonts w:hint="default"/>
                <w:b w:val="0"/>
                <w:bCs/>
                <w:color w:val="auto"/>
                <w:highlight w:val="none"/>
              </w:rPr>
            </w:pPr>
          </w:p>
        </w:tc>
        <w:tc>
          <w:tcPr>
            <w:tcW w:w="1575" w:type="dxa"/>
            <w:tcBorders>
              <w:tl2br w:val="nil"/>
              <w:tr2bl w:val="nil"/>
            </w:tcBorders>
            <w:noWrap w:val="0"/>
            <w:vAlign w:val="center"/>
          </w:tcPr>
          <w:p w14:paraId="206C216A">
            <w:pPr>
              <w:pStyle w:val="45"/>
              <w:bidi w:val="0"/>
              <w:rPr>
                <w:rFonts w:hint="default"/>
                <w:b w:val="0"/>
                <w:bCs/>
                <w:color w:val="auto"/>
                <w:highlight w:val="none"/>
                <w:lang w:val="en-US" w:eastAsia="zh-CN"/>
              </w:rPr>
            </w:pPr>
            <w:r>
              <w:rPr>
                <w:rFonts w:hint="eastAsia"/>
                <w:b w:val="0"/>
                <w:bCs/>
                <w:color w:val="auto"/>
                <w:highlight w:val="none"/>
                <w:lang w:val="en-US" w:eastAsia="zh-CN"/>
              </w:rPr>
              <w:t>0.237</w:t>
            </w:r>
          </w:p>
        </w:tc>
        <w:tc>
          <w:tcPr>
            <w:tcW w:w="940" w:type="dxa"/>
            <w:gridSpan w:val="2"/>
            <w:tcBorders>
              <w:tl2br w:val="nil"/>
              <w:tr2bl w:val="nil"/>
            </w:tcBorders>
            <w:noWrap w:val="0"/>
            <w:vAlign w:val="center"/>
          </w:tcPr>
          <w:p w14:paraId="3B785477">
            <w:pPr>
              <w:pStyle w:val="45"/>
              <w:bidi w:val="0"/>
              <w:rPr>
                <w:rFonts w:hint="default"/>
                <w:b w:val="0"/>
                <w:bCs/>
                <w:color w:val="auto"/>
                <w:highlight w:val="none"/>
              </w:rPr>
            </w:pPr>
          </w:p>
        </w:tc>
      </w:tr>
    </w:tbl>
    <w:p w14:paraId="10AF8073">
      <w:pPr>
        <w:pStyle w:val="5"/>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主要工程方案</w:t>
      </w:r>
    </w:p>
    <w:p w14:paraId="3E568FEC">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风机机组区</w:t>
      </w:r>
    </w:p>
    <w:p w14:paraId="77C747BE">
      <w:pPr>
        <w:bidi w:val="0"/>
        <w:rPr>
          <w:rFonts w:hint="eastAsia"/>
          <w:color w:val="auto"/>
          <w:highlight w:val="none"/>
          <w:lang w:val="en-US" w:eastAsia="zh-CN"/>
        </w:rPr>
      </w:pPr>
      <w:r>
        <w:rPr>
          <w:rFonts w:hint="eastAsia"/>
          <w:color w:val="auto"/>
          <w:highlight w:val="none"/>
          <w:lang w:val="en-US" w:eastAsia="zh-CN"/>
        </w:rPr>
        <w:t>根据主体设计，风机机组区包括风机机组、箱式变压器及风机机组的安装场地。</w:t>
      </w:r>
    </w:p>
    <w:p w14:paraId="0F7CB701">
      <w:pPr>
        <w:bidi w:val="0"/>
        <w:rPr>
          <w:rFonts w:hint="default"/>
          <w:b/>
          <w:bCs/>
          <w:color w:val="auto"/>
          <w:highlight w:val="none"/>
          <w:lang w:val="en-US" w:eastAsia="zh-CN"/>
        </w:rPr>
      </w:pPr>
      <w:r>
        <w:rPr>
          <w:rFonts w:hint="eastAsia"/>
          <w:b/>
          <w:bCs/>
          <w:color w:val="auto"/>
          <w:highlight w:val="none"/>
          <w:lang w:val="en-US" w:eastAsia="zh-CN"/>
        </w:rPr>
        <w:t>1、风电机组</w:t>
      </w:r>
    </w:p>
    <w:p w14:paraId="5B159C62">
      <w:pPr>
        <w:bidi w:val="0"/>
        <w:rPr>
          <w:rFonts w:hint="eastAsia"/>
          <w:color w:val="auto"/>
          <w:highlight w:val="none"/>
          <w:lang w:val="en-US" w:eastAsia="zh-CN"/>
        </w:rPr>
      </w:pPr>
      <w:r>
        <w:rPr>
          <w:rFonts w:hint="eastAsia"/>
          <w:color w:val="auto"/>
          <w:highlight w:val="none"/>
          <w:lang w:val="en-US" w:eastAsia="zh-CN"/>
        </w:rPr>
        <w:t>拟定圆形扩展承台基础采用C40混凝土，基础分上、下两部分，上部为圆形柱体，高1.80m，直径为7.20m；下部为圆形台柱体，底面直径为22.40m，</w:t>
      </w:r>
    </w:p>
    <w:p w14:paraId="39E6F7FB">
      <w:pPr>
        <w:bidi w:val="0"/>
        <w:rPr>
          <w:rFonts w:hint="eastAsia"/>
          <w:color w:val="auto"/>
          <w:highlight w:val="none"/>
          <w:lang w:val="en-US" w:eastAsia="zh-CN"/>
        </w:rPr>
      </w:pPr>
      <w:r>
        <w:rPr>
          <w:rFonts w:hint="eastAsia"/>
          <w:color w:val="auto"/>
          <w:highlight w:val="none"/>
          <w:lang w:val="en-US" w:eastAsia="zh-CN"/>
        </w:rPr>
        <w:t>最大高度为3.10m，最小高度为1.00m，风机基础埋深为4.5m。</w:t>
      </w:r>
    </w:p>
    <w:p w14:paraId="6737BE68">
      <w:pPr>
        <w:bidi w:val="0"/>
        <w:rPr>
          <w:rFonts w:hint="eastAsia" w:ascii="Times New Roman" w:hAnsi="Times New Roman" w:eastAsia="宋体" w:cs="Times New Roman"/>
          <w:b w:val="0"/>
          <w:bCs w:val="0"/>
          <w:color w:val="auto"/>
          <w:kern w:val="2"/>
          <w:szCs w:val="24"/>
          <w:highlight w:val="none"/>
          <w:u w:val="none"/>
          <w:lang w:val="en-US" w:eastAsia="zh-CN" w:bidi="ar-SA"/>
        </w:rPr>
      </w:pPr>
      <w:r>
        <w:rPr>
          <w:rFonts w:hint="eastAsia"/>
          <w:color w:val="auto"/>
          <w:highlight w:val="none"/>
          <w:lang w:val="en-US" w:eastAsia="zh-CN"/>
        </w:rPr>
        <w:t>南冲风电场装机容量为100MW，设计采用20台WTG200-5000的风力发电机组，作为本风电场的代表机型。两种机型特性及经济指标见下表。</w:t>
      </w:r>
    </w:p>
    <w:p w14:paraId="2C1CE32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kern w:val="2"/>
          <w:sz w:val="24"/>
          <w:szCs w:val="24"/>
          <w:highlight w:val="none"/>
          <w:u w:val="none"/>
          <w:lang w:val="en-US" w:eastAsia="zh-CN" w:bidi="ar-SA"/>
        </w:rPr>
      </w:pPr>
      <w:r>
        <w:rPr>
          <w:rFonts w:hint="eastAsia" w:ascii="Times New Roman" w:hAnsi="Times New Roman" w:eastAsia="宋体" w:cs="Times New Roman"/>
          <w:b/>
          <w:bCs/>
          <w:color w:val="auto"/>
          <w:kern w:val="2"/>
          <w:sz w:val="24"/>
          <w:szCs w:val="24"/>
          <w:highlight w:val="none"/>
          <w:u w:val="none"/>
          <w:lang w:val="en-US" w:eastAsia="zh-CN" w:bidi="ar-SA"/>
        </w:rPr>
        <w:t>表4.</w:t>
      </w:r>
      <w:r>
        <w:rPr>
          <w:rFonts w:hint="eastAsia" w:cs="Times New Roman"/>
          <w:b/>
          <w:bCs/>
          <w:color w:val="auto"/>
          <w:kern w:val="2"/>
          <w:sz w:val="24"/>
          <w:szCs w:val="24"/>
          <w:highlight w:val="none"/>
          <w:u w:val="none"/>
          <w:lang w:val="en-US" w:eastAsia="zh-CN" w:bidi="ar-SA"/>
        </w:rPr>
        <w:t>4</w:t>
      </w:r>
      <w:r>
        <w:rPr>
          <w:rFonts w:hint="eastAsia" w:ascii="Times New Roman" w:hAnsi="Times New Roman" w:eastAsia="宋体" w:cs="Times New Roman"/>
          <w:b/>
          <w:bCs/>
          <w:color w:val="auto"/>
          <w:kern w:val="2"/>
          <w:sz w:val="24"/>
          <w:szCs w:val="24"/>
          <w:highlight w:val="none"/>
          <w:u w:val="none"/>
          <w:lang w:val="en-US" w:eastAsia="zh-CN" w:bidi="ar-SA"/>
        </w:rPr>
        <w:t>-</w:t>
      </w:r>
      <w:r>
        <w:rPr>
          <w:rFonts w:hint="eastAsia" w:cs="Times New Roman"/>
          <w:b/>
          <w:bCs/>
          <w:color w:val="auto"/>
          <w:kern w:val="2"/>
          <w:sz w:val="24"/>
          <w:szCs w:val="24"/>
          <w:highlight w:val="none"/>
          <w:u w:val="none"/>
          <w:lang w:val="en-US" w:eastAsia="zh-CN" w:bidi="ar-SA"/>
        </w:rPr>
        <w:t>4</w:t>
      </w:r>
      <w:r>
        <w:rPr>
          <w:rFonts w:hint="eastAsia" w:ascii="Times New Roman" w:hAnsi="Times New Roman" w:eastAsia="宋体" w:cs="Times New Roman"/>
          <w:b/>
          <w:bCs/>
          <w:color w:val="auto"/>
          <w:kern w:val="2"/>
          <w:sz w:val="24"/>
          <w:szCs w:val="24"/>
          <w:highlight w:val="none"/>
          <w:u w:val="none"/>
          <w:lang w:val="en-US" w:eastAsia="zh-CN" w:bidi="ar-SA"/>
        </w:rPr>
        <w:t xml:space="preserve">  本项目风机设备选型及经济指标一览表</w:t>
      </w:r>
    </w:p>
    <w:tbl>
      <w:tblPr>
        <w:tblStyle w:val="38"/>
        <w:tblW w:w="8154"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675"/>
        <w:gridCol w:w="818"/>
        <w:gridCol w:w="2451"/>
        <w:gridCol w:w="1146"/>
        <w:gridCol w:w="3064"/>
      </w:tblGrid>
      <w:tr w14:paraId="1114632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944" w:type="dxa"/>
            <w:gridSpan w:val="3"/>
            <w:tcBorders>
              <w:tl2br w:val="nil"/>
              <w:tr2bl w:val="nil"/>
            </w:tcBorders>
            <w:noWrap w:val="0"/>
            <w:vAlign w:val="center"/>
          </w:tcPr>
          <w:p w14:paraId="518BC5B7">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项目</w:t>
            </w:r>
          </w:p>
        </w:tc>
        <w:tc>
          <w:tcPr>
            <w:tcW w:w="1146" w:type="dxa"/>
            <w:tcBorders>
              <w:tl2br w:val="nil"/>
              <w:tr2bl w:val="nil"/>
            </w:tcBorders>
            <w:noWrap w:val="0"/>
            <w:vAlign w:val="center"/>
          </w:tcPr>
          <w:p w14:paraId="2EF848F5">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单位</w:t>
            </w:r>
          </w:p>
        </w:tc>
        <w:tc>
          <w:tcPr>
            <w:tcW w:w="3064" w:type="dxa"/>
            <w:tcBorders>
              <w:tl2br w:val="nil"/>
              <w:tr2bl w:val="nil"/>
            </w:tcBorders>
            <w:noWrap w:val="0"/>
            <w:vAlign w:val="center"/>
          </w:tcPr>
          <w:p w14:paraId="340DD158">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WTG200-5.0</w:t>
            </w:r>
          </w:p>
        </w:tc>
      </w:tr>
      <w:tr w14:paraId="316123C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75" w:type="dxa"/>
            <w:vMerge w:val="restart"/>
            <w:tcBorders>
              <w:tl2br w:val="nil"/>
              <w:tr2bl w:val="nil"/>
            </w:tcBorders>
            <w:noWrap w:val="0"/>
            <w:vAlign w:val="center"/>
          </w:tcPr>
          <w:p w14:paraId="1558041E">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机组参数</w:t>
            </w:r>
          </w:p>
        </w:tc>
        <w:tc>
          <w:tcPr>
            <w:tcW w:w="818" w:type="dxa"/>
            <w:vMerge w:val="restart"/>
            <w:tcBorders>
              <w:tl2br w:val="nil"/>
              <w:tr2bl w:val="nil"/>
            </w:tcBorders>
            <w:noWrap w:val="0"/>
            <w:vAlign w:val="center"/>
          </w:tcPr>
          <w:p w14:paraId="4957DD2E">
            <w:pPr>
              <w:pStyle w:val="45"/>
              <w:keepNext w:val="0"/>
              <w:keepLines w:val="0"/>
              <w:pageBreakBefore w:val="0"/>
              <w:widowControl/>
              <w:kinsoku/>
              <w:wordWrap/>
              <w:overflowPunct/>
              <w:topLinePunct w:val="0"/>
              <w:autoSpaceDE/>
              <w:autoSpaceDN/>
              <w:bidi w:val="0"/>
              <w:adjustRightInd w:val="0"/>
              <w:snapToGrid w:val="0"/>
              <w:textAlignment w:val="auto"/>
              <w:rPr>
                <w:rFonts w:hint="eastAsia"/>
                <w:b w:val="0"/>
                <w:bCs/>
                <w:color w:val="auto"/>
                <w:highlight w:val="none"/>
                <w:lang w:eastAsia="zh-CN"/>
              </w:rPr>
            </w:pPr>
            <w:r>
              <w:rPr>
                <w:rFonts w:hint="eastAsia"/>
                <w:b w:val="0"/>
                <w:bCs/>
                <w:color w:val="auto"/>
                <w:highlight w:val="none"/>
                <w:lang w:eastAsia="zh-CN"/>
              </w:rPr>
              <w:t>叶轮</w:t>
            </w:r>
          </w:p>
        </w:tc>
        <w:tc>
          <w:tcPr>
            <w:tcW w:w="2451" w:type="dxa"/>
            <w:tcBorders>
              <w:tl2br w:val="nil"/>
              <w:tr2bl w:val="nil"/>
            </w:tcBorders>
            <w:noWrap w:val="0"/>
            <w:vAlign w:val="center"/>
          </w:tcPr>
          <w:p w14:paraId="14D6D8DF">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叶片数</w:t>
            </w:r>
          </w:p>
        </w:tc>
        <w:tc>
          <w:tcPr>
            <w:tcW w:w="1146" w:type="dxa"/>
            <w:tcBorders>
              <w:tl2br w:val="nil"/>
              <w:tr2bl w:val="nil"/>
            </w:tcBorders>
            <w:noWrap w:val="0"/>
            <w:vAlign w:val="center"/>
          </w:tcPr>
          <w:p w14:paraId="4A55731A">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片</w:t>
            </w:r>
          </w:p>
        </w:tc>
        <w:tc>
          <w:tcPr>
            <w:tcW w:w="3064" w:type="dxa"/>
            <w:tcBorders>
              <w:tl2br w:val="nil"/>
              <w:tr2bl w:val="nil"/>
            </w:tcBorders>
            <w:noWrap w:val="0"/>
            <w:vAlign w:val="center"/>
          </w:tcPr>
          <w:p w14:paraId="73A12720">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3</w:t>
            </w:r>
          </w:p>
        </w:tc>
      </w:tr>
      <w:tr w14:paraId="1724A09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75" w:type="dxa"/>
            <w:vMerge w:val="continue"/>
            <w:tcBorders>
              <w:tl2br w:val="nil"/>
              <w:tr2bl w:val="nil"/>
            </w:tcBorders>
            <w:noWrap w:val="0"/>
            <w:vAlign w:val="center"/>
          </w:tcPr>
          <w:p w14:paraId="0640DC81">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818" w:type="dxa"/>
            <w:vMerge w:val="continue"/>
            <w:tcBorders>
              <w:tl2br w:val="nil"/>
              <w:tr2bl w:val="nil"/>
            </w:tcBorders>
            <w:noWrap w:val="0"/>
            <w:vAlign w:val="center"/>
          </w:tcPr>
          <w:p w14:paraId="2987BE99">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2451" w:type="dxa"/>
            <w:tcBorders>
              <w:tl2br w:val="nil"/>
              <w:tr2bl w:val="nil"/>
            </w:tcBorders>
            <w:noWrap w:val="0"/>
            <w:vAlign w:val="center"/>
          </w:tcPr>
          <w:p w14:paraId="0241FD3F">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default"/>
                <w:b w:val="0"/>
                <w:bCs/>
                <w:color w:val="auto"/>
                <w:highlight w:val="none"/>
              </w:rPr>
              <w:t>叶轮直径</w:t>
            </w:r>
          </w:p>
        </w:tc>
        <w:tc>
          <w:tcPr>
            <w:tcW w:w="1146" w:type="dxa"/>
            <w:tcBorders>
              <w:tl2br w:val="nil"/>
              <w:tr2bl w:val="nil"/>
            </w:tcBorders>
            <w:noWrap w:val="0"/>
            <w:vAlign w:val="center"/>
          </w:tcPr>
          <w:p w14:paraId="73D8C21B">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default"/>
                <w:b w:val="0"/>
                <w:bCs/>
                <w:color w:val="auto"/>
                <w:highlight w:val="none"/>
              </w:rPr>
              <w:t>m</w:t>
            </w:r>
          </w:p>
        </w:tc>
        <w:tc>
          <w:tcPr>
            <w:tcW w:w="3064" w:type="dxa"/>
            <w:tcBorders>
              <w:tl2br w:val="nil"/>
              <w:tr2bl w:val="nil"/>
            </w:tcBorders>
            <w:noWrap w:val="0"/>
            <w:vAlign w:val="center"/>
          </w:tcPr>
          <w:p w14:paraId="0AB52E3C">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default"/>
                <w:b w:val="0"/>
                <w:bCs/>
                <w:color w:val="auto"/>
                <w:highlight w:val="none"/>
              </w:rPr>
              <w:t>200</w:t>
            </w:r>
          </w:p>
        </w:tc>
      </w:tr>
      <w:tr w14:paraId="4466BEB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75" w:type="dxa"/>
            <w:vMerge w:val="continue"/>
            <w:tcBorders>
              <w:tl2br w:val="nil"/>
              <w:tr2bl w:val="nil"/>
            </w:tcBorders>
            <w:noWrap w:val="0"/>
            <w:vAlign w:val="center"/>
          </w:tcPr>
          <w:p w14:paraId="67859C06">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818" w:type="dxa"/>
            <w:vMerge w:val="continue"/>
            <w:tcBorders>
              <w:tl2br w:val="nil"/>
              <w:tr2bl w:val="nil"/>
            </w:tcBorders>
            <w:noWrap w:val="0"/>
            <w:vAlign w:val="center"/>
          </w:tcPr>
          <w:p w14:paraId="4ACC5B2E">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2451" w:type="dxa"/>
            <w:tcBorders>
              <w:tl2br w:val="nil"/>
              <w:tr2bl w:val="nil"/>
            </w:tcBorders>
            <w:noWrap w:val="0"/>
            <w:vAlign w:val="center"/>
          </w:tcPr>
          <w:p w14:paraId="2E991ED8">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default"/>
                <w:b w:val="0"/>
                <w:bCs/>
                <w:color w:val="auto"/>
                <w:highlight w:val="none"/>
              </w:rPr>
              <w:t>轮毂高度</w:t>
            </w:r>
          </w:p>
        </w:tc>
        <w:tc>
          <w:tcPr>
            <w:tcW w:w="1146" w:type="dxa"/>
            <w:tcBorders>
              <w:tl2br w:val="nil"/>
              <w:tr2bl w:val="nil"/>
            </w:tcBorders>
            <w:noWrap w:val="0"/>
            <w:vAlign w:val="center"/>
          </w:tcPr>
          <w:p w14:paraId="4C0A1CF0">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default"/>
                <w:b w:val="0"/>
                <w:bCs/>
                <w:color w:val="auto"/>
                <w:highlight w:val="none"/>
              </w:rPr>
              <w:t>m</w:t>
            </w:r>
          </w:p>
        </w:tc>
        <w:tc>
          <w:tcPr>
            <w:tcW w:w="3064" w:type="dxa"/>
            <w:tcBorders>
              <w:tl2br w:val="nil"/>
              <w:tr2bl w:val="nil"/>
            </w:tcBorders>
            <w:noWrap w:val="0"/>
            <w:vAlign w:val="center"/>
          </w:tcPr>
          <w:p w14:paraId="0CB7D948">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default"/>
                <w:b w:val="0"/>
                <w:bCs/>
                <w:color w:val="auto"/>
                <w:highlight w:val="none"/>
              </w:rPr>
              <w:t>115</w:t>
            </w:r>
          </w:p>
        </w:tc>
      </w:tr>
      <w:tr w14:paraId="7E0B58A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75" w:type="dxa"/>
            <w:vMerge w:val="continue"/>
            <w:tcBorders>
              <w:tl2br w:val="nil"/>
              <w:tr2bl w:val="nil"/>
            </w:tcBorders>
            <w:noWrap w:val="0"/>
            <w:vAlign w:val="center"/>
          </w:tcPr>
          <w:p w14:paraId="3670ED29">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818" w:type="dxa"/>
            <w:vMerge w:val="continue"/>
            <w:tcBorders>
              <w:tl2br w:val="nil"/>
              <w:tr2bl w:val="nil"/>
            </w:tcBorders>
            <w:noWrap w:val="0"/>
            <w:vAlign w:val="center"/>
          </w:tcPr>
          <w:p w14:paraId="128E0219">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2451" w:type="dxa"/>
            <w:tcBorders>
              <w:tl2br w:val="nil"/>
              <w:tr2bl w:val="nil"/>
            </w:tcBorders>
            <w:noWrap w:val="0"/>
            <w:vAlign w:val="center"/>
          </w:tcPr>
          <w:p w14:paraId="17F23D46">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功率调节方式</w:t>
            </w:r>
          </w:p>
        </w:tc>
        <w:tc>
          <w:tcPr>
            <w:tcW w:w="1146" w:type="dxa"/>
            <w:tcBorders>
              <w:tl2br w:val="nil"/>
              <w:tr2bl w:val="nil"/>
            </w:tcBorders>
            <w:noWrap w:val="0"/>
            <w:vAlign w:val="center"/>
          </w:tcPr>
          <w:p w14:paraId="18BAC665">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3064" w:type="dxa"/>
            <w:tcBorders>
              <w:tl2br w:val="nil"/>
              <w:tr2bl w:val="nil"/>
            </w:tcBorders>
            <w:noWrap w:val="0"/>
            <w:vAlign w:val="center"/>
          </w:tcPr>
          <w:p w14:paraId="7BDA5CB5">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变速恒频</w:t>
            </w:r>
          </w:p>
        </w:tc>
      </w:tr>
      <w:tr w14:paraId="5655DBB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75" w:type="dxa"/>
            <w:vMerge w:val="continue"/>
            <w:tcBorders>
              <w:tl2br w:val="nil"/>
              <w:tr2bl w:val="nil"/>
            </w:tcBorders>
            <w:noWrap w:val="0"/>
            <w:vAlign w:val="center"/>
          </w:tcPr>
          <w:p w14:paraId="4BAC4594">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818" w:type="dxa"/>
            <w:vMerge w:val="continue"/>
            <w:tcBorders>
              <w:tl2br w:val="nil"/>
              <w:tr2bl w:val="nil"/>
            </w:tcBorders>
            <w:noWrap w:val="0"/>
            <w:vAlign w:val="center"/>
          </w:tcPr>
          <w:p w14:paraId="56A9D98E">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2451" w:type="dxa"/>
            <w:tcBorders>
              <w:tl2br w:val="nil"/>
              <w:tr2bl w:val="nil"/>
            </w:tcBorders>
            <w:noWrap w:val="0"/>
            <w:vAlign w:val="center"/>
          </w:tcPr>
          <w:p w14:paraId="7F3AD38C">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切入风速</w:t>
            </w:r>
          </w:p>
        </w:tc>
        <w:tc>
          <w:tcPr>
            <w:tcW w:w="1146" w:type="dxa"/>
            <w:tcBorders>
              <w:tl2br w:val="nil"/>
              <w:tr2bl w:val="nil"/>
            </w:tcBorders>
            <w:noWrap w:val="0"/>
            <w:vAlign w:val="center"/>
          </w:tcPr>
          <w:p w14:paraId="23C3FDB6">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default"/>
                <w:b w:val="0"/>
                <w:bCs/>
                <w:color w:val="auto"/>
                <w:highlight w:val="none"/>
              </w:rPr>
              <w:t>m/s</w:t>
            </w:r>
          </w:p>
        </w:tc>
        <w:tc>
          <w:tcPr>
            <w:tcW w:w="3064" w:type="dxa"/>
            <w:tcBorders>
              <w:tl2br w:val="nil"/>
              <w:tr2bl w:val="nil"/>
            </w:tcBorders>
            <w:noWrap w:val="0"/>
            <w:vAlign w:val="center"/>
          </w:tcPr>
          <w:p w14:paraId="420CF100">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default"/>
                <w:b w:val="0"/>
                <w:bCs/>
                <w:color w:val="auto"/>
                <w:highlight w:val="none"/>
              </w:rPr>
              <w:t>2.5</w:t>
            </w:r>
          </w:p>
        </w:tc>
      </w:tr>
      <w:tr w14:paraId="159A4AF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75" w:type="dxa"/>
            <w:vMerge w:val="continue"/>
            <w:tcBorders>
              <w:tl2br w:val="nil"/>
              <w:tr2bl w:val="nil"/>
            </w:tcBorders>
            <w:noWrap w:val="0"/>
            <w:vAlign w:val="center"/>
          </w:tcPr>
          <w:p w14:paraId="64BFA57B">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818" w:type="dxa"/>
            <w:vMerge w:val="continue"/>
            <w:tcBorders>
              <w:tl2br w:val="nil"/>
              <w:tr2bl w:val="nil"/>
            </w:tcBorders>
            <w:noWrap w:val="0"/>
            <w:vAlign w:val="center"/>
          </w:tcPr>
          <w:p w14:paraId="6D4EB57B">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2451" w:type="dxa"/>
            <w:tcBorders>
              <w:tl2br w:val="nil"/>
              <w:tr2bl w:val="nil"/>
            </w:tcBorders>
            <w:noWrap w:val="0"/>
            <w:vAlign w:val="center"/>
          </w:tcPr>
          <w:p w14:paraId="46E4112D">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default"/>
                <w:b w:val="0"/>
                <w:bCs/>
                <w:color w:val="auto"/>
                <w:highlight w:val="none"/>
              </w:rPr>
              <w:t>切出风速</w:t>
            </w:r>
          </w:p>
        </w:tc>
        <w:tc>
          <w:tcPr>
            <w:tcW w:w="1146" w:type="dxa"/>
            <w:tcBorders>
              <w:tl2br w:val="nil"/>
              <w:tr2bl w:val="nil"/>
            </w:tcBorders>
            <w:noWrap w:val="0"/>
            <w:vAlign w:val="center"/>
          </w:tcPr>
          <w:p w14:paraId="0985A7F1">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default"/>
                <w:b w:val="0"/>
                <w:bCs/>
                <w:color w:val="auto"/>
                <w:highlight w:val="none"/>
              </w:rPr>
              <w:t>m/s</w:t>
            </w:r>
          </w:p>
        </w:tc>
        <w:tc>
          <w:tcPr>
            <w:tcW w:w="3064" w:type="dxa"/>
            <w:tcBorders>
              <w:tl2br w:val="nil"/>
              <w:tr2bl w:val="nil"/>
            </w:tcBorders>
            <w:noWrap w:val="0"/>
            <w:vAlign w:val="center"/>
          </w:tcPr>
          <w:p w14:paraId="7E880CF1">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default"/>
                <w:b w:val="0"/>
                <w:bCs/>
                <w:color w:val="auto"/>
                <w:highlight w:val="none"/>
              </w:rPr>
              <w:t>20</w:t>
            </w:r>
          </w:p>
        </w:tc>
      </w:tr>
      <w:tr w14:paraId="28B2D63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75" w:type="dxa"/>
            <w:vMerge w:val="continue"/>
            <w:tcBorders>
              <w:tl2br w:val="nil"/>
              <w:tr2bl w:val="nil"/>
            </w:tcBorders>
            <w:noWrap w:val="0"/>
            <w:vAlign w:val="center"/>
          </w:tcPr>
          <w:p w14:paraId="54E4119B">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818" w:type="dxa"/>
            <w:vMerge w:val="continue"/>
            <w:tcBorders>
              <w:tl2br w:val="nil"/>
              <w:tr2bl w:val="nil"/>
            </w:tcBorders>
            <w:noWrap w:val="0"/>
            <w:vAlign w:val="center"/>
          </w:tcPr>
          <w:p w14:paraId="28EF09AF">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2451" w:type="dxa"/>
            <w:tcBorders>
              <w:tl2br w:val="nil"/>
              <w:tr2bl w:val="nil"/>
            </w:tcBorders>
            <w:noWrap w:val="0"/>
            <w:vAlign w:val="center"/>
          </w:tcPr>
          <w:p w14:paraId="0E71107A">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default"/>
                <w:b w:val="0"/>
                <w:bCs/>
                <w:color w:val="auto"/>
                <w:highlight w:val="none"/>
              </w:rPr>
              <w:t>额定风速</w:t>
            </w:r>
          </w:p>
        </w:tc>
        <w:tc>
          <w:tcPr>
            <w:tcW w:w="1146" w:type="dxa"/>
            <w:tcBorders>
              <w:tl2br w:val="nil"/>
              <w:tr2bl w:val="nil"/>
            </w:tcBorders>
            <w:noWrap w:val="0"/>
            <w:vAlign w:val="center"/>
          </w:tcPr>
          <w:p w14:paraId="232CC524">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default"/>
                <w:b w:val="0"/>
                <w:bCs/>
                <w:color w:val="auto"/>
                <w:highlight w:val="none"/>
              </w:rPr>
              <w:t>m/s</w:t>
            </w:r>
          </w:p>
        </w:tc>
        <w:tc>
          <w:tcPr>
            <w:tcW w:w="3064" w:type="dxa"/>
            <w:tcBorders>
              <w:tl2br w:val="nil"/>
              <w:tr2bl w:val="nil"/>
            </w:tcBorders>
            <w:noWrap w:val="0"/>
            <w:vAlign w:val="center"/>
          </w:tcPr>
          <w:p w14:paraId="4B1F73A9">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default"/>
                <w:b w:val="0"/>
                <w:bCs/>
                <w:color w:val="auto"/>
                <w:highlight w:val="none"/>
              </w:rPr>
              <w:t>9.5</w:t>
            </w:r>
          </w:p>
        </w:tc>
      </w:tr>
      <w:tr w14:paraId="315EA80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75" w:type="dxa"/>
            <w:vMerge w:val="continue"/>
            <w:tcBorders>
              <w:tl2br w:val="nil"/>
              <w:tr2bl w:val="nil"/>
            </w:tcBorders>
            <w:noWrap w:val="0"/>
            <w:vAlign w:val="center"/>
          </w:tcPr>
          <w:p w14:paraId="0385539B">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818" w:type="dxa"/>
            <w:vMerge w:val="restart"/>
            <w:tcBorders>
              <w:tl2br w:val="nil"/>
              <w:tr2bl w:val="nil"/>
            </w:tcBorders>
            <w:noWrap w:val="0"/>
            <w:vAlign w:val="center"/>
          </w:tcPr>
          <w:p w14:paraId="34C21DEF">
            <w:pPr>
              <w:pStyle w:val="45"/>
              <w:keepNext w:val="0"/>
              <w:keepLines w:val="0"/>
              <w:pageBreakBefore w:val="0"/>
              <w:widowControl/>
              <w:kinsoku/>
              <w:wordWrap/>
              <w:overflowPunct/>
              <w:topLinePunct w:val="0"/>
              <w:autoSpaceDE/>
              <w:autoSpaceDN/>
              <w:bidi w:val="0"/>
              <w:adjustRightInd w:val="0"/>
              <w:snapToGrid w:val="0"/>
              <w:textAlignment w:val="auto"/>
              <w:rPr>
                <w:rFonts w:hint="eastAsia"/>
                <w:b w:val="0"/>
                <w:bCs/>
                <w:color w:val="auto"/>
                <w:highlight w:val="none"/>
                <w:lang w:eastAsia="zh-CN"/>
              </w:rPr>
            </w:pPr>
            <w:r>
              <w:rPr>
                <w:rFonts w:hint="eastAsia"/>
                <w:b w:val="0"/>
                <w:bCs/>
                <w:color w:val="auto"/>
                <w:highlight w:val="none"/>
                <w:lang w:eastAsia="zh-CN"/>
              </w:rPr>
              <w:t>发电机</w:t>
            </w:r>
          </w:p>
        </w:tc>
        <w:tc>
          <w:tcPr>
            <w:tcW w:w="2451" w:type="dxa"/>
            <w:tcBorders>
              <w:tl2br w:val="nil"/>
              <w:tr2bl w:val="nil"/>
            </w:tcBorders>
            <w:noWrap w:val="0"/>
            <w:vAlign w:val="center"/>
          </w:tcPr>
          <w:p w14:paraId="761E7E6E">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型式</w:t>
            </w:r>
          </w:p>
        </w:tc>
        <w:tc>
          <w:tcPr>
            <w:tcW w:w="1146" w:type="dxa"/>
            <w:tcBorders>
              <w:tl2br w:val="nil"/>
              <w:tr2bl w:val="nil"/>
            </w:tcBorders>
            <w:noWrap w:val="0"/>
            <w:vAlign w:val="center"/>
          </w:tcPr>
          <w:p w14:paraId="4CE55C65">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3064" w:type="dxa"/>
            <w:tcBorders>
              <w:tl2br w:val="nil"/>
              <w:tr2bl w:val="nil"/>
            </w:tcBorders>
            <w:noWrap w:val="0"/>
            <w:vAlign w:val="center"/>
          </w:tcPr>
          <w:p w14:paraId="17BF02A1">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永磁直驱</w:t>
            </w:r>
          </w:p>
        </w:tc>
      </w:tr>
      <w:tr w14:paraId="1CF2386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75" w:type="dxa"/>
            <w:vMerge w:val="continue"/>
            <w:tcBorders>
              <w:tl2br w:val="nil"/>
              <w:tr2bl w:val="nil"/>
            </w:tcBorders>
            <w:noWrap w:val="0"/>
            <w:vAlign w:val="center"/>
          </w:tcPr>
          <w:p w14:paraId="608BC9BF">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818" w:type="dxa"/>
            <w:vMerge w:val="continue"/>
            <w:tcBorders>
              <w:tl2br w:val="nil"/>
              <w:tr2bl w:val="nil"/>
            </w:tcBorders>
            <w:noWrap w:val="0"/>
            <w:vAlign w:val="center"/>
          </w:tcPr>
          <w:p w14:paraId="74BF1FEF">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2451" w:type="dxa"/>
            <w:tcBorders>
              <w:tl2br w:val="nil"/>
              <w:tr2bl w:val="nil"/>
            </w:tcBorders>
            <w:noWrap w:val="0"/>
            <w:vAlign w:val="center"/>
          </w:tcPr>
          <w:p w14:paraId="643B20DD">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额定功率</w:t>
            </w:r>
          </w:p>
        </w:tc>
        <w:tc>
          <w:tcPr>
            <w:tcW w:w="1146" w:type="dxa"/>
            <w:tcBorders>
              <w:tl2br w:val="nil"/>
              <w:tr2bl w:val="nil"/>
            </w:tcBorders>
            <w:noWrap w:val="0"/>
            <w:vAlign w:val="center"/>
          </w:tcPr>
          <w:p w14:paraId="1F5CF8EF">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kW</w:t>
            </w:r>
          </w:p>
        </w:tc>
        <w:tc>
          <w:tcPr>
            <w:tcW w:w="3064" w:type="dxa"/>
            <w:tcBorders>
              <w:tl2br w:val="nil"/>
              <w:tr2bl w:val="nil"/>
            </w:tcBorders>
            <w:noWrap w:val="0"/>
            <w:vAlign w:val="center"/>
          </w:tcPr>
          <w:p w14:paraId="4495EBE5">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5000</w:t>
            </w:r>
          </w:p>
        </w:tc>
      </w:tr>
      <w:tr w14:paraId="39D385E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75" w:type="dxa"/>
            <w:vMerge w:val="continue"/>
            <w:tcBorders>
              <w:tl2br w:val="nil"/>
              <w:tr2bl w:val="nil"/>
            </w:tcBorders>
            <w:noWrap w:val="0"/>
            <w:vAlign w:val="center"/>
          </w:tcPr>
          <w:p w14:paraId="34A08FE7">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818" w:type="dxa"/>
            <w:vMerge w:val="continue"/>
            <w:tcBorders>
              <w:tl2br w:val="nil"/>
              <w:tr2bl w:val="nil"/>
            </w:tcBorders>
            <w:noWrap w:val="0"/>
            <w:vAlign w:val="center"/>
          </w:tcPr>
          <w:p w14:paraId="443D1F6A">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2451" w:type="dxa"/>
            <w:tcBorders>
              <w:tl2br w:val="nil"/>
              <w:tr2bl w:val="nil"/>
            </w:tcBorders>
            <w:noWrap w:val="0"/>
            <w:vAlign w:val="center"/>
          </w:tcPr>
          <w:p w14:paraId="07395E0E">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电压</w:t>
            </w:r>
          </w:p>
        </w:tc>
        <w:tc>
          <w:tcPr>
            <w:tcW w:w="1146" w:type="dxa"/>
            <w:tcBorders>
              <w:tl2br w:val="nil"/>
              <w:tr2bl w:val="nil"/>
            </w:tcBorders>
            <w:noWrap w:val="0"/>
            <w:vAlign w:val="center"/>
          </w:tcPr>
          <w:p w14:paraId="24013846">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V</w:t>
            </w:r>
          </w:p>
        </w:tc>
        <w:tc>
          <w:tcPr>
            <w:tcW w:w="3064" w:type="dxa"/>
            <w:tcBorders>
              <w:tl2br w:val="nil"/>
              <w:tr2bl w:val="nil"/>
            </w:tcBorders>
            <w:noWrap w:val="0"/>
            <w:vAlign w:val="center"/>
          </w:tcPr>
          <w:p w14:paraId="6A76C7E0">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1140</w:t>
            </w:r>
          </w:p>
        </w:tc>
      </w:tr>
      <w:tr w14:paraId="10B7BB6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75" w:type="dxa"/>
            <w:vMerge w:val="continue"/>
            <w:tcBorders>
              <w:tl2br w:val="nil"/>
              <w:tr2bl w:val="nil"/>
            </w:tcBorders>
            <w:noWrap w:val="0"/>
            <w:vAlign w:val="center"/>
          </w:tcPr>
          <w:p w14:paraId="2A46BC33">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818" w:type="dxa"/>
            <w:vMerge w:val="continue"/>
            <w:tcBorders>
              <w:tl2br w:val="nil"/>
              <w:tr2bl w:val="nil"/>
            </w:tcBorders>
            <w:noWrap w:val="0"/>
            <w:vAlign w:val="center"/>
          </w:tcPr>
          <w:p w14:paraId="35DDC7CF">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2451" w:type="dxa"/>
            <w:tcBorders>
              <w:tl2br w:val="nil"/>
              <w:tr2bl w:val="nil"/>
            </w:tcBorders>
            <w:noWrap w:val="0"/>
            <w:vAlign w:val="center"/>
          </w:tcPr>
          <w:p w14:paraId="2E7EC75B">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频率</w:t>
            </w:r>
          </w:p>
        </w:tc>
        <w:tc>
          <w:tcPr>
            <w:tcW w:w="1146" w:type="dxa"/>
            <w:tcBorders>
              <w:tl2br w:val="nil"/>
              <w:tr2bl w:val="nil"/>
            </w:tcBorders>
            <w:noWrap w:val="0"/>
            <w:vAlign w:val="center"/>
          </w:tcPr>
          <w:p w14:paraId="39D0B9EA">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Hz</w:t>
            </w:r>
          </w:p>
        </w:tc>
        <w:tc>
          <w:tcPr>
            <w:tcW w:w="3064" w:type="dxa"/>
            <w:tcBorders>
              <w:tl2br w:val="nil"/>
              <w:tr2bl w:val="nil"/>
            </w:tcBorders>
            <w:noWrap w:val="0"/>
            <w:vAlign w:val="center"/>
          </w:tcPr>
          <w:p w14:paraId="1828D288">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47.5</w:t>
            </w:r>
          </w:p>
        </w:tc>
      </w:tr>
      <w:tr w14:paraId="0576C94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75" w:type="dxa"/>
            <w:vMerge w:val="continue"/>
            <w:tcBorders>
              <w:tl2br w:val="nil"/>
              <w:tr2bl w:val="nil"/>
            </w:tcBorders>
            <w:noWrap w:val="0"/>
            <w:vAlign w:val="center"/>
          </w:tcPr>
          <w:p w14:paraId="5A2D79FA">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818" w:type="dxa"/>
            <w:tcBorders>
              <w:tl2br w:val="nil"/>
              <w:tr2bl w:val="nil"/>
            </w:tcBorders>
            <w:noWrap w:val="0"/>
            <w:vAlign w:val="center"/>
          </w:tcPr>
          <w:p w14:paraId="17179AF8">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塔架</w:t>
            </w:r>
          </w:p>
        </w:tc>
        <w:tc>
          <w:tcPr>
            <w:tcW w:w="2451" w:type="dxa"/>
            <w:tcBorders>
              <w:tl2br w:val="nil"/>
              <w:tr2bl w:val="nil"/>
            </w:tcBorders>
            <w:noWrap w:val="0"/>
            <w:vAlign w:val="center"/>
          </w:tcPr>
          <w:p w14:paraId="1F268FC4">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型式</w:t>
            </w:r>
          </w:p>
        </w:tc>
        <w:tc>
          <w:tcPr>
            <w:tcW w:w="1146" w:type="dxa"/>
            <w:tcBorders>
              <w:tl2br w:val="nil"/>
              <w:tr2bl w:val="nil"/>
            </w:tcBorders>
            <w:noWrap w:val="0"/>
            <w:vAlign w:val="center"/>
          </w:tcPr>
          <w:p w14:paraId="01A55C03">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3064" w:type="dxa"/>
            <w:tcBorders>
              <w:tl2br w:val="nil"/>
              <w:tr2bl w:val="nil"/>
            </w:tcBorders>
            <w:noWrap w:val="0"/>
            <w:vAlign w:val="center"/>
          </w:tcPr>
          <w:p w14:paraId="58D703BB">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锥管式</w:t>
            </w:r>
          </w:p>
        </w:tc>
      </w:tr>
      <w:tr w14:paraId="1CFE031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75" w:type="dxa"/>
            <w:vMerge w:val="continue"/>
            <w:tcBorders>
              <w:tl2br w:val="nil"/>
              <w:tr2bl w:val="nil"/>
            </w:tcBorders>
            <w:noWrap w:val="0"/>
            <w:vAlign w:val="center"/>
          </w:tcPr>
          <w:p w14:paraId="0DEFEE0F">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818" w:type="dxa"/>
            <w:vMerge w:val="restart"/>
            <w:tcBorders>
              <w:tl2br w:val="nil"/>
              <w:tr2bl w:val="nil"/>
            </w:tcBorders>
            <w:noWrap w:val="0"/>
            <w:vAlign w:val="center"/>
          </w:tcPr>
          <w:p w14:paraId="6450F3C5">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刹车系统</w:t>
            </w:r>
          </w:p>
        </w:tc>
        <w:tc>
          <w:tcPr>
            <w:tcW w:w="2451" w:type="dxa"/>
            <w:tcBorders>
              <w:tl2br w:val="nil"/>
              <w:tr2bl w:val="nil"/>
            </w:tcBorders>
            <w:noWrap w:val="0"/>
            <w:vAlign w:val="center"/>
          </w:tcPr>
          <w:p w14:paraId="387FF7FA">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空气刹车</w:t>
            </w:r>
          </w:p>
        </w:tc>
        <w:tc>
          <w:tcPr>
            <w:tcW w:w="1146" w:type="dxa"/>
            <w:tcBorders>
              <w:tl2br w:val="nil"/>
              <w:tr2bl w:val="nil"/>
            </w:tcBorders>
            <w:noWrap w:val="0"/>
            <w:vAlign w:val="center"/>
          </w:tcPr>
          <w:p w14:paraId="67721A66">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3064" w:type="dxa"/>
            <w:tcBorders>
              <w:tl2br w:val="nil"/>
              <w:tr2bl w:val="nil"/>
            </w:tcBorders>
            <w:noWrap w:val="0"/>
            <w:vAlign w:val="center"/>
          </w:tcPr>
          <w:p w14:paraId="7BA04009">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全顺桨</w:t>
            </w:r>
          </w:p>
        </w:tc>
      </w:tr>
      <w:tr w14:paraId="3F62970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75" w:type="dxa"/>
            <w:vMerge w:val="continue"/>
            <w:tcBorders>
              <w:tl2br w:val="nil"/>
              <w:tr2bl w:val="nil"/>
            </w:tcBorders>
            <w:noWrap w:val="0"/>
            <w:vAlign w:val="center"/>
          </w:tcPr>
          <w:p w14:paraId="18376582">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818" w:type="dxa"/>
            <w:vMerge w:val="continue"/>
            <w:tcBorders>
              <w:tl2br w:val="nil"/>
              <w:tr2bl w:val="nil"/>
            </w:tcBorders>
            <w:noWrap w:val="0"/>
            <w:vAlign w:val="center"/>
          </w:tcPr>
          <w:p w14:paraId="1F33154F">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2451" w:type="dxa"/>
            <w:tcBorders>
              <w:tl2br w:val="nil"/>
              <w:tr2bl w:val="nil"/>
            </w:tcBorders>
            <w:noWrap w:val="0"/>
            <w:vAlign w:val="center"/>
          </w:tcPr>
          <w:p w14:paraId="1DA1C721">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机械刹车</w:t>
            </w:r>
          </w:p>
        </w:tc>
        <w:tc>
          <w:tcPr>
            <w:tcW w:w="1146" w:type="dxa"/>
            <w:tcBorders>
              <w:tl2br w:val="nil"/>
              <w:tr2bl w:val="nil"/>
            </w:tcBorders>
            <w:noWrap w:val="0"/>
            <w:vAlign w:val="center"/>
          </w:tcPr>
          <w:p w14:paraId="78D76E26">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3064" w:type="dxa"/>
            <w:tcBorders>
              <w:tl2br w:val="nil"/>
              <w:tr2bl w:val="nil"/>
            </w:tcBorders>
            <w:noWrap w:val="0"/>
            <w:vAlign w:val="center"/>
          </w:tcPr>
          <w:p w14:paraId="32485E36">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碟式</w:t>
            </w:r>
          </w:p>
        </w:tc>
      </w:tr>
      <w:tr w14:paraId="1BA1DAD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75" w:type="dxa"/>
            <w:vMerge w:val="continue"/>
            <w:tcBorders>
              <w:tl2br w:val="nil"/>
              <w:tr2bl w:val="nil"/>
            </w:tcBorders>
            <w:noWrap w:val="0"/>
            <w:vAlign w:val="center"/>
          </w:tcPr>
          <w:p w14:paraId="28D25D27">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3269" w:type="dxa"/>
            <w:gridSpan w:val="2"/>
            <w:tcBorders>
              <w:tl2br w:val="nil"/>
              <w:tr2bl w:val="nil"/>
            </w:tcBorders>
            <w:noWrap w:val="0"/>
            <w:vAlign w:val="center"/>
          </w:tcPr>
          <w:p w14:paraId="17D5561E">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default"/>
                <w:b w:val="0"/>
                <w:bCs/>
                <w:color w:val="auto"/>
                <w:highlight w:val="none"/>
              </w:rPr>
              <w:t>单机容量</w:t>
            </w:r>
          </w:p>
        </w:tc>
        <w:tc>
          <w:tcPr>
            <w:tcW w:w="1146" w:type="dxa"/>
            <w:tcBorders>
              <w:tl2br w:val="nil"/>
              <w:tr2bl w:val="nil"/>
            </w:tcBorders>
            <w:noWrap w:val="0"/>
            <w:vAlign w:val="center"/>
          </w:tcPr>
          <w:p w14:paraId="3943DD10">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default"/>
                <w:b w:val="0"/>
                <w:bCs/>
                <w:color w:val="auto"/>
                <w:highlight w:val="none"/>
              </w:rPr>
              <w:t>kW</w:t>
            </w:r>
          </w:p>
        </w:tc>
        <w:tc>
          <w:tcPr>
            <w:tcW w:w="3064" w:type="dxa"/>
            <w:tcBorders>
              <w:tl2br w:val="nil"/>
              <w:tr2bl w:val="nil"/>
            </w:tcBorders>
            <w:noWrap w:val="0"/>
            <w:vAlign w:val="center"/>
          </w:tcPr>
          <w:p w14:paraId="1040C759">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default"/>
                <w:b w:val="0"/>
                <w:bCs/>
                <w:color w:val="auto"/>
                <w:highlight w:val="none"/>
              </w:rPr>
              <w:t>5000</w:t>
            </w:r>
          </w:p>
        </w:tc>
      </w:tr>
      <w:tr w14:paraId="0D1F033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75" w:type="dxa"/>
            <w:vMerge w:val="continue"/>
            <w:tcBorders>
              <w:tl2br w:val="nil"/>
              <w:tr2bl w:val="nil"/>
            </w:tcBorders>
            <w:noWrap w:val="0"/>
            <w:vAlign w:val="center"/>
          </w:tcPr>
          <w:p w14:paraId="1077AF2E">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3269" w:type="dxa"/>
            <w:gridSpan w:val="2"/>
            <w:tcBorders>
              <w:tl2br w:val="nil"/>
              <w:tr2bl w:val="nil"/>
            </w:tcBorders>
            <w:noWrap w:val="0"/>
            <w:vAlign w:val="center"/>
          </w:tcPr>
          <w:p w14:paraId="41ACD349">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机组台数</w:t>
            </w:r>
          </w:p>
        </w:tc>
        <w:tc>
          <w:tcPr>
            <w:tcW w:w="1146" w:type="dxa"/>
            <w:tcBorders>
              <w:tl2br w:val="nil"/>
              <w:tr2bl w:val="nil"/>
            </w:tcBorders>
            <w:noWrap w:val="0"/>
            <w:vAlign w:val="center"/>
          </w:tcPr>
          <w:p w14:paraId="129BA11B">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台</w:t>
            </w:r>
          </w:p>
        </w:tc>
        <w:tc>
          <w:tcPr>
            <w:tcW w:w="3064" w:type="dxa"/>
            <w:tcBorders>
              <w:tl2br w:val="nil"/>
              <w:tr2bl w:val="nil"/>
            </w:tcBorders>
            <w:noWrap w:val="0"/>
            <w:vAlign w:val="center"/>
          </w:tcPr>
          <w:p w14:paraId="0DEE836C">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eastAsia"/>
                <w:b w:val="0"/>
                <w:bCs/>
                <w:color w:val="auto"/>
                <w:highlight w:val="none"/>
                <w:lang w:val="en-US" w:eastAsia="zh-CN"/>
              </w:rPr>
              <w:t>20</w:t>
            </w:r>
          </w:p>
        </w:tc>
      </w:tr>
      <w:tr w14:paraId="1249CCD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493" w:type="dxa"/>
            <w:gridSpan w:val="2"/>
            <w:vMerge w:val="restart"/>
            <w:tcBorders>
              <w:tl2br w:val="nil"/>
              <w:tr2bl w:val="nil"/>
            </w:tcBorders>
            <w:noWrap w:val="0"/>
            <w:vAlign w:val="center"/>
          </w:tcPr>
          <w:p w14:paraId="6103D702">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年上网电量</w:t>
            </w:r>
          </w:p>
        </w:tc>
        <w:tc>
          <w:tcPr>
            <w:tcW w:w="2451" w:type="dxa"/>
            <w:tcBorders>
              <w:tl2br w:val="nil"/>
              <w:tr2bl w:val="nil"/>
            </w:tcBorders>
            <w:noWrap w:val="0"/>
            <w:vAlign w:val="center"/>
          </w:tcPr>
          <w:p w14:paraId="4AEDB9D7">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装机容量</w:t>
            </w:r>
          </w:p>
        </w:tc>
        <w:tc>
          <w:tcPr>
            <w:tcW w:w="1146" w:type="dxa"/>
            <w:tcBorders>
              <w:tl2br w:val="nil"/>
              <w:tr2bl w:val="nil"/>
            </w:tcBorders>
            <w:noWrap w:val="0"/>
            <w:vAlign w:val="center"/>
          </w:tcPr>
          <w:p w14:paraId="6ED5559A">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MW</w:t>
            </w:r>
          </w:p>
        </w:tc>
        <w:tc>
          <w:tcPr>
            <w:tcW w:w="3064" w:type="dxa"/>
            <w:tcBorders>
              <w:tl2br w:val="nil"/>
              <w:tr2bl w:val="nil"/>
            </w:tcBorders>
            <w:noWrap w:val="0"/>
            <w:vAlign w:val="center"/>
          </w:tcPr>
          <w:p w14:paraId="4922B41C">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100</w:t>
            </w:r>
          </w:p>
        </w:tc>
      </w:tr>
      <w:tr w14:paraId="25E3310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493" w:type="dxa"/>
            <w:gridSpan w:val="2"/>
            <w:vMerge w:val="continue"/>
            <w:tcBorders>
              <w:tl2br w:val="nil"/>
              <w:tr2bl w:val="nil"/>
            </w:tcBorders>
            <w:noWrap w:val="0"/>
            <w:vAlign w:val="center"/>
          </w:tcPr>
          <w:p w14:paraId="6E97B682">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2451" w:type="dxa"/>
            <w:tcBorders>
              <w:tl2br w:val="nil"/>
              <w:tr2bl w:val="nil"/>
            </w:tcBorders>
            <w:noWrap w:val="0"/>
            <w:vAlign w:val="center"/>
          </w:tcPr>
          <w:p w14:paraId="2382F4AB">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尾流影响系数</w:t>
            </w:r>
          </w:p>
        </w:tc>
        <w:tc>
          <w:tcPr>
            <w:tcW w:w="1146" w:type="dxa"/>
            <w:tcBorders>
              <w:tl2br w:val="nil"/>
              <w:tr2bl w:val="nil"/>
            </w:tcBorders>
            <w:noWrap w:val="0"/>
            <w:vAlign w:val="center"/>
          </w:tcPr>
          <w:p w14:paraId="7412B5EB">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w:t>
            </w:r>
          </w:p>
        </w:tc>
        <w:tc>
          <w:tcPr>
            <w:tcW w:w="3064" w:type="dxa"/>
            <w:tcBorders>
              <w:tl2br w:val="nil"/>
              <w:tr2bl w:val="nil"/>
            </w:tcBorders>
            <w:noWrap w:val="0"/>
            <w:vAlign w:val="center"/>
          </w:tcPr>
          <w:p w14:paraId="37424A64">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3.57</w:t>
            </w:r>
          </w:p>
        </w:tc>
      </w:tr>
      <w:tr w14:paraId="68757D8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493" w:type="dxa"/>
            <w:gridSpan w:val="2"/>
            <w:vMerge w:val="continue"/>
            <w:tcBorders>
              <w:tl2br w:val="nil"/>
              <w:tr2bl w:val="nil"/>
            </w:tcBorders>
            <w:noWrap w:val="0"/>
            <w:vAlign w:val="center"/>
          </w:tcPr>
          <w:p w14:paraId="53013DAF">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2451" w:type="dxa"/>
            <w:tcBorders>
              <w:tl2br w:val="nil"/>
              <w:tr2bl w:val="nil"/>
            </w:tcBorders>
            <w:noWrap w:val="0"/>
            <w:vAlign w:val="center"/>
          </w:tcPr>
          <w:p w14:paraId="2D51AE5F">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年上网电量</w:t>
            </w:r>
          </w:p>
        </w:tc>
        <w:tc>
          <w:tcPr>
            <w:tcW w:w="1146" w:type="dxa"/>
            <w:tcBorders>
              <w:tl2br w:val="nil"/>
              <w:tr2bl w:val="nil"/>
            </w:tcBorders>
            <w:noWrap w:val="0"/>
            <w:vAlign w:val="center"/>
          </w:tcPr>
          <w:p w14:paraId="53922E60">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万kW·h</w:t>
            </w:r>
          </w:p>
        </w:tc>
        <w:tc>
          <w:tcPr>
            <w:tcW w:w="3064" w:type="dxa"/>
            <w:tcBorders>
              <w:tl2br w:val="nil"/>
              <w:tr2bl w:val="nil"/>
            </w:tcBorders>
            <w:noWrap w:val="0"/>
            <w:vAlign w:val="center"/>
          </w:tcPr>
          <w:p w14:paraId="56844720">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eastAsia"/>
                <w:b w:val="0"/>
                <w:bCs/>
                <w:color w:val="auto"/>
                <w:highlight w:val="none"/>
                <w:lang w:val="en-US" w:eastAsia="zh-CN"/>
              </w:rPr>
              <w:t>20803</w:t>
            </w:r>
          </w:p>
        </w:tc>
      </w:tr>
      <w:tr w14:paraId="3AABD30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493" w:type="dxa"/>
            <w:gridSpan w:val="2"/>
            <w:vMerge w:val="continue"/>
            <w:tcBorders>
              <w:tl2br w:val="nil"/>
              <w:tr2bl w:val="nil"/>
            </w:tcBorders>
            <w:noWrap w:val="0"/>
            <w:vAlign w:val="center"/>
          </w:tcPr>
          <w:p w14:paraId="79A06F62">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2451" w:type="dxa"/>
            <w:tcBorders>
              <w:tl2br w:val="nil"/>
              <w:tr2bl w:val="nil"/>
            </w:tcBorders>
            <w:noWrap w:val="0"/>
            <w:vAlign w:val="center"/>
          </w:tcPr>
          <w:p w14:paraId="207B8674">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年等效满负荷小时数</w:t>
            </w:r>
          </w:p>
        </w:tc>
        <w:tc>
          <w:tcPr>
            <w:tcW w:w="1146" w:type="dxa"/>
            <w:tcBorders>
              <w:tl2br w:val="nil"/>
              <w:tr2bl w:val="nil"/>
            </w:tcBorders>
            <w:noWrap w:val="0"/>
            <w:vAlign w:val="center"/>
          </w:tcPr>
          <w:p w14:paraId="2E2E3412">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h</w:t>
            </w:r>
          </w:p>
        </w:tc>
        <w:tc>
          <w:tcPr>
            <w:tcW w:w="3064" w:type="dxa"/>
            <w:tcBorders>
              <w:tl2br w:val="nil"/>
              <w:tr2bl w:val="nil"/>
            </w:tcBorders>
            <w:noWrap w:val="0"/>
            <w:vAlign w:val="center"/>
          </w:tcPr>
          <w:p w14:paraId="66D7DA83">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eastAsia"/>
                <w:b w:val="0"/>
                <w:bCs/>
                <w:color w:val="auto"/>
                <w:highlight w:val="none"/>
                <w:lang w:val="en-US" w:eastAsia="zh-CN"/>
              </w:rPr>
              <w:t>2080</w:t>
            </w:r>
          </w:p>
        </w:tc>
      </w:tr>
      <w:tr w14:paraId="28FFA72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493" w:type="dxa"/>
            <w:gridSpan w:val="2"/>
            <w:vMerge w:val="continue"/>
            <w:tcBorders>
              <w:tl2br w:val="nil"/>
              <w:tr2bl w:val="nil"/>
            </w:tcBorders>
            <w:noWrap w:val="0"/>
            <w:vAlign w:val="center"/>
          </w:tcPr>
          <w:p w14:paraId="1918BA17">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2451" w:type="dxa"/>
            <w:tcBorders>
              <w:tl2br w:val="nil"/>
              <w:tr2bl w:val="nil"/>
            </w:tcBorders>
            <w:noWrap w:val="0"/>
            <w:vAlign w:val="center"/>
          </w:tcPr>
          <w:p w14:paraId="74855893">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容量利用系数</w:t>
            </w:r>
          </w:p>
        </w:tc>
        <w:tc>
          <w:tcPr>
            <w:tcW w:w="1146" w:type="dxa"/>
            <w:tcBorders>
              <w:tl2br w:val="nil"/>
              <w:tr2bl w:val="nil"/>
            </w:tcBorders>
            <w:noWrap w:val="0"/>
            <w:vAlign w:val="center"/>
          </w:tcPr>
          <w:p w14:paraId="58BD60EB">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w:t>
            </w:r>
          </w:p>
        </w:tc>
        <w:tc>
          <w:tcPr>
            <w:tcW w:w="3064" w:type="dxa"/>
            <w:tcBorders>
              <w:tl2br w:val="nil"/>
              <w:tr2bl w:val="nil"/>
            </w:tcBorders>
            <w:noWrap w:val="0"/>
            <w:vAlign w:val="center"/>
          </w:tcPr>
          <w:p w14:paraId="7EF254B8">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eastAsia"/>
                <w:b w:val="0"/>
                <w:bCs/>
                <w:color w:val="auto"/>
                <w:highlight w:val="none"/>
                <w:lang w:val="en-US" w:eastAsia="zh-CN"/>
              </w:rPr>
              <w:t>0.237</w:t>
            </w:r>
          </w:p>
        </w:tc>
      </w:tr>
      <w:tr w14:paraId="5B671DC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493" w:type="dxa"/>
            <w:gridSpan w:val="2"/>
            <w:vMerge w:val="restart"/>
            <w:tcBorders>
              <w:tl2br w:val="nil"/>
              <w:tr2bl w:val="nil"/>
            </w:tcBorders>
            <w:noWrap w:val="0"/>
            <w:vAlign w:val="center"/>
          </w:tcPr>
          <w:p w14:paraId="478B95B8">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经济指标</w:t>
            </w:r>
          </w:p>
        </w:tc>
        <w:tc>
          <w:tcPr>
            <w:tcW w:w="2451" w:type="dxa"/>
            <w:tcBorders>
              <w:tl2br w:val="nil"/>
              <w:tr2bl w:val="nil"/>
            </w:tcBorders>
            <w:noWrap w:val="0"/>
            <w:vAlign w:val="center"/>
          </w:tcPr>
          <w:p w14:paraId="3057E27E">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工程投资</w:t>
            </w:r>
          </w:p>
        </w:tc>
        <w:tc>
          <w:tcPr>
            <w:tcW w:w="1146" w:type="dxa"/>
            <w:tcBorders>
              <w:tl2br w:val="nil"/>
              <w:tr2bl w:val="nil"/>
            </w:tcBorders>
            <w:noWrap w:val="0"/>
            <w:vAlign w:val="center"/>
          </w:tcPr>
          <w:p w14:paraId="07866509">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万元</w:t>
            </w:r>
          </w:p>
        </w:tc>
        <w:tc>
          <w:tcPr>
            <w:tcW w:w="3064" w:type="dxa"/>
            <w:tcBorders>
              <w:tl2br w:val="nil"/>
              <w:tr2bl w:val="nil"/>
            </w:tcBorders>
            <w:noWrap w:val="0"/>
            <w:vAlign w:val="center"/>
          </w:tcPr>
          <w:p w14:paraId="75BF93E2">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eastAsia"/>
                <w:b w:val="0"/>
                <w:bCs/>
                <w:color w:val="auto"/>
                <w:highlight w:val="none"/>
                <w:lang w:val="en-US" w:eastAsia="zh-CN"/>
              </w:rPr>
              <w:t>74321</w:t>
            </w:r>
          </w:p>
        </w:tc>
      </w:tr>
      <w:tr w14:paraId="0A6C9C8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493" w:type="dxa"/>
            <w:gridSpan w:val="2"/>
            <w:vMerge w:val="continue"/>
            <w:tcBorders>
              <w:tl2br w:val="nil"/>
              <w:tr2bl w:val="nil"/>
            </w:tcBorders>
            <w:noWrap w:val="0"/>
            <w:vAlign w:val="center"/>
          </w:tcPr>
          <w:p w14:paraId="16DA8741">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p>
        </w:tc>
        <w:tc>
          <w:tcPr>
            <w:tcW w:w="2451" w:type="dxa"/>
            <w:tcBorders>
              <w:tl2br w:val="nil"/>
              <w:tr2bl w:val="nil"/>
            </w:tcBorders>
            <w:noWrap w:val="0"/>
            <w:vAlign w:val="center"/>
          </w:tcPr>
          <w:p w14:paraId="05045992">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单位千瓦投资</w:t>
            </w:r>
          </w:p>
        </w:tc>
        <w:tc>
          <w:tcPr>
            <w:tcW w:w="1146" w:type="dxa"/>
            <w:tcBorders>
              <w:tl2br w:val="nil"/>
              <w:tr2bl w:val="nil"/>
            </w:tcBorders>
            <w:noWrap w:val="0"/>
            <w:vAlign w:val="center"/>
          </w:tcPr>
          <w:p w14:paraId="737DD3EF">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rPr>
            </w:pPr>
            <w:r>
              <w:rPr>
                <w:rFonts w:hint="default"/>
                <w:b w:val="0"/>
                <w:bCs/>
                <w:color w:val="auto"/>
                <w:highlight w:val="none"/>
              </w:rPr>
              <w:t>元/kW</w:t>
            </w:r>
          </w:p>
        </w:tc>
        <w:tc>
          <w:tcPr>
            <w:tcW w:w="3064" w:type="dxa"/>
            <w:tcBorders>
              <w:tl2br w:val="nil"/>
              <w:tr2bl w:val="nil"/>
            </w:tcBorders>
            <w:noWrap w:val="0"/>
            <w:vAlign w:val="center"/>
          </w:tcPr>
          <w:p w14:paraId="0E482BB2">
            <w:pPr>
              <w:pStyle w:val="45"/>
              <w:keepNext w:val="0"/>
              <w:keepLines w:val="0"/>
              <w:pageBreakBefore w:val="0"/>
              <w:widowControl/>
              <w:kinsoku/>
              <w:wordWrap/>
              <w:overflowPunct/>
              <w:topLinePunct w:val="0"/>
              <w:autoSpaceDE/>
              <w:autoSpaceDN/>
              <w:bidi w:val="0"/>
              <w:adjustRightInd w:val="0"/>
              <w:snapToGrid w:val="0"/>
              <w:textAlignment w:val="auto"/>
              <w:rPr>
                <w:rFonts w:hint="default"/>
                <w:b w:val="0"/>
                <w:bCs/>
                <w:color w:val="auto"/>
                <w:highlight w:val="none"/>
                <w:lang w:val="en-US" w:eastAsia="zh-CN"/>
              </w:rPr>
            </w:pPr>
            <w:r>
              <w:rPr>
                <w:rFonts w:hint="eastAsia"/>
                <w:b w:val="0"/>
                <w:bCs/>
                <w:color w:val="auto"/>
                <w:highlight w:val="none"/>
                <w:lang w:val="en-US" w:eastAsia="zh-CN"/>
              </w:rPr>
              <w:t>7432.1</w:t>
            </w:r>
          </w:p>
        </w:tc>
      </w:tr>
    </w:tbl>
    <w:p w14:paraId="5F9A9F2F">
      <w:pPr>
        <w:bidi w:val="0"/>
        <w:rPr>
          <w:rFonts w:hint="eastAsia"/>
          <w:b/>
          <w:bCs/>
          <w:color w:val="auto"/>
          <w:highlight w:val="none"/>
          <w:lang w:val="en-US" w:eastAsia="zh-CN"/>
        </w:rPr>
      </w:pPr>
      <w:r>
        <w:rPr>
          <w:rFonts w:hint="eastAsia"/>
          <w:b/>
          <w:bCs/>
          <w:color w:val="auto"/>
          <w:highlight w:val="none"/>
          <w:lang w:val="en-US" w:eastAsia="zh-CN"/>
        </w:rPr>
        <w:t>2、箱式变压器基础设计</w:t>
      </w:r>
    </w:p>
    <w:p w14:paraId="47D089FD">
      <w:pPr>
        <w:bidi w:val="0"/>
        <w:rPr>
          <w:rFonts w:hint="eastAsia"/>
          <w:color w:val="auto"/>
          <w:highlight w:val="none"/>
          <w:lang w:val="en-US" w:eastAsia="zh-CN"/>
        </w:rPr>
      </w:pPr>
      <w:r>
        <w:rPr>
          <w:rFonts w:hint="eastAsia"/>
          <w:color w:val="auto"/>
          <w:highlight w:val="none"/>
          <w:lang w:val="en-US" w:eastAsia="zh-CN"/>
        </w:rPr>
        <w:t>本工程风电机组每台风电机组配置一台箱式变压器，共计20台。箱式变压器较小，根据本工程地质条件，箱变基础采用天然地基，板式基础，基础厚度250mm，砖砌体强度等级为MU15，M10水泥砂浆砌筑。基础平面尺根据设备具体尺寸确定，基底设100mm厚的C20素混凝土垫层。箱变基础设置事故油池，油池混凝土采用C30P8。箱变四周设置不锈钢围栏，围栏高度2.20m。</w:t>
      </w:r>
    </w:p>
    <w:p w14:paraId="4D26642C">
      <w:pPr>
        <w:bidi w:val="0"/>
        <w:rPr>
          <w:rFonts w:hint="eastAsia"/>
          <w:b/>
          <w:bCs/>
          <w:color w:val="auto"/>
          <w:highlight w:val="none"/>
          <w:lang w:val="en-US" w:eastAsia="zh-CN"/>
        </w:rPr>
      </w:pPr>
      <w:r>
        <w:rPr>
          <w:rFonts w:hint="eastAsia"/>
          <w:b/>
          <w:bCs/>
          <w:color w:val="auto"/>
          <w:highlight w:val="none"/>
          <w:lang w:val="en-US" w:eastAsia="zh-CN"/>
        </w:rPr>
        <w:t>3、风机安装场地</w:t>
      </w:r>
    </w:p>
    <w:p w14:paraId="1CB0DE04">
      <w:pPr>
        <w:bidi w:val="0"/>
        <w:rPr>
          <w:color w:val="auto"/>
          <w:highlight w:val="none"/>
        </w:rPr>
      </w:pPr>
      <w:r>
        <w:rPr>
          <w:rFonts w:hint="eastAsia"/>
          <w:color w:val="auto"/>
          <w:highlight w:val="none"/>
          <w:lang w:val="en-US" w:eastAsia="zh-CN"/>
        </w:rPr>
        <w:t>为了满足风机安装需要，需在每个风机机组旁修建安装地，并与场内检修道路相连接，风电机组安装场地随风电机组分散布置。风电机组位于山顶或山脊，安装场地采用半挖半填的方式，尽量按原地形进行布置，以减少安装平台占地及土石方量。</w:t>
      </w:r>
    </w:p>
    <w:p w14:paraId="23D4DC6F">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集电线路区</w:t>
      </w:r>
    </w:p>
    <w:p w14:paraId="7C2873FD">
      <w:pPr>
        <w:pageBreakBefore w:val="0"/>
        <w:widowControl w:val="0"/>
        <w:kinsoku/>
        <w:wordWrap/>
        <w:overflowPunct/>
        <w:topLinePunct w:val="0"/>
        <w:autoSpaceDE/>
        <w:autoSpaceDN/>
        <w:bidi w:val="0"/>
        <w:adjustRightInd w:val="0"/>
        <w:snapToGrid w:val="0"/>
        <w:spacing w:line="360" w:lineRule="auto"/>
        <w:ind w:right="118" w:firstLine="480" w:firstLineChars="200"/>
        <w:textAlignment w:val="auto"/>
        <w:rPr>
          <w:rFonts w:hint="eastAsia" w:ascii="Times New Roman" w:hAnsi="Times New Roman" w:eastAsia="宋体" w:cs="Times New Roman"/>
          <w:b w:val="0"/>
          <w:bCs w:val="0"/>
          <w:color w:val="auto"/>
          <w:kern w:val="2"/>
          <w:sz w:val="24"/>
          <w:szCs w:val="24"/>
          <w:highlight w:val="none"/>
          <w:u w:val="none"/>
          <w:lang w:val="en-US" w:eastAsia="zh-CN" w:bidi="ar-SA"/>
        </w:rPr>
      </w:pPr>
      <w:r>
        <w:rPr>
          <w:rFonts w:hint="eastAsia" w:ascii="Times New Roman" w:hAnsi="Times New Roman" w:eastAsia="宋体" w:cs="Times New Roman"/>
          <w:b w:val="0"/>
          <w:bCs w:val="0"/>
          <w:color w:val="auto"/>
          <w:kern w:val="2"/>
          <w:sz w:val="24"/>
          <w:szCs w:val="24"/>
          <w:highlight w:val="none"/>
          <w:u w:val="none"/>
          <w:lang w:val="en-US" w:eastAsia="zh-CN" w:bidi="ar-SA"/>
        </w:rPr>
        <w:t>风电场共选用20台箱式变压器，箱式变压器高压35kV侧均采用并联接线方式。考虑风电机组和箱式变电站的布置、地形、35kV集电线路走向等因素，集电线路分5回接入大马风电场(一期)110kV升压站。</w:t>
      </w:r>
    </w:p>
    <w:p w14:paraId="49EC0565">
      <w:pPr>
        <w:bidi w:val="0"/>
        <w:rPr>
          <w:rFonts w:hint="eastAsia" w:ascii="Times New Roman" w:hAnsi="Times New Roman" w:eastAsia="宋体" w:cs="Times New Roman"/>
          <w:b w:val="0"/>
          <w:bCs w:val="0"/>
          <w:color w:val="auto"/>
          <w:kern w:val="2"/>
          <w:sz w:val="24"/>
          <w:szCs w:val="24"/>
          <w:highlight w:val="none"/>
          <w:u w:val="none"/>
          <w:lang w:val="en-US" w:eastAsia="zh-CN" w:bidi="ar-SA"/>
        </w:rPr>
      </w:pPr>
      <w:r>
        <w:rPr>
          <w:rFonts w:hint="eastAsia" w:ascii="Times New Roman" w:hAnsi="Times New Roman" w:eastAsia="宋体" w:cs="Times New Roman"/>
          <w:b w:val="0"/>
          <w:bCs w:val="0"/>
          <w:color w:val="auto"/>
          <w:kern w:val="2"/>
          <w:sz w:val="24"/>
          <w:szCs w:val="24"/>
          <w:highlight w:val="none"/>
          <w:u w:val="none"/>
          <w:lang w:val="en-US" w:eastAsia="zh-CN" w:bidi="ar-SA"/>
        </w:rPr>
        <w:t>本项目风电场集电线路全部采用电缆直埋，长约35.99km。沿道路内侧布设，直埋电缆开槽底宽1.0m，深1m，按1：1开挖边坡，基础开挖完成后，应将槽底清理干净并夯实，敷设电缆的上下侧各铺100mm细砂，并在电缆上侧做盖砖保护。</w:t>
      </w:r>
    </w:p>
    <w:p w14:paraId="717E9E27">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升压站区</w:t>
      </w:r>
    </w:p>
    <w:p w14:paraId="781B702B">
      <w:pPr>
        <w:bidi w:val="0"/>
        <w:rPr>
          <w:rFonts w:hint="default"/>
          <w:color w:val="auto"/>
          <w:highlight w:val="none"/>
          <w:lang w:val="en-US" w:eastAsia="zh-CN"/>
        </w:rPr>
      </w:pPr>
      <w:r>
        <w:rPr>
          <w:rFonts w:hint="default"/>
          <w:color w:val="auto"/>
          <w:highlight w:val="none"/>
          <w:lang w:val="en-US" w:eastAsia="zh-CN"/>
        </w:rPr>
        <w:t>本工程风电场区共分5组集电线路接入大马风电场110kV升压站。已建成的大马风电场升压站围墙内占地面积为6006.00m</w:t>
      </w:r>
      <w:r>
        <w:rPr>
          <w:rFonts w:hint="default"/>
          <w:color w:val="auto"/>
          <w:highlight w:val="none"/>
          <w:vertAlign w:val="superscript"/>
          <w:lang w:val="en-US" w:eastAsia="zh-CN"/>
        </w:rPr>
        <w:t>2</w:t>
      </w:r>
      <w:r>
        <w:rPr>
          <w:rFonts w:hint="default"/>
          <w:color w:val="auto"/>
          <w:highlight w:val="none"/>
          <w:lang w:val="en-US" w:eastAsia="zh-CN"/>
        </w:rPr>
        <w:t>，升压站内综合楼、设备楼、附属用房等建筑物已满足生产生活需要，不需要扩建。仅需对升压站内主变基础、无功补偿基础、构架等变配电设备基础进行扩建</w:t>
      </w:r>
      <w:r>
        <w:rPr>
          <w:rFonts w:hint="eastAsia"/>
          <w:color w:val="auto"/>
          <w:highlight w:val="none"/>
          <w:lang w:val="en-US" w:eastAsia="zh-CN"/>
        </w:rPr>
        <w:t>。</w:t>
      </w:r>
      <w:r>
        <w:rPr>
          <w:rFonts w:hint="default"/>
          <w:color w:val="auto"/>
          <w:highlight w:val="none"/>
          <w:lang w:val="en-US" w:eastAsia="zh-CN"/>
        </w:rPr>
        <w:t>在升压站内本期工程需新增1台100MVA的主变、1个110kV主变进线间隔，建设2段35kV母线，设置4回集电线路、2套无功补偿装置、1套接地变等。</w:t>
      </w:r>
    </w:p>
    <w:p w14:paraId="49E259CA">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道路区</w:t>
      </w:r>
    </w:p>
    <w:p w14:paraId="32BF881D">
      <w:pPr>
        <w:bidi w:val="0"/>
        <w:rPr>
          <w:rFonts w:hint="eastAsia"/>
          <w:color w:val="auto"/>
          <w:highlight w:val="none"/>
          <w:lang w:val="en-US" w:eastAsia="zh-CN"/>
        </w:rPr>
      </w:pPr>
      <w:r>
        <w:rPr>
          <w:rFonts w:hint="eastAsia"/>
          <w:color w:val="auto"/>
          <w:highlight w:val="none"/>
          <w:lang w:val="en-US" w:eastAsia="zh-CN"/>
        </w:rPr>
        <w:t>本工程风机设备运输路线为：风机厂家→G72泉南高速归阳收费站→G234国道抵达祁东县→G322国道到达白地市镇→S317省道至黄土铺镇附近→石黄线、S226省道→新建道路至机位点。</w:t>
      </w:r>
    </w:p>
    <w:p w14:paraId="743B7576">
      <w:pPr>
        <w:bidi w:val="0"/>
        <w:rPr>
          <w:rFonts w:hint="eastAsia"/>
          <w:color w:val="auto"/>
          <w:highlight w:val="none"/>
          <w:lang w:val="en-US" w:eastAsia="zh-CN"/>
        </w:rPr>
      </w:pPr>
      <w:r>
        <w:rPr>
          <w:rFonts w:hint="eastAsia"/>
          <w:color w:val="auto"/>
          <w:highlight w:val="none"/>
          <w:lang w:val="en-US" w:eastAsia="zh-CN"/>
        </w:rPr>
        <w:t>场内道路设计考虑永临结合，施工期间为满足施工及设备运输要求，运输方式采用特种车辆运输，运行期满足检修维护的需要，场内道路设计标准：道路路基宽度6.0m，路面宽度5.0m，路面结构型式采用20cm厚山皮石路面。平曲线和最小转弯半径应满足风电机组塔筒最长节及叶片尺寸运输要求，本阶段考虑最小转弯半径为25m，当圆曲线半径小于150m时所在路段均应设置超高，最大超高值不应超过6%；全线圆曲线半径小于250m的曲线均设置加宽，采用第Ⅰ类加宽值，同时满足最长节塔筒加宽值要求。道路路面承载力不低于15T，压实度达到94%；主干道纵坡不大于14%，局部困难地段增大1%~4%，最小竖曲线半径为200m。</w:t>
      </w:r>
    </w:p>
    <w:p w14:paraId="7610A262">
      <w:pPr>
        <w:bidi w:val="0"/>
        <w:rPr>
          <w:rFonts w:hint="eastAsia"/>
          <w:color w:val="auto"/>
          <w:highlight w:val="none"/>
          <w:lang w:val="en-US" w:eastAsia="zh-CN"/>
        </w:rPr>
      </w:pPr>
      <w:r>
        <w:rPr>
          <w:rFonts w:hint="eastAsia"/>
          <w:color w:val="auto"/>
          <w:highlight w:val="none"/>
          <w:lang w:val="en-US" w:eastAsia="zh-CN"/>
        </w:rPr>
        <w:t>为保证路基路面的稳定，防止水害，延长路面结构的使用寿命，通过设置路基路面横坡将路面积水排向边沟或坡外，其中路肩横坡为3%，直线段路面横坡为2%；所有挖方段在路基两侧及填方内侧均设置边沟，边沟沟底纵坡与路线纵坡一致。集中引向排水涵洞，经过排水涵洞排至下游边坡，并不得继续沿道路边沟排泄，各排水涵洞的进水口，为降低强暴雨高峰排水强度，适当扩挖进水口，并加强路基侧边坡防护；各涵洞出水口两侧边坡根据现场实际情况进行“一”字形端墙或“八”字形墙。</w:t>
      </w:r>
    </w:p>
    <w:p w14:paraId="19D9C184">
      <w:pPr>
        <w:pStyle w:val="5"/>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给排水</w:t>
      </w:r>
    </w:p>
    <w:p w14:paraId="568D646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（1）给水</w:t>
      </w:r>
    </w:p>
    <w:p w14:paraId="2342CF9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工程主要用水为风电场升压站生活用水及消防用水，风电场按“无人值班、少人值守”方式管理，生活用水水量不大，给水依托已建大马风电场升压站给水设施，给水水源为天然山溪水，本次工程不另建给水设施。</w:t>
      </w:r>
    </w:p>
    <w:p w14:paraId="4ACFCF5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（2）排水</w:t>
      </w:r>
    </w:p>
    <w:p w14:paraId="7206FAE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升压站排水系统采用雨污分流制，主要包括：雨水、生活污水排放。本次工程依托已建大马风电场升压站排水设施。</w:t>
      </w:r>
    </w:p>
    <w:p w14:paraId="385944C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①雨水排放：雨水排水包括屋面雨水排水、站区场地雨水排水、电缆沟的雨水排水。建筑物屋面雨水通过雨水斗收集，通过雨水立管引至地面雨水沟，站区场地雨水通过雨水口收集，通过室外埋地雨水管道排至站外。电缆沟的雨水通过管道排至站内雨水排水系统，流向自然山体。</w:t>
      </w:r>
    </w:p>
    <w:p w14:paraId="1D97991C">
      <w:pPr>
        <w:bidi w:val="0"/>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②生活污水排放：升压站生活污水系统由污水管道、生活污水调节池、一体化污水处理设备组成。升压站内各用水点的生活污水通过污水管道汇集至调节池，经一体化污水处理设备处理后作为升压站绿化浇灌。</w:t>
      </w:r>
    </w:p>
    <w:p w14:paraId="70E3BBBA">
      <w:pPr>
        <w:pStyle w:val="5"/>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表土堆存场</w:t>
      </w:r>
    </w:p>
    <w:p w14:paraId="230E9E10">
      <w:pPr>
        <w:keepNext w:val="0"/>
        <w:keepLines w:val="0"/>
        <w:pageBreakBefore w:val="0"/>
        <w:widowControl w:val="0"/>
        <w:shd w:val="clear" w:color="auto" w:fill="auto"/>
        <w:kinsoku/>
        <w:wordWrap/>
        <w:overflowPunct/>
        <w:topLinePunct w:val="0"/>
        <w:autoSpaceDE/>
        <w:autoSpaceDN/>
        <w:bidi w:val="0"/>
        <w:adjustRightInd w:val="0"/>
        <w:snapToGrid w:val="0"/>
        <w:spacing w:line="360" w:lineRule="auto"/>
        <w:ind w:firstLine="480" w:firstLineChars="200"/>
        <w:jc w:val="left"/>
        <w:textAlignment w:val="auto"/>
        <w:rPr>
          <w:rFonts w:hint="eastAsia" w:ascii="Times New Roman" w:hAnsi="Times New Roman" w:eastAsia="宋体" w:cs="Times New Roman"/>
          <w:b w:val="0"/>
          <w:bCs w:val="0"/>
          <w:color w:val="auto"/>
          <w:kern w:val="0"/>
          <w:sz w:val="24"/>
          <w:szCs w:val="24"/>
          <w:highlight w:val="none"/>
          <w:lang w:val="en-US" w:eastAsia="zh-CN"/>
        </w:rPr>
      </w:pPr>
      <w:r>
        <w:rPr>
          <w:rFonts w:hint="eastAsia" w:ascii="Times New Roman" w:hAnsi="Times New Roman" w:cs="Times New Roman"/>
          <w:b w:val="0"/>
          <w:bCs w:val="0"/>
          <w:color w:val="auto"/>
          <w:kern w:val="0"/>
          <w:sz w:val="24"/>
          <w:szCs w:val="24"/>
          <w:highlight w:val="none"/>
          <w:lang w:val="en-US" w:eastAsia="zh-CN"/>
        </w:rPr>
        <w:t>根据《祁东县南冲风电场（大马二期）工程水土保持方案报告书》，</w:t>
      </w:r>
      <w:r>
        <w:rPr>
          <w:rFonts w:hint="eastAsia" w:ascii="Times New Roman" w:hAnsi="Times New Roman" w:eastAsia="宋体" w:cs="Times New Roman"/>
          <w:b w:val="0"/>
          <w:bCs w:val="0"/>
          <w:color w:val="auto"/>
          <w:kern w:val="0"/>
          <w:sz w:val="24"/>
          <w:szCs w:val="24"/>
          <w:highlight w:val="none"/>
          <w:lang w:val="en-US" w:eastAsia="zh-CN"/>
        </w:rPr>
        <w:t>项目区处于低山丘陵区，植被覆盖较高，低山腰及山脚表层土相对丰富，表土剥离条件尚好；山顶风机建设区域植被茂盛，表土剥离条件好，因此拟对工程建设范围内表层土丰富的区域剥离表土，林地平均可剥离表土厚度20cm，可剥离量5.69万m</w:t>
      </w:r>
      <w:r>
        <w:rPr>
          <w:rFonts w:hint="eastAsia" w:ascii="Times New Roman" w:hAnsi="Times New Roman" w:eastAsia="宋体" w:cs="Times New Roman"/>
          <w:b w:val="0"/>
          <w:bCs w:val="0"/>
          <w:color w:val="auto"/>
          <w:kern w:val="0"/>
          <w:sz w:val="24"/>
          <w:szCs w:val="24"/>
          <w:highlight w:val="none"/>
          <w:vertAlign w:val="superscript"/>
          <w:lang w:val="en-US" w:eastAsia="zh-CN"/>
        </w:rPr>
        <w:t>3</w:t>
      </w:r>
      <w:r>
        <w:rPr>
          <w:rFonts w:hint="eastAsia" w:ascii="Times New Roman" w:hAnsi="Times New Roman" w:eastAsia="宋体" w:cs="Times New Roman"/>
          <w:b w:val="0"/>
          <w:bCs w:val="0"/>
          <w:color w:val="auto"/>
          <w:kern w:val="0"/>
          <w:sz w:val="24"/>
          <w:szCs w:val="24"/>
          <w:highlight w:val="none"/>
          <w:lang w:val="en-US" w:eastAsia="zh-CN"/>
        </w:rPr>
        <w:t>。表土剥离后分区堆置并保护，后期全部用于植被恢复工作，不外运弃置。</w:t>
      </w:r>
    </w:p>
    <w:p w14:paraId="4AF861A6">
      <w:pPr>
        <w:keepNext w:val="0"/>
        <w:keepLines w:val="0"/>
        <w:pageBreakBefore w:val="0"/>
        <w:widowControl w:val="0"/>
        <w:shd w:val="clear" w:color="auto" w:fill="auto"/>
        <w:kinsoku/>
        <w:wordWrap/>
        <w:overflowPunct/>
        <w:topLinePunct w:val="0"/>
        <w:autoSpaceDE/>
        <w:autoSpaceDN/>
        <w:bidi w:val="0"/>
        <w:adjustRightInd w:val="0"/>
        <w:snapToGrid w:val="0"/>
        <w:spacing w:line="360" w:lineRule="auto"/>
        <w:ind w:firstLine="480" w:firstLineChars="200"/>
        <w:jc w:val="left"/>
        <w:textAlignment w:val="auto"/>
        <w:rPr>
          <w:rFonts w:hint="eastAsia" w:ascii="Times New Roman" w:hAnsi="Times New Roman" w:eastAsia="宋体" w:cs="Times New Roman"/>
          <w:b w:val="0"/>
          <w:bCs w:val="0"/>
          <w:color w:val="auto"/>
          <w:kern w:val="0"/>
          <w:sz w:val="24"/>
          <w:szCs w:val="24"/>
          <w:highlight w:val="none"/>
          <w:lang w:val="en-US" w:eastAsia="zh-CN"/>
        </w:rPr>
      </w:pPr>
      <w:r>
        <w:rPr>
          <w:rFonts w:hint="eastAsia" w:ascii="Times New Roman" w:hAnsi="Times New Roman" w:eastAsia="宋体" w:cs="Times New Roman"/>
          <w:b w:val="0"/>
          <w:bCs w:val="0"/>
          <w:color w:val="auto"/>
          <w:kern w:val="0"/>
          <w:sz w:val="24"/>
          <w:szCs w:val="24"/>
          <w:highlight w:val="none"/>
          <w:lang w:val="en-US" w:eastAsia="zh-CN"/>
        </w:rPr>
        <w:t>根据项目特点，风机机组区剥离表土集中堆置于风机安装场地一角，不新增临时占地；交通道路区根据施工时序，就近堆置于道路一侧或弯道平台区域，待路基成型后及时回覆于道路绿化区域；本工程选取的弃渣场地形相对平缓，弃渣场区表土剥离后在弃渣场范围内隔离出一小块区域堆放。集电线路中直埋线路剥离表土堆放于电缆沟一侧。</w:t>
      </w:r>
    </w:p>
    <w:p w14:paraId="6A94DE9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eastAsia="宋体" w:cs="Times New Roman"/>
          <w:b/>
          <w:bCs/>
          <w:color w:val="auto"/>
          <w:kern w:val="0"/>
          <w:sz w:val="24"/>
          <w:szCs w:val="24"/>
          <w:highlight w:val="none"/>
          <w:lang w:eastAsia="zh-CN"/>
        </w:rPr>
      </w:pPr>
      <w:r>
        <w:rPr>
          <w:rFonts w:hint="default" w:ascii="Times New Roman" w:hAnsi="Times New Roman" w:eastAsia="宋体" w:cs="Times New Roman"/>
          <w:b/>
          <w:bCs/>
          <w:color w:val="auto"/>
          <w:kern w:val="0"/>
          <w:sz w:val="24"/>
          <w:szCs w:val="24"/>
          <w:highlight w:val="none"/>
          <w:lang w:eastAsia="zh-CN"/>
        </w:rPr>
        <w:t>表</w:t>
      </w:r>
      <w:r>
        <w:rPr>
          <w:rFonts w:hint="eastAsia" w:ascii="Times New Roman" w:hAnsi="Times New Roman" w:eastAsia="宋体" w:cs="Times New Roman"/>
          <w:b/>
          <w:bCs/>
          <w:color w:val="auto"/>
          <w:kern w:val="0"/>
          <w:sz w:val="24"/>
          <w:szCs w:val="24"/>
          <w:highlight w:val="none"/>
          <w:lang w:val="en-US" w:eastAsia="zh-CN"/>
        </w:rPr>
        <w:t>4.</w:t>
      </w:r>
      <w:r>
        <w:rPr>
          <w:rFonts w:hint="eastAsia" w:cs="Times New Roman"/>
          <w:b/>
          <w:bCs/>
          <w:color w:val="auto"/>
          <w:kern w:val="0"/>
          <w:sz w:val="24"/>
          <w:szCs w:val="24"/>
          <w:highlight w:val="none"/>
          <w:lang w:val="en-US" w:eastAsia="zh-CN"/>
        </w:rPr>
        <w:t>4</w:t>
      </w:r>
      <w:r>
        <w:rPr>
          <w:rFonts w:hint="eastAsia" w:ascii="Times New Roman" w:hAnsi="Times New Roman" w:eastAsia="宋体" w:cs="Times New Roman"/>
          <w:b/>
          <w:bCs/>
          <w:color w:val="auto"/>
          <w:kern w:val="0"/>
          <w:sz w:val="24"/>
          <w:szCs w:val="24"/>
          <w:highlight w:val="none"/>
          <w:lang w:val="en-US" w:eastAsia="zh-CN"/>
        </w:rPr>
        <w:t>-</w:t>
      </w:r>
      <w:r>
        <w:rPr>
          <w:rFonts w:hint="eastAsia" w:cs="Times New Roman"/>
          <w:b/>
          <w:bCs/>
          <w:color w:val="auto"/>
          <w:kern w:val="0"/>
          <w:sz w:val="24"/>
          <w:szCs w:val="24"/>
          <w:highlight w:val="none"/>
          <w:lang w:val="en-US" w:eastAsia="zh-CN"/>
        </w:rPr>
        <w:t>5</w:t>
      </w:r>
      <w:r>
        <w:rPr>
          <w:rFonts w:hint="eastAsia" w:ascii="Times New Roman" w:hAnsi="Times New Roman" w:eastAsia="宋体" w:cs="Times New Roman"/>
          <w:b/>
          <w:bCs/>
          <w:color w:val="auto"/>
          <w:kern w:val="0"/>
          <w:sz w:val="24"/>
          <w:szCs w:val="24"/>
          <w:highlight w:val="none"/>
          <w:lang w:val="en-US" w:eastAsia="zh-CN"/>
        </w:rPr>
        <w:t xml:space="preserve">  </w:t>
      </w:r>
      <w:r>
        <w:rPr>
          <w:rFonts w:hint="default" w:ascii="Times New Roman" w:hAnsi="Times New Roman" w:eastAsia="宋体" w:cs="Times New Roman"/>
          <w:b/>
          <w:bCs/>
          <w:color w:val="auto"/>
          <w:kern w:val="0"/>
          <w:sz w:val="24"/>
          <w:szCs w:val="24"/>
          <w:highlight w:val="none"/>
          <w:lang w:eastAsia="zh-CN"/>
        </w:rPr>
        <w:t>表土平衡及保护方案一览表单位：万m</w:t>
      </w:r>
      <w:r>
        <w:rPr>
          <w:rFonts w:hint="default" w:ascii="Times New Roman" w:hAnsi="Times New Roman" w:eastAsia="宋体" w:cs="Times New Roman"/>
          <w:b/>
          <w:bCs/>
          <w:color w:val="auto"/>
          <w:kern w:val="0"/>
          <w:sz w:val="24"/>
          <w:szCs w:val="24"/>
          <w:highlight w:val="none"/>
          <w:vertAlign w:val="superscript"/>
          <w:lang w:eastAsia="zh-CN"/>
        </w:rPr>
        <w:t>3</w:t>
      </w:r>
    </w:p>
    <w:p w14:paraId="2BE3F60C">
      <w:pPr>
        <w:spacing w:line="21" w:lineRule="exact"/>
        <w:rPr>
          <w:color w:val="auto"/>
          <w:highlight w:val="none"/>
        </w:rPr>
      </w:pPr>
    </w:p>
    <w:tbl>
      <w:tblPr>
        <w:tblStyle w:val="38"/>
        <w:tblW w:w="5000" w:type="pct"/>
        <w:tblInd w:w="2"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224"/>
        <w:gridCol w:w="1345"/>
        <w:gridCol w:w="1489"/>
        <w:gridCol w:w="3568"/>
        <w:gridCol w:w="710"/>
      </w:tblGrid>
      <w:tr w14:paraId="3CCAEAA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trPr>
        <w:tc>
          <w:tcPr>
            <w:tcW w:w="1196" w:type="dxa"/>
            <w:tcBorders>
              <w:tl2br w:val="nil"/>
              <w:tr2bl w:val="nil"/>
            </w:tcBorders>
            <w:noWrap w:val="0"/>
            <w:vAlign w:val="center"/>
          </w:tcPr>
          <w:p w14:paraId="03AFCBE9">
            <w:pPr>
              <w:pStyle w:val="45"/>
              <w:bidi w:val="0"/>
              <w:rPr>
                <w:rFonts w:hint="default"/>
                <w:b w:val="0"/>
                <w:bCs/>
                <w:color w:val="auto"/>
                <w:highlight w:val="none"/>
              </w:rPr>
            </w:pPr>
            <w:r>
              <w:rPr>
                <w:rFonts w:hint="default"/>
                <w:b w:val="0"/>
                <w:bCs/>
                <w:color w:val="auto"/>
                <w:highlight w:val="none"/>
              </w:rPr>
              <w:t>施工单元</w:t>
            </w:r>
          </w:p>
        </w:tc>
        <w:tc>
          <w:tcPr>
            <w:tcW w:w="1315" w:type="dxa"/>
            <w:tcBorders>
              <w:tl2br w:val="nil"/>
              <w:tr2bl w:val="nil"/>
            </w:tcBorders>
            <w:noWrap w:val="0"/>
            <w:vAlign w:val="center"/>
          </w:tcPr>
          <w:p w14:paraId="3CA4782F">
            <w:pPr>
              <w:pStyle w:val="45"/>
              <w:bidi w:val="0"/>
              <w:rPr>
                <w:rFonts w:hint="default"/>
                <w:b w:val="0"/>
                <w:bCs/>
                <w:color w:val="auto"/>
                <w:highlight w:val="none"/>
              </w:rPr>
            </w:pPr>
            <w:r>
              <w:rPr>
                <w:rFonts w:hint="default"/>
                <w:b w:val="0"/>
                <w:bCs/>
                <w:color w:val="auto"/>
                <w:highlight w:val="none"/>
              </w:rPr>
              <w:t>表土剥离量</w:t>
            </w:r>
          </w:p>
          <w:p w14:paraId="5E2B4DBA">
            <w:pPr>
              <w:pStyle w:val="45"/>
              <w:bidi w:val="0"/>
              <w:rPr>
                <w:rFonts w:hint="eastAsia"/>
                <w:b w:val="0"/>
                <w:bCs/>
                <w:color w:val="auto"/>
                <w:highlight w:val="none"/>
                <w:lang w:val="en-US" w:eastAsia="zh-CN"/>
              </w:rPr>
            </w:pPr>
            <w:r>
              <w:rPr>
                <w:rFonts w:hint="default"/>
                <w:b w:val="0"/>
                <w:bCs/>
                <w:color w:val="auto"/>
                <w:highlight w:val="none"/>
              </w:rPr>
              <w:t>(万m</w:t>
            </w:r>
            <w:r>
              <w:rPr>
                <w:rFonts w:hint="eastAsia"/>
                <w:b w:val="0"/>
                <w:bCs/>
                <w:color w:val="auto"/>
                <w:highlight w:val="none"/>
                <w:vertAlign w:val="superscript"/>
                <w:lang w:val="en-US" w:eastAsia="zh-CN"/>
              </w:rPr>
              <w:t>3</w:t>
            </w:r>
            <w:r>
              <w:rPr>
                <w:rFonts w:hint="default"/>
                <w:b w:val="0"/>
                <w:bCs/>
                <w:color w:val="auto"/>
                <w:highlight w:val="none"/>
              </w:rPr>
              <w:t>)</w:t>
            </w:r>
          </w:p>
        </w:tc>
        <w:tc>
          <w:tcPr>
            <w:tcW w:w="1455" w:type="dxa"/>
            <w:tcBorders>
              <w:tl2br w:val="nil"/>
              <w:tr2bl w:val="nil"/>
            </w:tcBorders>
            <w:noWrap w:val="0"/>
            <w:vAlign w:val="center"/>
          </w:tcPr>
          <w:p w14:paraId="62C2AB97">
            <w:pPr>
              <w:pStyle w:val="45"/>
              <w:bidi w:val="0"/>
              <w:rPr>
                <w:rFonts w:hint="default"/>
                <w:b w:val="0"/>
                <w:bCs/>
                <w:color w:val="auto"/>
                <w:highlight w:val="none"/>
              </w:rPr>
            </w:pPr>
            <w:r>
              <w:rPr>
                <w:rFonts w:hint="default"/>
                <w:b w:val="0"/>
                <w:bCs/>
                <w:color w:val="auto"/>
                <w:highlight w:val="none"/>
              </w:rPr>
              <w:t>表土回填量</w:t>
            </w:r>
          </w:p>
          <w:p w14:paraId="712B881C">
            <w:pPr>
              <w:pStyle w:val="45"/>
              <w:bidi w:val="0"/>
              <w:rPr>
                <w:rFonts w:hint="default"/>
                <w:b w:val="0"/>
                <w:bCs/>
                <w:color w:val="auto"/>
                <w:highlight w:val="none"/>
              </w:rPr>
            </w:pPr>
            <w:r>
              <w:rPr>
                <w:rFonts w:hint="default"/>
                <w:b w:val="0"/>
                <w:bCs/>
                <w:color w:val="auto"/>
                <w:highlight w:val="none"/>
              </w:rPr>
              <w:t>(万m</w:t>
            </w:r>
            <w:r>
              <w:rPr>
                <w:rFonts w:hint="eastAsia"/>
                <w:b w:val="0"/>
                <w:bCs/>
                <w:color w:val="auto"/>
                <w:highlight w:val="none"/>
                <w:vertAlign w:val="superscript"/>
                <w:lang w:val="en-US" w:eastAsia="zh-CN"/>
              </w:rPr>
              <w:t>3</w:t>
            </w:r>
            <w:r>
              <w:rPr>
                <w:rFonts w:hint="default"/>
                <w:b w:val="0"/>
                <w:bCs/>
                <w:color w:val="auto"/>
                <w:highlight w:val="none"/>
              </w:rPr>
              <w:t>)</w:t>
            </w:r>
          </w:p>
        </w:tc>
        <w:tc>
          <w:tcPr>
            <w:tcW w:w="3488" w:type="dxa"/>
            <w:tcBorders>
              <w:tl2br w:val="nil"/>
              <w:tr2bl w:val="nil"/>
            </w:tcBorders>
            <w:noWrap w:val="0"/>
            <w:vAlign w:val="center"/>
          </w:tcPr>
          <w:p w14:paraId="41EAFE93">
            <w:pPr>
              <w:pStyle w:val="45"/>
              <w:bidi w:val="0"/>
              <w:rPr>
                <w:rFonts w:hint="default"/>
                <w:b w:val="0"/>
                <w:bCs/>
                <w:color w:val="auto"/>
                <w:highlight w:val="none"/>
              </w:rPr>
            </w:pPr>
            <w:r>
              <w:rPr>
                <w:rFonts w:hint="default"/>
                <w:b w:val="0"/>
                <w:bCs/>
                <w:color w:val="auto"/>
                <w:highlight w:val="none"/>
              </w:rPr>
              <w:t>堆放位置</w:t>
            </w:r>
          </w:p>
        </w:tc>
        <w:tc>
          <w:tcPr>
            <w:tcW w:w="694" w:type="dxa"/>
            <w:tcBorders>
              <w:tl2br w:val="nil"/>
              <w:tr2bl w:val="nil"/>
            </w:tcBorders>
            <w:noWrap w:val="0"/>
            <w:vAlign w:val="center"/>
          </w:tcPr>
          <w:p w14:paraId="1CC179DD">
            <w:pPr>
              <w:pStyle w:val="45"/>
              <w:bidi w:val="0"/>
              <w:rPr>
                <w:rFonts w:hint="eastAsia"/>
                <w:b w:val="0"/>
                <w:bCs/>
                <w:color w:val="auto"/>
                <w:highlight w:val="none"/>
                <w:lang w:eastAsia="zh-CN"/>
              </w:rPr>
            </w:pPr>
            <w:r>
              <w:rPr>
                <w:rFonts w:hint="eastAsia"/>
                <w:b w:val="0"/>
                <w:bCs/>
                <w:color w:val="auto"/>
                <w:highlight w:val="none"/>
                <w:lang w:eastAsia="zh-CN"/>
              </w:rPr>
              <w:t>备注</w:t>
            </w:r>
          </w:p>
        </w:tc>
      </w:tr>
      <w:tr w14:paraId="4ADFDF6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96" w:type="dxa"/>
            <w:tcBorders>
              <w:tl2br w:val="nil"/>
              <w:tr2bl w:val="nil"/>
            </w:tcBorders>
            <w:noWrap w:val="0"/>
            <w:vAlign w:val="center"/>
          </w:tcPr>
          <w:p w14:paraId="1918566D">
            <w:pPr>
              <w:pStyle w:val="45"/>
              <w:bidi w:val="0"/>
              <w:rPr>
                <w:rFonts w:hint="default"/>
                <w:b w:val="0"/>
                <w:bCs/>
                <w:color w:val="auto"/>
                <w:highlight w:val="none"/>
              </w:rPr>
            </w:pPr>
            <w:r>
              <w:rPr>
                <w:rFonts w:hint="default"/>
                <w:b w:val="0"/>
                <w:bCs/>
                <w:color w:val="auto"/>
                <w:highlight w:val="none"/>
              </w:rPr>
              <w:t>风电机组区</w:t>
            </w:r>
          </w:p>
        </w:tc>
        <w:tc>
          <w:tcPr>
            <w:tcW w:w="1315" w:type="dxa"/>
            <w:tcBorders>
              <w:tl2br w:val="nil"/>
              <w:tr2bl w:val="nil"/>
            </w:tcBorders>
            <w:noWrap w:val="0"/>
            <w:vAlign w:val="center"/>
          </w:tcPr>
          <w:p w14:paraId="4D4BB9BC">
            <w:pPr>
              <w:pStyle w:val="45"/>
              <w:bidi w:val="0"/>
              <w:rPr>
                <w:rFonts w:hint="default"/>
                <w:b w:val="0"/>
                <w:bCs/>
                <w:color w:val="auto"/>
                <w:highlight w:val="none"/>
                <w:lang w:val="en-US" w:eastAsia="zh-CN"/>
              </w:rPr>
            </w:pPr>
            <w:r>
              <w:rPr>
                <w:rFonts w:hint="eastAsia"/>
                <w:b w:val="0"/>
                <w:bCs/>
                <w:color w:val="auto"/>
                <w:highlight w:val="none"/>
                <w:lang w:val="en-US" w:eastAsia="zh-CN"/>
              </w:rPr>
              <w:t>0.54</w:t>
            </w:r>
          </w:p>
        </w:tc>
        <w:tc>
          <w:tcPr>
            <w:tcW w:w="1455" w:type="dxa"/>
            <w:tcBorders>
              <w:tl2br w:val="nil"/>
              <w:tr2bl w:val="nil"/>
            </w:tcBorders>
            <w:noWrap w:val="0"/>
            <w:vAlign w:val="center"/>
          </w:tcPr>
          <w:p w14:paraId="69C4C660">
            <w:pPr>
              <w:pStyle w:val="45"/>
              <w:bidi w:val="0"/>
              <w:rPr>
                <w:rFonts w:hint="default"/>
                <w:b w:val="0"/>
                <w:bCs/>
                <w:color w:val="auto"/>
                <w:highlight w:val="none"/>
              </w:rPr>
            </w:pPr>
            <w:r>
              <w:rPr>
                <w:rFonts w:hint="eastAsia"/>
                <w:b w:val="0"/>
                <w:bCs/>
                <w:color w:val="auto"/>
                <w:highlight w:val="none"/>
                <w:lang w:val="en-US" w:eastAsia="zh-CN"/>
              </w:rPr>
              <w:t>0.54</w:t>
            </w:r>
          </w:p>
        </w:tc>
        <w:tc>
          <w:tcPr>
            <w:tcW w:w="3488" w:type="dxa"/>
            <w:tcBorders>
              <w:tl2br w:val="nil"/>
              <w:tr2bl w:val="nil"/>
            </w:tcBorders>
            <w:noWrap w:val="0"/>
            <w:vAlign w:val="center"/>
          </w:tcPr>
          <w:p w14:paraId="36BC4F53">
            <w:pPr>
              <w:pStyle w:val="45"/>
              <w:bidi w:val="0"/>
              <w:rPr>
                <w:rFonts w:hint="default"/>
                <w:b w:val="0"/>
                <w:bCs/>
                <w:color w:val="auto"/>
                <w:highlight w:val="none"/>
              </w:rPr>
            </w:pPr>
            <w:r>
              <w:rPr>
                <w:rFonts w:hint="default"/>
                <w:b w:val="0"/>
                <w:bCs/>
                <w:color w:val="auto"/>
                <w:highlight w:val="none"/>
              </w:rPr>
              <w:t>风机安装平台一角</w:t>
            </w:r>
          </w:p>
        </w:tc>
        <w:tc>
          <w:tcPr>
            <w:tcW w:w="694" w:type="dxa"/>
            <w:vMerge w:val="restart"/>
            <w:tcBorders>
              <w:tl2br w:val="nil"/>
              <w:tr2bl w:val="nil"/>
            </w:tcBorders>
            <w:noWrap w:val="0"/>
            <w:vAlign w:val="center"/>
          </w:tcPr>
          <w:p w14:paraId="525AAD28">
            <w:pPr>
              <w:pStyle w:val="45"/>
              <w:bidi w:val="0"/>
              <w:rPr>
                <w:rFonts w:hint="eastAsia"/>
                <w:b w:val="0"/>
                <w:bCs/>
                <w:color w:val="auto"/>
                <w:highlight w:val="none"/>
                <w:lang w:eastAsia="zh-CN"/>
              </w:rPr>
            </w:pPr>
            <w:r>
              <w:rPr>
                <w:rFonts w:hint="eastAsia"/>
                <w:b w:val="0"/>
                <w:bCs/>
                <w:color w:val="auto"/>
                <w:highlight w:val="none"/>
                <w:lang w:eastAsia="zh-CN"/>
              </w:rPr>
              <w:t>不新增临时占地</w:t>
            </w:r>
          </w:p>
        </w:tc>
      </w:tr>
      <w:tr w14:paraId="175EEEA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96" w:type="dxa"/>
            <w:tcBorders>
              <w:tl2br w:val="nil"/>
              <w:tr2bl w:val="nil"/>
            </w:tcBorders>
            <w:noWrap w:val="0"/>
            <w:vAlign w:val="center"/>
          </w:tcPr>
          <w:p w14:paraId="4C679BAB">
            <w:pPr>
              <w:pStyle w:val="45"/>
              <w:bidi w:val="0"/>
              <w:rPr>
                <w:rFonts w:hint="default"/>
                <w:b w:val="0"/>
                <w:bCs/>
                <w:color w:val="auto"/>
                <w:highlight w:val="none"/>
              </w:rPr>
            </w:pPr>
            <w:r>
              <w:rPr>
                <w:rFonts w:hint="default"/>
                <w:b w:val="0"/>
                <w:bCs/>
                <w:color w:val="auto"/>
                <w:highlight w:val="none"/>
              </w:rPr>
              <w:t>道路工程区</w:t>
            </w:r>
          </w:p>
        </w:tc>
        <w:tc>
          <w:tcPr>
            <w:tcW w:w="1315" w:type="dxa"/>
            <w:tcBorders>
              <w:tl2br w:val="nil"/>
              <w:tr2bl w:val="nil"/>
            </w:tcBorders>
            <w:noWrap w:val="0"/>
            <w:vAlign w:val="center"/>
          </w:tcPr>
          <w:p w14:paraId="454D94C1">
            <w:pPr>
              <w:pStyle w:val="45"/>
              <w:bidi w:val="0"/>
              <w:rPr>
                <w:rFonts w:hint="default"/>
                <w:b w:val="0"/>
                <w:bCs/>
                <w:color w:val="auto"/>
                <w:highlight w:val="none"/>
                <w:lang w:val="en-US" w:eastAsia="zh-CN"/>
              </w:rPr>
            </w:pPr>
            <w:r>
              <w:rPr>
                <w:rFonts w:hint="eastAsia"/>
                <w:b w:val="0"/>
                <w:bCs/>
                <w:color w:val="auto"/>
                <w:highlight w:val="none"/>
                <w:lang w:val="en-US" w:eastAsia="zh-CN"/>
              </w:rPr>
              <w:t>4.06</w:t>
            </w:r>
          </w:p>
        </w:tc>
        <w:tc>
          <w:tcPr>
            <w:tcW w:w="1455" w:type="dxa"/>
            <w:tcBorders>
              <w:tl2br w:val="nil"/>
              <w:tr2bl w:val="nil"/>
            </w:tcBorders>
            <w:noWrap w:val="0"/>
            <w:vAlign w:val="center"/>
          </w:tcPr>
          <w:p w14:paraId="3072219F">
            <w:pPr>
              <w:pStyle w:val="45"/>
              <w:bidi w:val="0"/>
              <w:rPr>
                <w:rFonts w:hint="default"/>
                <w:b w:val="0"/>
                <w:bCs/>
                <w:color w:val="auto"/>
                <w:highlight w:val="none"/>
              </w:rPr>
            </w:pPr>
            <w:r>
              <w:rPr>
                <w:rFonts w:hint="eastAsia"/>
                <w:b w:val="0"/>
                <w:bCs/>
                <w:color w:val="auto"/>
                <w:highlight w:val="none"/>
                <w:lang w:val="en-US" w:eastAsia="zh-CN"/>
              </w:rPr>
              <w:t>4.06</w:t>
            </w:r>
          </w:p>
        </w:tc>
        <w:tc>
          <w:tcPr>
            <w:tcW w:w="3488" w:type="dxa"/>
            <w:tcBorders>
              <w:tl2br w:val="nil"/>
              <w:tr2bl w:val="nil"/>
            </w:tcBorders>
            <w:noWrap w:val="0"/>
            <w:vAlign w:val="center"/>
          </w:tcPr>
          <w:p w14:paraId="3ABA0343">
            <w:pPr>
              <w:pStyle w:val="45"/>
              <w:bidi w:val="0"/>
              <w:rPr>
                <w:rFonts w:hint="default"/>
                <w:b w:val="0"/>
                <w:bCs/>
                <w:color w:val="auto"/>
                <w:highlight w:val="none"/>
              </w:rPr>
            </w:pPr>
            <w:r>
              <w:rPr>
                <w:rFonts w:hint="default"/>
                <w:b w:val="0"/>
                <w:bCs/>
                <w:color w:val="auto"/>
                <w:highlight w:val="none"/>
              </w:rPr>
              <w:t>道路剥离的表土就近堆置于道路一侧或弯道平台区域</w:t>
            </w:r>
          </w:p>
        </w:tc>
        <w:tc>
          <w:tcPr>
            <w:tcW w:w="694" w:type="dxa"/>
            <w:vMerge w:val="continue"/>
            <w:tcBorders>
              <w:tl2br w:val="nil"/>
              <w:tr2bl w:val="nil"/>
            </w:tcBorders>
            <w:noWrap w:val="0"/>
            <w:vAlign w:val="center"/>
          </w:tcPr>
          <w:p w14:paraId="269E6CBD">
            <w:pPr>
              <w:pStyle w:val="45"/>
              <w:bidi w:val="0"/>
              <w:rPr>
                <w:rFonts w:hint="default"/>
                <w:color w:val="auto"/>
                <w:highlight w:val="none"/>
              </w:rPr>
            </w:pPr>
          </w:p>
        </w:tc>
      </w:tr>
      <w:tr w14:paraId="36DFEC2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96" w:type="dxa"/>
            <w:tcBorders>
              <w:tl2br w:val="nil"/>
              <w:tr2bl w:val="nil"/>
            </w:tcBorders>
            <w:noWrap w:val="0"/>
            <w:vAlign w:val="center"/>
          </w:tcPr>
          <w:p w14:paraId="2B7DD8D0">
            <w:pPr>
              <w:pStyle w:val="45"/>
              <w:bidi w:val="0"/>
              <w:rPr>
                <w:rFonts w:hint="default"/>
                <w:b w:val="0"/>
                <w:bCs/>
                <w:color w:val="auto"/>
                <w:highlight w:val="none"/>
              </w:rPr>
            </w:pPr>
            <w:r>
              <w:rPr>
                <w:rFonts w:hint="default"/>
                <w:b w:val="0"/>
                <w:bCs/>
                <w:color w:val="auto"/>
                <w:highlight w:val="none"/>
              </w:rPr>
              <w:t>弃渣场区</w:t>
            </w:r>
          </w:p>
        </w:tc>
        <w:tc>
          <w:tcPr>
            <w:tcW w:w="1315" w:type="dxa"/>
            <w:tcBorders>
              <w:tl2br w:val="nil"/>
              <w:tr2bl w:val="nil"/>
            </w:tcBorders>
            <w:noWrap w:val="0"/>
            <w:vAlign w:val="center"/>
          </w:tcPr>
          <w:p w14:paraId="3030374B">
            <w:pPr>
              <w:pStyle w:val="45"/>
              <w:bidi w:val="0"/>
              <w:rPr>
                <w:rFonts w:hint="default"/>
                <w:b w:val="0"/>
                <w:bCs/>
                <w:color w:val="auto"/>
                <w:highlight w:val="none"/>
                <w:lang w:val="en-US" w:eastAsia="zh-CN"/>
              </w:rPr>
            </w:pPr>
            <w:r>
              <w:rPr>
                <w:rFonts w:hint="eastAsia"/>
                <w:b w:val="0"/>
                <w:bCs/>
                <w:color w:val="auto"/>
                <w:highlight w:val="none"/>
                <w:lang w:val="en-US" w:eastAsia="zh-CN"/>
              </w:rPr>
              <w:t>1.09</w:t>
            </w:r>
          </w:p>
        </w:tc>
        <w:tc>
          <w:tcPr>
            <w:tcW w:w="1455" w:type="dxa"/>
            <w:tcBorders>
              <w:tl2br w:val="nil"/>
              <w:tr2bl w:val="nil"/>
            </w:tcBorders>
            <w:noWrap w:val="0"/>
            <w:vAlign w:val="center"/>
          </w:tcPr>
          <w:p w14:paraId="613D9D8A">
            <w:pPr>
              <w:pStyle w:val="45"/>
              <w:bidi w:val="0"/>
              <w:rPr>
                <w:rFonts w:hint="default"/>
                <w:b w:val="0"/>
                <w:bCs/>
                <w:color w:val="auto"/>
                <w:highlight w:val="none"/>
              </w:rPr>
            </w:pPr>
            <w:r>
              <w:rPr>
                <w:rFonts w:hint="eastAsia"/>
                <w:b w:val="0"/>
                <w:bCs/>
                <w:color w:val="auto"/>
                <w:highlight w:val="none"/>
                <w:lang w:val="en-US" w:eastAsia="zh-CN"/>
              </w:rPr>
              <w:t>1.09</w:t>
            </w:r>
          </w:p>
        </w:tc>
        <w:tc>
          <w:tcPr>
            <w:tcW w:w="3488" w:type="dxa"/>
            <w:tcBorders>
              <w:tl2br w:val="nil"/>
              <w:tr2bl w:val="nil"/>
            </w:tcBorders>
            <w:noWrap w:val="0"/>
            <w:vAlign w:val="center"/>
          </w:tcPr>
          <w:p w14:paraId="4E7E029B">
            <w:pPr>
              <w:pStyle w:val="45"/>
              <w:bidi w:val="0"/>
              <w:rPr>
                <w:rFonts w:hint="default"/>
                <w:b w:val="0"/>
                <w:bCs/>
                <w:color w:val="auto"/>
                <w:highlight w:val="none"/>
              </w:rPr>
            </w:pPr>
            <w:r>
              <w:rPr>
                <w:rFonts w:hint="default"/>
                <w:b w:val="0"/>
                <w:bCs/>
                <w:color w:val="auto"/>
                <w:highlight w:val="none"/>
              </w:rPr>
              <w:t>堆置于渣场一角</w:t>
            </w:r>
          </w:p>
        </w:tc>
        <w:tc>
          <w:tcPr>
            <w:tcW w:w="694" w:type="dxa"/>
            <w:vMerge w:val="continue"/>
            <w:tcBorders>
              <w:tl2br w:val="nil"/>
              <w:tr2bl w:val="nil"/>
            </w:tcBorders>
            <w:noWrap w:val="0"/>
            <w:vAlign w:val="center"/>
          </w:tcPr>
          <w:p w14:paraId="66A6354E">
            <w:pPr>
              <w:pStyle w:val="45"/>
              <w:bidi w:val="0"/>
              <w:rPr>
                <w:rFonts w:hint="default"/>
                <w:color w:val="auto"/>
                <w:highlight w:val="none"/>
              </w:rPr>
            </w:pPr>
          </w:p>
        </w:tc>
      </w:tr>
      <w:tr w14:paraId="3FD5D77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196" w:type="dxa"/>
            <w:tcBorders>
              <w:tl2br w:val="nil"/>
              <w:tr2bl w:val="nil"/>
            </w:tcBorders>
            <w:noWrap w:val="0"/>
            <w:vAlign w:val="center"/>
          </w:tcPr>
          <w:p w14:paraId="015D3540">
            <w:pPr>
              <w:pStyle w:val="45"/>
              <w:bidi w:val="0"/>
              <w:rPr>
                <w:rFonts w:hint="default"/>
                <w:b w:val="0"/>
                <w:bCs/>
                <w:color w:val="auto"/>
                <w:highlight w:val="none"/>
              </w:rPr>
            </w:pPr>
            <w:r>
              <w:rPr>
                <w:rFonts w:hint="default"/>
                <w:b w:val="0"/>
                <w:bCs/>
                <w:color w:val="auto"/>
                <w:highlight w:val="none"/>
              </w:rPr>
              <w:t>合计</w:t>
            </w:r>
          </w:p>
        </w:tc>
        <w:tc>
          <w:tcPr>
            <w:tcW w:w="1315" w:type="dxa"/>
            <w:tcBorders>
              <w:tl2br w:val="nil"/>
              <w:tr2bl w:val="nil"/>
            </w:tcBorders>
            <w:noWrap w:val="0"/>
            <w:vAlign w:val="center"/>
          </w:tcPr>
          <w:p w14:paraId="4461CD14">
            <w:pPr>
              <w:pStyle w:val="45"/>
              <w:bidi w:val="0"/>
              <w:rPr>
                <w:rFonts w:hint="default"/>
                <w:b w:val="0"/>
                <w:bCs/>
                <w:color w:val="auto"/>
                <w:highlight w:val="none"/>
                <w:lang w:val="en-US" w:eastAsia="zh-CN"/>
              </w:rPr>
            </w:pPr>
            <w:r>
              <w:rPr>
                <w:rFonts w:hint="eastAsia"/>
                <w:b w:val="0"/>
                <w:bCs/>
                <w:color w:val="auto"/>
                <w:highlight w:val="none"/>
                <w:lang w:val="en-US" w:eastAsia="zh-CN"/>
              </w:rPr>
              <w:t>5.69</w:t>
            </w:r>
          </w:p>
        </w:tc>
        <w:tc>
          <w:tcPr>
            <w:tcW w:w="1455" w:type="dxa"/>
            <w:tcBorders>
              <w:tl2br w:val="nil"/>
              <w:tr2bl w:val="nil"/>
            </w:tcBorders>
            <w:noWrap w:val="0"/>
            <w:vAlign w:val="center"/>
          </w:tcPr>
          <w:p w14:paraId="6DE1AD21">
            <w:pPr>
              <w:pStyle w:val="45"/>
              <w:bidi w:val="0"/>
              <w:rPr>
                <w:rFonts w:hint="default"/>
                <w:b w:val="0"/>
                <w:bCs/>
                <w:color w:val="auto"/>
                <w:highlight w:val="none"/>
                <w:lang w:val="en-US"/>
              </w:rPr>
            </w:pPr>
            <w:r>
              <w:rPr>
                <w:rFonts w:hint="eastAsia"/>
                <w:b w:val="0"/>
                <w:bCs/>
                <w:color w:val="auto"/>
                <w:highlight w:val="none"/>
                <w:lang w:val="en-US" w:eastAsia="zh-CN"/>
              </w:rPr>
              <w:t>5.69</w:t>
            </w:r>
          </w:p>
        </w:tc>
        <w:tc>
          <w:tcPr>
            <w:tcW w:w="3488" w:type="dxa"/>
            <w:tcBorders>
              <w:tl2br w:val="nil"/>
              <w:tr2bl w:val="nil"/>
            </w:tcBorders>
            <w:noWrap w:val="0"/>
            <w:vAlign w:val="center"/>
          </w:tcPr>
          <w:p w14:paraId="74FC7EB5">
            <w:pPr>
              <w:pStyle w:val="45"/>
              <w:bidi w:val="0"/>
              <w:rPr>
                <w:rFonts w:hint="eastAsia"/>
                <w:b w:val="0"/>
                <w:bCs/>
                <w:color w:val="auto"/>
                <w:highlight w:val="none"/>
                <w:lang w:val="en-US" w:eastAsia="zh-CN"/>
              </w:rPr>
            </w:pPr>
            <w:r>
              <w:rPr>
                <w:rFonts w:hint="eastAsia"/>
                <w:b w:val="0"/>
                <w:bCs/>
                <w:color w:val="auto"/>
                <w:highlight w:val="none"/>
                <w:lang w:val="en-US" w:eastAsia="zh-CN"/>
              </w:rPr>
              <w:t>/</w:t>
            </w:r>
          </w:p>
        </w:tc>
        <w:tc>
          <w:tcPr>
            <w:tcW w:w="694" w:type="dxa"/>
            <w:vMerge w:val="continue"/>
            <w:tcBorders>
              <w:tl2br w:val="nil"/>
              <w:tr2bl w:val="nil"/>
            </w:tcBorders>
            <w:noWrap w:val="0"/>
            <w:vAlign w:val="center"/>
          </w:tcPr>
          <w:p w14:paraId="59AEFC55">
            <w:pPr>
              <w:pStyle w:val="45"/>
              <w:bidi w:val="0"/>
              <w:rPr>
                <w:rFonts w:hint="default"/>
                <w:color w:val="auto"/>
                <w:highlight w:val="none"/>
              </w:rPr>
            </w:pPr>
          </w:p>
        </w:tc>
      </w:tr>
    </w:tbl>
    <w:p w14:paraId="7DD3C5A5">
      <w:pPr>
        <w:pStyle w:val="5"/>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弃渣场</w:t>
      </w:r>
    </w:p>
    <w:p w14:paraId="6F60846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Times New Roman" w:hAnsi="Times New Roman" w:cs="Times New Roman"/>
          <w:b w:val="0"/>
          <w:bCs w:val="0"/>
          <w:color w:val="auto"/>
          <w:kern w:val="0"/>
          <w:sz w:val="24"/>
          <w:szCs w:val="24"/>
          <w:highlight w:val="none"/>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ascii="Times New Roman" w:hAnsi="Times New Roman" w:cs="Times New Roman"/>
          <w:b w:val="0"/>
          <w:bCs w:val="0"/>
          <w:color w:val="auto"/>
          <w:kern w:val="0"/>
          <w:sz w:val="24"/>
          <w:szCs w:val="24"/>
          <w:highlight w:val="none"/>
          <w:lang w:val="en-US" w:eastAsia="zh-CN"/>
        </w:rPr>
        <w:t>根据《祁东县南冲风电场（大马二期）工程水土保持方案报告书》，本工程共产生弃渣49.71万m</w:t>
      </w:r>
      <w:r>
        <w:rPr>
          <w:rFonts w:hint="eastAsia" w:ascii="Times New Roman" w:hAnsi="Times New Roman" w:cs="Times New Roman"/>
          <w:b w:val="0"/>
          <w:bCs w:val="0"/>
          <w:color w:val="auto"/>
          <w:kern w:val="0"/>
          <w:sz w:val="24"/>
          <w:szCs w:val="24"/>
          <w:highlight w:val="none"/>
          <w:vertAlign w:val="superscript"/>
          <w:lang w:val="en-US" w:eastAsia="zh-CN"/>
        </w:rPr>
        <w:t>3</w:t>
      </w:r>
      <w:r>
        <w:rPr>
          <w:rFonts w:hint="eastAsia" w:ascii="Times New Roman" w:hAnsi="Times New Roman" w:cs="Times New Roman"/>
          <w:b w:val="0"/>
          <w:bCs w:val="0"/>
          <w:color w:val="auto"/>
          <w:kern w:val="0"/>
          <w:sz w:val="24"/>
          <w:szCs w:val="24"/>
          <w:highlight w:val="none"/>
          <w:lang w:val="en-US" w:eastAsia="zh-CN"/>
        </w:rPr>
        <w:t>，共设置弃渣场12处，每处弃渣特性详见下表</w:t>
      </w:r>
      <w:r>
        <w:rPr>
          <w:rFonts w:hint="eastAsia" w:cs="Times New Roman"/>
          <w:b w:val="0"/>
          <w:bCs w:val="0"/>
          <w:color w:val="auto"/>
          <w:kern w:val="0"/>
          <w:sz w:val="24"/>
          <w:szCs w:val="24"/>
          <w:highlight w:val="none"/>
          <w:lang w:val="en-US" w:eastAsia="zh-CN"/>
        </w:rPr>
        <w:t>4.3-6</w:t>
      </w:r>
      <w:r>
        <w:rPr>
          <w:rFonts w:hint="eastAsia" w:ascii="Times New Roman" w:hAnsi="Times New Roman" w:cs="Times New Roman"/>
          <w:b w:val="0"/>
          <w:bCs w:val="0"/>
          <w:color w:val="auto"/>
          <w:kern w:val="0"/>
          <w:sz w:val="24"/>
          <w:szCs w:val="24"/>
          <w:highlight w:val="none"/>
          <w:lang w:val="en-US" w:eastAsia="zh-CN"/>
        </w:rPr>
        <w:t>，弃渣场周边范围内均无居民、生态保护红线、公共设施和重要基础设施等。本项目弃渣场分布详见附图</w:t>
      </w:r>
      <w:r>
        <w:rPr>
          <w:rFonts w:hint="eastAsia" w:cs="Times New Roman"/>
          <w:b w:val="0"/>
          <w:bCs w:val="0"/>
          <w:color w:val="auto"/>
          <w:kern w:val="0"/>
          <w:sz w:val="24"/>
          <w:szCs w:val="24"/>
          <w:highlight w:val="none"/>
          <w:lang w:val="en-US" w:eastAsia="zh-CN"/>
        </w:rPr>
        <w:t>4</w:t>
      </w:r>
      <w:r>
        <w:rPr>
          <w:rFonts w:hint="eastAsia" w:ascii="Times New Roman" w:hAnsi="Times New Roman" w:cs="Times New Roman"/>
          <w:b w:val="0"/>
          <w:bCs w:val="0"/>
          <w:color w:val="auto"/>
          <w:kern w:val="0"/>
          <w:sz w:val="24"/>
          <w:szCs w:val="24"/>
          <w:highlight w:val="none"/>
          <w:lang w:val="en-US" w:eastAsia="zh-CN"/>
        </w:rPr>
        <w:t>。</w:t>
      </w:r>
    </w:p>
    <w:p w14:paraId="6F1E6AA8">
      <w:pPr>
        <w:keepNext w:val="0"/>
        <w:keepLines w:val="0"/>
        <w:pageBreakBefore w:val="0"/>
        <w:widowControl w:val="0"/>
        <w:kinsoku/>
        <w:wordWrap/>
        <w:overflowPunct/>
        <w:topLinePunct w:val="0"/>
        <w:autoSpaceDE/>
        <w:autoSpaceDN/>
        <w:bidi w:val="0"/>
        <w:adjustRightInd w:val="0"/>
        <w:snapToGrid w:val="0"/>
        <w:spacing w:line="240" w:lineRule="auto"/>
        <w:ind w:firstLine="482" w:firstLineChars="200"/>
        <w:jc w:val="center"/>
        <w:textAlignment w:val="auto"/>
        <w:rPr>
          <w:rFonts w:hint="default" w:ascii="Times New Roman" w:hAnsi="Times New Roman" w:cs="Times New Roman"/>
          <w:b/>
          <w:bCs/>
          <w:color w:val="auto"/>
          <w:kern w:val="0"/>
          <w:sz w:val="24"/>
          <w:szCs w:val="24"/>
          <w:highlight w:val="none"/>
          <w:lang w:val="en-US" w:eastAsia="zh-CN"/>
        </w:rPr>
      </w:pPr>
      <w:r>
        <w:rPr>
          <w:rFonts w:hint="default" w:ascii="Times New Roman" w:hAnsi="Times New Roman" w:cs="Times New Roman"/>
          <w:b/>
          <w:bCs/>
          <w:color w:val="auto"/>
          <w:kern w:val="0"/>
          <w:sz w:val="24"/>
          <w:szCs w:val="24"/>
          <w:highlight w:val="none"/>
          <w:lang w:eastAsia="zh-CN"/>
        </w:rPr>
        <w:t>表</w:t>
      </w:r>
      <w:r>
        <w:rPr>
          <w:rFonts w:hint="eastAsia" w:ascii="Times New Roman" w:hAnsi="Times New Roman" w:cs="Times New Roman"/>
          <w:b/>
          <w:bCs/>
          <w:color w:val="auto"/>
          <w:kern w:val="0"/>
          <w:sz w:val="24"/>
          <w:szCs w:val="24"/>
          <w:highlight w:val="none"/>
          <w:lang w:val="en-US" w:eastAsia="zh-CN"/>
        </w:rPr>
        <w:t>4.</w:t>
      </w:r>
      <w:r>
        <w:rPr>
          <w:rFonts w:hint="eastAsia" w:cs="Times New Roman"/>
          <w:b/>
          <w:bCs/>
          <w:color w:val="auto"/>
          <w:kern w:val="0"/>
          <w:sz w:val="24"/>
          <w:szCs w:val="24"/>
          <w:highlight w:val="none"/>
          <w:lang w:val="en-US" w:eastAsia="zh-CN"/>
        </w:rPr>
        <w:t>4</w:t>
      </w:r>
      <w:r>
        <w:rPr>
          <w:rFonts w:hint="eastAsia" w:ascii="Times New Roman" w:hAnsi="Times New Roman" w:cs="Times New Roman"/>
          <w:b/>
          <w:bCs/>
          <w:color w:val="auto"/>
          <w:kern w:val="0"/>
          <w:sz w:val="24"/>
          <w:szCs w:val="24"/>
          <w:highlight w:val="none"/>
          <w:lang w:val="en-US" w:eastAsia="zh-CN"/>
        </w:rPr>
        <w:t>-</w:t>
      </w:r>
      <w:r>
        <w:rPr>
          <w:rFonts w:hint="eastAsia" w:cs="Times New Roman"/>
          <w:b/>
          <w:bCs/>
          <w:color w:val="auto"/>
          <w:kern w:val="0"/>
          <w:sz w:val="24"/>
          <w:szCs w:val="24"/>
          <w:highlight w:val="none"/>
          <w:lang w:val="en-US" w:eastAsia="zh-CN"/>
        </w:rPr>
        <w:t>6</w:t>
      </w:r>
      <w:r>
        <w:rPr>
          <w:rFonts w:hint="eastAsia" w:ascii="Times New Roman" w:hAnsi="Times New Roman" w:cs="Times New Roman"/>
          <w:b/>
          <w:bCs/>
          <w:color w:val="auto"/>
          <w:kern w:val="0"/>
          <w:sz w:val="24"/>
          <w:szCs w:val="24"/>
          <w:highlight w:val="none"/>
          <w:lang w:val="en-US" w:eastAsia="zh-CN"/>
        </w:rPr>
        <w:t xml:space="preserve">  </w:t>
      </w:r>
      <w:r>
        <w:rPr>
          <w:rFonts w:hint="default" w:ascii="Times New Roman" w:hAnsi="Times New Roman" w:cs="Times New Roman"/>
          <w:b/>
          <w:bCs/>
          <w:color w:val="auto"/>
          <w:kern w:val="0"/>
          <w:sz w:val="24"/>
          <w:szCs w:val="24"/>
          <w:highlight w:val="none"/>
          <w:lang w:val="en-US" w:eastAsia="zh-CN"/>
        </w:rPr>
        <w:t>本工程弃渣场一览表</w:t>
      </w:r>
    </w:p>
    <w:tbl>
      <w:tblPr>
        <w:tblStyle w:val="19"/>
        <w:tblW w:w="5000" w:type="pct"/>
        <w:tblInd w:w="91"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635"/>
        <w:gridCol w:w="531"/>
        <w:gridCol w:w="834"/>
        <w:gridCol w:w="1001"/>
        <w:gridCol w:w="955"/>
        <w:gridCol w:w="970"/>
        <w:gridCol w:w="1759"/>
        <w:gridCol w:w="986"/>
        <w:gridCol w:w="985"/>
        <w:gridCol w:w="849"/>
        <w:gridCol w:w="803"/>
        <w:gridCol w:w="1038"/>
        <w:gridCol w:w="942"/>
        <w:gridCol w:w="795"/>
        <w:gridCol w:w="1091"/>
      </w:tblGrid>
      <w:tr w14:paraId="37CB20A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635" w:type="dxa"/>
            <w:vMerge w:val="restart"/>
            <w:tcBorders>
              <w:tl2br w:val="nil"/>
              <w:tr2bl w:val="nil"/>
            </w:tcBorders>
            <w:noWrap/>
            <w:vAlign w:val="center"/>
          </w:tcPr>
          <w:p w14:paraId="7D195AF0">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编号</w:t>
            </w:r>
          </w:p>
        </w:tc>
        <w:tc>
          <w:tcPr>
            <w:tcW w:w="531" w:type="dxa"/>
            <w:vMerge w:val="restart"/>
            <w:tcBorders>
              <w:tl2br w:val="nil"/>
              <w:tr2bl w:val="nil"/>
            </w:tcBorders>
            <w:noWrap/>
            <w:vAlign w:val="center"/>
          </w:tcPr>
          <w:p w14:paraId="2E045717">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渣场级别</w:t>
            </w:r>
          </w:p>
        </w:tc>
        <w:tc>
          <w:tcPr>
            <w:tcW w:w="834" w:type="dxa"/>
            <w:vMerge w:val="restart"/>
            <w:tcBorders>
              <w:tl2br w:val="nil"/>
              <w:tr2bl w:val="nil"/>
            </w:tcBorders>
            <w:noWrap/>
            <w:vAlign w:val="center"/>
          </w:tcPr>
          <w:p w14:paraId="330C6D3A">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相对位置</w:t>
            </w:r>
          </w:p>
        </w:tc>
        <w:tc>
          <w:tcPr>
            <w:tcW w:w="1956" w:type="dxa"/>
            <w:gridSpan w:val="2"/>
            <w:tcBorders>
              <w:tl2br w:val="nil"/>
              <w:tr2bl w:val="nil"/>
            </w:tcBorders>
            <w:noWrap/>
            <w:vAlign w:val="center"/>
          </w:tcPr>
          <w:p w14:paraId="0588DA32">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坐标</w:t>
            </w:r>
          </w:p>
        </w:tc>
        <w:tc>
          <w:tcPr>
            <w:tcW w:w="970" w:type="dxa"/>
            <w:vMerge w:val="restart"/>
            <w:tcBorders>
              <w:tl2br w:val="nil"/>
              <w:tr2bl w:val="nil"/>
            </w:tcBorders>
            <w:noWrap/>
            <w:vAlign w:val="center"/>
          </w:tcPr>
          <w:p w14:paraId="4AD888DF">
            <w:pPr>
              <w:pStyle w:val="45"/>
              <w:bidi w:val="0"/>
              <w:rPr>
                <w:rFonts w:hint="default"/>
                <w:b w:val="0"/>
                <w:bCs/>
                <w:color w:val="auto"/>
                <w:sz w:val="21"/>
                <w:szCs w:val="21"/>
                <w:highlight w:val="none"/>
                <w:lang w:val="en-US" w:eastAsia="zh-CN"/>
              </w:rPr>
            </w:pPr>
            <w:r>
              <w:rPr>
                <w:rFonts w:hint="default"/>
                <w:b w:val="0"/>
                <w:bCs/>
                <w:color w:val="auto"/>
                <w:sz w:val="21"/>
                <w:szCs w:val="21"/>
                <w:highlight w:val="none"/>
                <w:lang w:val="en-US" w:eastAsia="zh-CN"/>
              </w:rPr>
              <w:t>渣场</w:t>
            </w:r>
          </w:p>
          <w:p w14:paraId="196B71F3">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类型</w:t>
            </w:r>
          </w:p>
        </w:tc>
        <w:tc>
          <w:tcPr>
            <w:tcW w:w="1759" w:type="dxa"/>
            <w:vMerge w:val="restart"/>
            <w:tcBorders>
              <w:tl2br w:val="nil"/>
              <w:tr2bl w:val="nil"/>
            </w:tcBorders>
            <w:noWrap/>
            <w:vAlign w:val="center"/>
          </w:tcPr>
          <w:p w14:paraId="016E51B1">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弃渣来源</w:t>
            </w:r>
          </w:p>
        </w:tc>
        <w:tc>
          <w:tcPr>
            <w:tcW w:w="986" w:type="dxa"/>
            <w:vMerge w:val="restart"/>
            <w:tcBorders>
              <w:tl2br w:val="nil"/>
              <w:tr2bl w:val="nil"/>
            </w:tcBorders>
            <w:noWrap/>
            <w:vAlign w:val="center"/>
          </w:tcPr>
          <w:p w14:paraId="235E35C9">
            <w:pPr>
              <w:pStyle w:val="45"/>
              <w:bidi w:val="0"/>
              <w:rPr>
                <w:rFonts w:hint="default"/>
                <w:b w:val="0"/>
                <w:bCs/>
                <w:color w:val="auto"/>
                <w:sz w:val="21"/>
                <w:szCs w:val="21"/>
                <w:highlight w:val="none"/>
                <w:lang w:val="en-US" w:eastAsia="zh-CN"/>
              </w:rPr>
            </w:pPr>
            <w:r>
              <w:rPr>
                <w:rFonts w:hint="default"/>
                <w:b w:val="0"/>
                <w:bCs/>
                <w:color w:val="auto"/>
                <w:sz w:val="21"/>
                <w:szCs w:val="21"/>
                <w:highlight w:val="none"/>
                <w:lang w:val="en-US" w:eastAsia="zh-CN"/>
              </w:rPr>
              <w:t>面积</w:t>
            </w:r>
          </w:p>
          <w:p w14:paraId="027C9FB4">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w:t>
            </w:r>
            <w:r>
              <w:rPr>
                <w:b w:val="0"/>
                <w:bCs/>
                <w:color w:val="auto"/>
                <w:sz w:val="21"/>
                <w:szCs w:val="21"/>
                <w:highlight w:val="none"/>
                <w:lang w:val="en-US" w:eastAsia="zh-CN"/>
              </w:rPr>
              <w:t>hm</w:t>
            </w:r>
            <w:r>
              <w:rPr>
                <w:b w:val="0"/>
                <w:bCs/>
                <w:color w:val="auto"/>
                <w:sz w:val="21"/>
                <w:szCs w:val="21"/>
                <w:highlight w:val="none"/>
                <w:vertAlign w:val="superscript"/>
                <w:lang w:val="en-US" w:eastAsia="zh-CN"/>
              </w:rPr>
              <w:t>2</w:t>
            </w:r>
            <w:r>
              <w:rPr>
                <w:rFonts w:hint="default"/>
                <w:b w:val="0"/>
                <w:bCs/>
                <w:color w:val="auto"/>
                <w:sz w:val="21"/>
                <w:szCs w:val="21"/>
                <w:highlight w:val="none"/>
                <w:lang w:val="en-US" w:eastAsia="zh-CN"/>
              </w:rPr>
              <w:t>）</w:t>
            </w:r>
          </w:p>
        </w:tc>
        <w:tc>
          <w:tcPr>
            <w:tcW w:w="985" w:type="dxa"/>
            <w:vMerge w:val="restart"/>
            <w:tcBorders>
              <w:tl2br w:val="nil"/>
              <w:tr2bl w:val="nil"/>
            </w:tcBorders>
            <w:noWrap/>
            <w:vAlign w:val="center"/>
          </w:tcPr>
          <w:p w14:paraId="747DA747">
            <w:pPr>
              <w:pStyle w:val="45"/>
              <w:bidi w:val="0"/>
              <w:rPr>
                <w:rFonts w:hint="default"/>
                <w:b w:val="0"/>
                <w:bCs/>
                <w:color w:val="auto"/>
                <w:sz w:val="21"/>
                <w:szCs w:val="21"/>
                <w:highlight w:val="none"/>
                <w:lang w:val="en-US" w:eastAsia="zh-CN"/>
              </w:rPr>
            </w:pPr>
            <w:r>
              <w:rPr>
                <w:rFonts w:hint="default"/>
                <w:b w:val="0"/>
                <w:bCs/>
                <w:color w:val="auto"/>
                <w:sz w:val="21"/>
                <w:szCs w:val="21"/>
                <w:highlight w:val="none"/>
                <w:lang w:val="en-US" w:eastAsia="zh-CN"/>
              </w:rPr>
              <w:t>集水</w:t>
            </w:r>
          </w:p>
          <w:p w14:paraId="1AC35687">
            <w:pPr>
              <w:pStyle w:val="45"/>
              <w:bidi w:val="0"/>
              <w:rPr>
                <w:rFonts w:hint="default"/>
                <w:b w:val="0"/>
                <w:bCs/>
                <w:color w:val="auto"/>
                <w:sz w:val="21"/>
                <w:szCs w:val="21"/>
                <w:highlight w:val="none"/>
                <w:lang w:val="en-US" w:eastAsia="zh-CN"/>
              </w:rPr>
            </w:pPr>
            <w:r>
              <w:rPr>
                <w:rFonts w:hint="default"/>
                <w:b w:val="0"/>
                <w:bCs/>
                <w:color w:val="auto"/>
                <w:sz w:val="21"/>
                <w:szCs w:val="21"/>
                <w:highlight w:val="none"/>
                <w:lang w:val="en-US" w:eastAsia="zh-CN"/>
              </w:rPr>
              <w:t>面积</w:t>
            </w:r>
          </w:p>
          <w:p w14:paraId="13CD6D43">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w:t>
            </w:r>
            <w:r>
              <w:rPr>
                <w:b w:val="0"/>
                <w:bCs/>
                <w:color w:val="auto"/>
                <w:sz w:val="21"/>
                <w:szCs w:val="21"/>
                <w:highlight w:val="none"/>
                <w:lang w:val="en-US" w:eastAsia="zh-CN"/>
              </w:rPr>
              <w:t>km</w:t>
            </w:r>
            <w:r>
              <w:rPr>
                <w:b w:val="0"/>
                <w:bCs/>
                <w:color w:val="auto"/>
                <w:sz w:val="21"/>
                <w:szCs w:val="21"/>
                <w:highlight w:val="none"/>
                <w:vertAlign w:val="superscript"/>
                <w:lang w:val="en-US" w:eastAsia="zh-CN"/>
              </w:rPr>
              <w:t>2</w:t>
            </w:r>
            <w:r>
              <w:rPr>
                <w:rFonts w:hint="default"/>
                <w:b w:val="0"/>
                <w:bCs/>
                <w:color w:val="auto"/>
                <w:sz w:val="21"/>
                <w:szCs w:val="21"/>
                <w:highlight w:val="none"/>
                <w:lang w:val="en-US" w:eastAsia="zh-CN"/>
              </w:rPr>
              <w:t>）</w:t>
            </w:r>
          </w:p>
        </w:tc>
        <w:tc>
          <w:tcPr>
            <w:tcW w:w="849" w:type="dxa"/>
            <w:vMerge w:val="restart"/>
            <w:tcBorders>
              <w:tl2br w:val="nil"/>
              <w:tr2bl w:val="nil"/>
            </w:tcBorders>
            <w:noWrap/>
            <w:vAlign w:val="center"/>
          </w:tcPr>
          <w:p w14:paraId="6DCC1179">
            <w:pPr>
              <w:pStyle w:val="45"/>
              <w:bidi w:val="0"/>
              <w:rPr>
                <w:rFonts w:hint="default"/>
                <w:b w:val="0"/>
                <w:bCs/>
                <w:color w:val="auto"/>
                <w:sz w:val="21"/>
                <w:szCs w:val="21"/>
                <w:highlight w:val="none"/>
                <w:lang w:val="en-US" w:eastAsia="zh-CN"/>
              </w:rPr>
            </w:pPr>
            <w:r>
              <w:rPr>
                <w:rFonts w:hint="default"/>
                <w:b w:val="0"/>
                <w:bCs/>
                <w:color w:val="auto"/>
                <w:sz w:val="21"/>
                <w:szCs w:val="21"/>
                <w:highlight w:val="none"/>
                <w:lang w:val="en-US" w:eastAsia="zh-CN"/>
              </w:rPr>
              <w:t>平均堆渣高</w:t>
            </w:r>
          </w:p>
          <w:p w14:paraId="6FD8C2A7">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w:t>
            </w:r>
            <w:r>
              <w:rPr>
                <w:b w:val="0"/>
                <w:bCs/>
                <w:color w:val="auto"/>
                <w:sz w:val="21"/>
                <w:szCs w:val="21"/>
                <w:highlight w:val="none"/>
                <w:lang w:val="en-US" w:eastAsia="zh-CN"/>
              </w:rPr>
              <w:t>m</w:t>
            </w:r>
            <w:r>
              <w:rPr>
                <w:rFonts w:hint="default"/>
                <w:b w:val="0"/>
                <w:bCs/>
                <w:color w:val="auto"/>
                <w:sz w:val="21"/>
                <w:szCs w:val="21"/>
                <w:highlight w:val="none"/>
                <w:lang w:val="en-US" w:eastAsia="zh-CN"/>
              </w:rPr>
              <w:t>）</w:t>
            </w:r>
          </w:p>
        </w:tc>
        <w:tc>
          <w:tcPr>
            <w:tcW w:w="803" w:type="dxa"/>
            <w:vMerge w:val="restart"/>
            <w:tcBorders>
              <w:tl2br w:val="nil"/>
              <w:tr2bl w:val="nil"/>
            </w:tcBorders>
            <w:noWrap/>
            <w:vAlign w:val="center"/>
          </w:tcPr>
          <w:p w14:paraId="2E61E382">
            <w:pPr>
              <w:pStyle w:val="45"/>
              <w:bidi w:val="0"/>
              <w:rPr>
                <w:rFonts w:hint="default"/>
                <w:b w:val="0"/>
                <w:bCs/>
                <w:color w:val="auto"/>
                <w:sz w:val="21"/>
                <w:szCs w:val="21"/>
                <w:highlight w:val="none"/>
                <w:lang w:val="en-US" w:eastAsia="zh-CN"/>
              </w:rPr>
            </w:pPr>
            <w:r>
              <w:rPr>
                <w:rFonts w:hint="default"/>
                <w:b w:val="0"/>
                <w:bCs/>
                <w:color w:val="auto"/>
                <w:sz w:val="21"/>
                <w:szCs w:val="21"/>
                <w:highlight w:val="none"/>
                <w:lang w:val="en-US" w:eastAsia="zh-CN"/>
              </w:rPr>
              <w:t>最大堆渣高</w:t>
            </w:r>
          </w:p>
          <w:p w14:paraId="64BC8357">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w:t>
            </w:r>
            <w:r>
              <w:rPr>
                <w:b w:val="0"/>
                <w:bCs/>
                <w:color w:val="auto"/>
                <w:sz w:val="21"/>
                <w:szCs w:val="21"/>
                <w:highlight w:val="none"/>
                <w:lang w:val="en-US" w:eastAsia="zh-CN"/>
              </w:rPr>
              <w:t>m</w:t>
            </w:r>
            <w:r>
              <w:rPr>
                <w:rFonts w:hint="default"/>
                <w:b w:val="0"/>
                <w:bCs/>
                <w:color w:val="auto"/>
                <w:sz w:val="21"/>
                <w:szCs w:val="21"/>
                <w:highlight w:val="none"/>
                <w:lang w:val="en-US" w:eastAsia="zh-CN"/>
              </w:rPr>
              <w:t>）</w:t>
            </w:r>
          </w:p>
        </w:tc>
        <w:tc>
          <w:tcPr>
            <w:tcW w:w="1038" w:type="dxa"/>
            <w:vMerge w:val="restart"/>
            <w:tcBorders>
              <w:tl2br w:val="nil"/>
              <w:tr2bl w:val="nil"/>
            </w:tcBorders>
            <w:noWrap/>
            <w:vAlign w:val="center"/>
          </w:tcPr>
          <w:p w14:paraId="3DB1646A">
            <w:pPr>
              <w:pStyle w:val="45"/>
              <w:bidi w:val="0"/>
              <w:rPr>
                <w:rFonts w:hint="default"/>
                <w:b w:val="0"/>
                <w:bCs/>
                <w:color w:val="auto"/>
                <w:sz w:val="21"/>
                <w:szCs w:val="21"/>
                <w:highlight w:val="none"/>
                <w:lang w:val="en-US" w:eastAsia="zh-CN"/>
              </w:rPr>
            </w:pPr>
            <w:r>
              <w:rPr>
                <w:rFonts w:hint="default"/>
                <w:b w:val="0"/>
                <w:bCs/>
                <w:color w:val="auto"/>
                <w:sz w:val="21"/>
                <w:szCs w:val="21"/>
                <w:highlight w:val="none"/>
                <w:lang w:val="en-US" w:eastAsia="zh-CN"/>
              </w:rPr>
              <w:t>容量</w:t>
            </w:r>
          </w:p>
          <w:p w14:paraId="1B6092B2">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（万</w:t>
            </w:r>
            <w:r>
              <w:rPr>
                <w:b w:val="0"/>
                <w:bCs/>
                <w:color w:val="auto"/>
                <w:sz w:val="21"/>
                <w:szCs w:val="21"/>
                <w:highlight w:val="none"/>
                <w:lang w:val="en-US" w:eastAsia="zh-CN"/>
              </w:rPr>
              <w:t>m</w:t>
            </w:r>
            <w:r>
              <w:rPr>
                <w:b w:val="0"/>
                <w:bCs/>
                <w:color w:val="auto"/>
                <w:sz w:val="21"/>
                <w:szCs w:val="21"/>
                <w:highlight w:val="none"/>
                <w:vertAlign w:val="superscript"/>
                <w:lang w:val="en-US" w:eastAsia="zh-CN"/>
              </w:rPr>
              <w:t>3</w:t>
            </w:r>
            <w:r>
              <w:rPr>
                <w:b w:val="0"/>
                <w:bCs/>
                <w:color w:val="auto"/>
                <w:sz w:val="21"/>
                <w:szCs w:val="21"/>
                <w:highlight w:val="none"/>
                <w:lang w:val="en-US" w:eastAsia="zh-CN"/>
              </w:rPr>
              <w:t>)</w:t>
            </w:r>
          </w:p>
        </w:tc>
        <w:tc>
          <w:tcPr>
            <w:tcW w:w="942" w:type="dxa"/>
            <w:vMerge w:val="restart"/>
            <w:tcBorders>
              <w:tl2br w:val="nil"/>
              <w:tr2bl w:val="nil"/>
            </w:tcBorders>
            <w:noWrap/>
            <w:vAlign w:val="center"/>
          </w:tcPr>
          <w:p w14:paraId="6AF0FD36">
            <w:pPr>
              <w:pStyle w:val="45"/>
              <w:bidi w:val="0"/>
              <w:rPr>
                <w:rFonts w:hint="default"/>
                <w:b w:val="0"/>
                <w:bCs/>
                <w:color w:val="auto"/>
                <w:sz w:val="21"/>
                <w:szCs w:val="21"/>
                <w:highlight w:val="none"/>
                <w:lang w:val="en-US" w:eastAsia="zh-CN"/>
              </w:rPr>
            </w:pPr>
            <w:r>
              <w:rPr>
                <w:rFonts w:hint="default"/>
                <w:b w:val="0"/>
                <w:bCs/>
                <w:color w:val="auto"/>
                <w:sz w:val="21"/>
                <w:szCs w:val="21"/>
                <w:highlight w:val="none"/>
                <w:lang w:val="en-US" w:eastAsia="zh-CN"/>
              </w:rPr>
              <w:t>弃渣量</w:t>
            </w:r>
          </w:p>
          <w:p w14:paraId="4C9F9AFD">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（万</w:t>
            </w:r>
            <w:r>
              <w:rPr>
                <w:b w:val="0"/>
                <w:bCs/>
                <w:color w:val="auto"/>
                <w:sz w:val="21"/>
                <w:szCs w:val="21"/>
                <w:highlight w:val="none"/>
                <w:lang w:val="en-US" w:eastAsia="zh-CN"/>
              </w:rPr>
              <w:t>m</w:t>
            </w:r>
            <w:r>
              <w:rPr>
                <w:b w:val="0"/>
                <w:bCs/>
                <w:color w:val="auto"/>
                <w:sz w:val="21"/>
                <w:szCs w:val="21"/>
                <w:highlight w:val="none"/>
                <w:vertAlign w:val="superscript"/>
                <w:lang w:val="en-US" w:eastAsia="zh-CN"/>
              </w:rPr>
              <w:t>3</w:t>
            </w:r>
            <w:r>
              <w:rPr>
                <w:b w:val="0"/>
                <w:bCs/>
                <w:color w:val="auto"/>
                <w:sz w:val="21"/>
                <w:szCs w:val="21"/>
                <w:highlight w:val="none"/>
                <w:lang w:val="en-US" w:eastAsia="zh-CN"/>
              </w:rPr>
              <w:t>)</w:t>
            </w:r>
          </w:p>
        </w:tc>
        <w:tc>
          <w:tcPr>
            <w:tcW w:w="795" w:type="dxa"/>
            <w:vMerge w:val="restart"/>
            <w:tcBorders>
              <w:tl2br w:val="nil"/>
              <w:tr2bl w:val="nil"/>
            </w:tcBorders>
            <w:noWrap/>
            <w:vAlign w:val="center"/>
          </w:tcPr>
          <w:p w14:paraId="7FEF0D34">
            <w:pPr>
              <w:pStyle w:val="45"/>
              <w:bidi w:val="0"/>
              <w:rPr>
                <w:rFonts w:hint="default"/>
                <w:b w:val="0"/>
                <w:bCs/>
                <w:color w:val="auto"/>
                <w:sz w:val="21"/>
                <w:szCs w:val="21"/>
                <w:highlight w:val="none"/>
                <w:lang w:val="en-US" w:eastAsia="zh-CN"/>
              </w:rPr>
            </w:pPr>
            <w:r>
              <w:rPr>
                <w:rFonts w:hint="default"/>
                <w:b w:val="0"/>
                <w:bCs/>
                <w:color w:val="auto"/>
                <w:sz w:val="21"/>
                <w:szCs w:val="21"/>
                <w:highlight w:val="none"/>
                <w:lang w:val="en-US" w:eastAsia="zh-CN"/>
              </w:rPr>
              <w:t>恢复</w:t>
            </w:r>
          </w:p>
          <w:p w14:paraId="288FE4C0">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方向</w:t>
            </w:r>
          </w:p>
        </w:tc>
        <w:tc>
          <w:tcPr>
            <w:tcW w:w="1091" w:type="dxa"/>
            <w:vMerge w:val="restart"/>
            <w:tcBorders>
              <w:tl2br w:val="nil"/>
              <w:tr2bl w:val="nil"/>
            </w:tcBorders>
            <w:noWrap/>
            <w:vAlign w:val="center"/>
          </w:tcPr>
          <w:p w14:paraId="0C339AB1">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分析评价综合结论</w:t>
            </w:r>
          </w:p>
        </w:tc>
      </w:tr>
      <w:tr w14:paraId="38B8C63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635" w:type="dxa"/>
            <w:vMerge w:val="continue"/>
            <w:tcBorders>
              <w:tl2br w:val="nil"/>
              <w:tr2bl w:val="nil"/>
            </w:tcBorders>
            <w:noWrap/>
            <w:vAlign w:val="center"/>
          </w:tcPr>
          <w:p w14:paraId="1D917BF4">
            <w:pPr>
              <w:pStyle w:val="45"/>
              <w:bidi w:val="0"/>
              <w:rPr>
                <w:rFonts w:hint="default"/>
                <w:b w:val="0"/>
                <w:bCs/>
                <w:color w:val="auto"/>
                <w:sz w:val="21"/>
                <w:szCs w:val="21"/>
                <w:highlight w:val="none"/>
              </w:rPr>
            </w:pPr>
          </w:p>
        </w:tc>
        <w:tc>
          <w:tcPr>
            <w:tcW w:w="531" w:type="dxa"/>
            <w:vMerge w:val="continue"/>
            <w:tcBorders>
              <w:tl2br w:val="nil"/>
              <w:tr2bl w:val="nil"/>
            </w:tcBorders>
            <w:noWrap/>
            <w:vAlign w:val="top"/>
          </w:tcPr>
          <w:p w14:paraId="2E907901">
            <w:pPr>
              <w:pStyle w:val="45"/>
              <w:bidi w:val="0"/>
              <w:rPr>
                <w:rFonts w:hint="default"/>
                <w:b w:val="0"/>
                <w:bCs/>
                <w:color w:val="auto"/>
                <w:sz w:val="21"/>
                <w:szCs w:val="21"/>
                <w:highlight w:val="none"/>
              </w:rPr>
            </w:pPr>
          </w:p>
        </w:tc>
        <w:tc>
          <w:tcPr>
            <w:tcW w:w="834" w:type="dxa"/>
            <w:vMerge w:val="continue"/>
            <w:tcBorders>
              <w:tl2br w:val="nil"/>
              <w:tr2bl w:val="nil"/>
            </w:tcBorders>
            <w:noWrap/>
            <w:vAlign w:val="center"/>
          </w:tcPr>
          <w:p w14:paraId="7C588288">
            <w:pPr>
              <w:pStyle w:val="45"/>
              <w:bidi w:val="0"/>
              <w:rPr>
                <w:rFonts w:hint="default"/>
                <w:b w:val="0"/>
                <w:bCs/>
                <w:color w:val="auto"/>
                <w:sz w:val="21"/>
                <w:szCs w:val="21"/>
                <w:highlight w:val="none"/>
              </w:rPr>
            </w:pPr>
          </w:p>
        </w:tc>
        <w:tc>
          <w:tcPr>
            <w:tcW w:w="1001" w:type="dxa"/>
            <w:tcBorders>
              <w:tl2br w:val="nil"/>
              <w:tr2bl w:val="nil"/>
            </w:tcBorders>
            <w:noWrap/>
            <w:vAlign w:val="center"/>
          </w:tcPr>
          <w:p w14:paraId="0C2F44F5">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东经</w:t>
            </w:r>
          </w:p>
        </w:tc>
        <w:tc>
          <w:tcPr>
            <w:tcW w:w="955" w:type="dxa"/>
            <w:tcBorders>
              <w:tl2br w:val="nil"/>
              <w:tr2bl w:val="nil"/>
            </w:tcBorders>
            <w:noWrap/>
            <w:vAlign w:val="center"/>
          </w:tcPr>
          <w:p w14:paraId="6736DEBE">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北纬</w:t>
            </w:r>
          </w:p>
        </w:tc>
        <w:tc>
          <w:tcPr>
            <w:tcW w:w="970" w:type="dxa"/>
            <w:vMerge w:val="continue"/>
            <w:tcBorders>
              <w:tl2br w:val="nil"/>
              <w:tr2bl w:val="nil"/>
            </w:tcBorders>
            <w:noWrap/>
            <w:vAlign w:val="center"/>
          </w:tcPr>
          <w:p w14:paraId="7C6D2DA9">
            <w:pPr>
              <w:pStyle w:val="45"/>
              <w:bidi w:val="0"/>
              <w:rPr>
                <w:rFonts w:hint="default"/>
                <w:b w:val="0"/>
                <w:bCs/>
                <w:color w:val="auto"/>
                <w:sz w:val="21"/>
                <w:szCs w:val="21"/>
                <w:highlight w:val="none"/>
              </w:rPr>
            </w:pPr>
          </w:p>
        </w:tc>
        <w:tc>
          <w:tcPr>
            <w:tcW w:w="1759" w:type="dxa"/>
            <w:vMerge w:val="continue"/>
            <w:tcBorders>
              <w:tl2br w:val="nil"/>
              <w:tr2bl w:val="nil"/>
            </w:tcBorders>
            <w:noWrap/>
            <w:vAlign w:val="center"/>
          </w:tcPr>
          <w:p w14:paraId="4CE01CA8">
            <w:pPr>
              <w:pStyle w:val="45"/>
              <w:bidi w:val="0"/>
              <w:rPr>
                <w:rFonts w:hint="default"/>
                <w:b w:val="0"/>
                <w:bCs/>
                <w:color w:val="auto"/>
                <w:sz w:val="21"/>
                <w:szCs w:val="21"/>
                <w:highlight w:val="none"/>
              </w:rPr>
            </w:pPr>
          </w:p>
        </w:tc>
        <w:tc>
          <w:tcPr>
            <w:tcW w:w="986" w:type="dxa"/>
            <w:vMerge w:val="continue"/>
            <w:tcBorders>
              <w:tl2br w:val="nil"/>
              <w:tr2bl w:val="nil"/>
            </w:tcBorders>
            <w:noWrap/>
            <w:vAlign w:val="center"/>
          </w:tcPr>
          <w:p w14:paraId="0601D1D6">
            <w:pPr>
              <w:pStyle w:val="45"/>
              <w:bidi w:val="0"/>
              <w:rPr>
                <w:rFonts w:hint="default"/>
                <w:b w:val="0"/>
                <w:bCs/>
                <w:color w:val="auto"/>
                <w:sz w:val="21"/>
                <w:szCs w:val="21"/>
                <w:highlight w:val="none"/>
              </w:rPr>
            </w:pPr>
          </w:p>
        </w:tc>
        <w:tc>
          <w:tcPr>
            <w:tcW w:w="985" w:type="dxa"/>
            <w:vMerge w:val="continue"/>
            <w:tcBorders>
              <w:tl2br w:val="nil"/>
              <w:tr2bl w:val="nil"/>
            </w:tcBorders>
            <w:noWrap/>
            <w:vAlign w:val="center"/>
          </w:tcPr>
          <w:p w14:paraId="0E634EA8">
            <w:pPr>
              <w:pStyle w:val="45"/>
              <w:bidi w:val="0"/>
              <w:rPr>
                <w:rFonts w:hint="default"/>
                <w:b w:val="0"/>
                <w:bCs/>
                <w:color w:val="auto"/>
                <w:sz w:val="21"/>
                <w:szCs w:val="21"/>
                <w:highlight w:val="none"/>
              </w:rPr>
            </w:pPr>
          </w:p>
        </w:tc>
        <w:tc>
          <w:tcPr>
            <w:tcW w:w="849" w:type="dxa"/>
            <w:vMerge w:val="continue"/>
            <w:tcBorders>
              <w:tl2br w:val="nil"/>
              <w:tr2bl w:val="nil"/>
            </w:tcBorders>
            <w:noWrap/>
            <w:vAlign w:val="center"/>
          </w:tcPr>
          <w:p w14:paraId="59FE3282">
            <w:pPr>
              <w:pStyle w:val="45"/>
              <w:bidi w:val="0"/>
              <w:rPr>
                <w:rFonts w:hint="default"/>
                <w:b w:val="0"/>
                <w:bCs/>
                <w:color w:val="auto"/>
                <w:sz w:val="21"/>
                <w:szCs w:val="21"/>
                <w:highlight w:val="none"/>
              </w:rPr>
            </w:pPr>
          </w:p>
        </w:tc>
        <w:tc>
          <w:tcPr>
            <w:tcW w:w="803" w:type="dxa"/>
            <w:vMerge w:val="continue"/>
            <w:tcBorders>
              <w:tl2br w:val="nil"/>
              <w:tr2bl w:val="nil"/>
            </w:tcBorders>
            <w:noWrap/>
            <w:vAlign w:val="center"/>
          </w:tcPr>
          <w:p w14:paraId="24572F52">
            <w:pPr>
              <w:pStyle w:val="45"/>
              <w:bidi w:val="0"/>
              <w:rPr>
                <w:rFonts w:hint="default"/>
                <w:b w:val="0"/>
                <w:bCs/>
                <w:color w:val="auto"/>
                <w:sz w:val="21"/>
                <w:szCs w:val="21"/>
                <w:highlight w:val="none"/>
              </w:rPr>
            </w:pPr>
          </w:p>
        </w:tc>
        <w:tc>
          <w:tcPr>
            <w:tcW w:w="1038" w:type="dxa"/>
            <w:vMerge w:val="continue"/>
            <w:tcBorders>
              <w:tl2br w:val="nil"/>
              <w:tr2bl w:val="nil"/>
            </w:tcBorders>
            <w:noWrap/>
            <w:vAlign w:val="center"/>
          </w:tcPr>
          <w:p w14:paraId="1CA37654">
            <w:pPr>
              <w:pStyle w:val="45"/>
              <w:bidi w:val="0"/>
              <w:rPr>
                <w:rFonts w:hint="default"/>
                <w:b w:val="0"/>
                <w:bCs/>
                <w:color w:val="auto"/>
                <w:sz w:val="21"/>
                <w:szCs w:val="21"/>
                <w:highlight w:val="none"/>
              </w:rPr>
            </w:pPr>
          </w:p>
        </w:tc>
        <w:tc>
          <w:tcPr>
            <w:tcW w:w="942" w:type="dxa"/>
            <w:vMerge w:val="continue"/>
            <w:tcBorders>
              <w:tl2br w:val="nil"/>
              <w:tr2bl w:val="nil"/>
            </w:tcBorders>
            <w:noWrap/>
            <w:vAlign w:val="center"/>
          </w:tcPr>
          <w:p w14:paraId="657A53FB">
            <w:pPr>
              <w:pStyle w:val="45"/>
              <w:bidi w:val="0"/>
              <w:rPr>
                <w:rFonts w:hint="default"/>
                <w:b w:val="0"/>
                <w:bCs/>
                <w:color w:val="auto"/>
                <w:sz w:val="21"/>
                <w:szCs w:val="21"/>
                <w:highlight w:val="none"/>
              </w:rPr>
            </w:pPr>
          </w:p>
        </w:tc>
        <w:tc>
          <w:tcPr>
            <w:tcW w:w="795" w:type="dxa"/>
            <w:vMerge w:val="continue"/>
            <w:tcBorders>
              <w:tl2br w:val="nil"/>
              <w:tr2bl w:val="nil"/>
            </w:tcBorders>
            <w:noWrap/>
            <w:vAlign w:val="center"/>
          </w:tcPr>
          <w:p w14:paraId="1A7C1821">
            <w:pPr>
              <w:pStyle w:val="45"/>
              <w:bidi w:val="0"/>
              <w:rPr>
                <w:rFonts w:hint="default"/>
                <w:b w:val="0"/>
                <w:bCs/>
                <w:color w:val="auto"/>
                <w:sz w:val="21"/>
                <w:szCs w:val="21"/>
                <w:highlight w:val="none"/>
              </w:rPr>
            </w:pPr>
          </w:p>
        </w:tc>
        <w:tc>
          <w:tcPr>
            <w:tcW w:w="1091" w:type="dxa"/>
            <w:vMerge w:val="continue"/>
            <w:tcBorders>
              <w:tl2br w:val="nil"/>
              <w:tr2bl w:val="nil"/>
            </w:tcBorders>
            <w:noWrap/>
            <w:vAlign w:val="center"/>
          </w:tcPr>
          <w:p w14:paraId="4C6CEBEE">
            <w:pPr>
              <w:pStyle w:val="45"/>
              <w:bidi w:val="0"/>
              <w:rPr>
                <w:rFonts w:hint="default"/>
                <w:b w:val="0"/>
                <w:bCs/>
                <w:color w:val="auto"/>
                <w:sz w:val="21"/>
                <w:szCs w:val="21"/>
                <w:highlight w:val="none"/>
              </w:rPr>
            </w:pPr>
          </w:p>
        </w:tc>
      </w:tr>
      <w:tr w14:paraId="20E8A98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635" w:type="dxa"/>
            <w:tcBorders>
              <w:tl2br w:val="nil"/>
              <w:tr2bl w:val="nil"/>
            </w:tcBorders>
            <w:noWrap/>
            <w:vAlign w:val="center"/>
          </w:tcPr>
          <w:p w14:paraId="6EC4D1C6">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Z1</w:t>
            </w:r>
          </w:p>
        </w:tc>
        <w:tc>
          <w:tcPr>
            <w:tcW w:w="531" w:type="dxa"/>
            <w:tcBorders>
              <w:tl2br w:val="nil"/>
              <w:tr2bl w:val="nil"/>
            </w:tcBorders>
            <w:noWrap/>
            <w:vAlign w:val="center"/>
          </w:tcPr>
          <w:p w14:paraId="2AED2D7E">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5</w:t>
            </w:r>
          </w:p>
        </w:tc>
        <w:tc>
          <w:tcPr>
            <w:tcW w:w="834" w:type="dxa"/>
            <w:tcBorders>
              <w:tl2br w:val="nil"/>
              <w:tr2bl w:val="nil"/>
            </w:tcBorders>
            <w:noWrap/>
            <w:vAlign w:val="center"/>
          </w:tcPr>
          <w:p w14:paraId="56B6F434">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1#风机南侧</w:t>
            </w:r>
          </w:p>
        </w:tc>
        <w:tc>
          <w:tcPr>
            <w:tcW w:w="1001" w:type="dxa"/>
            <w:tcBorders>
              <w:tl2br w:val="nil"/>
              <w:tr2bl w:val="nil"/>
            </w:tcBorders>
            <w:noWrap/>
            <w:vAlign w:val="center"/>
          </w:tcPr>
          <w:p w14:paraId="4F91DF84">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111°53′38.26″</w:t>
            </w:r>
          </w:p>
        </w:tc>
        <w:tc>
          <w:tcPr>
            <w:tcW w:w="955" w:type="dxa"/>
            <w:tcBorders>
              <w:tl2br w:val="nil"/>
              <w:tr2bl w:val="nil"/>
            </w:tcBorders>
            <w:noWrap/>
            <w:vAlign w:val="center"/>
          </w:tcPr>
          <w:p w14:paraId="72AA1655">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26°55′27.29″</w:t>
            </w:r>
          </w:p>
        </w:tc>
        <w:tc>
          <w:tcPr>
            <w:tcW w:w="970" w:type="dxa"/>
            <w:tcBorders>
              <w:tl2br w:val="nil"/>
              <w:tr2bl w:val="nil"/>
            </w:tcBorders>
            <w:noWrap/>
            <w:vAlign w:val="center"/>
          </w:tcPr>
          <w:p w14:paraId="34D41AEC">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沟道型</w:t>
            </w:r>
          </w:p>
        </w:tc>
        <w:tc>
          <w:tcPr>
            <w:tcW w:w="1759" w:type="dxa"/>
            <w:tcBorders>
              <w:tl2br w:val="nil"/>
              <w:tr2bl w:val="nil"/>
            </w:tcBorders>
            <w:noWrap/>
            <w:vAlign w:val="center"/>
          </w:tcPr>
          <w:p w14:paraId="3C2D511E">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1#风机及新建道路</w:t>
            </w:r>
          </w:p>
        </w:tc>
        <w:tc>
          <w:tcPr>
            <w:tcW w:w="986" w:type="dxa"/>
            <w:tcBorders>
              <w:tl2br w:val="nil"/>
              <w:tr2bl w:val="nil"/>
            </w:tcBorders>
            <w:noWrap/>
            <w:vAlign w:val="center"/>
          </w:tcPr>
          <w:p w14:paraId="460CD516">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0.49</w:t>
            </w:r>
          </w:p>
        </w:tc>
        <w:tc>
          <w:tcPr>
            <w:tcW w:w="985" w:type="dxa"/>
            <w:tcBorders>
              <w:tl2br w:val="nil"/>
              <w:tr2bl w:val="nil"/>
            </w:tcBorders>
            <w:noWrap/>
            <w:vAlign w:val="center"/>
          </w:tcPr>
          <w:p w14:paraId="1C1B046F">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0.018</w:t>
            </w:r>
          </w:p>
        </w:tc>
        <w:tc>
          <w:tcPr>
            <w:tcW w:w="849" w:type="dxa"/>
            <w:tcBorders>
              <w:tl2br w:val="nil"/>
              <w:tr2bl w:val="nil"/>
            </w:tcBorders>
            <w:noWrap/>
            <w:vAlign w:val="center"/>
          </w:tcPr>
          <w:p w14:paraId="25C7BED2">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9.5</w:t>
            </w:r>
          </w:p>
        </w:tc>
        <w:tc>
          <w:tcPr>
            <w:tcW w:w="803" w:type="dxa"/>
            <w:tcBorders>
              <w:tl2br w:val="nil"/>
              <w:tr2bl w:val="nil"/>
            </w:tcBorders>
            <w:noWrap/>
            <w:vAlign w:val="center"/>
          </w:tcPr>
          <w:p w14:paraId="6B4C43D8">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16</w:t>
            </w:r>
          </w:p>
        </w:tc>
        <w:tc>
          <w:tcPr>
            <w:tcW w:w="1038" w:type="dxa"/>
            <w:tcBorders>
              <w:tl2br w:val="nil"/>
              <w:tr2bl w:val="nil"/>
            </w:tcBorders>
            <w:noWrap/>
            <w:vAlign w:val="center"/>
          </w:tcPr>
          <w:p w14:paraId="040E1704">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5</w:t>
            </w:r>
          </w:p>
        </w:tc>
        <w:tc>
          <w:tcPr>
            <w:tcW w:w="942" w:type="dxa"/>
            <w:tcBorders>
              <w:tl2br w:val="nil"/>
              <w:tr2bl w:val="nil"/>
            </w:tcBorders>
            <w:noWrap/>
            <w:vAlign w:val="center"/>
          </w:tcPr>
          <w:p w14:paraId="422A6509">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4.44</w:t>
            </w:r>
          </w:p>
        </w:tc>
        <w:tc>
          <w:tcPr>
            <w:tcW w:w="795" w:type="dxa"/>
            <w:tcBorders>
              <w:tl2br w:val="nil"/>
              <w:tr2bl w:val="nil"/>
            </w:tcBorders>
            <w:noWrap/>
            <w:vAlign w:val="center"/>
          </w:tcPr>
          <w:p w14:paraId="5D9BF60F">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种植林草</w:t>
            </w:r>
          </w:p>
        </w:tc>
        <w:tc>
          <w:tcPr>
            <w:tcW w:w="1091" w:type="dxa"/>
            <w:vMerge w:val="restart"/>
            <w:tcBorders>
              <w:tl2br w:val="nil"/>
              <w:tr2bl w:val="nil"/>
            </w:tcBorders>
            <w:noWrap w:val="0"/>
            <w:vAlign w:val="center"/>
          </w:tcPr>
          <w:p w14:paraId="07E5EBD2">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渣场上游汇水面积较小，下游无工业企业、居民点，弃渣场下游地势平缓，渣体堆渣量不大，堆渣不高，不会影响重要基础设施、人民群众生命财产安全及行洪安全，严格按照了先拦后弃的原则，不涉及生态红线，无水土保持制约性因素，选址可行。</w:t>
            </w:r>
          </w:p>
        </w:tc>
      </w:tr>
      <w:tr w14:paraId="6FC0E7F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635" w:type="dxa"/>
            <w:tcBorders>
              <w:tl2br w:val="nil"/>
              <w:tr2bl w:val="nil"/>
            </w:tcBorders>
            <w:noWrap/>
            <w:vAlign w:val="center"/>
          </w:tcPr>
          <w:p w14:paraId="36A1DB21">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Z2</w:t>
            </w:r>
          </w:p>
        </w:tc>
        <w:tc>
          <w:tcPr>
            <w:tcW w:w="531" w:type="dxa"/>
            <w:tcBorders>
              <w:tl2br w:val="nil"/>
              <w:tr2bl w:val="nil"/>
            </w:tcBorders>
            <w:noWrap/>
            <w:vAlign w:val="center"/>
          </w:tcPr>
          <w:p w14:paraId="4D839B66">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5</w:t>
            </w:r>
          </w:p>
        </w:tc>
        <w:tc>
          <w:tcPr>
            <w:tcW w:w="834" w:type="dxa"/>
            <w:tcBorders>
              <w:tl2br w:val="nil"/>
              <w:tr2bl w:val="nil"/>
            </w:tcBorders>
            <w:noWrap/>
            <w:vAlign w:val="center"/>
          </w:tcPr>
          <w:p w14:paraId="7D006579">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2#风机东侧</w:t>
            </w:r>
          </w:p>
        </w:tc>
        <w:tc>
          <w:tcPr>
            <w:tcW w:w="1001" w:type="dxa"/>
            <w:tcBorders>
              <w:tl2br w:val="nil"/>
              <w:tr2bl w:val="nil"/>
            </w:tcBorders>
            <w:noWrap/>
            <w:vAlign w:val="center"/>
          </w:tcPr>
          <w:p w14:paraId="0CE46D3A">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111°54′29.24″</w:t>
            </w:r>
          </w:p>
        </w:tc>
        <w:tc>
          <w:tcPr>
            <w:tcW w:w="955" w:type="dxa"/>
            <w:tcBorders>
              <w:tl2br w:val="nil"/>
              <w:tr2bl w:val="nil"/>
            </w:tcBorders>
            <w:noWrap/>
            <w:vAlign w:val="center"/>
          </w:tcPr>
          <w:p w14:paraId="4C37AE4E">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26°55′35.83″</w:t>
            </w:r>
          </w:p>
        </w:tc>
        <w:tc>
          <w:tcPr>
            <w:tcW w:w="970" w:type="dxa"/>
            <w:tcBorders>
              <w:tl2br w:val="nil"/>
              <w:tr2bl w:val="nil"/>
            </w:tcBorders>
            <w:noWrap/>
            <w:vAlign w:val="center"/>
          </w:tcPr>
          <w:p w14:paraId="5E165E56">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沟道型</w:t>
            </w:r>
          </w:p>
        </w:tc>
        <w:tc>
          <w:tcPr>
            <w:tcW w:w="1759" w:type="dxa"/>
            <w:tcBorders>
              <w:tl2br w:val="nil"/>
              <w:tr2bl w:val="nil"/>
            </w:tcBorders>
            <w:noWrap/>
            <w:vAlign w:val="center"/>
          </w:tcPr>
          <w:p w14:paraId="48F9373B">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2#风机及新建道路</w:t>
            </w:r>
          </w:p>
        </w:tc>
        <w:tc>
          <w:tcPr>
            <w:tcW w:w="986" w:type="dxa"/>
            <w:tcBorders>
              <w:tl2br w:val="nil"/>
              <w:tr2bl w:val="nil"/>
            </w:tcBorders>
            <w:noWrap/>
            <w:vAlign w:val="center"/>
          </w:tcPr>
          <w:p w14:paraId="2DAEC7FC">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0.41</w:t>
            </w:r>
          </w:p>
        </w:tc>
        <w:tc>
          <w:tcPr>
            <w:tcW w:w="985" w:type="dxa"/>
            <w:tcBorders>
              <w:tl2br w:val="nil"/>
              <w:tr2bl w:val="nil"/>
            </w:tcBorders>
            <w:noWrap/>
            <w:vAlign w:val="center"/>
          </w:tcPr>
          <w:p w14:paraId="5E8EED7E">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0.021</w:t>
            </w:r>
          </w:p>
        </w:tc>
        <w:tc>
          <w:tcPr>
            <w:tcW w:w="849" w:type="dxa"/>
            <w:tcBorders>
              <w:tl2br w:val="nil"/>
              <w:tr2bl w:val="nil"/>
            </w:tcBorders>
            <w:noWrap/>
            <w:vAlign w:val="center"/>
          </w:tcPr>
          <w:p w14:paraId="4A0CA303">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9.5</w:t>
            </w:r>
          </w:p>
        </w:tc>
        <w:tc>
          <w:tcPr>
            <w:tcW w:w="803" w:type="dxa"/>
            <w:tcBorders>
              <w:tl2br w:val="nil"/>
              <w:tr2bl w:val="nil"/>
            </w:tcBorders>
            <w:noWrap/>
            <w:vAlign w:val="center"/>
          </w:tcPr>
          <w:p w14:paraId="34187A08">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15</w:t>
            </w:r>
          </w:p>
        </w:tc>
        <w:tc>
          <w:tcPr>
            <w:tcW w:w="1038" w:type="dxa"/>
            <w:tcBorders>
              <w:tl2br w:val="nil"/>
              <w:tr2bl w:val="nil"/>
            </w:tcBorders>
            <w:noWrap/>
            <w:vAlign w:val="center"/>
          </w:tcPr>
          <w:p w14:paraId="552DF45C">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4</w:t>
            </w:r>
          </w:p>
        </w:tc>
        <w:tc>
          <w:tcPr>
            <w:tcW w:w="942" w:type="dxa"/>
            <w:tcBorders>
              <w:tl2br w:val="nil"/>
              <w:tr2bl w:val="nil"/>
            </w:tcBorders>
            <w:noWrap/>
            <w:vAlign w:val="center"/>
          </w:tcPr>
          <w:p w14:paraId="46036209">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3.54</w:t>
            </w:r>
          </w:p>
        </w:tc>
        <w:tc>
          <w:tcPr>
            <w:tcW w:w="795" w:type="dxa"/>
            <w:tcBorders>
              <w:tl2br w:val="nil"/>
              <w:tr2bl w:val="nil"/>
            </w:tcBorders>
            <w:noWrap/>
            <w:vAlign w:val="center"/>
          </w:tcPr>
          <w:p w14:paraId="237D4246">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种植林草</w:t>
            </w:r>
          </w:p>
        </w:tc>
        <w:tc>
          <w:tcPr>
            <w:tcW w:w="1091" w:type="dxa"/>
            <w:vMerge w:val="continue"/>
            <w:tcBorders>
              <w:tl2br w:val="nil"/>
              <w:tr2bl w:val="nil"/>
            </w:tcBorders>
            <w:noWrap w:val="0"/>
            <w:vAlign w:val="center"/>
          </w:tcPr>
          <w:p w14:paraId="290B8473">
            <w:pPr>
              <w:pStyle w:val="45"/>
              <w:bidi w:val="0"/>
              <w:rPr>
                <w:rFonts w:hint="default"/>
                <w:b w:val="0"/>
                <w:bCs/>
                <w:color w:val="auto"/>
                <w:sz w:val="21"/>
                <w:szCs w:val="21"/>
                <w:highlight w:val="none"/>
              </w:rPr>
            </w:pPr>
          </w:p>
        </w:tc>
      </w:tr>
      <w:tr w14:paraId="79888A0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635" w:type="dxa"/>
            <w:tcBorders>
              <w:tl2br w:val="nil"/>
              <w:tr2bl w:val="nil"/>
            </w:tcBorders>
            <w:noWrap/>
            <w:vAlign w:val="center"/>
          </w:tcPr>
          <w:p w14:paraId="218772B9">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Z3</w:t>
            </w:r>
          </w:p>
        </w:tc>
        <w:tc>
          <w:tcPr>
            <w:tcW w:w="531" w:type="dxa"/>
            <w:tcBorders>
              <w:tl2br w:val="nil"/>
              <w:tr2bl w:val="nil"/>
            </w:tcBorders>
            <w:noWrap/>
            <w:vAlign w:val="center"/>
          </w:tcPr>
          <w:p w14:paraId="5174A6B7">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5</w:t>
            </w:r>
          </w:p>
        </w:tc>
        <w:tc>
          <w:tcPr>
            <w:tcW w:w="834" w:type="dxa"/>
            <w:tcBorders>
              <w:tl2br w:val="nil"/>
              <w:tr2bl w:val="nil"/>
            </w:tcBorders>
            <w:noWrap/>
            <w:vAlign w:val="center"/>
          </w:tcPr>
          <w:p w14:paraId="25131527">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3#风机西北侧</w:t>
            </w:r>
          </w:p>
        </w:tc>
        <w:tc>
          <w:tcPr>
            <w:tcW w:w="1001" w:type="dxa"/>
            <w:tcBorders>
              <w:tl2br w:val="nil"/>
              <w:tr2bl w:val="nil"/>
            </w:tcBorders>
            <w:noWrap/>
            <w:vAlign w:val="center"/>
          </w:tcPr>
          <w:p w14:paraId="0167A7D3">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111°55′9.22″</w:t>
            </w:r>
          </w:p>
        </w:tc>
        <w:tc>
          <w:tcPr>
            <w:tcW w:w="955" w:type="dxa"/>
            <w:tcBorders>
              <w:tl2br w:val="nil"/>
              <w:tr2bl w:val="nil"/>
            </w:tcBorders>
            <w:noWrap/>
            <w:vAlign w:val="center"/>
          </w:tcPr>
          <w:p w14:paraId="483C9BF9">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26°56′5.41″</w:t>
            </w:r>
          </w:p>
        </w:tc>
        <w:tc>
          <w:tcPr>
            <w:tcW w:w="970" w:type="dxa"/>
            <w:tcBorders>
              <w:tl2br w:val="nil"/>
              <w:tr2bl w:val="nil"/>
            </w:tcBorders>
            <w:noWrap/>
            <w:vAlign w:val="center"/>
          </w:tcPr>
          <w:p w14:paraId="68DE17BF">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沟道型</w:t>
            </w:r>
          </w:p>
        </w:tc>
        <w:tc>
          <w:tcPr>
            <w:tcW w:w="1759" w:type="dxa"/>
            <w:tcBorders>
              <w:tl2br w:val="nil"/>
              <w:tr2bl w:val="nil"/>
            </w:tcBorders>
            <w:noWrap/>
            <w:vAlign w:val="center"/>
          </w:tcPr>
          <w:p w14:paraId="2E16E5FF">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3#-4#风机及新建道路</w:t>
            </w:r>
          </w:p>
        </w:tc>
        <w:tc>
          <w:tcPr>
            <w:tcW w:w="986" w:type="dxa"/>
            <w:tcBorders>
              <w:tl2br w:val="nil"/>
              <w:tr2bl w:val="nil"/>
            </w:tcBorders>
            <w:noWrap/>
            <w:vAlign w:val="center"/>
          </w:tcPr>
          <w:p w14:paraId="32B61119">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0.38</w:t>
            </w:r>
          </w:p>
        </w:tc>
        <w:tc>
          <w:tcPr>
            <w:tcW w:w="985" w:type="dxa"/>
            <w:tcBorders>
              <w:tl2br w:val="nil"/>
              <w:tr2bl w:val="nil"/>
            </w:tcBorders>
            <w:noWrap/>
            <w:vAlign w:val="center"/>
          </w:tcPr>
          <w:p w14:paraId="790DFEFF">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0.043</w:t>
            </w:r>
          </w:p>
        </w:tc>
        <w:tc>
          <w:tcPr>
            <w:tcW w:w="849" w:type="dxa"/>
            <w:tcBorders>
              <w:tl2br w:val="nil"/>
              <w:tr2bl w:val="nil"/>
            </w:tcBorders>
            <w:noWrap/>
            <w:vAlign w:val="center"/>
          </w:tcPr>
          <w:p w14:paraId="34BF1566">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9.5</w:t>
            </w:r>
          </w:p>
        </w:tc>
        <w:tc>
          <w:tcPr>
            <w:tcW w:w="803" w:type="dxa"/>
            <w:tcBorders>
              <w:tl2br w:val="nil"/>
              <w:tr2bl w:val="nil"/>
            </w:tcBorders>
            <w:noWrap/>
            <w:vAlign w:val="center"/>
          </w:tcPr>
          <w:p w14:paraId="43D62510">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16</w:t>
            </w:r>
          </w:p>
        </w:tc>
        <w:tc>
          <w:tcPr>
            <w:tcW w:w="1038" w:type="dxa"/>
            <w:tcBorders>
              <w:tl2br w:val="nil"/>
              <w:tr2bl w:val="nil"/>
            </w:tcBorders>
            <w:noWrap/>
            <w:vAlign w:val="center"/>
          </w:tcPr>
          <w:p w14:paraId="7F1F3F94">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4</w:t>
            </w:r>
          </w:p>
        </w:tc>
        <w:tc>
          <w:tcPr>
            <w:tcW w:w="942" w:type="dxa"/>
            <w:tcBorders>
              <w:tl2br w:val="nil"/>
              <w:tr2bl w:val="nil"/>
            </w:tcBorders>
            <w:noWrap/>
            <w:vAlign w:val="center"/>
          </w:tcPr>
          <w:p w14:paraId="25F1C299">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3.64</w:t>
            </w:r>
          </w:p>
        </w:tc>
        <w:tc>
          <w:tcPr>
            <w:tcW w:w="795" w:type="dxa"/>
            <w:tcBorders>
              <w:tl2br w:val="nil"/>
              <w:tr2bl w:val="nil"/>
            </w:tcBorders>
            <w:noWrap/>
            <w:vAlign w:val="center"/>
          </w:tcPr>
          <w:p w14:paraId="6BCDEE69">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种植林草</w:t>
            </w:r>
          </w:p>
        </w:tc>
        <w:tc>
          <w:tcPr>
            <w:tcW w:w="1091" w:type="dxa"/>
            <w:vMerge w:val="continue"/>
            <w:tcBorders>
              <w:tl2br w:val="nil"/>
              <w:tr2bl w:val="nil"/>
            </w:tcBorders>
            <w:noWrap w:val="0"/>
            <w:vAlign w:val="center"/>
          </w:tcPr>
          <w:p w14:paraId="650B2B3E">
            <w:pPr>
              <w:pStyle w:val="45"/>
              <w:bidi w:val="0"/>
              <w:rPr>
                <w:rFonts w:hint="default"/>
                <w:b w:val="0"/>
                <w:bCs/>
                <w:color w:val="auto"/>
                <w:sz w:val="21"/>
                <w:szCs w:val="21"/>
                <w:highlight w:val="none"/>
              </w:rPr>
            </w:pPr>
          </w:p>
        </w:tc>
      </w:tr>
      <w:tr w14:paraId="05F5589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635" w:type="dxa"/>
            <w:tcBorders>
              <w:tl2br w:val="nil"/>
              <w:tr2bl w:val="nil"/>
            </w:tcBorders>
            <w:noWrap/>
            <w:vAlign w:val="center"/>
          </w:tcPr>
          <w:p w14:paraId="28689D61">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Z4</w:t>
            </w:r>
          </w:p>
        </w:tc>
        <w:tc>
          <w:tcPr>
            <w:tcW w:w="531" w:type="dxa"/>
            <w:tcBorders>
              <w:tl2br w:val="nil"/>
              <w:tr2bl w:val="nil"/>
            </w:tcBorders>
            <w:noWrap/>
            <w:vAlign w:val="center"/>
          </w:tcPr>
          <w:p w14:paraId="4D2E89DA">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5</w:t>
            </w:r>
          </w:p>
        </w:tc>
        <w:tc>
          <w:tcPr>
            <w:tcW w:w="834" w:type="dxa"/>
            <w:tcBorders>
              <w:tl2br w:val="nil"/>
              <w:tr2bl w:val="nil"/>
            </w:tcBorders>
            <w:noWrap/>
            <w:vAlign w:val="center"/>
          </w:tcPr>
          <w:p w14:paraId="4458103F">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4#风机北侧</w:t>
            </w:r>
          </w:p>
        </w:tc>
        <w:tc>
          <w:tcPr>
            <w:tcW w:w="1001" w:type="dxa"/>
            <w:tcBorders>
              <w:tl2br w:val="nil"/>
              <w:tr2bl w:val="nil"/>
            </w:tcBorders>
            <w:noWrap/>
            <w:vAlign w:val="center"/>
          </w:tcPr>
          <w:p w14:paraId="3833C0EC">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111°55′28.14″</w:t>
            </w:r>
          </w:p>
        </w:tc>
        <w:tc>
          <w:tcPr>
            <w:tcW w:w="955" w:type="dxa"/>
            <w:tcBorders>
              <w:tl2br w:val="nil"/>
              <w:tr2bl w:val="nil"/>
            </w:tcBorders>
            <w:noWrap/>
            <w:vAlign w:val="center"/>
          </w:tcPr>
          <w:p w14:paraId="414A20BE">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26°56′14.69″</w:t>
            </w:r>
          </w:p>
        </w:tc>
        <w:tc>
          <w:tcPr>
            <w:tcW w:w="970" w:type="dxa"/>
            <w:tcBorders>
              <w:tl2br w:val="nil"/>
              <w:tr2bl w:val="nil"/>
            </w:tcBorders>
            <w:noWrap/>
            <w:vAlign w:val="center"/>
          </w:tcPr>
          <w:p w14:paraId="1BB66F75">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沟道型</w:t>
            </w:r>
          </w:p>
        </w:tc>
        <w:tc>
          <w:tcPr>
            <w:tcW w:w="1759" w:type="dxa"/>
            <w:tcBorders>
              <w:tl2br w:val="nil"/>
              <w:tr2bl w:val="nil"/>
            </w:tcBorders>
            <w:noWrap/>
            <w:vAlign w:val="center"/>
          </w:tcPr>
          <w:p w14:paraId="12FD112A">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5#风机及新建道路</w:t>
            </w:r>
          </w:p>
        </w:tc>
        <w:tc>
          <w:tcPr>
            <w:tcW w:w="986" w:type="dxa"/>
            <w:tcBorders>
              <w:tl2br w:val="nil"/>
              <w:tr2bl w:val="nil"/>
            </w:tcBorders>
            <w:noWrap/>
            <w:vAlign w:val="center"/>
          </w:tcPr>
          <w:p w14:paraId="18CA1AFD">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0.42</w:t>
            </w:r>
          </w:p>
        </w:tc>
        <w:tc>
          <w:tcPr>
            <w:tcW w:w="985" w:type="dxa"/>
            <w:tcBorders>
              <w:tl2br w:val="nil"/>
              <w:tr2bl w:val="nil"/>
            </w:tcBorders>
            <w:noWrap/>
            <w:vAlign w:val="center"/>
          </w:tcPr>
          <w:p w14:paraId="5A322391">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0.036</w:t>
            </w:r>
          </w:p>
        </w:tc>
        <w:tc>
          <w:tcPr>
            <w:tcW w:w="849" w:type="dxa"/>
            <w:tcBorders>
              <w:tl2br w:val="nil"/>
              <w:tr2bl w:val="nil"/>
            </w:tcBorders>
            <w:noWrap/>
            <w:vAlign w:val="center"/>
          </w:tcPr>
          <w:p w14:paraId="7E435D79">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9.5</w:t>
            </w:r>
          </w:p>
        </w:tc>
        <w:tc>
          <w:tcPr>
            <w:tcW w:w="803" w:type="dxa"/>
            <w:tcBorders>
              <w:tl2br w:val="nil"/>
              <w:tr2bl w:val="nil"/>
            </w:tcBorders>
            <w:noWrap/>
            <w:vAlign w:val="center"/>
          </w:tcPr>
          <w:p w14:paraId="2CFA2638">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15</w:t>
            </w:r>
          </w:p>
        </w:tc>
        <w:tc>
          <w:tcPr>
            <w:tcW w:w="1038" w:type="dxa"/>
            <w:tcBorders>
              <w:tl2br w:val="nil"/>
              <w:tr2bl w:val="nil"/>
            </w:tcBorders>
            <w:noWrap/>
            <w:vAlign w:val="center"/>
          </w:tcPr>
          <w:p w14:paraId="46CBCE4F">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4</w:t>
            </w:r>
          </w:p>
        </w:tc>
        <w:tc>
          <w:tcPr>
            <w:tcW w:w="942" w:type="dxa"/>
            <w:tcBorders>
              <w:tl2br w:val="nil"/>
              <w:tr2bl w:val="nil"/>
            </w:tcBorders>
            <w:noWrap/>
            <w:vAlign w:val="center"/>
          </w:tcPr>
          <w:p w14:paraId="2D7A765F">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3.55</w:t>
            </w:r>
          </w:p>
        </w:tc>
        <w:tc>
          <w:tcPr>
            <w:tcW w:w="795" w:type="dxa"/>
            <w:tcBorders>
              <w:tl2br w:val="nil"/>
              <w:tr2bl w:val="nil"/>
            </w:tcBorders>
            <w:noWrap/>
            <w:vAlign w:val="center"/>
          </w:tcPr>
          <w:p w14:paraId="2E15033C">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种植林草</w:t>
            </w:r>
          </w:p>
        </w:tc>
        <w:tc>
          <w:tcPr>
            <w:tcW w:w="1091" w:type="dxa"/>
            <w:vMerge w:val="continue"/>
            <w:tcBorders>
              <w:tl2br w:val="nil"/>
              <w:tr2bl w:val="nil"/>
            </w:tcBorders>
            <w:noWrap w:val="0"/>
            <w:vAlign w:val="center"/>
          </w:tcPr>
          <w:p w14:paraId="623127CF">
            <w:pPr>
              <w:pStyle w:val="45"/>
              <w:bidi w:val="0"/>
              <w:rPr>
                <w:rFonts w:hint="default"/>
                <w:b w:val="0"/>
                <w:bCs/>
                <w:color w:val="auto"/>
                <w:sz w:val="21"/>
                <w:szCs w:val="21"/>
                <w:highlight w:val="none"/>
              </w:rPr>
            </w:pPr>
          </w:p>
        </w:tc>
      </w:tr>
      <w:tr w14:paraId="1B15AD0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635" w:type="dxa"/>
            <w:tcBorders>
              <w:tl2br w:val="nil"/>
              <w:tr2bl w:val="nil"/>
            </w:tcBorders>
            <w:noWrap/>
            <w:vAlign w:val="center"/>
          </w:tcPr>
          <w:p w14:paraId="5FBC2CDE">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Z5</w:t>
            </w:r>
          </w:p>
        </w:tc>
        <w:tc>
          <w:tcPr>
            <w:tcW w:w="531" w:type="dxa"/>
            <w:tcBorders>
              <w:tl2br w:val="nil"/>
              <w:tr2bl w:val="nil"/>
            </w:tcBorders>
            <w:noWrap/>
            <w:vAlign w:val="center"/>
          </w:tcPr>
          <w:p w14:paraId="5FEE1BAB">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5</w:t>
            </w:r>
          </w:p>
        </w:tc>
        <w:tc>
          <w:tcPr>
            <w:tcW w:w="834" w:type="dxa"/>
            <w:tcBorders>
              <w:tl2br w:val="nil"/>
              <w:tr2bl w:val="nil"/>
            </w:tcBorders>
            <w:noWrap/>
            <w:vAlign w:val="center"/>
          </w:tcPr>
          <w:p w14:paraId="5AE53ED2">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6#风机西侧</w:t>
            </w:r>
          </w:p>
        </w:tc>
        <w:tc>
          <w:tcPr>
            <w:tcW w:w="1001" w:type="dxa"/>
            <w:tcBorders>
              <w:tl2br w:val="nil"/>
              <w:tr2bl w:val="nil"/>
            </w:tcBorders>
            <w:noWrap/>
            <w:vAlign w:val="center"/>
          </w:tcPr>
          <w:p w14:paraId="230BF83B">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111°56′1.28″</w:t>
            </w:r>
          </w:p>
        </w:tc>
        <w:tc>
          <w:tcPr>
            <w:tcW w:w="955" w:type="dxa"/>
            <w:tcBorders>
              <w:tl2br w:val="nil"/>
              <w:tr2bl w:val="nil"/>
            </w:tcBorders>
            <w:noWrap/>
            <w:vAlign w:val="center"/>
          </w:tcPr>
          <w:p w14:paraId="3C1EC19E">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26°56′42.42″</w:t>
            </w:r>
          </w:p>
        </w:tc>
        <w:tc>
          <w:tcPr>
            <w:tcW w:w="970" w:type="dxa"/>
            <w:tcBorders>
              <w:tl2br w:val="nil"/>
              <w:tr2bl w:val="nil"/>
            </w:tcBorders>
            <w:noWrap/>
            <w:vAlign w:val="center"/>
          </w:tcPr>
          <w:p w14:paraId="3B0CE7C0">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沟道型</w:t>
            </w:r>
          </w:p>
        </w:tc>
        <w:tc>
          <w:tcPr>
            <w:tcW w:w="1759" w:type="dxa"/>
            <w:tcBorders>
              <w:tl2br w:val="nil"/>
              <w:tr2bl w:val="nil"/>
            </w:tcBorders>
            <w:noWrap w:val="0"/>
            <w:vAlign w:val="center"/>
          </w:tcPr>
          <w:p w14:paraId="0174F0AB">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6#-7#-20#风机及新建道路</w:t>
            </w:r>
          </w:p>
        </w:tc>
        <w:tc>
          <w:tcPr>
            <w:tcW w:w="986" w:type="dxa"/>
            <w:tcBorders>
              <w:tl2br w:val="nil"/>
              <w:tr2bl w:val="nil"/>
            </w:tcBorders>
            <w:noWrap/>
            <w:vAlign w:val="center"/>
          </w:tcPr>
          <w:p w14:paraId="40CBD184">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0.39</w:t>
            </w:r>
          </w:p>
        </w:tc>
        <w:tc>
          <w:tcPr>
            <w:tcW w:w="985" w:type="dxa"/>
            <w:tcBorders>
              <w:tl2br w:val="nil"/>
              <w:tr2bl w:val="nil"/>
            </w:tcBorders>
            <w:noWrap/>
            <w:vAlign w:val="center"/>
          </w:tcPr>
          <w:p w14:paraId="0ECB6DD9">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0.035</w:t>
            </w:r>
          </w:p>
        </w:tc>
        <w:tc>
          <w:tcPr>
            <w:tcW w:w="849" w:type="dxa"/>
            <w:tcBorders>
              <w:tl2br w:val="nil"/>
              <w:tr2bl w:val="nil"/>
            </w:tcBorders>
            <w:noWrap/>
            <w:vAlign w:val="center"/>
          </w:tcPr>
          <w:p w14:paraId="0F46E493">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9.5</w:t>
            </w:r>
          </w:p>
        </w:tc>
        <w:tc>
          <w:tcPr>
            <w:tcW w:w="803" w:type="dxa"/>
            <w:tcBorders>
              <w:tl2br w:val="nil"/>
              <w:tr2bl w:val="nil"/>
            </w:tcBorders>
            <w:noWrap/>
            <w:vAlign w:val="center"/>
          </w:tcPr>
          <w:p w14:paraId="38AEEE55">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16</w:t>
            </w:r>
          </w:p>
        </w:tc>
        <w:tc>
          <w:tcPr>
            <w:tcW w:w="1038" w:type="dxa"/>
            <w:tcBorders>
              <w:tl2br w:val="nil"/>
              <w:tr2bl w:val="nil"/>
            </w:tcBorders>
            <w:noWrap/>
            <w:vAlign w:val="center"/>
          </w:tcPr>
          <w:p w14:paraId="1791AD4E">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4</w:t>
            </w:r>
          </w:p>
        </w:tc>
        <w:tc>
          <w:tcPr>
            <w:tcW w:w="942" w:type="dxa"/>
            <w:tcBorders>
              <w:tl2br w:val="nil"/>
              <w:tr2bl w:val="nil"/>
            </w:tcBorders>
            <w:noWrap/>
            <w:vAlign w:val="center"/>
          </w:tcPr>
          <w:p w14:paraId="7CA527EB">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3.82</w:t>
            </w:r>
          </w:p>
        </w:tc>
        <w:tc>
          <w:tcPr>
            <w:tcW w:w="795" w:type="dxa"/>
            <w:tcBorders>
              <w:tl2br w:val="nil"/>
              <w:tr2bl w:val="nil"/>
            </w:tcBorders>
            <w:noWrap/>
            <w:vAlign w:val="center"/>
          </w:tcPr>
          <w:p w14:paraId="5B4E08C3">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种植林草</w:t>
            </w:r>
          </w:p>
        </w:tc>
        <w:tc>
          <w:tcPr>
            <w:tcW w:w="1091" w:type="dxa"/>
            <w:vMerge w:val="continue"/>
            <w:tcBorders>
              <w:tl2br w:val="nil"/>
              <w:tr2bl w:val="nil"/>
            </w:tcBorders>
            <w:noWrap w:val="0"/>
            <w:vAlign w:val="center"/>
          </w:tcPr>
          <w:p w14:paraId="21A1CACE">
            <w:pPr>
              <w:pStyle w:val="45"/>
              <w:bidi w:val="0"/>
              <w:rPr>
                <w:rFonts w:hint="default"/>
                <w:b w:val="0"/>
                <w:bCs/>
                <w:color w:val="auto"/>
                <w:sz w:val="21"/>
                <w:szCs w:val="21"/>
                <w:highlight w:val="none"/>
              </w:rPr>
            </w:pPr>
          </w:p>
        </w:tc>
      </w:tr>
      <w:tr w14:paraId="60F062C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635" w:type="dxa"/>
            <w:tcBorders>
              <w:tl2br w:val="nil"/>
              <w:tr2bl w:val="nil"/>
            </w:tcBorders>
            <w:noWrap/>
            <w:vAlign w:val="center"/>
          </w:tcPr>
          <w:p w14:paraId="3D569F4C">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Z6</w:t>
            </w:r>
          </w:p>
        </w:tc>
        <w:tc>
          <w:tcPr>
            <w:tcW w:w="531" w:type="dxa"/>
            <w:tcBorders>
              <w:tl2br w:val="nil"/>
              <w:tr2bl w:val="nil"/>
            </w:tcBorders>
            <w:noWrap/>
            <w:vAlign w:val="center"/>
          </w:tcPr>
          <w:p w14:paraId="3C787792">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5</w:t>
            </w:r>
          </w:p>
        </w:tc>
        <w:tc>
          <w:tcPr>
            <w:tcW w:w="834" w:type="dxa"/>
            <w:tcBorders>
              <w:tl2br w:val="nil"/>
              <w:tr2bl w:val="nil"/>
            </w:tcBorders>
            <w:noWrap/>
            <w:vAlign w:val="center"/>
          </w:tcPr>
          <w:p w14:paraId="050A6479">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10#风机西北侧</w:t>
            </w:r>
          </w:p>
        </w:tc>
        <w:tc>
          <w:tcPr>
            <w:tcW w:w="1001" w:type="dxa"/>
            <w:tcBorders>
              <w:tl2br w:val="nil"/>
              <w:tr2bl w:val="nil"/>
            </w:tcBorders>
            <w:noWrap/>
            <w:vAlign w:val="center"/>
          </w:tcPr>
          <w:p w14:paraId="694B1CC6">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111°57′33.68″</w:t>
            </w:r>
          </w:p>
        </w:tc>
        <w:tc>
          <w:tcPr>
            <w:tcW w:w="955" w:type="dxa"/>
            <w:tcBorders>
              <w:tl2br w:val="nil"/>
              <w:tr2bl w:val="nil"/>
            </w:tcBorders>
            <w:noWrap/>
            <w:vAlign w:val="center"/>
          </w:tcPr>
          <w:p w14:paraId="0A011A5E">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26°57′4.79″</w:t>
            </w:r>
          </w:p>
        </w:tc>
        <w:tc>
          <w:tcPr>
            <w:tcW w:w="970" w:type="dxa"/>
            <w:tcBorders>
              <w:tl2br w:val="nil"/>
              <w:tr2bl w:val="nil"/>
            </w:tcBorders>
            <w:noWrap/>
            <w:vAlign w:val="center"/>
          </w:tcPr>
          <w:p w14:paraId="32A9D164">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沟道型</w:t>
            </w:r>
          </w:p>
        </w:tc>
        <w:tc>
          <w:tcPr>
            <w:tcW w:w="1759" w:type="dxa"/>
            <w:tcBorders>
              <w:tl2br w:val="nil"/>
              <w:tr2bl w:val="nil"/>
            </w:tcBorders>
            <w:noWrap/>
            <w:vAlign w:val="center"/>
          </w:tcPr>
          <w:p w14:paraId="3546F784">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8#-10#风机及新建道路</w:t>
            </w:r>
          </w:p>
        </w:tc>
        <w:tc>
          <w:tcPr>
            <w:tcW w:w="986" w:type="dxa"/>
            <w:tcBorders>
              <w:tl2br w:val="nil"/>
              <w:tr2bl w:val="nil"/>
            </w:tcBorders>
            <w:noWrap/>
            <w:vAlign w:val="center"/>
          </w:tcPr>
          <w:p w14:paraId="05DE8DD8">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0.2</w:t>
            </w:r>
          </w:p>
        </w:tc>
        <w:tc>
          <w:tcPr>
            <w:tcW w:w="985" w:type="dxa"/>
            <w:tcBorders>
              <w:tl2br w:val="nil"/>
              <w:tr2bl w:val="nil"/>
            </w:tcBorders>
            <w:noWrap/>
            <w:vAlign w:val="center"/>
          </w:tcPr>
          <w:p w14:paraId="6E62416F">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0.037</w:t>
            </w:r>
          </w:p>
        </w:tc>
        <w:tc>
          <w:tcPr>
            <w:tcW w:w="849" w:type="dxa"/>
            <w:tcBorders>
              <w:tl2br w:val="nil"/>
              <w:tr2bl w:val="nil"/>
            </w:tcBorders>
            <w:noWrap/>
            <w:vAlign w:val="center"/>
          </w:tcPr>
          <w:p w14:paraId="63CCA9BB">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9.5</w:t>
            </w:r>
          </w:p>
        </w:tc>
        <w:tc>
          <w:tcPr>
            <w:tcW w:w="803" w:type="dxa"/>
            <w:tcBorders>
              <w:tl2br w:val="nil"/>
              <w:tr2bl w:val="nil"/>
            </w:tcBorders>
            <w:noWrap/>
            <w:vAlign w:val="center"/>
          </w:tcPr>
          <w:p w14:paraId="7C6F2067">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17</w:t>
            </w:r>
          </w:p>
        </w:tc>
        <w:tc>
          <w:tcPr>
            <w:tcW w:w="1038" w:type="dxa"/>
            <w:tcBorders>
              <w:tl2br w:val="nil"/>
              <w:tr2bl w:val="nil"/>
            </w:tcBorders>
            <w:noWrap/>
            <w:vAlign w:val="center"/>
          </w:tcPr>
          <w:p w14:paraId="065D8399">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2</w:t>
            </w:r>
          </w:p>
        </w:tc>
        <w:tc>
          <w:tcPr>
            <w:tcW w:w="942" w:type="dxa"/>
            <w:tcBorders>
              <w:tl2br w:val="nil"/>
              <w:tr2bl w:val="nil"/>
            </w:tcBorders>
            <w:noWrap/>
            <w:vAlign w:val="center"/>
          </w:tcPr>
          <w:p w14:paraId="5F5BAFEE">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1.89</w:t>
            </w:r>
          </w:p>
        </w:tc>
        <w:tc>
          <w:tcPr>
            <w:tcW w:w="795" w:type="dxa"/>
            <w:tcBorders>
              <w:tl2br w:val="nil"/>
              <w:tr2bl w:val="nil"/>
            </w:tcBorders>
            <w:noWrap/>
            <w:vAlign w:val="center"/>
          </w:tcPr>
          <w:p w14:paraId="03585FFB">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种植林草</w:t>
            </w:r>
          </w:p>
        </w:tc>
        <w:tc>
          <w:tcPr>
            <w:tcW w:w="1091" w:type="dxa"/>
            <w:vMerge w:val="continue"/>
            <w:tcBorders>
              <w:tl2br w:val="nil"/>
              <w:tr2bl w:val="nil"/>
            </w:tcBorders>
            <w:noWrap w:val="0"/>
            <w:vAlign w:val="center"/>
          </w:tcPr>
          <w:p w14:paraId="73629614">
            <w:pPr>
              <w:pStyle w:val="45"/>
              <w:bidi w:val="0"/>
              <w:rPr>
                <w:rFonts w:hint="default"/>
                <w:b w:val="0"/>
                <w:bCs/>
                <w:color w:val="auto"/>
                <w:sz w:val="21"/>
                <w:szCs w:val="21"/>
                <w:highlight w:val="none"/>
              </w:rPr>
            </w:pPr>
          </w:p>
        </w:tc>
      </w:tr>
      <w:tr w14:paraId="3AD9817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635" w:type="dxa"/>
            <w:tcBorders>
              <w:tl2br w:val="nil"/>
              <w:tr2bl w:val="nil"/>
            </w:tcBorders>
            <w:noWrap/>
            <w:vAlign w:val="center"/>
          </w:tcPr>
          <w:p w14:paraId="7B707F7B">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Z7</w:t>
            </w:r>
          </w:p>
        </w:tc>
        <w:tc>
          <w:tcPr>
            <w:tcW w:w="531" w:type="dxa"/>
            <w:tcBorders>
              <w:tl2br w:val="nil"/>
              <w:tr2bl w:val="nil"/>
            </w:tcBorders>
            <w:noWrap/>
            <w:vAlign w:val="center"/>
          </w:tcPr>
          <w:p w14:paraId="47BE074E">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5</w:t>
            </w:r>
          </w:p>
        </w:tc>
        <w:tc>
          <w:tcPr>
            <w:tcW w:w="834" w:type="dxa"/>
            <w:tcBorders>
              <w:tl2br w:val="nil"/>
              <w:tr2bl w:val="nil"/>
            </w:tcBorders>
            <w:noWrap/>
            <w:vAlign w:val="center"/>
          </w:tcPr>
          <w:p w14:paraId="58ECBED9">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11#风机西北侧</w:t>
            </w:r>
          </w:p>
        </w:tc>
        <w:tc>
          <w:tcPr>
            <w:tcW w:w="1001" w:type="dxa"/>
            <w:tcBorders>
              <w:tl2br w:val="nil"/>
              <w:tr2bl w:val="nil"/>
            </w:tcBorders>
            <w:noWrap/>
            <w:vAlign w:val="center"/>
          </w:tcPr>
          <w:p w14:paraId="407C7031">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111°57′47.69″</w:t>
            </w:r>
          </w:p>
        </w:tc>
        <w:tc>
          <w:tcPr>
            <w:tcW w:w="955" w:type="dxa"/>
            <w:tcBorders>
              <w:tl2br w:val="nil"/>
              <w:tr2bl w:val="nil"/>
            </w:tcBorders>
            <w:noWrap/>
            <w:vAlign w:val="center"/>
          </w:tcPr>
          <w:p w14:paraId="4EED2EAC">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26°56′55.69″</w:t>
            </w:r>
          </w:p>
        </w:tc>
        <w:tc>
          <w:tcPr>
            <w:tcW w:w="970" w:type="dxa"/>
            <w:tcBorders>
              <w:tl2br w:val="nil"/>
              <w:tr2bl w:val="nil"/>
            </w:tcBorders>
            <w:noWrap/>
            <w:vAlign w:val="center"/>
          </w:tcPr>
          <w:p w14:paraId="4519BAB7">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沟道型</w:t>
            </w:r>
          </w:p>
        </w:tc>
        <w:tc>
          <w:tcPr>
            <w:tcW w:w="1759" w:type="dxa"/>
            <w:tcBorders>
              <w:tl2br w:val="nil"/>
              <w:tr2bl w:val="nil"/>
            </w:tcBorders>
            <w:noWrap/>
            <w:vAlign w:val="center"/>
          </w:tcPr>
          <w:p w14:paraId="48EFF4D7">
            <w:pPr>
              <w:pStyle w:val="45"/>
              <w:bidi w:val="0"/>
              <w:rPr>
                <w:rFonts w:hint="default"/>
                <w:b w:val="0"/>
                <w:bCs/>
                <w:color w:val="auto"/>
                <w:sz w:val="21"/>
                <w:szCs w:val="21"/>
                <w:highlight w:val="none"/>
              </w:rPr>
            </w:pPr>
            <w:r>
              <w:rPr>
                <w:rFonts w:hint="eastAsia"/>
                <w:b w:val="0"/>
                <w:bCs/>
                <w:color w:val="auto"/>
                <w:sz w:val="21"/>
                <w:szCs w:val="21"/>
                <w:highlight w:val="none"/>
                <w:lang w:val="en-US" w:eastAsia="zh-CN"/>
              </w:rPr>
              <w:t>8#</w:t>
            </w:r>
            <w:r>
              <w:rPr>
                <w:rFonts w:hint="default"/>
                <w:b w:val="0"/>
                <w:bCs/>
                <w:color w:val="auto"/>
                <w:sz w:val="21"/>
                <w:szCs w:val="21"/>
                <w:highlight w:val="none"/>
                <w:lang w:val="en-US" w:eastAsia="zh-CN"/>
              </w:rPr>
              <w:t>-</w:t>
            </w:r>
            <w:r>
              <w:rPr>
                <w:rFonts w:hint="eastAsia"/>
                <w:b w:val="0"/>
                <w:bCs/>
                <w:color w:val="auto"/>
                <w:sz w:val="21"/>
                <w:szCs w:val="21"/>
                <w:highlight w:val="none"/>
                <w:lang w:val="en-US" w:eastAsia="zh-CN"/>
              </w:rPr>
              <w:t>10#风机</w:t>
            </w:r>
            <w:r>
              <w:rPr>
                <w:rFonts w:hint="default"/>
                <w:b w:val="0"/>
                <w:bCs/>
                <w:color w:val="auto"/>
                <w:sz w:val="21"/>
                <w:szCs w:val="21"/>
                <w:highlight w:val="none"/>
                <w:lang w:val="en-US" w:eastAsia="zh-CN"/>
              </w:rPr>
              <w:t>新建道路</w:t>
            </w:r>
          </w:p>
        </w:tc>
        <w:tc>
          <w:tcPr>
            <w:tcW w:w="986" w:type="dxa"/>
            <w:tcBorders>
              <w:tl2br w:val="nil"/>
              <w:tr2bl w:val="nil"/>
            </w:tcBorders>
            <w:noWrap/>
            <w:vAlign w:val="center"/>
          </w:tcPr>
          <w:p w14:paraId="7D297169">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0.42</w:t>
            </w:r>
          </w:p>
        </w:tc>
        <w:tc>
          <w:tcPr>
            <w:tcW w:w="985" w:type="dxa"/>
            <w:tcBorders>
              <w:tl2br w:val="nil"/>
              <w:tr2bl w:val="nil"/>
            </w:tcBorders>
            <w:noWrap/>
            <w:vAlign w:val="center"/>
          </w:tcPr>
          <w:p w14:paraId="62A72D2A">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0.021</w:t>
            </w:r>
          </w:p>
        </w:tc>
        <w:tc>
          <w:tcPr>
            <w:tcW w:w="849" w:type="dxa"/>
            <w:tcBorders>
              <w:tl2br w:val="nil"/>
              <w:tr2bl w:val="nil"/>
            </w:tcBorders>
            <w:noWrap/>
            <w:vAlign w:val="center"/>
          </w:tcPr>
          <w:p w14:paraId="229DC076">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9.5</w:t>
            </w:r>
          </w:p>
        </w:tc>
        <w:tc>
          <w:tcPr>
            <w:tcW w:w="803" w:type="dxa"/>
            <w:tcBorders>
              <w:tl2br w:val="nil"/>
              <w:tr2bl w:val="nil"/>
            </w:tcBorders>
            <w:noWrap/>
            <w:vAlign w:val="center"/>
          </w:tcPr>
          <w:p w14:paraId="18693B03">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16</w:t>
            </w:r>
          </w:p>
        </w:tc>
        <w:tc>
          <w:tcPr>
            <w:tcW w:w="1038" w:type="dxa"/>
            <w:tcBorders>
              <w:tl2br w:val="nil"/>
              <w:tr2bl w:val="nil"/>
            </w:tcBorders>
            <w:noWrap/>
            <w:vAlign w:val="center"/>
          </w:tcPr>
          <w:p w14:paraId="22FFA15C">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4</w:t>
            </w:r>
          </w:p>
        </w:tc>
        <w:tc>
          <w:tcPr>
            <w:tcW w:w="942" w:type="dxa"/>
            <w:tcBorders>
              <w:tl2br w:val="nil"/>
              <w:tr2bl w:val="nil"/>
            </w:tcBorders>
            <w:noWrap/>
            <w:vAlign w:val="center"/>
          </w:tcPr>
          <w:p w14:paraId="0E1ABD65">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2.56</w:t>
            </w:r>
          </w:p>
        </w:tc>
        <w:tc>
          <w:tcPr>
            <w:tcW w:w="795" w:type="dxa"/>
            <w:tcBorders>
              <w:tl2br w:val="nil"/>
              <w:tr2bl w:val="nil"/>
            </w:tcBorders>
            <w:noWrap/>
            <w:vAlign w:val="center"/>
          </w:tcPr>
          <w:p w14:paraId="2EA62D59">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种植林草</w:t>
            </w:r>
          </w:p>
        </w:tc>
        <w:tc>
          <w:tcPr>
            <w:tcW w:w="1091" w:type="dxa"/>
            <w:vMerge w:val="continue"/>
            <w:tcBorders>
              <w:tl2br w:val="nil"/>
              <w:tr2bl w:val="nil"/>
            </w:tcBorders>
            <w:noWrap w:val="0"/>
            <w:vAlign w:val="center"/>
          </w:tcPr>
          <w:p w14:paraId="1D709B3C">
            <w:pPr>
              <w:pStyle w:val="45"/>
              <w:bidi w:val="0"/>
              <w:rPr>
                <w:rFonts w:hint="default"/>
                <w:b w:val="0"/>
                <w:bCs/>
                <w:color w:val="auto"/>
                <w:sz w:val="21"/>
                <w:szCs w:val="21"/>
                <w:highlight w:val="none"/>
              </w:rPr>
            </w:pPr>
          </w:p>
        </w:tc>
      </w:tr>
      <w:tr w14:paraId="0E704B2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635" w:type="dxa"/>
            <w:tcBorders>
              <w:tl2br w:val="nil"/>
              <w:tr2bl w:val="nil"/>
            </w:tcBorders>
            <w:noWrap/>
            <w:vAlign w:val="center"/>
          </w:tcPr>
          <w:p w14:paraId="281B6A4E">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Z8</w:t>
            </w:r>
          </w:p>
        </w:tc>
        <w:tc>
          <w:tcPr>
            <w:tcW w:w="531" w:type="dxa"/>
            <w:tcBorders>
              <w:tl2br w:val="nil"/>
              <w:tr2bl w:val="nil"/>
            </w:tcBorders>
            <w:noWrap/>
            <w:vAlign w:val="center"/>
          </w:tcPr>
          <w:p w14:paraId="0D7D11B0">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5</w:t>
            </w:r>
          </w:p>
        </w:tc>
        <w:tc>
          <w:tcPr>
            <w:tcW w:w="834" w:type="dxa"/>
            <w:tcBorders>
              <w:tl2br w:val="nil"/>
              <w:tr2bl w:val="nil"/>
            </w:tcBorders>
            <w:noWrap/>
            <w:vAlign w:val="center"/>
          </w:tcPr>
          <w:p w14:paraId="48CB4BFD">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12#风机东北侧</w:t>
            </w:r>
          </w:p>
        </w:tc>
        <w:tc>
          <w:tcPr>
            <w:tcW w:w="1001" w:type="dxa"/>
            <w:tcBorders>
              <w:tl2br w:val="nil"/>
              <w:tr2bl w:val="nil"/>
            </w:tcBorders>
            <w:noWrap/>
            <w:vAlign w:val="center"/>
          </w:tcPr>
          <w:p w14:paraId="1C97A3ED">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111°58′2.33″</w:t>
            </w:r>
          </w:p>
        </w:tc>
        <w:tc>
          <w:tcPr>
            <w:tcW w:w="955" w:type="dxa"/>
            <w:tcBorders>
              <w:tl2br w:val="nil"/>
              <w:tr2bl w:val="nil"/>
            </w:tcBorders>
            <w:noWrap/>
            <w:vAlign w:val="center"/>
          </w:tcPr>
          <w:p w14:paraId="4EF28448">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26°56′54.08″</w:t>
            </w:r>
          </w:p>
        </w:tc>
        <w:tc>
          <w:tcPr>
            <w:tcW w:w="970" w:type="dxa"/>
            <w:tcBorders>
              <w:tl2br w:val="nil"/>
              <w:tr2bl w:val="nil"/>
            </w:tcBorders>
            <w:noWrap/>
            <w:vAlign w:val="center"/>
          </w:tcPr>
          <w:p w14:paraId="016E34E7">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沟道型</w:t>
            </w:r>
          </w:p>
        </w:tc>
        <w:tc>
          <w:tcPr>
            <w:tcW w:w="1759" w:type="dxa"/>
            <w:tcBorders>
              <w:tl2br w:val="nil"/>
              <w:tr2bl w:val="nil"/>
            </w:tcBorders>
            <w:noWrap/>
            <w:vAlign w:val="center"/>
          </w:tcPr>
          <w:p w14:paraId="09FFC4D0">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8#-1</w:t>
            </w:r>
            <w:r>
              <w:rPr>
                <w:rFonts w:hint="eastAsia"/>
                <w:b w:val="0"/>
                <w:bCs/>
                <w:color w:val="auto"/>
                <w:sz w:val="21"/>
                <w:szCs w:val="21"/>
                <w:highlight w:val="none"/>
                <w:lang w:val="en-US" w:eastAsia="zh-CN"/>
              </w:rPr>
              <w:t>0</w:t>
            </w:r>
            <w:r>
              <w:rPr>
                <w:rFonts w:hint="default"/>
                <w:b w:val="0"/>
                <w:bCs/>
                <w:color w:val="auto"/>
                <w:sz w:val="21"/>
                <w:szCs w:val="21"/>
                <w:highlight w:val="none"/>
                <w:lang w:val="en-US" w:eastAsia="zh-CN"/>
              </w:rPr>
              <w:t>#号风机进场道路</w:t>
            </w:r>
          </w:p>
        </w:tc>
        <w:tc>
          <w:tcPr>
            <w:tcW w:w="986" w:type="dxa"/>
            <w:tcBorders>
              <w:tl2br w:val="nil"/>
              <w:tr2bl w:val="nil"/>
            </w:tcBorders>
            <w:noWrap/>
            <w:vAlign w:val="center"/>
          </w:tcPr>
          <w:p w14:paraId="7C498D06">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0.37</w:t>
            </w:r>
          </w:p>
        </w:tc>
        <w:tc>
          <w:tcPr>
            <w:tcW w:w="985" w:type="dxa"/>
            <w:tcBorders>
              <w:tl2br w:val="nil"/>
              <w:tr2bl w:val="nil"/>
            </w:tcBorders>
            <w:noWrap/>
            <w:vAlign w:val="center"/>
          </w:tcPr>
          <w:p w14:paraId="65A32013">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0.045</w:t>
            </w:r>
          </w:p>
        </w:tc>
        <w:tc>
          <w:tcPr>
            <w:tcW w:w="849" w:type="dxa"/>
            <w:tcBorders>
              <w:tl2br w:val="nil"/>
              <w:tr2bl w:val="nil"/>
            </w:tcBorders>
            <w:noWrap/>
            <w:vAlign w:val="center"/>
          </w:tcPr>
          <w:p w14:paraId="46109699">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9.5</w:t>
            </w:r>
          </w:p>
        </w:tc>
        <w:tc>
          <w:tcPr>
            <w:tcW w:w="803" w:type="dxa"/>
            <w:tcBorders>
              <w:tl2br w:val="nil"/>
              <w:tr2bl w:val="nil"/>
            </w:tcBorders>
            <w:noWrap/>
            <w:vAlign w:val="center"/>
          </w:tcPr>
          <w:p w14:paraId="3AB9A1B9">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12</w:t>
            </w:r>
          </w:p>
        </w:tc>
        <w:tc>
          <w:tcPr>
            <w:tcW w:w="1038" w:type="dxa"/>
            <w:tcBorders>
              <w:tl2br w:val="nil"/>
              <w:tr2bl w:val="nil"/>
            </w:tcBorders>
            <w:noWrap/>
            <w:vAlign w:val="center"/>
          </w:tcPr>
          <w:p w14:paraId="5CA9D02E">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4</w:t>
            </w:r>
          </w:p>
        </w:tc>
        <w:tc>
          <w:tcPr>
            <w:tcW w:w="942" w:type="dxa"/>
            <w:tcBorders>
              <w:tl2br w:val="nil"/>
              <w:tr2bl w:val="nil"/>
            </w:tcBorders>
            <w:noWrap/>
            <w:vAlign w:val="center"/>
          </w:tcPr>
          <w:p w14:paraId="035C0CC5">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3.50</w:t>
            </w:r>
          </w:p>
        </w:tc>
        <w:tc>
          <w:tcPr>
            <w:tcW w:w="795" w:type="dxa"/>
            <w:tcBorders>
              <w:tl2br w:val="nil"/>
              <w:tr2bl w:val="nil"/>
            </w:tcBorders>
            <w:noWrap/>
            <w:vAlign w:val="center"/>
          </w:tcPr>
          <w:p w14:paraId="06A97613">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种植林草</w:t>
            </w:r>
          </w:p>
        </w:tc>
        <w:tc>
          <w:tcPr>
            <w:tcW w:w="1091" w:type="dxa"/>
            <w:vMerge w:val="continue"/>
            <w:tcBorders>
              <w:tl2br w:val="nil"/>
              <w:tr2bl w:val="nil"/>
            </w:tcBorders>
            <w:noWrap w:val="0"/>
            <w:vAlign w:val="center"/>
          </w:tcPr>
          <w:p w14:paraId="33B7F9CA">
            <w:pPr>
              <w:pStyle w:val="45"/>
              <w:bidi w:val="0"/>
              <w:rPr>
                <w:rFonts w:hint="default"/>
                <w:b w:val="0"/>
                <w:bCs/>
                <w:color w:val="auto"/>
                <w:sz w:val="21"/>
                <w:szCs w:val="21"/>
                <w:highlight w:val="none"/>
              </w:rPr>
            </w:pPr>
          </w:p>
        </w:tc>
      </w:tr>
      <w:tr w14:paraId="0E5ADAC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trPr>
        <w:tc>
          <w:tcPr>
            <w:tcW w:w="635" w:type="dxa"/>
            <w:tcBorders>
              <w:tl2br w:val="nil"/>
              <w:tr2bl w:val="nil"/>
            </w:tcBorders>
            <w:noWrap/>
            <w:vAlign w:val="center"/>
          </w:tcPr>
          <w:p w14:paraId="001B0E42">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Z9</w:t>
            </w:r>
          </w:p>
        </w:tc>
        <w:tc>
          <w:tcPr>
            <w:tcW w:w="531" w:type="dxa"/>
            <w:tcBorders>
              <w:tl2br w:val="nil"/>
              <w:tr2bl w:val="nil"/>
            </w:tcBorders>
            <w:noWrap/>
            <w:vAlign w:val="center"/>
          </w:tcPr>
          <w:p w14:paraId="4F6B3942">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5</w:t>
            </w:r>
          </w:p>
        </w:tc>
        <w:tc>
          <w:tcPr>
            <w:tcW w:w="834" w:type="dxa"/>
            <w:tcBorders>
              <w:tl2br w:val="nil"/>
              <w:tr2bl w:val="nil"/>
            </w:tcBorders>
            <w:noWrap/>
            <w:vAlign w:val="center"/>
          </w:tcPr>
          <w:p w14:paraId="66E1111A">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18#风机东南侧</w:t>
            </w:r>
          </w:p>
        </w:tc>
        <w:tc>
          <w:tcPr>
            <w:tcW w:w="1001" w:type="dxa"/>
            <w:tcBorders>
              <w:tl2br w:val="nil"/>
              <w:tr2bl w:val="nil"/>
            </w:tcBorders>
            <w:noWrap/>
            <w:vAlign w:val="center"/>
          </w:tcPr>
          <w:p w14:paraId="343FEF45">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111°58′49.10″</w:t>
            </w:r>
          </w:p>
        </w:tc>
        <w:tc>
          <w:tcPr>
            <w:tcW w:w="955" w:type="dxa"/>
            <w:tcBorders>
              <w:tl2br w:val="nil"/>
              <w:tr2bl w:val="nil"/>
            </w:tcBorders>
            <w:noWrap/>
            <w:vAlign w:val="center"/>
          </w:tcPr>
          <w:p w14:paraId="46616EF1">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26°54′52.93″</w:t>
            </w:r>
          </w:p>
        </w:tc>
        <w:tc>
          <w:tcPr>
            <w:tcW w:w="970" w:type="dxa"/>
            <w:tcBorders>
              <w:tl2br w:val="nil"/>
              <w:tr2bl w:val="nil"/>
            </w:tcBorders>
            <w:noWrap/>
            <w:vAlign w:val="center"/>
          </w:tcPr>
          <w:p w14:paraId="355D7E6A">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沟道型</w:t>
            </w:r>
          </w:p>
        </w:tc>
        <w:tc>
          <w:tcPr>
            <w:tcW w:w="1759" w:type="dxa"/>
            <w:tcBorders>
              <w:tl2br w:val="nil"/>
              <w:tr2bl w:val="nil"/>
            </w:tcBorders>
            <w:noWrap/>
            <w:vAlign w:val="center"/>
          </w:tcPr>
          <w:p w14:paraId="7953E371">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17#-19#风机及新建道路</w:t>
            </w:r>
          </w:p>
        </w:tc>
        <w:tc>
          <w:tcPr>
            <w:tcW w:w="986" w:type="dxa"/>
            <w:tcBorders>
              <w:tl2br w:val="nil"/>
              <w:tr2bl w:val="nil"/>
            </w:tcBorders>
            <w:noWrap/>
            <w:vAlign w:val="center"/>
          </w:tcPr>
          <w:p w14:paraId="33DF65FD">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0.55</w:t>
            </w:r>
          </w:p>
        </w:tc>
        <w:tc>
          <w:tcPr>
            <w:tcW w:w="985" w:type="dxa"/>
            <w:tcBorders>
              <w:tl2br w:val="nil"/>
              <w:tr2bl w:val="nil"/>
            </w:tcBorders>
            <w:noWrap/>
            <w:vAlign w:val="center"/>
          </w:tcPr>
          <w:p w14:paraId="1B39E93E">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0.045</w:t>
            </w:r>
          </w:p>
        </w:tc>
        <w:tc>
          <w:tcPr>
            <w:tcW w:w="849" w:type="dxa"/>
            <w:tcBorders>
              <w:tl2br w:val="nil"/>
              <w:tr2bl w:val="nil"/>
            </w:tcBorders>
            <w:noWrap/>
            <w:vAlign w:val="center"/>
          </w:tcPr>
          <w:p w14:paraId="3FF698FA">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9.5</w:t>
            </w:r>
          </w:p>
        </w:tc>
        <w:tc>
          <w:tcPr>
            <w:tcW w:w="803" w:type="dxa"/>
            <w:tcBorders>
              <w:tl2br w:val="nil"/>
              <w:tr2bl w:val="nil"/>
            </w:tcBorders>
            <w:noWrap/>
            <w:vAlign w:val="center"/>
          </w:tcPr>
          <w:p w14:paraId="6A02D8B9">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18</w:t>
            </w:r>
          </w:p>
        </w:tc>
        <w:tc>
          <w:tcPr>
            <w:tcW w:w="1038" w:type="dxa"/>
            <w:tcBorders>
              <w:tl2br w:val="nil"/>
              <w:tr2bl w:val="nil"/>
            </w:tcBorders>
            <w:noWrap/>
            <w:vAlign w:val="center"/>
          </w:tcPr>
          <w:p w14:paraId="088B7FCF">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6</w:t>
            </w:r>
          </w:p>
        </w:tc>
        <w:tc>
          <w:tcPr>
            <w:tcW w:w="942" w:type="dxa"/>
            <w:tcBorders>
              <w:tl2br w:val="nil"/>
              <w:tr2bl w:val="nil"/>
            </w:tcBorders>
            <w:noWrap/>
            <w:vAlign w:val="center"/>
          </w:tcPr>
          <w:p w14:paraId="32757A89">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 xml:space="preserve">5.20 </w:t>
            </w:r>
          </w:p>
        </w:tc>
        <w:tc>
          <w:tcPr>
            <w:tcW w:w="795" w:type="dxa"/>
            <w:tcBorders>
              <w:tl2br w:val="nil"/>
              <w:tr2bl w:val="nil"/>
            </w:tcBorders>
            <w:noWrap/>
            <w:vAlign w:val="center"/>
          </w:tcPr>
          <w:p w14:paraId="3E8BD25C">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种植林草</w:t>
            </w:r>
          </w:p>
        </w:tc>
        <w:tc>
          <w:tcPr>
            <w:tcW w:w="1091" w:type="dxa"/>
            <w:vMerge w:val="continue"/>
            <w:tcBorders>
              <w:tl2br w:val="nil"/>
              <w:tr2bl w:val="nil"/>
            </w:tcBorders>
            <w:noWrap w:val="0"/>
            <w:vAlign w:val="center"/>
          </w:tcPr>
          <w:p w14:paraId="4D974E9E">
            <w:pPr>
              <w:pStyle w:val="45"/>
              <w:bidi w:val="0"/>
              <w:rPr>
                <w:rFonts w:hint="default"/>
                <w:b w:val="0"/>
                <w:bCs/>
                <w:color w:val="auto"/>
                <w:sz w:val="21"/>
                <w:szCs w:val="21"/>
                <w:highlight w:val="none"/>
              </w:rPr>
            </w:pPr>
          </w:p>
        </w:tc>
      </w:tr>
      <w:tr w14:paraId="029014D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635" w:type="dxa"/>
            <w:tcBorders>
              <w:tl2br w:val="nil"/>
              <w:tr2bl w:val="nil"/>
            </w:tcBorders>
            <w:noWrap/>
            <w:vAlign w:val="center"/>
          </w:tcPr>
          <w:p w14:paraId="303CD76A">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Z10</w:t>
            </w:r>
          </w:p>
        </w:tc>
        <w:tc>
          <w:tcPr>
            <w:tcW w:w="531" w:type="dxa"/>
            <w:tcBorders>
              <w:tl2br w:val="nil"/>
              <w:tr2bl w:val="nil"/>
            </w:tcBorders>
            <w:noWrap/>
            <w:vAlign w:val="center"/>
          </w:tcPr>
          <w:p w14:paraId="1A201689">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5</w:t>
            </w:r>
          </w:p>
        </w:tc>
        <w:tc>
          <w:tcPr>
            <w:tcW w:w="834" w:type="dxa"/>
            <w:tcBorders>
              <w:tl2br w:val="nil"/>
              <w:tr2bl w:val="nil"/>
            </w:tcBorders>
            <w:noWrap/>
            <w:vAlign w:val="center"/>
          </w:tcPr>
          <w:p w14:paraId="53842AB5">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进场道路1km处</w:t>
            </w:r>
          </w:p>
        </w:tc>
        <w:tc>
          <w:tcPr>
            <w:tcW w:w="1001" w:type="dxa"/>
            <w:tcBorders>
              <w:tl2br w:val="nil"/>
              <w:tr2bl w:val="nil"/>
            </w:tcBorders>
            <w:noWrap/>
            <w:vAlign w:val="center"/>
          </w:tcPr>
          <w:p w14:paraId="3C57ECFC">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111°58′35.27″</w:t>
            </w:r>
          </w:p>
        </w:tc>
        <w:tc>
          <w:tcPr>
            <w:tcW w:w="955" w:type="dxa"/>
            <w:tcBorders>
              <w:tl2br w:val="nil"/>
              <w:tr2bl w:val="nil"/>
            </w:tcBorders>
            <w:noWrap/>
            <w:vAlign w:val="center"/>
          </w:tcPr>
          <w:p w14:paraId="7C66391B">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26°54′29.17″</w:t>
            </w:r>
          </w:p>
        </w:tc>
        <w:tc>
          <w:tcPr>
            <w:tcW w:w="970" w:type="dxa"/>
            <w:tcBorders>
              <w:tl2br w:val="nil"/>
              <w:tr2bl w:val="nil"/>
            </w:tcBorders>
            <w:noWrap/>
            <w:vAlign w:val="center"/>
          </w:tcPr>
          <w:p w14:paraId="165A2BEE">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沟道型</w:t>
            </w:r>
          </w:p>
        </w:tc>
        <w:tc>
          <w:tcPr>
            <w:tcW w:w="1759" w:type="dxa"/>
            <w:tcBorders>
              <w:tl2br w:val="nil"/>
              <w:tr2bl w:val="nil"/>
            </w:tcBorders>
            <w:noWrap/>
            <w:vAlign w:val="center"/>
          </w:tcPr>
          <w:p w14:paraId="378199FE">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7#-19#新建道路</w:t>
            </w:r>
          </w:p>
        </w:tc>
        <w:tc>
          <w:tcPr>
            <w:tcW w:w="986" w:type="dxa"/>
            <w:tcBorders>
              <w:tl2br w:val="nil"/>
              <w:tr2bl w:val="nil"/>
            </w:tcBorders>
            <w:noWrap/>
            <w:vAlign w:val="center"/>
          </w:tcPr>
          <w:p w14:paraId="16A5DF4A">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0.86</w:t>
            </w:r>
          </w:p>
        </w:tc>
        <w:tc>
          <w:tcPr>
            <w:tcW w:w="985" w:type="dxa"/>
            <w:tcBorders>
              <w:tl2br w:val="nil"/>
              <w:tr2bl w:val="nil"/>
            </w:tcBorders>
            <w:noWrap/>
            <w:vAlign w:val="center"/>
          </w:tcPr>
          <w:p w14:paraId="58F9F8DF">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0.02</w:t>
            </w:r>
          </w:p>
        </w:tc>
        <w:tc>
          <w:tcPr>
            <w:tcW w:w="849" w:type="dxa"/>
            <w:tcBorders>
              <w:tl2br w:val="nil"/>
              <w:tr2bl w:val="nil"/>
            </w:tcBorders>
            <w:noWrap/>
            <w:vAlign w:val="center"/>
          </w:tcPr>
          <w:p w14:paraId="791B435B">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9.5</w:t>
            </w:r>
          </w:p>
        </w:tc>
        <w:tc>
          <w:tcPr>
            <w:tcW w:w="803" w:type="dxa"/>
            <w:tcBorders>
              <w:tl2br w:val="nil"/>
              <w:tr2bl w:val="nil"/>
            </w:tcBorders>
            <w:noWrap/>
            <w:vAlign w:val="center"/>
          </w:tcPr>
          <w:p w14:paraId="5D93F05D">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15</w:t>
            </w:r>
          </w:p>
        </w:tc>
        <w:tc>
          <w:tcPr>
            <w:tcW w:w="1038" w:type="dxa"/>
            <w:tcBorders>
              <w:tl2br w:val="nil"/>
              <w:tr2bl w:val="nil"/>
            </w:tcBorders>
            <w:noWrap/>
            <w:vAlign w:val="center"/>
          </w:tcPr>
          <w:p w14:paraId="475C2A57">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9</w:t>
            </w:r>
          </w:p>
        </w:tc>
        <w:tc>
          <w:tcPr>
            <w:tcW w:w="942" w:type="dxa"/>
            <w:tcBorders>
              <w:tl2br w:val="nil"/>
              <w:tr2bl w:val="nil"/>
            </w:tcBorders>
            <w:noWrap/>
            <w:vAlign w:val="center"/>
          </w:tcPr>
          <w:p w14:paraId="3B56EDAC">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 xml:space="preserve">8.18 </w:t>
            </w:r>
          </w:p>
        </w:tc>
        <w:tc>
          <w:tcPr>
            <w:tcW w:w="795" w:type="dxa"/>
            <w:tcBorders>
              <w:tl2br w:val="nil"/>
              <w:tr2bl w:val="nil"/>
            </w:tcBorders>
            <w:noWrap/>
            <w:vAlign w:val="center"/>
          </w:tcPr>
          <w:p w14:paraId="770C6716">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种植林草</w:t>
            </w:r>
          </w:p>
        </w:tc>
        <w:tc>
          <w:tcPr>
            <w:tcW w:w="1091" w:type="dxa"/>
            <w:vMerge w:val="continue"/>
            <w:tcBorders>
              <w:tl2br w:val="nil"/>
              <w:tr2bl w:val="nil"/>
            </w:tcBorders>
            <w:noWrap w:val="0"/>
            <w:vAlign w:val="center"/>
          </w:tcPr>
          <w:p w14:paraId="31935BA3">
            <w:pPr>
              <w:pStyle w:val="45"/>
              <w:bidi w:val="0"/>
              <w:rPr>
                <w:rFonts w:hint="default"/>
                <w:b w:val="0"/>
                <w:bCs/>
                <w:color w:val="auto"/>
                <w:sz w:val="21"/>
                <w:szCs w:val="21"/>
                <w:highlight w:val="none"/>
              </w:rPr>
            </w:pPr>
          </w:p>
        </w:tc>
      </w:tr>
      <w:tr w14:paraId="307FCE6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635" w:type="dxa"/>
            <w:tcBorders>
              <w:tl2br w:val="nil"/>
              <w:tr2bl w:val="nil"/>
            </w:tcBorders>
            <w:noWrap/>
            <w:vAlign w:val="center"/>
          </w:tcPr>
          <w:p w14:paraId="72E87E4A">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Z11</w:t>
            </w:r>
          </w:p>
        </w:tc>
        <w:tc>
          <w:tcPr>
            <w:tcW w:w="531" w:type="dxa"/>
            <w:tcBorders>
              <w:tl2br w:val="nil"/>
              <w:tr2bl w:val="nil"/>
            </w:tcBorders>
            <w:noWrap/>
            <w:vAlign w:val="center"/>
          </w:tcPr>
          <w:p w14:paraId="19426A5C">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5</w:t>
            </w:r>
          </w:p>
        </w:tc>
        <w:tc>
          <w:tcPr>
            <w:tcW w:w="834" w:type="dxa"/>
            <w:tcBorders>
              <w:tl2br w:val="nil"/>
              <w:tr2bl w:val="nil"/>
            </w:tcBorders>
            <w:noWrap/>
            <w:vAlign w:val="center"/>
          </w:tcPr>
          <w:p w14:paraId="669F8ACE">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16#风机西侧</w:t>
            </w:r>
          </w:p>
        </w:tc>
        <w:tc>
          <w:tcPr>
            <w:tcW w:w="1001" w:type="dxa"/>
            <w:tcBorders>
              <w:tl2br w:val="nil"/>
              <w:tr2bl w:val="nil"/>
            </w:tcBorders>
            <w:noWrap/>
            <w:vAlign w:val="center"/>
          </w:tcPr>
          <w:p w14:paraId="6399B53B">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112°0′0.74″</w:t>
            </w:r>
          </w:p>
        </w:tc>
        <w:tc>
          <w:tcPr>
            <w:tcW w:w="955" w:type="dxa"/>
            <w:tcBorders>
              <w:tl2br w:val="nil"/>
              <w:tr2bl w:val="nil"/>
            </w:tcBorders>
            <w:noWrap/>
            <w:vAlign w:val="center"/>
          </w:tcPr>
          <w:p w14:paraId="11C30906">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26°55′14.65″</w:t>
            </w:r>
          </w:p>
        </w:tc>
        <w:tc>
          <w:tcPr>
            <w:tcW w:w="970" w:type="dxa"/>
            <w:tcBorders>
              <w:tl2br w:val="nil"/>
              <w:tr2bl w:val="nil"/>
            </w:tcBorders>
            <w:noWrap/>
            <w:vAlign w:val="center"/>
          </w:tcPr>
          <w:p w14:paraId="7EAC7E08">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沟道型</w:t>
            </w:r>
          </w:p>
        </w:tc>
        <w:tc>
          <w:tcPr>
            <w:tcW w:w="1759" w:type="dxa"/>
            <w:tcBorders>
              <w:tl2br w:val="nil"/>
              <w:tr2bl w:val="nil"/>
            </w:tcBorders>
            <w:noWrap/>
            <w:vAlign w:val="center"/>
          </w:tcPr>
          <w:p w14:paraId="76FB852D">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14#-16#风机及新建道路</w:t>
            </w:r>
          </w:p>
        </w:tc>
        <w:tc>
          <w:tcPr>
            <w:tcW w:w="986" w:type="dxa"/>
            <w:tcBorders>
              <w:tl2br w:val="nil"/>
              <w:tr2bl w:val="nil"/>
            </w:tcBorders>
            <w:noWrap/>
            <w:vAlign w:val="center"/>
          </w:tcPr>
          <w:p w14:paraId="265C0668">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0.49</w:t>
            </w:r>
          </w:p>
        </w:tc>
        <w:tc>
          <w:tcPr>
            <w:tcW w:w="985" w:type="dxa"/>
            <w:tcBorders>
              <w:tl2br w:val="nil"/>
              <w:tr2bl w:val="nil"/>
            </w:tcBorders>
            <w:noWrap/>
            <w:vAlign w:val="center"/>
          </w:tcPr>
          <w:p w14:paraId="6D880A58">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0.036</w:t>
            </w:r>
          </w:p>
        </w:tc>
        <w:tc>
          <w:tcPr>
            <w:tcW w:w="849" w:type="dxa"/>
            <w:tcBorders>
              <w:tl2br w:val="nil"/>
              <w:tr2bl w:val="nil"/>
            </w:tcBorders>
            <w:noWrap/>
            <w:vAlign w:val="center"/>
          </w:tcPr>
          <w:p w14:paraId="510812EC">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9.5</w:t>
            </w:r>
          </w:p>
        </w:tc>
        <w:tc>
          <w:tcPr>
            <w:tcW w:w="803" w:type="dxa"/>
            <w:tcBorders>
              <w:tl2br w:val="nil"/>
              <w:tr2bl w:val="nil"/>
            </w:tcBorders>
            <w:noWrap/>
            <w:vAlign w:val="center"/>
          </w:tcPr>
          <w:p w14:paraId="41CAC9D6">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15</w:t>
            </w:r>
          </w:p>
        </w:tc>
        <w:tc>
          <w:tcPr>
            <w:tcW w:w="1038" w:type="dxa"/>
            <w:tcBorders>
              <w:tl2br w:val="nil"/>
              <w:tr2bl w:val="nil"/>
            </w:tcBorders>
            <w:noWrap/>
            <w:vAlign w:val="center"/>
          </w:tcPr>
          <w:p w14:paraId="134D3427">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5</w:t>
            </w:r>
          </w:p>
        </w:tc>
        <w:tc>
          <w:tcPr>
            <w:tcW w:w="942" w:type="dxa"/>
            <w:tcBorders>
              <w:tl2br w:val="nil"/>
              <w:tr2bl w:val="nil"/>
            </w:tcBorders>
            <w:noWrap/>
            <w:vAlign w:val="center"/>
          </w:tcPr>
          <w:p w14:paraId="1C4C406D">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 xml:space="preserve">4.55 </w:t>
            </w:r>
          </w:p>
        </w:tc>
        <w:tc>
          <w:tcPr>
            <w:tcW w:w="795" w:type="dxa"/>
            <w:tcBorders>
              <w:tl2br w:val="nil"/>
              <w:tr2bl w:val="nil"/>
            </w:tcBorders>
            <w:noWrap/>
            <w:vAlign w:val="center"/>
          </w:tcPr>
          <w:p w14:paraId="5E175BFA">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种植林草</w:t>
            </w:r>
          </w:p>
        </w:tc>
        <w:tc>
          <w:tcPr>
            <w:tcW w:w="1091" w:type="dxa"/>
            <w:vMerge w:val="continue"/>
            <w:tcBorders>
              <w:tl2br w:val="nil"/>
              <w:tr2bl w:val="nil"/>
            </w:tcBorders>
            <w:noWrap w:val="0"/>
            <w:vAlign w:val="center"/>
          </w:tcPr>
          <w:p w14:paraId="61FD33C7">
            <w:pPr>
              <w:pStyle w:val="45"/>
              <w:bidi w:val="0"/>
              <w:rPr>
                <w:rFonts w:hint="default"/>
                <w:b w:val="0"/>
                <w:bCs/>
                <w:color w:val="auto"/>
                <w:sz w:val="21"/>
                <w:szCs w:val="21"/>
                <w:highlight w:val="none"/>
              </w:rPr>
            </w:pPr>
          </w:p>
        </w:tc>
      </w:tr>
      <w:tr w14:paraId="5EC0FB3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635" w:type="dxa"/>
            <w:tcBorders>
              <w:tl2br w:val="nil"/>
              <w:tr2bl w:val="nil"/>
            </w:tcBorders>
            <w:noWrap/>
            <w:vAlign w:val="center"/>
          </w:tcPr>
          <w:p w14:paraId="71D7E703">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Z12</w:t>
            </w:r>
          </w:p>
        </w:tc>
        <w:tc>
          <w:tcPr>
            <w:tcW w:w="531" w:type="dxa"/>
            <w:tcBorders>
              <w:tl2br w:val="nil"/>
              <w:tr2bl w:val="nil"/>
            </w:tcBorders>
            <w:noWrap/>
            <w:vAlign w:val="center"/>
          </w:tcPr>
          <w:p w14:paraId="3B356EB8">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5</w:t>
            </w:r>
          </w:p>
        </w:tc>
        <w:tc>
          <w:tcPr>
            <w:tcW w:w="834" w:type="dxa"/>
            <w:tcBorders>
              <w:tl2br w:val="nil"/>
              <w:tr2bl w:val="nil"/>
            </w:tcBorders>
            <w:noWrap/>
            <w:vAlign w:val="center"/>
          </w:tcPr>
          <w:p w14:paraId="15427E7A">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13#风机南侧</w:t>
            </w:r>
          </w:p>
        </w:tc>
        <w:tc>
          <w:tcPr>
            <w:tcW w:w="1001" w:type="dxa"/>
            <w:tcBorders>
              <w:tl2br w:val="nil"/>
              <w:tr2bl w:val="nil"/>
            </w:tcBorders>
            <w:noWrap/>
            <w:vAlign w:val="center"/>
          </w:tcPr>
          <w:p w14:paraId="18DA44B1">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112°0′10.21″</w:t>
            </w:r>
          </w:p>
        </w:tc>
        <w:tc>
          <w:tcPr>
            <w:tcW w:w="955" w:type="dxa"/>
            <w:tcBorders>
              <w:tl2br w:val="nil"/>
              <w:tr2bl w:val="nil"/>
            </w:tcBorders>
            <w:noWrap/>
            <w:vAlign w:val="center"/>
          </w:tcPr>
          <w:p w14:paraId="4526EF84">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26°56′11.38″</w:t>
            </w:r>
          </w:p>
        </w:tc>
        <w:tc>
          <w:tcPr>
            <w:tcW w:w="970" w:type="dxa"/>
            <w:tcBorders>
              <w:tl2br w:val="nil"/>
              <w:tr2bl w:val="nil"/>
            </w:tcBorders>
            <w:noWrap/>
            <w:vAlign w:val="center"/>
          </w:tcPr>
          <w:p w14:paraId="685568E9">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沟道型</w:t>
            </w:r>
          </w:p>
        </w:tc>
        <w:tc>
          <w:tcPr>
            <w:tcW w:w="1759" w:type="dxa"/>
            <w:tcBorders>
              <w:tl2br w:val="nil"/>
              <w:tr2bl w:val="nil"/>
            </w:tcBorders>
            <w:noWrap/>
            <w:vAlign w:val="center"/>
          </w:tcPr>
          <w:p w14:paraId="7AD2AEA4">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13#风机及新建道路</w:t>
            </w:r>
          </w:p>
        </w:tc>
        <w:tc>
          <w:tcPr>
            <w:tcW w:w="986" w:type="dxa"/>
            <w:tcBorders>
              <w:tl2br w:val="nil"/>
              <w:tr2bl w:val="nil"/>
            </w:tcBorders>
            <w:noWrap/>
            <w:vAlign w:val="center"/>
          </w:tcPr>
          <w:p w14:paraId="3B437298">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0.43</w:t>
            </w:r>
          </w:p>
        </w:tc>
        <w:tc>
          <w:tcPr>
            <w:tcW w:w="985" w:type="dxa"/>
            <w:tcBorders>
              <w:tl2br w:val="nil"/>
              <w:tr2bl w:val="nil"/>
            </w:tcBorders>
            <w:noWrap/>
            <w:vAlign w:val="center"/>
          </w:tcPr>
          <w:p w14:paraId="3798A762">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0.032</w:t>
            </w:r>
          </w:p>
        </w:tc>
        <w:tc>
          <w:tcPr>
            <w:tcW w:w="849" w:type="dxa"/>
            <w:tcBorders>
              <w:tl2br w:val="nil"/>
              <w:tr2bl w:val="nil"/>
            </w:tcBorders>
            <w:noWrap/>
            <w:vAlign w:val="center"/>
          </w:tcPr>
          <w:p w14:paraId="3451BB7C">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9.5</w:t>
            </w:r>
          </w:p>
        </w:tc>
        <w:tc>
          <w:tcPr>
            <w:tcW w:w="803" w:type="dxa"/>
            <w:tcBorders>
              <w:tl2br w:val="nil"/>
              <w:tr2bl w:val="nil"/>
            </w:tcBorders>
            <w:noWrap/>
            <w:vAlign w:val="center"/>
          </w:tcPr>
          <w:p w14:paraId="08537AED">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19</w:t>
            </w:r>
          </w:p>
        </w:tc>
        <w:tc>
          <w:tcPr>
            <w:tcW w:w="1038" w:type="dxa"/>
            <w:tcBorders>
              <w:tl2br w:val="nil"/>
              <w:tr2bl w:val="nil"/>
            </w:tcBorders>
            <w:noWrap/>
            <w:vAlign w:val="center"/>
          </w:tcPr>
          <w:p w14:paraId="185FF5F1">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5</w:t>
            </w:r>
          </w:p>
        </w:tc>
        <w:tc>
          <w:tcPr>
            <w:tcW w:w="942" w:type="dxa"/>
            <w:tcBorders>
              <w:tl2br w:val="nil"/>
              <w:tr2bl w:val="nil"/>
            </w:tcBorders>
            <w:noWrap/>
            <w:vAlign w:val="center"/>
          </w:tcPr>
          <w:p w14:paraId="5382FF4D">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 xml:space="preserve">4.84 </w:t>
            </w:r>
          </w:p>
        </w:tc>
        <w:tc>
          <w:tcPr>
            <w:tcW w:w="795" w:type="dxa"/>
            <w:tcBorders>
              <w:tl2br w:val="nil"/>
              <w:tr2bl w:val="nil"/>
            </w:tcBorders>
            <w:noWrap/>
            <w:vAlign w:val="center"/>
          </w:tcPr>
          <w:p w14:paraId="3768DF20">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种植林草</w:t>
            </w:r>
          </w:p>
        </w:tc>
        <w:tc>
          <w:tcPr>
            <w:tcW w:w="1091" w:type="dxa"/>
            <w:vMerge w:val="continue"/>
            <w:tcBorders>
              <w:tl2br w:val="nil"/>
              <w:tr2bl w:val="nil"/>
            </w:tcBorders>
            <w:noWrap w:val="0"/>
            <w:vAlign w:val="center"/>
          </w:tcPr>
          <w:p w14:paraId="1C683FAA">
            <w:pPr>
              <w:pStyle w:val="45"/>
              <w:bidi w:val="0"/>
              <w:rPr>
                <w:rFonts w:hint="default"/>
                <w:b w:val="0"/>
                <w:bCs/>
                <w:color w:val="auto"/>
                <w:sz w:val="21"/>
                <w:szCs w:val="21"/>
                <w:highlight w:val="none"/>
              </w:rPr>
            </w:pPr>
          </w:p>
        </w:tc>
      </w:tr>
      <w:tr w14:paraId="6F55CD8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635" w:type="dxa"/>
            <w:tcBorders>
              <w:tl2br w:val="nil"/>
              <w:tr2bl w:val="nil"/>
            </w:tcBorders>
            <w:noWrap/>
            <w:vAlign w:val="center"/>
          </w:tcPr>
          <w:p w14:paraId="35D38408">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合计</w:t>
            </w:r>
          </w:p>
        </w:tc>
        <w:tc>
          <w:tcPr>
            <w:tcW w:w="531" w:type="dxa"/>
            <w:tcBorders>
              <w:tl2br w:val="nil"/>
              <w:tr2bl w:val="nil"/>
            </w:tcBorders>
            <w:noWrap/>
            <w:vAlign w:val="center"/>
          </w:tcPr>
          <w:p w14:paraId="15F70DCE">
            <w:pPr>
              <w:pStyle w:val="45"/>
              <w:bidi w:val="0"/>
              <w:rPr>
                <w:rFonts w:hint="default"/>
                <w:b w:val="0"/>
                <w:bCs/>
                <w:color w:val="auto"/>
                <w:sz w:val="21"/>
                <w:szCs w:val="21"/>
                <w:highlight w:val="none"/>
              </w:rPr>
            </w:pPr>
          </w:p>
        </w:tc>
        <w:tc>
          <w:tcPr>
            <w:tcW w:w="834" w:type="dxa"/>
            <w:tcBorders>
              <w:tl2br w:val="nil"/>
              <w:tr2bl w:val="nil"/>
            </w:tcBorders>
            <w:noWrap/>
            <w:vAlign w:val="center"/>
          </w:tcPr>
          <w:p w14:paraId="0565A10D">
            <w:pPr>
              <w:pStyle w:val="45"/>
              <w:bidi w:val="0"/>
              <w:rPr>
                <w:rFonts w:hint="default"/>
                <w:b w:val="0"/>
                <w:bCs/>
                <w:color w:val="auto"/>
                <w:sz w:val="21"/>
                <w:szCs w:val="21"/>
                <w:highlight w:val="none"/>
              </w:rPr>
            </w:pPr>
          </w:p>
        </w:tc>
        <w:tc>
          <w:tcPr>
            <w:tcW w:w="1001" w:type="dxa"/>
            <w:tcBorders>
              <w:tl2br w:val="nil"/>
              <w:tr2bl w:val="nil"/>
            </w:tcBorders>
            <w:noWrap/>
            <w:vAlign w:val="center"/>
          </w:tcPr>
          <w:p w14:paraId="11D4E88B">
            <w:pPr>
              <w:pStyle w:val="45"/>
              <w:bidi w:val="0"/>
              <w:rPr>
                <w:rFonts w:hint="default"/>
                <w:b w:val="0"/>
                <w:bCs/>
                <w:color w:val="auto"/>
                <w:sz w:val="21"/>
                <w:szCs w:val="21"/>
                <w:highlight w:val="none"/>
              </w:rPr>
            </w:pPr>
          </w:p>
        </w:tc>
        <w:tc>
          <w:tcPr>
            <w:tcW w:w="955" w:type="dxa"/>
            <w:tcBorders>
              <w:tl2br w:val="nil"/>
              <w:tr2bl w:val="nil"/>
            </w:tcBorders>
            <w:noWrap/>
            <w:vAlign w:val="center"/>
          </w:tcPr>
          <w:p w14:paraId="3283FBE9">
            <w:pPr>
              <w:pStyle w:val="45"/>
              <w:bidi w:val="0"/>
              <w:rPr>
                <w:rFonts w:hint="default"/>
                <w:b w:val="0"/>
                <w:bCs/>
                <w:color w:val="auto"/>
                <w:sz w:val="21"/>
                <w:szCs w:val="21"/>
                <w:highlight w:val="none"/>
              </w:rPr>
            </w:pPr>
          </w:p>
        </w:tc>
        <w:tc>
          <w:tcPr>
            <w:tcW w:w="970" w:type="dxa"/>
            <w:tcBorders>
              <w:tl2br w:val="nil"/>
              <w:tr2bl w:val="nil"/>
            </w:tcBorders>
            <w:noWrap/>
            <w:vAlign w:val="center"/>
          </w:tcPr>
          <w:p w14:paraId="7446407C">
            <w:pPr>
              <w:pStyle w:val="45"/>
              <w:bidi w:val="0"/>
              <w:rPr>
                <w:rFonts w:hint="default"/>
                <w:b w:val="0"/>
                <w:bCs/>
                <w:color w:val="auto"/>
                <w:sz w:val="21"/>
                <w:szCs w:val="21"/>
                <w:highlight w:val="none"/>
              </w:rPr>
            </w:pPr>
          </w:p>
        </w:tc>
        <w:tc>
          <w:tcPr>
            <w:tcW w:w="1759" w:type="dxa"/>
            <w:tcBorders>
              <w:tl2br w:val="nil"/>
              <w:tr2bl w:val="nil"/>
            </w:tcBorders>
            <w:noWrap/>
            <w:vAlign w:val="center"/>
          </w:tcPr>
          <w:p w14:paraId="7472DC7C">
            <w:pPr>
              <w:pStyle w:val="45"/>
              <w:bidi w:val="0"/>
              <w:rPr>
                <w:rFonts w:hint="default"/>
                <w:b w:val="0"/>
                <w:bCs/>
                <w:color w:val="auto"/>
                <w:sz w:val="21"/>
                <w:szCs w:val="21"/>
                <w:highlight w:val="none"/>
              </w:rPr>
            </w:pPr>
          </w:p>
        </w:tc>
        <w:tc>
          <w:tcPr>
            <w:tcW w:w="986" w:type="dxa"/>
            <w:tcBorders>
              <w:tl2br w:val="nil"/>
              <w:tr2bl w:val="nil"/>
            </w:tcBorders>
            <w:noWrap/>
            <w:vAlign w:val="center"/>
          </w:tcPr>
          <w:p w14:paraId="66697C42">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5.4</w:t>
            </w:r>
          </w:p>
        </w:tc>
        <w:tc>
          <w:tcPr>
            <w:tcW w:w="985" w:type="dxa"/>
            <w:tcBorders>
              <w:tl2br w:val="nil"/>
              <w:tr2bl w:val="nil"/>
            </w:tcBorders>
            <w:noWrap/>
            <w:vAlign w:val="center"/>
          </w:tcPr>
          <w:p w14:paraId="6C95E239">
            <w:pPr>
              <w:pStyle w:val="45"/>
              <w:bidi w:val="0"/>
              <w:rPr>
                <w:rFonts w:hint="default"/>
                <w:b w:val="0"/>
                <w:bCs/>
                <w:color w:val="auto"/>
                <w:sz w:val="21"/>
                <w:szCs w:val="21"/>
                <w:highlight w:val="none"/>
              </w:rPr>
            </w:pPr>
          </w:p>
        </w:tc>
        <w:tc>
          <w:tcPr>
            <w:tcW w:w="849" w:type="dxa"/>
            <w:tcBorders>
              <w:tl2br w:val="nil"/>
              <w:tr2bl w:val="nil"/>
            </w:tcBorders>
            <w:noWrap/>
            <w:vAlign w:val="center"/>
          </w:tcPr>
          <w:p w14:paraId="1B8058F7">
            <w:pPr>
              <w:pStyle w:val="45"/>
              <w:bidi w:val="0"/>
              <w:rPr>
                <w:rFonts w:hint="default"/>
                <w:b w:val="0"/>
                <w:bCs/>
                <w:color w:val="auto"/>
                <w:sz w:val="21"/>
                <w:szCs w:val="21"/>
                <w:highlight w:val="none"/>
              </w:rPr>
            </w:pPr>
          </w:p>
        </w:tc>
        <w:tc>
          <w:tcPr>
            <w:tcW w:w="803" w:type="dxa"/>
            <w:tcBorders>
              <w:tl2br w:val="nil"/>
              <w:tr2bl w:val="nil"/>
            </w:tcBorders>
            <w:noWrap/>
            <w:vAlign w:val="center"/>
          </w:tcPr>
          <w:p w14:paraId="1694C721">
            <w:pPr>
              <w:pStyle w:val="45"/>
              <w:bidi w:val="0"/>
              <w:rPr>
                <w:rFonts w:hint="default"/>
                <w:b w:val="0"/>
                <w:bCs/>
                <w:color w:val="auto"/>
                <w:sz w:val="21"/>
                <w:szCs w:val="21"/>
                <w:highlight w:val="none"/>
              </w:rPr>
            </w:pPr>
          </w:p>
        </w:tc>
        <w:tc>
          <w:tcPr>
            <w:tcW w:w="1038" w:type="dxa"/>
            <w:tcBorders>
              <w:tl2br w:val="nil"/>
              <w:tr2bl w:val="nil"/>
            </w:tcBorders>
            <w:noWrap/>
            <w:vAlign w:val="center"/>
          </w:tcPr>
          <w:p w14:paraId="41018140">
            <w:pPr>
              <w:pStyle w:val="45"/>
              <w:bidi w:val="0"/>
              <w:rPr>
                <w:rFonts w:hint="default"/>
                <w:b w:val="0"/>
                <w:bCs/>
                <w:color w:val="auto"/>
                <w:sz w:val="21"/>
                <w:szCs w:val="21"/>
                <w:highlight w:val="none"/>
              </w:rPr>
            </w:pPr>
          </w:p>
        </w:tc>
        <w:tc>
          <w:tcPr>
            <w:tcW w:w="942" w:type="dxa"/>
            <w:tcBorders>
              <w:tl2br w:val="nil"/>
              <w:tr2bl w:val="nil"/>
            </w:tcBorders>
            <w:noWrap/>
            <w:vAlign w:val="center"/>
          </w:tcPr>
          <w:p w14:paraId="6086F461">
            <w:pPr>
              <w:pStyle w:val="45"/>
              <w:bidi w:val="0"/>
              <w:rPr>
                <w:rFonts w:hint="default"/>
                <w:b w:val="0"/>
                <w:bCs/>
                <w:color w:val="auto"/>
                <w:sz w:val="21"/>
                <w:szCs w:val="21"/>
                <w:highlight w:val="none"/>
              </w:rPr>
            </w:pPr>
            <w:r>
              <w:rPr>
                <w:rFonts w:hint="default"/>
                <w:b w:val="0"/>
                <w:bCs/>
                <w:color w:val="auto"/>
                <w:sz w:val="21"/>
                <w:szCs w:val="21"/>
                <w:highlight w:val="none"/>
                <w:lang w:val="en-US" w:eastAsia="zh-CN"/>
              </w:rPr>
              <w:t xml:space="preserve">49.71 </w:t>
            </w:r>
          </w:p>
        </w:tc>
        <w:tc>
          <w:tcPr>
            <w:tcW w:w="795" w:type="dxa"/>
            <w:tcBorders>
              <w:tl2br w:val="nil"/>
              <w:tr2bl w:val="nil"/>
            </w:tcBorders>
            <w:noWrap/>
            <w:vAlign w:val="center"/>
          </w:tcPr>
          <w:p w14:paraId="14B7430F">
            <w:pPr>
              <w:pStyle w:val="45"/>
              <w:bidi w:val="0"/>
              <w:rPr>
                <w:rFonts w:hint="default"/>
                <w:b w:val="0"/>
                <w:bCs/>
                <w:color w:val="auto"/>
                <w:sz w:val="21"/>
                <w:szCs w:val="21"/>
                <w:highlight w:val="none"/>
              </w:rPr>
            </w:pPr>
          </w:p>
        </w:tc>
        <w:tc>
          <w:tcPr>
            <w:tcW w:w="1091" w:type="dxa"/>
            <w:vMerge w:val="continue"/>
            <w:tcBorders>
              <w:tl2br w:val="nil"/>
              <w:tr2bl w:val="nil"/>
            </w:tcBorders>
            <w:noWrap/>
            <w:vAlign w:val="center"/>
          </w:tcPr>
          <w:p w14:paraId="03B37389">
            <w:pPr>
              <w:pStyle w:val="45"/>
              <w:bidi w:val="0"/>
              <w:rPr>
                <w:rFonts w:hint="default"/>
                <w:b w:val="0"/>
                <w:bCs/>
                <w:color w:val="auto"/>
                <w:sz w:val="21"/>
                <w:szCs w:val="21"/>
                <w:highlight w:val="none"/>
              </w:rPr>
            </w:pPr>
          </w:p>
        </w:tc>
      </w:tr>
    </w:tbl>
    <w:p w14:paraId="51423C99">
      <w:pPr>
        <w:pStyle w:val="5"/>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工程土石方平衡</w:t>
      </w:r>
    </w:p>
    <w:p w14:paraId="32A0EC5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ascii="Times New Roman" w:hAnsi="Times New Roman" w:cs="Times New Roman"/>
          <w:b w:val="0"/>
          <w:bCs w:val="0"/>
          <w:color w:val="auto"/>
          <w:kern w:val="0"/>
          <w:sz w:val="24"/>
          <w:szCs w:val="24"/>
          <w:highlight w:val="none"/>
          <w:lang w:val="en-US" w:eastAsia="zh-CN"/>
        </w:rPr>
      </w:pPr>
      <w:r>
        <w:rPr>
          <w:rFonts w:hint="eastAsia" w:ascii="Times New Roman" w:hAnsi="Times New Roman" w:cs="Times New Roman"/>
          <w:b w:val="0"/>
          <w:bCs w:val="0"/>
          <w:color w:val="auto"/>
          <w:kern w:val="0"/>
          <w:sz w:val="24"/>
          <w:szCs w:val="24"/>
          <w:highlight w:val="none"/>
          <w:lang w:val="en-US" w:eastAsia="zh-CN"/>
        </w:rPr>
        <w:t>根据《祁东县南冲风电场（大马二期）工程水土保持方案报告书》，本工程土石方开挖总量118.84万m</w:t>
      </w:r>
      <w:r>
        <w:rPr>
          <w:rFonts w:hint="eastAsia" w:ascii="Times New Roman" w:hAnsi="Times New Roman" w:cs="Times New Roman"/>
          <w:b w:val="0"/>
          <w:bCs w:val="0"/>
          <w:color w:val="auto"/>
          <w:kern w:val="0"/>
          <w:sz w:val="24"/>
          <w:szCs w:val="24"/>
          <w:highlight w:val="none"/>
          <w:vertAlign w:val="superscript"/>
          <w:lang w:val="en-US" w:eastAsia="zh-CN"/>
        </w:rPr>
        <w:t>3</w:t>
      </w:r>
      <w:r>
        <w:rPr>
          <w:rFonts w:hint="eastAsia" w:ascii="Times New Roman" w:hAnsi="Times New Roman" w:cs="Times New Roman"/>
          <w:b w:val="0"/>
          <w:bCs w:val="0"/>
          <w:color w:val="auto"/>
          <w:kern w:val="0"/>
          <w:sz w:val="24"/>
          <w:szCs w:val="24"/>
          <w:highlight w:val="none"/>
          <w:lang w:val="en-US" w:eastAsia="zh-CN"/>
        </w:rPr>
        <w:t>(含表土剥离5.69万m</w:t>
      </w:r>
      <w:r>
        <w:rPr>
          <w:rFonts w:hint="eastAsia" w:ascii="Times New Roman" w:hAnsi="Times New Roman" w:cs="Times New Roman"/>
          <w:b w:val="0"/>
          <w:bCs w:val="0"/>
          <w:color w:val="auto"/>
          <w:kern w:val="0"/>
          <w:sz w:val="24"/>
          <w:szCs w:val="24"/>
          <w:highlight w:val="none"/>
          <w:vertAlign w:val="superscript"/>
          <w:lang w:val="en-US" w:eastAsia="zh-CN"/>
        </w:rPr>
        <w:t>3</w:t>
      </w:r>
      <w:r>
        <w:rPr>
          <w:rFonts w:hint="eastAsia" w:ascii="Times New Roman" w:hAnsi="Times New Roman" w:cs="Times New Roman"/>
          <w:b w:val="0"/>
          <w:bCs w:val="0"/>
          <w:color w:val="auto"/>
          <w:kern w:val="0"/>
          <w:sz w:val="24"/>
          <w:szCs w:val="24"/>
          <w:highlight w:val="none"/>
          <w:lang w:val="en-US" w:eastAsia="zh-CN"/>
        </w:rPr>
        <w:t>)，填方69.13万m</w:t>
      </w:r>
      <w:r>
        <w:rPr>
          <w:rFonts w:hint="eastAsia" w:ascii="Times New Roman" w:hAnsi="Times New Roman" w:cs="Times New Roman"/>
          <w:b w:val="0"/>
          <w:bCs w:val="0"/>
          <w:color w:val="auto"/>
          <w:kern w:val="0"/>
          <w:sz w:val="24"/>
          <w:szCs w:val="24"/>
          <w:highlight w:val="none"/>
          <w:vertAlign w:val="superscript"/>
          <w:lang w:val="en-US" w:eastAsia="zh-CN"/>
        </w:rPr>
        <w:t>3</w:t>
      </w:r>
      <w:r>
        <w:rPr>
          <w:rFonts w:hint="eastAsia" w:ascii="Times New Roman" w:hAnsi="Times New Roman" w:cs="Times New Roman"/>
          <w:b w:val="0"/>
          <w:bCs w:val="0"/>
          <w:color w:val="auto"/>
          <w:kern w:val="0"/>
          <w:sz w:val="24"/>
          <w:szCs w:val="24"/>
          <w:highlight w:val="none"/>
          <w:lang w:val="en-US" w:eastAsia="zh-CN"/>
        </w:rPr>
        <w:t>(含表土回填5.69万m</w:t>
      </w:r>
      <w:r>
        <w:rPr>
          <w:rFonts w:hint="eastAsia" w:ascii="Times New Roman" w:hAnsi="Times New Roman" w:cs="Times New Roman"/>
          <w:b w:val="0"/>
          <w:bCs w:val="0"/>
          <w:color w:val="auto"/>
          <w:kern w:val="0"/>
          <w:sz w:val="24"/>
          <w:szCs w:val="24"/>
          <w:highlight w:val="none"/>
          <w:vertAlign w:val="superscript"/>
          <w:lang w:val="en-US" w:eastAsia="zh-CN"/>
        </w:rPr>
        <w:t>3</w:t>
      </w:r>
      <w:r>
        <w:rPr>
          <w:rFonts w:hint="eastAsia" w:ascii="Times New Roman" w:hAnsi="Times New Roman" w:cs="Times New Roman"/>
          <w:b w:val="0"/>
          <w:bCs w:val="0"/>
          <w:color w:val="auto"/>
          <w:kern w:val="0"/>
          <w:sz w:val="24"/>
          <w:szCs w:val="24"/>
          <w:highlight w:val="none"/>
          <w:lang w:val="en-US" w:eastAsia="zh-CN"/>
        </w:rPr>
        <w:t>)，无借方，弃渣49.71万m</w:t>
      </w:r>
      <w:r>
        <w:rPr>
          <w:rFonts w:hint="eastAsia" w:ascii="Times New Roman" w:hAnsi="Times New Roman" w:cs="Times New Roman"/>
          <w:b w:val="0"/>
          <w:bCs w:val="0"/>
          <w:color w:val="auto"/>
          <w:kern w:val="0"/>
          <w:sz w:val="24"/>
          <w:szCs w:val="24"/>
          <w:highlight w:val="none"/>
          <w:vertAlign w:val="superscript"/>
          <w:lang w:val="en-US" w:eastAsia="zh-CN"/>
        </w:rPr>
        <w:t>3</w:t>
      </w:r>
      <w:r>
        <w:rPr>
          <w:rFonts w:hint="eastAsia" w:ascii="Times New Roman" w:hAnsi="Times New Roman" w:cs="Times New Roman"/>
          <w:b w:val="0"/>
          <w:bCs w:val="0"/>
          <w:color w:val="auto"/>
          <w:kern w:val="0"/>
          <w:sz w:val="24"/>
          <w:szCs w:val="24"/>
          <w:highlight w:val="none"/>
          <w:lang w:val="en-US" w:eastAsia="zh-CN"/>
        </w:rPr>
        <w:t>，设弃渣场12处。</w:t>
      </w:r>
    </w:p>
    <w:p w14:paraId="61AD67EC">
      <w:pPr>
        <w:bidi w:val="0"/>
        <w:rPr>
          <w:rFonts w:hint="eastAsia" w:ascii="Times New Roman" w:hAnsi="Times New Roman" w:cs="Times New Roman"/>
          <w:b w:val="0"/>
          <w:bCs w:val="0"/>
          <w:color w:val="auto"/>
          <w:kern w:val="0"/>
          <w:sz w:val="24"/>
          <w:szCs w:val="24"/>
          <w:highlight w:val="none"/>
          <w:lang w:val="en-US" w:eastAsia="zh-CN"/>
        </w:rPr>
      </w:pPr>
      <w:r>
        <w:rPr>
          <w:rFonts w:hint="eastAsia" w:ascii="Times New Roman" w:hAnsi="Times New Roman" w:cs="Times New Roman"/>
          <w:b w:val="0"/>
          <w:bCs w:val="0"/>
          <w:color w:val="auto"/>
          <w:kern w:val="0"/>
          <w:sz w:val="24"/>
          <w:szCs w:val="24"/>
          <w:highlight w:val="none"/>
          <w:lang w:val="en-US" w:eastAsia="zh-CN"/>
        </w:rPr>
        <w:t>本项目土石方平衡分析表详见下表</w:t>
      </w:r>
      <w:r>
        <w:rPr>
          <w:rFonts w:hint="eastAsia" w:cs="Times New Roman"/>
          <w:b w:val="0"/>
          <w:bCs w:val="0"/>
          <w:color w:val="auto"/>
          <w:kern w:val="0"/>
          <w:sz w:val="24"/>
          <w:szCs w:val="24"/>
          <w:highlight w:val="none"/>
          <w:lang w:val="en-US" w:eastAsia="zh-CN"/>
        </w:rPr>
        <w:t>4.4-7</w:t>
      </w:r>
      <w:r>
        <w:rPr>
          <w:rFonts w:hint="eastAsia" w:ascii="Times New Roman" w:hAnsi="Times New Roman" w:cs="Times New Roman"/>
          <w:b w:val="0"/>
          <w:bCs w:val="0"/>
          <w:color w:val="auto"/>
          <w:kern w:val="0"/>
          <w:sz w:val="24"/>
          <w:szCs w:val="24"/>
          <w:highlight w:val="none"/>
          <w:lang w:val="en-US" w:eastAsia="zh-CN"/>
        </w:rPr>
        <w:t>。</w:t>
      </w:r>
    </w:p>
    <w:p w14:paraId="2BA098C4">
      <w:pPr>
        <w:pStyle w:val="46"/>
        <w:bidi w:val="0"/>
        <w:rPr>
          <w:rFonts w:hint="default"/>
          <w:lang w:val="en-US" w:eastAsia="zh-CN"/>
        </w:rPr>
      </w:pPr>
      <w:r>
        <w:rPr>
          <w:rFonts w:hint="default"/>
          <w:lang w:eastAsia="zh-CN"/>
        </w:rPr>
        <w:t>表</w:t>
      </w:r>
      <w:r>
        <w:rPr>
          <w:rFonts w:hint="eastAsia"/>
          <w:lang w:val="en-US" w:eastAsia="zh-CN"/>
        </w:rPr>
        <w:t>4.4-7</w:t>
      </w:r>
      <w:r>
        <w:rPr>
          <w:rFonts w:hint="default"/>
          <w:lang w:val="en-US" w:eastAsia="zh-CN"/>
        </w:rPr>
        <w:t xml:space="preserve">  本项目土石方平衡分析表</w:t>
      </w:r>
    </w:p>
    <w:tbl>
      <w:tblPr>
        <w:tblStyle w:val="19"/>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266"/>
        <w:gridCol w:w="2861"/>
        <w:gridCol w:w="895"/>
        <w:gridCol w:w="1014"/>
        <w:gridCol w:w="763"/>
        <w:gridCol w:w="835"/>
        <w:gridCol w:w="1139"/>
        <w:gridCol w:w="885"/>
        <w:gridCol w:w="842"/>
        <w:gridCol w:w="789"/>
        <w:gridCol w:w="1062"/>
        <w:gridCol w:w="1823"/>
      </w:tblGrid>
      <w:tr w14:paraId="786B876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46" w:type="pct"/>
            <w:gridSpan w:val="2"/>
            <w:vMerge w:val="restart"/>
            <w:tcBorders>
              <w:tl2br w:val="nil"/>
              <w:tr2bl w:val="nil"/>
            </w:tcBorders>
            <w:noWrap/>
            <w:vAlign w:val="center"/>
          </w:tcPr>
          <w:p w14:paraId="2456484B">
            <w:pPr>
              <w:pStyle w:val="45"/>
              <w:bidi w:val="0"/>
              <w:rPr>
                <w:b w:val="0"/>
                <w:bCs/>
                <w:color w:val="auto"/>
                <w:highlight w:val="none"/>
              </w:rPr>
            </w:pPr>
            <w:r>
              <w:rPr>
                <w:rFonts w:hint="default"/>
                <w:b w:val="0"/>
                <w:bCs/>
                <w:color w:val="auto"/>
                <w:highlight w:val="none"/>
              </w:rPr>
              <w:t>项目</w:t>
            </w:r>
          </w:p>
        </w:tc>
        <w:tc>
          <w:tcPr>
            <w:tcW w:w="875" w:type="pct"/>
            <w:gridSpan w:val="3"/>
            <w:tcBorders>
              <w:tl2br w:val="nil"/>
              <w:tr2bl w:val="nil"/>
            </w:tcBorders>
            <w:noWrap/>
            <w:vAlign w:val="center"/>
          </w:tcPr>
          <w:p w14:paraId="669FF02B">
            <w:pPr>
              <w:pStyle w:val="45"/>
              <w:bidi w:val="0"/>
              <w:rPr>
                <w:rFonts w:hint="default"/>
                <w:b w:val="0"/>
                <w:bCs/>
                <w:color w:val="auto"/>
                <w:highlight w:val="none"/>
              </w:rPr>
            </w:pPr>
            <w:r>
              <w:rPr>
                <w:rFonts w:hint="default"/>
                <w:b w:val="0"/>
                <w:bCs/>
                <w:color w:val="auto"/>
                <w:highlight w:val="none"/>
              </w:rPr>
              <w:t>挖方</w:t>
            </w:r>
          </w:p>
        </w:tc>
        <w:tc>
          <w:tcPr>
            <w:tcW w:w="935" w:type="pct"/>
            <w:gridSpan w:val="3"/>
            <w:tcBorders>
              <w:tl2br w:val="nil"/>
              <w:tr2bl w:val="nil"/>
            </w:tcBorders>
            <w:noWrap/>
            <w:vAlign w:val="center"/>
          </w:tcPr>
          <w:p w14:paraId="71618DDB">
            <w:pPr>
              <w:pStyle w:val="45"/>
              <w:bidi w:val="0"/>
              <w:rPr>
                <w:rFonts w:hint="default"/>
                <w:b w:val="0"/>
                <w:bCs/>
                <w:color w:val="auto"/>
                <w:highlight w:val="none"/>
              </w:rPr>
            </w:pPr>
            <w:r>
              <w:rPr>
                <w:rFonts w:hint="default"/>
                <w:b w:val="0"/>
                <w:bCs/>
                <w:color w:val="auto"/>
                <w:highlight w:val="none"/>
              </w:rPr>
              <w:t>填方</w:t>
            </w:r>
          </w:p>
        </w:tc>
        <w:tc>
          <w:tcPr>
            <w:tcW w:w="535" w:type="pct"/>
            <w:gridSpan w:val="2"/>
            <w:tcBorders>
              <w:tl2br w:val="nil"/>
              <w:tr2bl w:val="nil"/>
            </w:tcBorders>
            <w:noWrap/>
            <w:vAlign w:val="center"/>
          </w:tcPr>
          <w:p w14:paraId="04BA12F3">
            <w:pPr>
              <w:pStyle w:val="45"/>
              <w:bidi w:val="0"/>
              <w:rPr>
                <w:rFonts w:hint="default"/>
                <w:b w:val="0"/>
                <w:bCs/>
                <w:color w:val="auto"/>
                <w:highlight w:val="none"/>
              </w:rPr>
            </w:pPr>
            <w:r>
              <w:rPr>
                <w:rFonts w:hint="default"/>
                <w:b w:val="0"/>
                <w:bCs/>
                <w:color w:val="auto"/>
                <w:highlight w:val="none"/>
              </w:rPr>
              <w:t>调运</w:t>
            </w:r>
          </w:p>
        </w:tc>
        <w:tc>
          <w:tcPr>
            <w:tcW w:w="346" w:type="pct"/>
            <w:vMerge w:val="restart"/>
            <w:tcBorders>
              <w:tl2br w:val="nil"/>
              <w:tr2bl w:val="nil"/>
            </w:tcBorders>
            <w:noWrap/>
            <w:vAlign w:val="center"/>
          </w:tcPr>
          <w:p w14:paraId="59070F58">
            <w:pPr>
              <w:pStyle w:val="45"/>
              <w:bidi w:val="0"/>
              <w:rPr>
                <w:rFonts w:hint="default"/>
                <w:b w:val="0"/>
                <w:bCs/>
                <w:color w:val="auto"/>
                <w:highlight w:val="none"/>
              </w:rPr>
            </w:pPr>
            <w:r>
              <w:rPr>
                <w:rFonts w:hint="default"/>
                <w:b w:val="0"/>
                <w:bCs/>
                <w:color w:val="auto"/>
                <w:highlight w:val="none"/>
              </w:rPr>
              <w:t>弃方</w:t>
            </w:r>
          </w:p>
        </w:tc>
        <w:tc>
          <w:tcPr>
            <w:tcW w:w="589" w:type="pct"/>
            <w:vMerge w:val="restart"/>
            <w:tcBorders>
              <w:tl2br w:val="nil"/>
              <w:tr2bl w:val="nil"/>
            </w:tcBorders>
            <w:noWrap/>
            <w:vAlign w:val="center"/>
          </w:tcPr>
          <w:p w14:paraId="048E78F4">
            <w:pPr>
              <w:pStyle w:val="45"/>
              <w:bidi w:val="0"/>
              <w:rPr>
                <w:rFonts w:hint="default"/>
                <w:b w:val="0"/>
                <w:bCs/>
                <w:color w:val="auto"/>
                <w:highlight w:val="none"/>
              </w:rPr>
            </w:pPr>
            <w:r>
              <w:rPr>
                <w:rFonts w:hint="default"/>
                <w:b w:val="0"/>
                <w:bCs/>
                <w:color w:val="auto"/>
                <w:highlight w:val="none"/>
              </w:rPr>
              <w:t>弃渣去向</w:t>
            </w:r>
          </w:p>
        </w:tc>
      </w:tr>
      <w:tr w14:paraId="5B86BA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46" w:type="pct"/>
            <w:gridSpan w:val="2"/>
            <w:vMerge w:val="continue"/>
            <w:tcBorders>
              <w:tl2br w:val="nil"/>
              <w:tr2bl w:val="nil"/>
            </w:tcBorders>
            <w:noWrap w:val="0"/>
            <w:vAlign w:val="center"/>
          </w:tcPr>
          <w:p w14:paraId="653D6406">
            <w:pPr>
              <w:pStyle w:val="45"/>
              <w:bidi w:val="0"/>
              <w:rPr>
                <w:b w:val="0"/>
                <w:bCs/>
                <w:color w:val="auto"/>
                <w:highlight w:val="none"/>
              </w:rPr>
            </w:pPr>
          </w:p>
        </w:tc>
        <w:tc>
          <w:tcPr>
            <w:tcW w:w="293" w:type="pct"/>
            <w:tcBorders>
              <w:tl2br w:val="nil"/>
              <w:tr2bl w:val="nil"/>
            </w:tcBorders>
            <w:noWrap/>
            <w:vAlign w:val="center"/>
          </w:tcPr>
          <w:p w14:paraId="07914CD2">
            <w:pPr>
              <w:pStyle w:val="45"/>
              <w:bidi w:val="0"/>
              <w:rPr>
                <w:b w:val="0"/>
                <w:bCs/>
                <w:color w:val="auto"/>
                <w:highlight w:val="none"/>
              </w:rPr>
            </w:pPr>
            <w:r>
              <w:rPr>
                <w:rFonts w:hint="default"/>
                <w:b w:val="0"/>
                <w:bCs/>
                <w:color w:val="auto"/>
                <w:highlight w:val="none"/>
              </w:rPr>
              <w:t>总量</w:t>
            </w:r>
          </w:p>
        </w:tc>
        <w:tc>
          <w:tcPr>
            <w:tcW w:w="331" w:type="pct"/>
            <w:tcBorders>
              <w:tl2br w:val="nil"/>
              <w:tr2bl w:val="nil"/>
            </w:tcBorders>
            <w:noWrap/>
            <w:vAlign w:val="center"/>
          </w:tcPr>
          <w:p w14:paraId="13754F22">
            <w:pPr>
              <w:pStyle w:val="45"/>
              <w:bidi w:val="0"/>
              <w:rPr>
                <w:rFonts w:hint="default"/>
                <w:b w:val="0"/>
                <w:bCs/>
                <w:color w:val="auto"/>
                <w:highlight w:val="none"/>
              </w:rPr>
            </w:pPr>
            <w:r>
              <w:rPr>
                <w:rFonts w:hint="default"/>
                <w:b w:val="0"/>
                <w:bCs/>
                <w:color w:val="auto"/>
                <w:highlight w:val="none"/>
              </w:rPr>
              <w:t>土石方</w:t>
            </w:r>
          </w:p>
        </w:tc>
        <w:tc>
          <w:tcPr>
            <w:tcW w:w="250" w:type="pct"/>
            <w:tcBorders>
              <w:tl2br w:val="nil"/>
              <w:tr2bl w:val="nil"/>
            </w:tcBorders>
            <w:noWrap/>
            <w:vAlign w:val="center"/>
          </w:tcPr>
          <w:p w14:paraId="678999C7">
            <w:pPr>
              <w:pStyle w:val="45"/>
              <w:bidi w:val="0"/>
              <w:rPr>
                <w:rFonts w:hint="default"/>
                <w:b w:val="0"/>
                <w:bCs/>
                <w:color w:val="auto"/>
                <w:highlight w:val="none"/>
              </w:rPr>
            </w:pPr>
            <w:r>
              <w:rPr>
                <w:rFonts w:hint="default"/>
                <w:b w:val="0"/>
                <w:bCs/>
                <w:color w:val="auto"/>
                <w:highlight w:val="none"/>
              </w:rPr>
              <w:t>表土</w:t>
            </w:r>
          </w:p>
        </w:tc>
        <w:tc>
          <w:tcPr>
            <w:tcW w:w="274" w:type="pct"/>
            <w:tcBorders>
              <w:tl2br w:val="nil"/>
              <w:tr2bl w:val="nil"/>
            </w:tcBorders>
            <w:noWrap/>
            <w:vAlign w:val="center"/>
          </w:tcPr>
          <w:p w14:paraId="67869F28">
            <w:pPr>
              <w:pStyle w:val="45"/>
              <w:bidi w:val="0"/>
              <w:rPr>
                <w:rFonts w:hint="default"/>
                <w:b w:val="0"/>
                <w:bCs/>
                <w:color w:val="auto"/>
                <w:highlight w:val="none"/>
              </w:rPr>
            </w:pPr>
            <w:r>
              <w:rPr>
                <w:rFonts w:hint="default"/>
                <w:b w:val="0"/>
                <w:bCs/>
                <w:color w:val="auto"/>
                <w:highlight w:val="none"/>
              </w:rPr>
              <w:t>总量</w:t>
            </w:r>
          </w:p>
        </w:tc>
        <w:tc>
          <w:tcPr>
            <w:tcW w:w="371" w:type="pct"/>
            <w:tcBorders>
              <w:tl2br w:val="nil"/>
              <w:tr2bl w:val="nil"/>
            </w:tcBorders>
            <w:noWrap/>
            <w:vAlign w:val="center"/>
          </w:tcPr>
          <w:p w14:paraId="676620C3">
            <w:pPr>
              <w:pStyle w:val="45"/>
              <w:bidi w:val="0"/>
              <w:rPr>
                <w:rFonts w:hint="default"/>
                <w:b w:val="0"/>
                <w:bCs/>
                <w:color w:val="auto"/>
                <w:highlight w:val="none"/>
              </w:rPr>
            </w:pPr>
            <w:r>
              <w:rPr>
                <w:rFonts w:hint="default"/>
                <w:b w:val="0"/>
                <w:bCs/>
                <w:color w:val="auto"/>
                <w:highlight w:val="none"/>
              </w:rPr>
              <w:t>土石方</w:t>
            </w:r>
          </w:p>
        </w:tc>
        <w:tc>
          <w:tcPr>
            <w:tcW w:w="289" w:type="pct"/>
            <w:tcBorders>
              <w:tl2br w:val="nil"/>
              <w:tr2bl w:val="nil"/>
            </w:tcBorders>
            <w:noWrap/>
            <w:vAlign w:val="center"/>
          </w:tcPr>
          <w:p w14:paraId="6C73AC65">
            <w:pPr>
              <w:pStyle w:val="45"/>
              <w:bidi w:val="0"/>
              <w:rPr>
                <w:rFonts w:hint="default"/>
                <w:b w:val="0"/>
                <w:bCs/>
                <w:color w:val="auto"/>
                <w:highlight w:val="none"/>
              </w:rPr>
            </w:pPr>
            <w:r>
              <w:rPr>
                <w:rFonts w:hint="default"/>
                <w:b w:val="0"/>
                <w:bCs/>
                <w:color w:val="auto"/>
                <w:highlight w:val="none"/>
              </w:rPr>
              <w:t>表土</w:t>
            </w:r>
          </w:p>
        </w:tc>
        <w:tc>
          <w:tcPr>
            <w:tcW w:w="276" w:type="pct"/>
            <w:tcBorders>
              <w:tl2br w:val="nil"/>
              <w:tr2bl w:val="nil"/>
            </w:tcBorders>
            <w:noWrap/>
            <w:vAlign w:val="center"/>
          </w:tcPr>
          <w:p w14:paraId="43C845E6">
            <w:pPr>
              <w:pStyle w:val="45"/>
              <w:bidi w:val="0"/>
              <w:rPr>
                <w:rFonts w:hint="default"/>
                <w:b w:val="0"/>
                <w:bCs/>
                <w:color w:val="auto"/>
                <w:highlight w:val="none"/>
              </w:rPr>
            </w:pPr>
            <w:r>
              <w:rPr>
                <w:rFonts w:hint="default"/>
                <w:b w:val="0"/>
                <w:bCs/>
                <w:color w:val="auto"/>
                <w:highlight w:val="none"/>
              </w:rPr>
              <w:t>调出</w:t>
            </w:r>
          </w:p>
        </w:tc>
        <w:tc>
          <w:tcPr>
            <w:tcW w:w="259" w:type="pct"/>
            <w:tcBorders>
              <w:tl2br w:val="nil"/>
              <w:tr2bl w:val="nil"/>
            </w:tcBorders>
            <w:noWrap/>
            <w:vAlign w:val="center"/>
          </w:tcPr>
          <w:p w14:paraId="1FA7DC59">
            <w:pPr>
              <w:pStyle w:val="45"/>
              <w:bidi w:val="0"/>
              <w:rPr>
                <w:rFonts w:hint="default"/>
                <w:b w:val="0"/>
                <w:bCs/>
                <w:color w:val="auto"/>
                <w:highlight w:val="none"/>
              </w:rPr>
            </w:pPr>
            <w:r>
              <w:rPr>
                <w:rFonts w:hint="default"/>
                <w:b w:val="0"/>
                <w:bCs/>
                <w:color w:val="auto"/>
                <w:highlight w:val="none"/>
              </w:rPr>
              <w:t>调入</w:t>
            </w:r>
          </w:p>
        </w:tc>
        <w:tc>
          <w:tcPr>
            <w:tcW w:w="346" w:type="pct"/>
            <w:vMerge w:val="continue"/>
            <w:tcBorders>
              <w:tl2br w:val="nil"/>
              <w:tr2bl w:val="nil"/>
            </w:tcBorders>
            <w:noWrap w:val="0"/>
            <w:vAlign w:val="center"/>
          </w:tcPr>
          <w:p w14:paraId="1F960DDC">
            <w:pPr>
              <w:pStyle w:val="45"/>
              <w:bidi w:val="0"/>
              <w:rPr>
                <w:b w:val="0"/>
                <w:bCs/>
                <w:color w:val="auto"/>
                <w:highlight w:val="none"/>
              </w:rPr>
            </w:pPr>
          </w:p>
        </w:tc>
        <w:tc>
          <w:tcPr>
            <w:tcW w:w="589" w:type="pct"/>
            <w:vMerge w:val="continue"/>
            <w:tcBorders>
              <w:tl2br w:val="nil"/>
              <w:tr2bl w:val="nil"/>
            </w:tcBorders>
            <w:noWrap w:val="0"/>
            <w:vAlign w:val="center"/>
          </w:tcPr>
          <w:p w14:paraId="1BE859F2">
            <w:pPr>
              <w:pStyle w:val="45"/>
              <w:bidi w:val="0"/>
              <w:rPr>
                <w:b w:val="0"/>
                <w:bCs/>
                <w:color w:val="auto"/>
                <w:highlight w:val="none"/>
              </w:rPr>
            </w:pPr>
          </w:p>
        </w:tc>
      </w:tr>
      <w:tr w14:paraId="586F22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restart"/>
            <w:tcBorders>
              <w:tl2br w:val="nil"/>
              <w:tr2bl w:val="nil"/>
            </w:tcBorders>
            <w:noWrap/>
            <w:vAlign w:val="center"/>
          </w:tcPr>
          <w:p w14:paraId="5E6DC9DD">
            <w:pPr>
              <w:pStyle w:val="45"/>
              <w:bidi w:val="0"/>
              <w:rPr>
                <w:rFonts w:hint="default"/>
                <w:b w:val="0"/>
                <w:bCs/>
                <w:color w:val="auto"/>
                <w:highlight w:val="none"/>
              </w:rPr>
            </w:pPr>
            <w:r>
              <w:rPr>
                <w:rFonts w:hint="default"/>
                <w:b w:val="0"/>
                <w:bCs/>
                <w:color w:val="auto"/>
                <w:highlight w:val="none"/>
              </w:rPr>
              <w:t>风电机组区</w:t>
            </w:r>
          </w:p>
        </w:tc>
        <w:tc>
          <w:tcPr>
            <w:tcW w:w="921" w:type="pct"/>
            <w:tcBorders>
              <w:tl2br w:val="nil"/>
              <w:tr2bl w:val="nil"/>
            </w:tcBorders>
            <w:noWrap/>
            <w:vAlign w:val="center"/>
          </w:tcPr>
          <w:p w14:paraId="2842DAE1">
            <w:pPr>
              <w:pStyle w:val="45"/>
              <w:bidi w:val="0"/>
              <w:rPr>
                <w:rFonts w:hint="default"/>
                <w:b w:val="0"/>
                <w:bCs/>
                <w:color w:val="auto"/>
                <w:highlight w:val="none"/>
              </w:rPr>
            </w:pPr>
            <w:r>
              <w:rPr>
                <w:b w:val="0"/>
                <w:bCs/>
                <w:color w:val="auto"/>
                <w:highlight w:val="none"/>
              </w:rPr>
              <w:t>1#</w:t>
            </w:r>
            <w:r>
              <w:rPr>
                <w:rFonts w:hint="default"/>
                <w:b w:val="0"/>
                <w:bCs/>
                <w:color w:val="auto"/>
                <w:highlight w:val="none"/>
              </w:rPr>
              <w:t>风机安装场地</w:t>
            </w:r>
          </w:p>
        </w:tc>
        <w:tc>
          <w:tcPr>
            <w:tcW w:w="293" w:type="pct"/>
            <w:tcBorders>
              <w:tl2br w:val="nil"/>
              <w:tr2bl w:val="nil"/>
            </w:tcBorders>
            <w:noWrap/>
            <w:vAlign w:val="center"/>
          </w:tcPr>
          <w:p w14:paraId="7C51A11D">
            <w:pPr>
              <w:pStyle w:val="45"/>
              <w:bidi w:val="0"/>
              <w:rPr>
                <w:b w:val="0"/>
                <w:bCs/>
                <w:color w:val="auto"/>
                <w:highlight w:val="none"/>
              </w:rPr>
            </w:pPr>
            <w:r>
              <w:rPr>
                <w:rFonts w:hint="default"/>
                <w:b w:val="0"/>
                <w:bCs/>
                <w:color w:val="auto"/>
                <w:highlight w:val="none"/>
                <w:lang w:val="en-US" w:eastAsia="zh-CN"/>
              </w:rPr>
              <w:t xml:space="preserve">1.62 </w:t>
            </w:r>
          </w:p>
        </w:tc>
        <w:tc>
          <w:tcPr>
            <w:tcW w:w="331" w:type="pct"/>
            <w:tcBorders>
              <w:tl2br w:val="nil"/>
              <w:tr2bl w:val="nil"/>
            </w:tcBorders>
            <w:noWrap/>
            <w:vAlign w:val="center"/>
          </w:tcPr>
          <w:p w14:paraId="695A9B88">
            <w:pPr>
              <w:pStyle w:val="45"/>
              <w:bidi w:val="0"/>
              <w:rPr>
                <w:b w:val="0"/>
                <w:bCs/>
                <w:color w:val="auto"/>
                <w:highlight w:val="none"/>
              </w:rPr>
            </w:pPr>
            <w:r>
              <w:rPr>
                <w:rFonts w:hint="default"/>
                <w:b w:val="0"/>
                <w:bCs/>
                <w:color w:val="auto"/>
                <w:highlight w:val="none"/>
                <w:lang w:val="en-US" w:eastAsia="zh-CN"/>
              </w:rPr>
              <w:t xml:space="preserve">1.59 </w:t>
            </w:r>
          </w:p>
        </w:tc>
        <w:tc>
          <w:tcPr>
            <w:tcW w:w="250" w:type="pct"/>
            <w:tcBorders>
              <w:tl2br w:val="nil"/>
              <w:tr2bl w:val="nil"/>
            </w:tcBorders>
            <w:noWrap/>
            <w:vAlign w:val="center"/>
          </w:tcPr>
          <w:p w14:paraId="6ADB30EF">
            <w:pPr>
              <w:pStyle w:val="45"/>
              <w:bidi w:val="0"/>
              <w:rPr>
                <w:b w:val="0"/>
                <w:bCs/>
                <w:color w:val="auto"/>
                <w:highlight w:val="none"/>
              </w:rPr>
            </w:pPr>
            <w:r>
              <w:rPr>
                <w:rFonts w:hint="default"/>
                <w:b w:val="0"/>
                <w:bCs/>
                <w:color w:val="auto"/>
                <w:highlight w:val="none"/>
                <w:lang w:val="en-US" w:eastAsia="zh-CN"/>
              </w:rPr>
              <w:t xml:space="preserve">0.03 </w:t>
            </w:r>
          </w:p>
        </w:tc>
        <w:tc>
          <w:tcPr>
            <w:tcW w:w="274" w:type="pct"/>
            <w:tcBorders>
              <w:tl2br w:val="nil"/>
              <w:tr2bl w:val="nil"/>
            </w:tcBorders>
            <w:noWrap/>
            <w:vAlign w:val="center"/>
          </w:tcPr>
          <w:p w14:paraId="20B005C6">
            <w:pPr>
              <w:pStyle w:val="45"/>
              <w:bidi w:val="0"/>
              <w:rPr>
                <w:b w:val="0"/>
                <w:bCs/>
                <w:color w:val="auto"/>
                <w:highlight w:val="none"/>
              </w:rPr>
            </w:pPr>
            <w:r>
              <w:rPr>
                <w:rFonts w:hint="default"/>
                <w:b w:val="0"/>
                <w:bCs/>
                <w:color w:val="auto"/>
                <w:highlight w:val="none"/>
                <w:lang w:val="en-US" w:eastAsia="zh-CN"/>
              </w:rPr>
              <w:t xml:space="preserve">0.85 </w:t>
            </w:r>
          </w:p>
        </w:tc>
        <w:tc>
          <w:tcPr>
            <w:tcW w:w="371" w:type="pct"/>
            <w:tcBorders>
              <w:tl2br w:val="nil"/>
              <w:tr2bl w:val="nil"/>
            </w:tcBorders>
            <w:noWrap/>
            <w:vAlign w:val="center"/>
          </w:tcPr>
          <w:p w14:paraId="29AB7DA3">
            <w:pPr>
              <w:pStyle w:val="45"/>
              <w:bidi w:val="0"/>
              <w:rPr>
                <w:b w:val="0"/>
                <w:bCs/>
                <w:color w:val="auto"/>
                <w:highlight w:val="none"/>
              </w:rPr>
            </w:pPr>
            <w:r>
              <w:rPr>
                <w:rFonts w:hint="default"/>
                <w:b w:val="0"/>
                <w:bCs/>
                <w:color w:val="auto"/>
                <w:highlight w:val="none"/>
                <w:lang w:val="en-US" w:eastAsia="zh-CN"/>
              </w:rPr>
              <w:t xml:space="preserve">0.82 </w:t>
            </w:r>
          </w:p>
        </w:tc>
        <w:tc>
          <w:tcPr>
            <w:tcW w:w="289" w:type="pct"/>
            <w:tcBorders>
              <w:tl2br w:val="nil"/>
              <w:tr2bl w:val="nil"/>
            </w:tcBorders>
            <w:noWrap/>
            <w:vAlign w:val="center"/>
          </w:tcPr>
          <w:p w14:paraId="244693D8">
            <w:pPr>
              <w:pStyle w:val="45"/>
              <w:bidi w:val="0"/>
              <w:rPr>
                <w:b w:val="0"/>
                <w:bCs/>
                <w:color w:val="auto"/>
                <w:highlight w:val="none"/>
              </w:rPr>
            </w:pPr>
            <w:r>
              <w:rPr>
                <w:rFonts w:hint="default"/>
                <w:b w:val="0"/>
                <w:bCs/>
                <w:color w:val="auto"/>
                <w:highlight w:val="none"/>
                <w:lang w:val="en-US" w:eastAsia="zh-CN"/>
              </w:rPr>
              <w:t xml:space="preserve">0.03 </w:t>
            </w:r>
          </w:p>
        </w:tc>
        <w:tc>
          <w:tcPr>
            <w:tcW w:w="276" w:type="pct"/>
            <w:tcBorders>
              <w:tl2br w:val="nil"/>
              <w:tr2bl w:val="nil"/>
            </w:tcBorders>
            <w:noWrap/>
            <w:vAlign w:val="center"/>
          </w:tcPr>
          <w:p w14:paraId="0DF359EE">
            <w:pPr>
              <w:pStyle w:val="45"/>
              <w:bidi w:val="0"/>
              <w:rPr>
                <w:b w:val="0"/>
                <w:bCs/>
                <w:color w:val="auto"/>
                <w:highlight w:val="none"/>
              </w:rPr>
            </w:pPr>
          </w:p>
        </w:tc>
        <w:tc>
          <w:tcPr>
            <w:tcW w:w="259" w:type="pct"/>
            <w:tcBorders>
              <w:tl2br w:val="nil"/>
              <w:tr2bl w:val="nil"/>
            </w:tcBorders>
            <w:noWrap/>
            <w:vAlign w:val="center"/>
          </w:tcPr>
          <w:p w14:paraId="7A9D21F9">
            <w:pPr>
              <w:pStyle w:val="45"/>
              <w:bidi w:val="0"/>
              <w:rPr>
                <w:b w:val="0"/>
                <w:bCs/>
                <w:color w:val="auto"/>
                <w:highlight w:val="none"/>
              </w:rPr>
            </w:pPr>
          </w:p>
        </w:tc>
        <w:tc>
          <w:tcPr>
            <w:tcW w:w="346" w:type="pct"/>
            <w:tcBorders>
              <w:tl2br w:val="nil"/>
              <w:tr2bl w:val="nil"/>
            </w:tcBorders>
            <w:noWrap/>
            <w:vAlign w:val="center"/>
          </w:tcPr>
          <w:p w14:paraId="664F812D">
            <w:pPr>
              <w:pStyle w:val="45"/>
              <w:bidi w:val="0"/>
              <w:rPr>
                <w:b w:val="0"/>
                <w:bCs/>
                <w:color w:val="auto"/>
                <w:highlight w:val="none"/>
              </w:rPr>
            </w:pPr>
            <w:r>
              <w:rPr>
                <w:rFonts w:hint="default"/>
                <w:b w:val="0"/>
                <w:bCs/>
                <w:color w:val="auto"/>
                <w:highlight w:val="none"/>
                <w:lang w:val="en-US" w:eastAsia="zh-CN"/>
              </w:rPr>
              <w:t xml:space="preserve">0.77 </w:t>
            </w:r>
          </w:p>
        </w:tc>
        <w:tc>
          <w:tcPr>
            <w:tcW w:w="589" w:type="pct"/>
            <w:tcBorders>
              <w:tl2br w:val="nil"/>
              <w:tr2bl w:val="nil"/>
            </w:tcBorders>
            <w:noWrap/>
            <w:vAlign w:val="center"/>
          </w:tcPr>
          <w:p w14:paraId="74F477A1">
            <w:pPr>
              <w:pStyle w:val="45"/>
              <w:bidi w:val="0"/>
              <w:rPr>
                <w:b w:val="0"/>
                <w:bCs/>
                <w:color w:val="auto"/>
                <w:highlight w:val="none"/>
              </w:rPr>
            </w:pPr>
            <w:r>
              <w:rPr>
                <w:rFonts w:hint="default"/>
                <w:b w:val="0"/>
                <w:bCs/>
                <w:color w:val="auto"/>
                <w:highlight w:val="none"/>
                <w:lang w:val="en-US" w:eastAsia="zh-CN"/>
              </w:rPr>
              <w:t>Z1</w:t>
            </w:r>
          </w:p>
        </w:tc>
      </w:tr>
      <w:tr w14:paraId="2849F86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4042A6C2">
            <w:pPr>
              <w:pStyle w:val="45"/>
              <w:bidi w:val="0"/>
              <w:rPr>
                <w:b w:val="0"/>
                <w:bCs/>
                <w:color w:val="auto"/>
                <w:highlight w:val="none"/>
              </w:rPr>
            </w:pPr>
          </w:p>
        </w:tc>
        <w:tc>
          <w:tcPr>
            <w:tcW w:w="921" w:type="pct"/>
            <w:tcBorders>
              <w:tl2br w:val="nil"/>
              <w:tr2bl w:val="nil"/>
            </w:tcBorders>
            <w:noWrap/>
            <w:vAlign w:val="center"/>
          </w:tcPr>
          <w:p w14:paraId="01A9EA95">
            <w:pPr>
              <w:pStyle w:val="45"/>
              <w:bidi w:val="0"/>
              <w:rPr>
                <w:b w:val="0"/>
                <w:bCs/>
                <w:color w:val="auto"/>
                <w:highlight w:val="none"/>
              </w:rPr>
            </w:pPr>
            <w:r>
              <w:rPr>
                <w:b w:val="0"/>
                <w:bCs/>
                <w:color w:val="auto"/>
                <w:highlight w:val="none"/>
              </w:rPr>
              <w:t>2#</w:t>
            </w:r>
            <w:r>
              <w:rPr>
                <w:rFonts w:hint="default"/>
                <w:b w:val="0"/>
                <w:bCs/>
                <w:color w:val="auto"/>
                <w:highlight w:val="none"/>
              </w:rPr>
              <w:t>风机安装场地</w:t>
            </w:r>
          </w:p>
        </w:tc>
        <w:tc>
          <w:tcPr>
            <w:tcW w:w="293" w:type="pct"/>
            <w:tcBorders>
              <w:tl2br w:val="nil"/>
              <w:tr2bl w:val="nil"/>
            </w:tcBorders>
            <w:noWrap/>
            <w:vAlign w:val="center"/>
          </w:tcPr>
          <w:p w14:paraId="7D40D151">
            <w:pPr>
              <w:pStyle w:val="45"/>
              <w:bidi w:val="0"/>
              <w:rPr>
                <w:b w:val="0"/>
                <w:bCs/>
                <w:color w:val="auto"/>
                <w:highlight w:val="none"/>
              </w:rPr>
            </w:pPr>
            <w:r>
              <w:rPr>
                <w:rFonts w:hint="default"/>
                <w:b w:val="0"/>
                <w:bCs/>
                <w:color w:val="auto"/>
                <w:highlight w:val="none"/>
                <w:lang w:val="en-US" w:eastAsia="zh-CN"/>
              </w:rPr>
              <w:t xml:space="preserve">1.52 </w:t>
            </w:r>
          </w:p>
        </w:tc>
        <w:tc>
          <w:tcPr>
            <w:tcW w:w="331" w:type="pct"/>
            <w:tcBorders>
              <w:tl2br w:val="nil"/>
              <w:tr2bl w:val="nil"/>
            </w:tcBorders>
            <w:noWrap/>
            <w:vAlign w:val="center"/>
          </w:tcPr>
          <w:p w14:paraId="5EF94347">
            <w:pPr>
              <w:pStyle w:val="45"/>
              <w:bidi w:val="0"/>
              <w:rPr>
                <w:b w:val="0"/>
                <w:bCs/>
                <w:color w:val="auto"/>
                <w:highlight w:val="none"/>
              </w:rPr>
            </w:pPr>
            <w:r>
              <w:rPr>
                <w:rFonts w:hint="default"/>
                <w:b w:val="0"/>
                <w:bCs/>
                <w:color w:val="auto"/>
                <w:highlight w:val="none"/>
                <w:lang w:val="en-US" w:eastAsia="zh-CN"/>
              </w:rPr>
              <w:t xml:space="preserve">1.49 </w:t>
            </w:r>
          </w:p>
        </w:tc>
        <w:tc>
          <w:tcPr>
            <w:tcW w:w="250" w:type="pct"/>
            <w:tcBorders>
              <w:tl2br w:val="nil"/>
              <w:tr2bl w:val="nil"/>
            </w:tcBorders>
            <w:noWrap/>
            <w:vAlign w:val="center"/>
          </w:tcPr>
          <w:p w14:paraId="3BAE8615">
            <w:pPr>
              <w:pStyle w:val="45"/>
              <w:bidi w:val="0"/>
              <w:rPr>
                <w:b w:val="0"/>
                <w:bCs/>
                <w:color w:val="auto"/>
                <w:highlight w:val="none"/>
              </w:rPr>
            </w:pPr>
            <w:r>
              <w:rPr>
                <w:rFonts w:hint="default"/>
                <w:b w:val="0"/>
                <w:bCs/>
                <w:color w:val="auto"/>
                <w:highlight w:val="none"/>
                <w:lang w:val="en-US" w:eastAsia="zh-CN"/>
              </w:rPr>
              <w:t xml:space="preserve">0.03 </w:t>
            </w:r>
          </w:p>
        </w:tc>
        <w:tc>
          <w:tcPr>
            <w:tcW w:w="274" w:type="pct"/>
            <w:tcBorders>
              <w:tl2br w:val="nil"/>
              <w:tr2bl w:val="nil"/>
            </w:tcBorders>
            <w:noWrap/>
            <w:vAlign w:val="center"/>
          </w:tcPr>
          <w:p w14:paraId="46D887FA">
            <w:pPr>
              <w:pStyle w:val="45"/>
              <w:bidi w:val="0"/>
              <w:rPr>
                <w:b w:val="0"/>
                <w:bCs/>
                <w:color w:val="auto"/>
                <w:highlight w:val="none"/>
              </w:rPr>
            </w:pPr>
            <w:r>
              <w:rPr>
                <w:rFonts w:hint="default"/>
                <w:b w:val="0"/>
                <w:bCs/>
                <w:color w:val="auto"/>
                <w:highlight w:val="none"/>
                <w:lang w:val="en-US" w:eastAsia="zh-CN"/>
              </w:rPr>
              <w:t xml:space="preserve">0.80 </w:t>
            </w:r>
          </w:p>
        </w:tc>
        <w:tc>
          <w:tcPr>
            <w:tcW w:w="371" w:type="pct"/>
            <w:tcBorders>
              <w:tl2br w:val="nil"/>
              <w:tr2bl w:val="nil"/>
            </w:tcBorders>
            <w:noWrap/>
            <w:vAlign w:val="center"/>
          </w:tcPr>
          <w:p w14:paraId="6FCE0061">
            <w:pPr>
              <w:pStyle w:val="45"/>
              <w:bidi w:val="0"/>
              <w:rPr>
                <w:b w:val="0"/>
                <w:bCs/>
                <w:color w:val="auto"/>
                <w:highlight w:val="none"/>
              </w:rPr>
            </w:pPr>
            <w:r>
              <w:rPr>
                <w:rFonts w:hint="default"/>
                <w:b w:val="0"/>
                <w:bCs/>
                <w:color w:val="auto"/>
                <w:highlight w:val="none"/>
                <w:lang w:val="en-US" w:eastAsia="zh-CN"/>
              </w:rPr>
              <w:t xml:space="preserve">0.77 </w:t>
            </w:r>
          </w:p>
        </w:tc>
        <w:tc>
          <w:tcPr>
            <w:tcW w:w="289" w:type="pct"/>
            <w:tcBorders>
              <w:tl2br w:val="nil"/>
              <w:tr2bl w:val="nil"/>
            </w:tcBorders>
            <w:noWrap/>
            <w:vAlign w:val="center"/>
          </w:tcPr>
          <w:p w14:paraId="36307562">
            <w:pPr>
              <w:pStyle w:val="45"/>
              <w:bidi w:val="0"/>
              <w:rPr>
                <w:b w:val="0"/>
                <w:bCs/>
                <w:color w:val="auto"/>
                <w:highlight w:val="none"/>
              </w:rPr>
            </w:pPr>
            <w:r>
              <w:rPr>
                <w:rFonts w:hint="default"/>
                <w:b w:val="0"/>
                <w:bCs/>
                <w:color w:val="auto"/>
                <w:highlight w:val="none"/>
                <w:lang w:val="en-US" w:eastAsia="zh-CN"/>
              </w:rPr>
              <w:t xml:space="preserve">0.03 </w:t>
            </w:r>
          </w:p>
        </w:tc>
        <w:tc>
          <w:tcPr>
            <w:tcW w:w="276" w:type="pct"/>
            <w:tcBorders>
              <w:tl2br w:val="nil"/>
              <w:tr2bl w:val="nil"/>
            </w:tcBorders>
            <w:noWrap/>
            <w:vAlign w:val="center"/>
          </w:tcPr>
          <w:p w14:paraId="37F46232">
            <w:pPr>
              <w:pStyle w:val="45"/>
              <w:bidi w:val="0"/>
              <w:rPr>
                <w:b w:val="0"/>
                <w:bCs/>
                <w:color w:val="auto"/>
                <w:highlight w:val="none"/>
              </w:rPr>
            </w:pPr>
          </w:p>
        </w:tc>
        <w:tc>
          <w:tcPr>
            <w:tcW w:w="259" w:type="pct"/>
            <w:tcBorders>
              <w:tl2br w:val="nil"/>
              <w:tr2bl w:val="nil"/>
            </w:tcBorders>
            <w:noWrap/>
            <w:vAlign w:val="center"/>
          </w:tcPr>
          <w:p w14:paraId="432E4687">
            <w:pPr>
              <w:pStyle w:val="45"/>
              <w:bidi w:val="0"/>
              <w:rPr>
                <w:b w:val="0"/>
                <w:bCs/>
                <w:color w:val="auto"/>
                <w:highlight w:val="none"/>
              </w:rPr>
            </w:pPr>
          </w:p>
        </w:tc>
        <w:tc>
          <w:tcPr>
            <w:tcW w:w="346" w:type="pct"/>
            <w:tcBorders>
              <w:tl2br w:val="nil"/>
              <w:tr2bl w:val="nil"/>
            </w:tcBorders>
            <w:noWrap/>
            <w:vAlign w:val="center"/>
          </w:tcPr>
          <w:p w14:paraId="0A8AE127">
            <w:pPr>
              <w:pStyle w:val="45"/>
              <w:bidi w:val="0"/>
              <w:rPr>
                <w:b w:val="0"/>
                <w:bCs/>
                <w:color w:val="auto"/>
                <w:highlight w:val="none"/>
              </w:rPr>
            </w:pPr>
            <w:r>
              <w:rPr>
                <w:rFonts w:hint="default"/>
                <w:b w:val="0"/>
                <w:bCs/>
                <w:color w:val="auto"/>
                <w:highlight w:val="none"/>
                <w:lang w:val="en-US" w:eastAsia="zh-CN"/>
              </w:rPr>
              <w:t xml:space="preserve">0.72 </w:t>
            </w:r>
          </w:p>
        </w:tc>
        <w:tc>
          <w:tcPr>
            <w:tcW w:w="589" w:type="pct"/>
            <w:tcBorders>
              <w:tl2br w:val="nil"/>
              <w:tr2bl w:val="nil"/>
            </w:tcBorders>
            <w:noWrap/>
            <w:vAlign w:val="center"/>
          </w:tcPr>
          <w:p w14:paraId="75B0B497">
            <w:pPr>
              <w:pStyle w:val="45"/>
              <w:bidi w:val="0"/>
              <w:rPr>
                <w:b w:val="0"/>
                <w:bCs/>
                <w:color w:val="auto"/>
                <w:highlight w:val="none"/>
              </w:rPr>
            </w:pPr>
            <w:r>
              <w:rPr>
                <w:rFonts w:hint="default"/>
                <w:b w:val="0"/>
                <w:bCs/>
                <w:color w:val="auto"/>
                <w:highlight w:val="none"/>
                <w:lang w:val="en-US" w:eastAsia="zh-CN"/>
              </w:rPr>
              <w:t>Z2</w:t>
            </w:r>
          </w:p>
        </w:tc>
      </w:tr>
      <w:tr w14:paraId="33D56A7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4B1F49BE">
            <w:pPr>
              <w:pStyle w:val="45"/>
              <w:bidi w:val="0"/>
              <w:rPr>
                <w:b w:val="0"/>
                <w:bCs/>
                <w:color w:val="auto"/>
                <w:highlight w:val="none"/>
              </w:rPr>
            </w:pPr>
          </w:p>
        </w:tc>
        <w:tc>
          <w:tcPr>
            <w:tcW w:w="921" w:type="pct"/>
            <w:tcBorders>
              <w:tl2br w:val="nil"/>
              <w:tr2bl w:val="nil"/>
            </w:tcBorders>
            <w:noWrap/>
            <w:vAlign w:val="center"/>
          </w:tcPr>
          <w:p w14:paraId="7F4E01A7">
            <w:pPr>
              <w:pStyle w:val="45"/>
              <w:bidi w:val="0"/>
              <w:rPr>
                <w:b w:val="0"/>
                <w:bCs/>
                <w:color w:val="auto"/>
                <w:highlight w:val="none"/>
              </w:rPr>
            </w:pPr>
            <w:r>
              <w:rPr>
                <w:b w:val="0"/>
                <w:bCs/>
                <w:color w:val="auto"/>
                <w:highlight w:val="none"/>
              </w:rPr>
              <w:t>3#-4#</w:t>
            </w:r>
            <w:r>
              <w:rPr>
                <w:rFonts w:hint="default"/>
                <w:b w:val="0"/>
                <w:bCs/>
                <w:color w:val="auto"/>
                <w:highlight w:val="none"/>
              </w:rPr>
              <w:t>风机安装场地</w:t>
            </w:r>
          </w:p>
        </w:tc>
        <w:tc>
          <w:tcPr>
            <w:tcW w:w="293" w:type="pct"/>
            <w:tcBorders>
              <w:tl2br w:val="nil"/>
              <w:tr2bl w:val="nil"/>
            </w:tcBorders>
            <w:noWrap/>
            <w:vAlign w:val="center"/>
          </w:tcPr>
          <w:p w14:paraId="203C3DEF">
            <w:pPr>
              <w:pStyle w:val="45"/>
              <w:bidi w:val="0"/>
              <w:rPr>
                <w:b w:val="0"/>
                <w:bCs/>
                <w:color w:val="auto"/>
                <w:highlight w:val="none"/>
              </w:rPr>
            </w:pPr>
            <w:r>
              <w:rPr>
                <w:rFonts w:hint="default"/>
                <w:b w:val="0"/>
                <w:bCs/>
                <w:color w:val="auto"/>
                <w:highlight w:val="none"/>
                <w:lang w:val="en-US" w:eastAsia="zh-CN"/>
              </w:rPr>
              <w:t xml:space="preserve">3.04 </w:t>
            </w:r>
          </w:p>
        </w:tc>
        <w:tc>
          <w:tcPr>
            <w:tcW w:w="331" w:type="pct"/>
            <w:tcBorders>
              <w:tl2br w:val="nil"/>
              <w:tr2bl w:val="nil"/>
            </w:tcBorders>
            <w:noWrap/>
            <w:vAlign w:val="center"/>
          </w:tcPr>
          <w:p w14:paraId="13CEAB0A">
            <w:pPr>
              <w:pStyle w:val="45"/>
              <w:bidi w:val="0"/>
              <w:rPr>
                <w:b w:val="0"/>
                <w:bCs/>
                <w:color w:val="auto"/>
                <w:highlight w:val="none"/>
              </w:rPr>
            </w:pPr>
            <w:r>
              <w:rPr>
                <w:rFonts w:hint="default"/>
                <w:b w:val="0"/>
                <w:bCs/>
                <w:color w:val="auto"/>
                <w:highlight w:val="none"/>
                <w:lang w:val="en-US" w:eastAsia="zh-CN"/>
              </w:rPr>
              <w:t xml:space="preserve">2.98 </w:t>
            </w:r>
          </w:p>
        </w:tc>
        <w:tc>
          <w:tcPr>
            <w:tcW w:w="250" w:type="pct"/>
            <w:tcBorders>
              <w:tl2br w:val="nil"/>
              <w:tr2bl w:val="nil"/>
            </w:tcBorders>
            <w:noWrap/>
            <w:vAlign w:val="center"/>
          </w:tcPr>
          <w:p w14:paraId="5615ED5A">
            <w:pPr>
              <w:pStyle w:val="45"/>
              <w:bidi w:val="0"/>
              <w:rPr>
                <w:b w:val="0"/>
                <w:bCs/>
                <w:color w:val="auto"/>
                <w:highlight w:val="none"/>
              </w:rPr>
            </w:pPr>
            <w:r>
              <w:rPr>
                <w:rFonts w:hint="default"/>
                <w:b w:val="0"/>
                <w:bCs/>
                <w:color w:val="auto"/>
                <w:highlight w:val="none"/>
                <w:lang w:val="en-US" w:eastAsia="zh-CN"/>
              </w:rPr>
              <w:t xml:space="preserve">0.06 </w:t>
            </w:r>
          </w:p>
        </w:tc>
        <w:tc>
          <w:tcPr>
            <w:tcW w:w="274" w:type="pct"/>
            <w:tcBorders>
              <w:tl2br w:val="nil"/>
              <w:tr2bl w:val="nil"/>
            </w:tcBorders>
            <w:noWrap/>
            <w:vAlign w:val="center"/>
          </w:tcPr>
          <w:p w14:paraId="3CCF0A29">
            <w:pPr>
              <w:pStyle w:val="45"/>
              <w:bidi w:val="0"/>
              <w:rPr>
                <w:b w:val="0"/>
                <w:bCs/>
                <w:color w:val="auto"/>
                <w:highlight w:val="none"/>
              </w:rPr>
            </w:pPr>
            <w:r>
              <w:rPr>
                <w:rFonts w:hint="default"/>
                <w:b w:val="0"/>
                <w:bCs/>
                <w:color w:val="auto"/>
                <w:highlight w:val="none"/>
                <w:lang w:val="en-US" w:eastAsia="zh-CN"/>
              </w:rPr>
              <w:t xml:space="preserve">1.59 </w:t>
            </w:r>
          </w:p>
        </w:tc>
        <w:tc>
          <w:tcPr>
            <w:tcW w:w="371" w:type="pct"/>
            <w:tcBorders>
              <w:tl2br w:val="nil"/>
              <w:tr2bl w:val="nil"/>
            </w:tcBorders>
            <w:noWrap/>
            <w:vAlign w:val="center"/>
          </w:tcPr>
          <w:p w14:paraId="039773F8">
            <w:pPr>
              <w:pStyle w:val="45"/>
              <w:bidi w:val="0"/>
              <w:rPr>
                <w:b w:val="0"/>
                <w:bCs/>
                <w:color w:val="auto"/>
                <w:highlight w:val="none"/>
              </w:rPr>
            </w:pPr>
            <w:r>
              <w:rPr>
                <w:rFonts w:hint="default"/>
                <w:b w:val="0"/>
                <w:bCs/>
                <w:color w:val="auto"/>
                <w:highlight w:val="none"/>
                <w:lang w:val="en-US" w:eastAsia="zh-CN"/>
              </w:rPr>
              <w:t xml:space="preserve">1.53 </w:t>
            </w:r>
          </w:p>
        </w:tc>
        <w:tc>
          <w:tcPr>
            <w:tcW w:w="289" w:type="pct"/>
            <w:tcBorders>
              <w:tl2br w:val="nil"/>
              <w:tr2bl w:val="nil"/>
            </w:tcBorders>
            <w:noWrap/>
            <w:vAlign w:val="center"/>
          </w:tcPr>
          <w:p w14:paraId="023E69DB">
            <w:pPr>
              <w:pStyle w:val="45"/>
              <w:bidi w:val="0"/>
              <w:rPr>
                <w:b w:val="0"/>
                <w:bCs/>
                <w:color w:val="auto"/>
                <w:highlight w:val="none"/>
              </w:rPr>
            </w:pPr>
            <w:r>
              <w:rPr>
                <w:rFonts w:hint="default"/>
                <w:b w:val="0"/>
                <w:bCs/>
                <w:color w:val="auto"/>
                <w:highlight w:val="none"/>
                <w:lang w:val="en-US" w:eastAsia="zh-CN"/>
              </w:rPr>
              <w:t xml:space="preserve">0.06 </w:t>
            </w:r>
          </w:p>
        </w:tc>
        <w:tc>
          <w:tcPr>
            <w:tcW w:w="276" w:type="pct"/>
            <w:tcBorders>
              <w:tl2br w:val="nil"/>
              <w:tr2bl w:val="nil"/>
            </w:tcBorders>
            <w:noWrap/>
            <w:vAlign w:val="center"/>
          </w:tcPr>
          <w:p w14:paraId="437AD7F9">
            <w:pPr>
              <w:pStyle w:val="45"/>
              <w:bidi w:val="0"/>
              <w:rPr>
                <w:b w:val="0"/>
                <w:bCs/>
                <w:color w:val="auto"/>
                <w:highlight w:val="none"/>
              </w:rPr>
            </w:pPr>
          </w:p>
        </w:tc>
        <w:tc>
          <w:tcPr>
            <w:tcW w:w="259" w:type="pct"/>
            <w:tcBorders>
              <w:tl2br w:val="nil"/>
              <w:tr2bl w:val="nil"/>
            </w:tcBorders>
            <w:noWrap/>
            <w:vAlign w:val="center"/>
          </w:tcPr>
          <w:p w14:paraId="036B355E">
            <w:pPr>
              <w:pStyle w:val="45"/>
              <w:bidi w:val="0"/>
              <w:rPr>
                <w:b w:val="0"/>
                <w:bCs/>
                <w:color w:val="auto"/>
                <w:highlight w:val="none"/>
              </w:rPr>
            </w:pPr>
          </w:p>
        </w:tc>
        <w:tc>
          <w:tcPr>
            <w:tcW w:w="346" w:type="pct"/>
            <w:tcBorders>
              <w:tl2br w:val="nil"/>
              <w:tr2bl w:val="nil"/>
            </w:tcBorders>
            <w:noWrap/>
            <w:vAlign w:val="center"/>
          </w:tcPr>
          <w:p w14:paraId="22082569">
            <w:pPr>
              <w:pStyle w:val="45"/>
              <w:bidi w:val="0"/>
              <w:rPr>
                <w:b w:val="0"/>
                <w:bCs/>
                <w:color w:val="auto"/>
                <w:highlight w:val="none"/>
              </w:rPr>
            </w:pPr>
            <w:r>
              <w:rPr>
                <w:rFonts w:hint="default"/>
                <w:b w:val="0"/>
                <w:bCs/>
                <w:color w:val="auto"/>
                <w:highlight w:val="none"/>
                <w:lang w:val="en-US" w:eastAsia="zh-CN"/>
              </w:rPr>
              <w:t xml:space="preserve">1.45 </w:t>
            </w:r>
          </w:p>
        </w:tc>
        <w:tc>
          <w:tcPr>
            <w:tcW w:w="589" w:type="pct"/>
            <w:tcBorders>
              <w:tl2br w:val="nil"/>
              <w:tr2bl w:val="nil"/>
            </w:tcBorders>
            <w:noWrap/>
            <w:vAlign w:val="center"/>
          </w:tcPr>
          <w:p w14:paraId="7B4D3569">
            <w:pPr>
              <w:pStyle w:val="45"/>
              <w:bidi w:val="0"/>
              <w:rPr>
                <w:b w:val="0"/>
                <w:bCs/>
                <w:color w:val="auto"/>
                <w:highlight w:val="none"/>
              </w:rPr>
            </w:pPr>
            <w:r>
              <w:rPr>
                <w:rFonts w:hint="default"/>
                <w:b w:val="0"/>
                <w:bCs/>
                <w:color w:val="auto"/>
                <w:highlight w:val="none"/>
                <w:lang w:val="en-US" w:eastAsia="zh-CN"/>
              </w:rPr>
              <w:t>Z3</w:t>
            </w:r>
          </w:p>
        </w:tc>
      </w:tr>
      <w:tr w14:paraId="46FE41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49F58593">
            <w:pPr>
              <w:pStyle w:val="45"/>
              <w:bidi w:val="0"/>
              <w:rPr>
                <w:b w:val="0"/>
                <w:bCs/>
                <w:color w:val="auto"/>
                <w:highlight w:val="none"/>
              </w:rPr>
            </w:pPr>
          </w:p>
        </w:tc>
        <w:tc>
          <w:tcPr>
            <w:tcW w:w="921" w:type="pct"/>
            <w:tcBorders>
              <w:tl2br w:val="nil"/>
              <w:tr2bl w:val="nil"/>
            </w:tcBorders>
            <w:noWrap/>
            <w:vAlign w:val="center"/>
          </w:tcPr>
          <w:p w14:paraId="2A023FEE">
            <w:pPr>
              <w:pStyle w:val="45"/>
              <w:bidi w:val="0"/>
              <w:rPr>
                <w:b w:val="0"/>
                <w:bCs/>
                <w:color w:val="auto"/>
                <w:highlight w:val="none"/>
              </w:rPr>
            </w:pPr>
            <w:r>
              <w:rPr>
                <w:b w:val="0"/>
                <w:bCs/>
                <w:color w:val="auto"/>
                <w:highlight w:val="none"/>
              </w:rPr>
              <w:t>5#</w:t>
            </w:r>
            <w:r>
              <w:rPr>
                <w:rFonts w:hint="default"/>
                <w:b w:val="0"/>
                <w:bCs/>
                <w:color w:val="auto"/>
                <w:highlight w:val="none"/>
              </w:rPr>
              <w:t>风机安装场地</w:t>
            </w:r>
          </w:p>
        </w:tc>
        <w:tc>
          <w:tcPr>
            <w:tcW w:w="293" w:type="pct"/>
            <w:tcBorders>
              <w:tl2br w:val="nil"/>
              <w:tr2bl w:val="nil"/>
            </w:tcBorders>
            <w:noWrap/>
            <w:vAlign w:val="center"/>
          </w:tcPr>
          <w:p w14:paraId="037B2429">
            <w:pPr>
              <w:pStyle w:val="45"/>
              <w:bidi w:val="0"/>
              <w:rPr>
                <w:b w:val="0"/>
                <w:bCs/>
                <w:color w:val="auto"/>
                <w:highlight w:val="none"/>
              </w:rPr>
            </w:pPr>
            <w:r>
              <w:rPr>
                <w:rFonts w:hint="default"/>
                <w:b w:val="0"/>
                <w:bCs/>
                <w:color w:val="auto"/>
                <w:highlight w:val="none"/>
                <w:lang w:val="en-US" w:eastAsia="zh-CN"/>
              </w:rPr>
              <w:t xml:space="preserve">1.45 </w:t>
            </w:r>
          </w:p>
        </w:tc>
        <w:tc>
          <w:tcPr>
            <w:tcW w:w="331" w:type="pct"/>
            <w:tcBorders>
              <w:tl2br w:val="nil"/>
              <w:tr2bl w:val="nil"/>
            </w:tcBorders>
            <w:noWrap/>
            <w:vAlign w:val="center"/>
          </w:tcPr>
          <w:p w14:paraId="0A812585">
            <w:pPr>
              <w:pStyle w:val="45"/>
              <w:bidi w:val="0"/>
              <w:rPr>
                <w:b w:val="0"/>
                <w:bCs/>
                <w:color w:val="auto"/>
                <w:highlight w:val="none"/>
              </w:rPr>
            </w:pPr>
            <w:r>
              <w:rPr>
                <w:rFonts w:hint="default"/>
                <w:b w:val="0"/>
                <w:bCs/>
                <w:color w:val="auto"/>
                <w:highlight w:val="none"/>
                <w:lang w:val="en-US" w:eastAsia="zh-CN"/>
              </w:rPr>
              <w:t xml:space="preserve">1.42 </w:t>
            </w:r>
          </w:p>
        </w:tc>
        <w:tc>
          <w:tcPr>
            <w:tcW w:w="250" w:type="pct"/>
            <w:tcBorders>
              <w:tl2br w:val="nil"/>
              <w:tr2bl w:val="nil"/>
            </w:tcBorders>
            <w:noWrap/>
            <w:vAlign w:val="center"/>
          </w:tcPr>
          <w:p w14:paraId="6ED280B4">
            <w:pPr>
              <w:pStyle w:val="45"/>
              <w:bidi w:val="0"/>
              <w:rPr>
                <w:b w:val="0"/>
                <w:bCs/>
                <w:color w:val="auto"/>
                <w:highlight w:val="none"/>
              </w:rPr>
            </w:pPr>
            <w:r>
              <w:rPr>
                <w:rFonts w:hint="default"/>
                <w:b w:val="0"/>
                <w:bCs/>
                <w:color w:val="auto"/>
                <w:highlight w:val="none"/>
                <w:lang w:val="en-US" w:eastAsia="zh-CN"/>
              </w:rPr>
              <w:t xml:space="preserve">0.03 </w:t>
            </w:r>
          </w:p>
        </w:tc>
        <w:tc>
          <w:tcPr>
            <w:tcW w:w="274" w:type="pct"/>
            <w:tcBorders>
              <w:tl2br w:val="nil"/>
              <w:tr2bl w:val="nil"/>
            </w:tcBorders>
            <w:noWrap/>
            <w:vAlign w:val="center"/>
          </w:tcPr>
          <w:p w14:paraId="749D0427">
            <w:pPr>
              <w:pStyle w:val="45"/>
              <w:bidi w:val="0"/>
              <w:rPr>
                <w:b w:val="0"/>
                <w:bCs/>
                <w:color w:val="auto"/>
                <w:highlight w:val="none"/>
              </w:rPr>
            </w:pPr>
            <w:r>
              <w:rPr>
                <w:rFonts w:hint="default"/>
                <w:b w:val="0"/>
                <w:bCs/>
                <w:color w:val="auto"/>
                <w:highlight w:val="none"/>
                <w:lang w:val="en-US" w:eastAsia="zh-CN"/>
              </w:rPr>
              <w:t xml:space="preserve">0.76 </w:t>
            </w:r>
          </w:p>
        </w:tc>
        <w:tc>
          <w:tcPr>
            <w:tcW w:w="371" w:type="pct"/>
            <w:tcBorders>
              <w:tl2br w:val="nil"/>
              <w:tr2bl w:val="nil"/>
            </w:tcBorders>
            <w:noWrap/>
            <w:vAlign w:val="center"/>
          </w:tcPr>
          <w:p w14:paraId="4870DE14">
            <w:pPr>
              <w:pStyle w:val="45"/>
              <w:bidi w:val="0"/>
              <w:rPr>
                <w:b w:val="0"/>
                <w:bCs/>
                <w:color w:val="auto"/>
                <w:highlight w:val="none"/>
              </w:rPr>
            </w:pPr>
            <w:r>
              <w:rPr>
                <w:rFonts w:hint="default"/>
                <w:b w:val="0"/>
                <w:bCs/>
                <w:color w:val="auto"/>
                <w:highlight w:val="none"/>
                <w:lang w:val="en-US" w:eastAsia="zh-CN"/>
              </w:rPr>
              <w:t xml:space="preserve">0.73 </w:t>
            </w:r>
          </w:p>
        </w:tc>
        <w:tc>
          <w:tcPr>
            <w:tcW w:w="289" w:type="pct"/>
            <w:tcBorders>
              <w:tl2br w:val="nil"/>
              <w:tr2bl w:val="nil"/>
            </w:tcBorders>
            <w:noWrap/>
            <w:vAlign w:val="center"/>
          </w:tcPr>
          <w:p w14:paraId="15741093">
            <w:pPr>
              <w:pStyle w:val="45"/>
              <w:bidi w:val="0"/>
              <w:rPr>
                <w:b w:val="0"/>
                <w:bCs/>
                <w:color w:val="auto"/>
                <w:highlight w:val="none"/>
              </w:rPr>
            </w:pPr>
            <w:r>
              <w:rPr>
                <w:rFonts w:hint="default"/>
                <w:b w:val="0"/>
                <w:bCs/>
                <w:color w:val="auto"/>
                <w:highlight w:val="none"/>
                <w:lang w:val="en-US" w:eastAsia="zh-CN"/>
              </w:rPr>
              <w:t xml:space="preserve">0.03 </w:t>
            </w:r>
          </w:p>
        </w:tc>
        <w:tc>
          <w:tcPr>
            <w:tcW w:w="276" w:type="pct"/>
            <w:tcBorders>
              <w:tl2br w:val="nil"/>
              <w:tr2bl w:val="nil"/>
            </w:tcBorders>
            <w:noWrap/>
            <w:vAlign w:val="center"/>
          </w:tcPr>
          <w:p w14:paraId="222E5457">
            <w:pPr>
              <w:pStyle w:val="45"/>
              <w:bidi w:val="0"/>
              <w:rPr>
                <w:b w:val="0"/>
                <w:bCs/>
                <w:color w:val="auto"/>
                <w:highlight w:val="none"/>
              </w:rPr>
            </w:pPr>
          </w:p>
        </w:tc>
        <w:tc>
          <w:tcPr>
            <w:tcW w:w="259" w:type="pct"/>
            <w:tcBorders>
              <w:tl2br w:val="nil"/>
              <w:tr2bl w:val="nil"/>
            </w:tcBorders>
            <w:noWrap/>
            <w:vAlign w:val="center"/>
          </w:tcPr>
          <w:p w14:paraId="144036D8">
            <w:pPr>
              <w:pStyle w:val="45"/>
              <w:bidi w:val="0"/>
              <w:rPr>
                <w:b w:val="0"/>
                <w:bCs/>
                <w:color w:val="auto"/>
                <w:highlight w:val="none"/>
              </w:rPr>
            </w:pPr>
          </w:p>
        </w:tc>
        <w:tc>
          <w:tcPr>
            <w:tcW w:w="346" w:type="pct"/>
            <w:tcBorders>
              <w:tl2br w:val="nil"/>
              <w:tr2bl w:val="nil"/>
            </w:tcBorders>
            <w:noWrap/>
            <w:vAlign w:val="center"/>
          </w:tcPr>
          <w:p w14:paraId="14080910">
            <w:pPr>
              <w:pStyle w:val="45"/>
              <w:bidi w:val="0"/>
              <w:rPr>
                <w:b w:val="0"/>
                <w:bCs/>
                <w:color w:val="auto"/>
                <w:highlight w:val="none"/>
              </w:rPr>
            </w:pPr>
            <w:r>
              <w:rPr>
                <w:rFonts w:hint="default"/>
                <w:b w:val="0"/>
                <w:bCs/>
                <w:color w:val="auto"/>
                <w:highlight w:val="none"/>
                <w:lang w:val="en-US" w:eastAsia="zh-CN"/>
              </w:rPr>
              <w:t xml:space="preserve">0.69 </w:t>
            </w:r>
          </w:p>
        </w:tc>
        <w:tc>
          <w:tcPr>
            <w:tcW w:w="589" w:type="pct"/>
            <w:tcBorders>
              <w:tl2br w:val="nil"/>
              <w:tr2bl w:val="nil"/>
            </w:tcBorders>
            <w:noWrap/>
            <w:vAlign w:val="center"/>
          </w:tcPr>
          <w:p w14:paraId="66A6B3A6">
            <w:pPr>
              <w:pStyle w:val="45"/>
              <w:bidi w:val="0"/>
              <w:rPr>
                <w:b w:val="0"/>
                <w:bCs/>
                <w:color w:val="auto"/>
                <w:highlight w:val="none"/>
              </w:rPr>
            </w:pPr>
            <w:r>
              <w:rPr>
                <w:rFonts w:hint="default"/>
                <w:b w:val="0"/>
                <w:bCs/>
                <w:color w:val="auto"/>
                <w:highlight w:val="none"/>
                <w:lang w:val="en-US" w:eastAsia="zh-CN"/>
              </w:rPr>
              <w:t>Z4</w:t>
            </w:r>
          </w:p>
        </w:tc>
      </w:tr>
      <w:tr w14:paraId="4058F4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79CD794C">
            <w:pPr>
              <w:pStyle w:val="45"/>
              <w:bidi w:val="0"/>
              <w:rPr>
                <w:b w:val="0"/>
                <w:bCs/>
                <w:color w:val="auto"/>
                <w:highlight w:val="none"/>
              </w:rPr>
            </w:pPr>
          </w:p>
        </w:tc>
        <w:tc>
          <w:tcPr>
            <w:tcW w:w="921" w:type="pct"/>
            <w:tcBorders>
              <w:tl2br w:val="nil"/>
              <w:tr2bl w:val="nil"/>
            </w:tcBorders>
            <w:noWrap/>
            <w:vAlign w:val="center"/>
          </w:tcPr>
          <w:p w14:paraId="064D0E31">
            <w:pPr>
              <w:pStyle w:val="45"/>
              <w:bidi w:val="0"/>
              <w:rPr>
                <w:b w:val="0"/>
                <w:bCs/>
                <w:color w:val="auto"/>
                <w:highlight w:val="none"/>
              </w:rPr>
            </w:pPr>
            <w:r>
              <w:rPr>
                <w:b w:val="0"/>
                <w:bCs/>
                <w:color w:val="auto"/>
                <w:highlight w:val="none"/>
              </w:rPr>
              <w:t>6#-7#-20#</w:t>
            </w:r>
            <w:r>
              <w:rPr>
                <w:rFonts w:hint="default"/>
                <w:b w:val="0"/>
                <w:bCs/>
                <w:color w:val="auto"/>
                <w:highlight w:val="none"/>
              </w:rPr>
              <w:t>风机安装场地</w:t>
            </w:r>
          </w:p>
        </w:tc>
        <w:tc>
          <w:tcPr>
            <w:tcW w:w="293" w:type="pct"/>
            <w:tcBorders>
              <w:tl2br w:val="nil"/>
              <w:tr2bl w:val="nil"/>
            </w:tcBorders>
            <w:noWrap/>
            <w:vAlign w:val="center"/>
          </w:tcPr>
          <w:p w14:paraId="60BB555A">
            <w:pPr>
              <w:pStyle w:val="45"/>
              <w:bidi w:val="0"/>
              <w:rPr>
                <w:b w:val="0"/>
                <w:bCs/>
                <w:color w:val="auto"/>
                <w:highlight w:val="none"/>
              </w:rPr>
            </w:pPr>
            <w:r>
              <w:rPr>
                <w:rFonts w:hint="default"/>
                <w:b w:val="0"/>
                <w:bCs/>
                <w:color w:val="auto"/>
                <w:highlight w:val="none"/>
                <w:lang w:val="en-US" w:eastAsia="zh-CN"/>
              </w:rPr>
              <w:t xml:space="preserve">3.11 </w:t>
            </w:r>
          </w:p>
        </w:tc>
        <w:tc>
          <w:tcPr>
            <w:tcW w:w="331" w:type="pct"/>
            <w:tcBorders>
              <w:tl2br w:val="nil"/>
              <w:tr2bl w:val="nil"/>
            </w:tcBorders>
            <w:noWrap/>
            <w:vAlign w:val="center"/>
          </w:tcPr>
          <w:p w14:paraId="7ED93D79">
            <w:pPr>
              <w:pStyle w:val="45"/>
              <w:bidi w:val="0"/>
              <w:rPr>
                <w:b w:val="0"/>
                <w:bCs/>
                <w:color w:val="auto"/>
                <w:highlight w:val="none"/>
              </w:rPr>
            </w:pPr>
            <w:r>
              <w:rPr>
                <w:rFonts w:hint="default"/>
                <w:b w:val="0"/>
                <w:bCs/>
                <w:color w:val="auto"/>
                <w:highlight w:val="none"/>
                <w:lang w:val="en-US" w:eastAsia="zh-CN"/>
              </w:rPr>
              <w:t xml:space="preserve">3.01 </w:t>
            </w:r>
          </w:p>
        </w:tc>
        <w:tc>
          <w:tcPr>
            <w:tcW w:w="250" w:type="pct"/>
            <w:tcBorders>
              <w:tl2br w:val="nil"/>
              <w:tr2bl w:val="nil"/>
            </w:tcBorders>
            <w:noWrap/>
            <w:vAlign w:val="center"/>
          </w:tcPr>
          <w:p w14:paraId="017334D0">
            <w:pPr>
              <w:pStyle w:val="45"/>
              <w:bidi w:val="0"/>
              <w:rPr>
                <w:b w:val="0"/>
                <w:bCs/>
                <w:color w:val="auto"/>
                <w:highlight w:val="none"/>
              </w:rPr>
            </w:pPr>
            <w:r>
              <w:rPr>
                <w:rFonts w:hint="default"/>
                <w:b w:val="0"/>
                <w:bCs/>
                <w:color w:val="auto"/>
                <w:highlight w:val="none"/>
                <w:lang w:val="en-US" w:eastAsia="zh-CN"/>
              </w:rPr>
              <w:t xml:space="preserve">0.10 </w:t>
            </w:r>
          </w:p>
        </w:tc>
        <w:tc>
          <w:tcPr>
            <w:tcW w:w="274" w:type="pct"/>
            <w:tcBorders>
              <w:tl2br w:val="nil"/>
              <w:tr2bl w:val="nil"/>
            </w:tcBorders>
            <w:noWrap/>
            <w:vAlign w:val="center"/>
          </w:tcPr>
          <w:p w14:paraId="5B3FB14C">
            <w:pPr>
              <w:pStyle w:val="45"/>
              <w:bidi w:val="0"/>
              <w:rPr>
                <w:b w:val="0"/>
                <w:bCs/>
                <w:color w:val="auto"/>
                <w:highlight w:val="none"/>
              </w:rPr>
            </w:pPr>
            <w:r>
              <w:rPr>
                <w:rFonts w:hint="default"/>
                <w:b w:val="0"/>
                <w:bCs/>
                <w:color w:val="auto"/>
                <w:highlight w:val="none"/>
                <w:lang w:val="en-US" w:eastAsia="zh-CN"/>
              </w:rPr>
              <w:t xml:space="preserve">1.64 </w:t>
            </w:r>
          </w:p>
        </w:tc>
        <w:tc>
          <w:tcPr>
            <w:tcW w:w="371" w:type="pct"/>
            <w:tcBorders>
              <w:tl2br w:val="nil"/>
              <w:tr2bl w:val="nil"/>
            </w:tcBorders>
            <w:noWrap/>
            <w:vAlign w:val="center"/>
          </w:tcPr>
          <w:p w14:paraId="0D8DE6DE">
            <w:pPr>
              <w:pStyle w:val="45"/>
              <w:bidi w:val="0"/>
              <w:rPr>
                <w:b w:val="0"/>
                <w:bCs/>
                <w:color w:val="auto"/>
                <w:highlight w:val="none"/>
              </w:rPr>
            </w:pPr>
            <w:r>
              <w:rPr>
                <w:rFonts w:hint="default"/>
                <w:b w:val="0"/>
                <w:bCs/>
                <w:color w:val="auto"/>
                <w:highlight w:val="none"/>
                <w:lang w:val="en-US" w:eastAsia="zh-CN"/>
              </w:rPr>
              <w:t xml:space="preserve">1.54 </w:t>
            </w:r>
          </w:p>
        </w:tc>
        <w:tc>
          <w:tcPr>
            <w:tcW w:w="289" w:type="pct"/>
            <w:tcBorders>
              <w:tl2br w:val="nil"/>
              <w:tr2bl w:val="nil"/>
            </w:tcBorders>
            <w:noWrap/>
            <w:vAlign w:val="center"/>
          </w:tcPr>
          <w:p w14:paraId="4D9F884E">
            <w:pPr>
              <w:pStyle w:val="45"/>
              <w:bidi w:val="0"/>
              <w:rPr>
                <w:b w:val="0"/>
                <w:bCs/>
                <w:color w:val="auto"/>
                <w:highlight w:val="none"/>
              </w:rPr>
            </w:pPr>
            <w:r>
              <w:rPr>
                <w:rFonts w:hint="default"/>
                <w:b w:val="0"/>
                <w:bCs/>
                <w:color w:val="auto"/>
                <w:highlight w:val="none"/>
                <w:lang w:val="en-US" w:eastAsia="zh-CN"/>
              </w:rPr>
              <w:t xml:space="preserve">0.10 </w:t>
            </w:r>
          </w:p>
        </w:tc>
        <w:tc>
          <w:tcPr>
            <w:tcW w:w="276" w:type="pct"/>
            <w:tcBorders>
              <w:tl2br w:val="nil"/>
              <w:tr2bl w:val="nil"/>
            </w:tcBorders>
            <w:noWrap/>
            <w:vAlign w:val="center"/>
          </w:tcPr>
          <w:p w14:paraId="07FB65A8">
            <w:pPr>
              <w:pStyle w:val="45"/>
              <w:bidi w:val="0"/>
              <w:rPr>
                <w:b w:val="0"/>
                <w:bCs/>
                <w:color w:val="auto"/>
                <w:highlight w:val="none"/>
              </w:rPr>
            </w:pPr>
          </w:p>
        </w:tc>
        <w:tc>
          <w:tcPr>
            <w:tcW w:w="259" w:type="pct"/>
            <w:tcBorders>
              <w:tl2br w:val="nil"/>
              <w:tr2bl w:val="nil"/>
            </w:tcBorders>
            <w:noWrap/>
            <w:vAlign w:val="center"/>
          </w:tcPr>
          <w:p w14:paraId="1CC47FAA">
            <w:pPr>
              <w:pStyle w:val="45"/>
              <w:bidi w:val="0"/>
              <w:rPr>
                <w:b w:val="0"/>
                <w:bCs/>
                <w:color w:val="auto"/>
                <w:highlight w:val="none"/>
              </w:rPr>
            </w:pPr>
          </w:p>
        </w:tc>
        <w:tc>
          <w:tcPr>
            <w:tcW w:w="346" w:type="pct"/>
            <w:tcBorders>
              <w:tl2br w:val="nil"/>
              <w:tr2bl w:val="nil"/>
            </w:tcBorders>
            <w:noWrap/>
            <w:vAlign w:val="center"/>
          </w:tcPr>
          <w:p w14:paraId="3F495208">
            <w:pPr>
              <w:pStyle w:val="45"/>
              <w:bidi w:val="0"/>
              <w:rPr>
                <w:b w:val="0"/>
                <w:bCs/>
                <w:color w:val="auto"/>
                <w:highlight w:val="none"/>
              </w:rPr>
            </w:pPr>
            <w:r>
              <w:rPr>
                <w:rFonts w:hint="default"/>
                <w:b w:val="0"/>
                <w:bCs/>
                <w:color w:val="auto"/>
                <w:highlight w:val="none"/>
                <w:lang w:val="en-US" w:eastAsia="zh-CN"/>
              </w:rPr>
              <w:t xml:space="preserve">1.47 </w:t>
            </w:r>
          </w:p>
        </w:tc>
        <w:tc>
          <w:tcPr>
            <w:tcW w:w="589" w:type="pct"/>
            <w:tcBorders>
              <w:tl2br w:val="nil"/>
              <w:tr2bl w:val="nil"/>
            </w:tcBorders>
            <w:noWrap/>
            <w:vAlign w:val="center"/>
          </w:tcPr>
          <w:p w14:paraId="51E8229E">
            <w:pPr>
              <w:pStyle w:val="45"/>
              <w:bidi w:val="0"/>
              <w:rPr>
                <w:b w:val="0"/>
                <w:bCs/>
                <w:color w:val="auto"/>
                <w:highlight w:val="none"/>
              </w:rPr>
            </w:pPr>
            <w:r>
              <w:rPr>
                <w:rFonts w:hint="default"/>
                <w:b w:val="0"/>
                <w:bCs/>
                <w:color w:val="auto"/>
                <w:highlight w:val="none"/>
                <w:lang w:val="en-US" w:eastAsia="zh-CN"/>
              </w:rPr>
              <w:t>Z5</w:t>
            </w:r>
          </w:p>
        </w:tc>
      </w:tr>
      <w:tr w14:paraId="38BD84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11F81B86">
            <w:pPr>
              <w:pStyle w:val="45"/>
              <w:bidi w:val="0"/>
              <w:rPr>
                <w:b w:val="0"/>
                <w:bCs/>
                <w:color w:val="auto"/>
                <w:highlight w:val="none"/>
              </w:rPr>
            </w:pPr>
          </w:p>
        </w:tc>
        <w:tc>
          <w:tcPr>
            <w:tcW w:w="921" w:type="pct"/>
            <w:tcBorders>
              <w:tl2br w:val="nil"/>
              <w:tr2bl w:val="nil"/>
            </w:tcBorders>
            <w:noWrap/>
            <w:vAlign w:val="center"/>
          </w:tcPr>
          <w:p w14:paraId="1EF6A015">
            <w:pPr>
              <w:pStyle w:val="45"/>
              <w:bidi w:val="0"/>
              <w:rPr>
                <w:b w:val="0"/>
                <w:bCs/>
                <w:color w:val="auto"/>
                <w:highlight w:val="none"/>
              </w:rPr>
            </w:pPr>
            <w:r>
              <w:rPr>
                <w:b w:val="0"/>
                <w:bCs/>
                <w:color w:val="auto"/>
                <w:highlight w:val="none"/>
              </w:rPr>
              <w:t>8#-10#</w:t>
            </w:r>
            <w:r>
              <w:rPr>
                <w:rFonts w:hint="default"/>
                <w:b w:val="0"/>
                <w:bCs/>
                <w:color w:val="auto"/>
                <w:highlight w:val="none"/>
              </w:rPr>
              <w:t>风风机安装场地</w:t>
            </w:r>
          </w:p>
        </w:tc>
        <w:tc>
          <w:tcPr>
            <w:tcW w:w="293" w:type="pct"/>
            <w:tcBorders>
              <w:tl2br w:val="nil"/>
              <w:tr2bl w:val="nil"/>
            </w:tcBorders>
            <w:noWrap/>
            <w:vAlign w:val="center"/>
          </w:tcPr>
          <w:p w14:paraId="000A04A7">
            <w:pPr>
              <w:pStyle w:val="45"/>
              <w:bidi w:val="0"/>
              <w:rPr>
                <w:b w:val="0"/>
                <w:bCs/>
                <w:color w:val="auto"/>
                <w:highlight w:val="none"/>
              </w:rPr>
            </w:pPr>
            <w:r>
              <w:rPr>
                <w:rFonts w:hint="default"/>
                <w:b w:val="0"/>
                <w:bCs/>
                <w:color w:val="auto"/>
                <w:highlight w:val="none"/>
                <w:lang w:val="en-US" w:eastAsia="zh-CN"/>
              </w:rPr>
              <w:t xml:space="preserve">3.01 </w:t>
            </w:r>
          </w:p>
        </w:tc>
        <w:tc>
          <w:tcPr>
            <w:tcW w:w="331" w:type="pct"/>
            <w:tcBorders>
              <w:tl2br w:val="nil"/>
              <w:tr2bl w:val="nil"/>
            </w:tcBorders>
            <w:noWrap/>
            <w:vAlign w:val="center"/>
          </w:tcPr>
          <w:p w14:paraId="01337053">
            <w:pPr>
              <w:pStyle w:val="45"/>
              <w:bidi w:val="0"/>
              <w:rPr>
                <w:b w:val="0"/>
                <w:bCs/>
                <w:color w:val="auto"/>
                <w:highlight w:val="none"/>
              </w:rPr>
            </w:pPr>
            <w:r>
              <w:rPr>
                <w:rFonts w:hint="default"/>
                <w:b w:val="0"/>
                <w:bCs/>
                <w:color w:val="auto"/>
                <w:highlight w:val="none"/>
                <w:lang w:val="en-US" w:eastAsia="zh-CN"/>
              </w:rPr>
              <w:t xml:space="preserve">2.95 </w:t>
            </w:r>
          </w:p>
        </w:tc>
        <w:tc>
          <w:tcPr>
            <w:tcW w:w="250" w:type="pct"/>
            <w:tcBorders>
              <w:tl2br w:val="nil"/>
              <w:tr2bl w:val="nil"/>
            </w:tcBorders>
            <w:noWrap/>
            <w:vAlign w:val="center"/>
          </w:tcPr>
          <w:p w14:paraId="452406C4">
            <w:pPr>
              <w:pStyle w:val="45"/>
              <w:bidi w:val="0"/>
              <w:rPr>
                <w:b w:val="0"/>
                <w:bCs/>
                <w:color w:val="auto"/>
                <w:highlight w:val="none"/>
              </w:rPr>
            </w:pPr>
            <w:r>
              <w:rPr>
                <w:rFonts w:hint="default"/>
                <w:b w:val="0"/>
                <w:bCs/>
                <w:color w:val="auto"/>
                <w:highlight w:val="none"/>
                <w:lang w:val="en-US" w:eastAsia="zh-CN"/>
              </w:rPr>
              <w:t xml:space="preserve">0.06 </w:t>
            </w:r>
          </w:p>
        </w:tc>
        <w:tc>
          <w:tcPr>
            <w:tcW w:w="274" w:type="pct"/>
            <w:tcBorders>
              <w:tl2br w:val="nil"/>
              <w:tr2bl w:val="nil"/>
            </w:tcBorders>
            <w:noWrap/>
            <w:vAlign w:val="center"/>
          </w:tcPr>
          <w:p w14:paraId="786DE444">
            <w:pPr>
              <w:pStyle w:val="45"/>
              <w:bidi w:val="0"/>
              <w:rPr>
                <w:b w:val="0"/>
                <w:bCs/>
                <w:color w:val="auto"/>
                <w:highlight w:val="none"/>
              </w:rPr>
            </w:pPr>
            <w:r>
              <w:rPr>
                <w:rFonts w:hint="default"/>
                <w:b w:val="0"/>
                <w:bCs/>
                <w:color w:val="auto"/>
                <w:highlight w:val="none"/>
                <w:lang w:val="en-US" w:eastAsia="zh-CN"/>
              </w:rPr>
              <w:t xml:space="preserve">1.58 </w:t>
            </w:r>
          </w:p>
        </w:tc>
        <w:tc>
          <w:tcPr>
            <w:tcW w:w="371" w:type="pct"/>
            <w:tcBorders>
              <w:tl2br w:val="nil"/>
              <w:tr2bl w:val="nil"/>
            </w:tcBorders>
            <w:noWrap/>
            <w:vAlign w:val="center"/>
          </w:tcPr>
          <w:p w14:paraId="39D5EA78">
            <w:pPr>
              <w:pStyle w:val="45"/>
              <w:bidi w:val="0"/>
              <w:rPr>
                <w:b w:val="0"/>
                <w:bCs/>
                <w:color w:val="auto"/>
                <w:highlight w:val="none"/>
              </w:rPr>
            </w:pPr>
            <w:r>
              <w:rPr>
                <w:rFonts w:hint="default"/>
                <w:b w:val="0"/>
                <w:bCs/>
                <w:color w:val="auto"/>
                <w:highlight w:val="none"/>
                <w:lang w:val="en-US" w:eastAsia="zh-CN"/>
              </w:rPr>
              <w:t xml:space="preserve">1.52 </w:t>
            </w:r>
          </w:p>
        </w:tc>
        <w:tc>
          <w:tcPr>
            <w:tcW w:w="289" w:type="pct"/>
            <w:tcBorders>
              <w:tl2br w:val="nil"/>
              <w:tr2bl w:val="nil"/>
            </w:tcBorders>
            <w:noWrap/>
            <w:vAlign w:val="center"/>
          </w:tcPr>
          <w:p w14:paraId="58257CFD">
            <w:pPr>
              <w:pStyle w:val="45"/>
              <w:bidi w:val="0"/>
              <w:rPr>
                <w:b w:val="0"/>
                <w:bCs/>
                <w:color w:val="auto"/>
                <w:highlight w:val="none"/>
              </w:rPr>
            </w:pPr>
            <w:r>
              <w:rPr>
                <w:rFonts w:hint="default"/>
                <w:b w:val="0"/>
                <w:bCs/>
                <w:color w:val="auto"/>
                <w:highlight w:val="none"/>
                <w:lang w:val="en-US" w:eastAsia="zh-CN"/>
              </w:rPr>
              <w:t xml:space="preserve">0.06 </w:t>
            </w:r>
          </w:p>
        </w:tc>
        <w:tc>
          <w:tcPr>
            <w:tcW w:w="276" w:type="pct"/>
            <w:tcBorders>
              <w:tl2br w:val="nil"/>
              <w:tr2bl w:val="nil"/>
            </w:tcBorders>
            <w:noWrap/>
            <w:vAlign w:val="center"/>
          </w:tcPr>
          <w:p w14:paraId="67FEECB5">
            <w:pPr>
              <w:pStyle w:val="45"/>
              <w:bidi w:val="0"/>
              <w:rPr>
                <w:b w:val="0"/>
                <w:bCs/>
                <w:color w:val="auto"/>
                <w:highlight w:val="none"/>
              </w:rPr>
            </w:pPr>
          </w:p>
        </w:tc>
        <w:tc>
          <w:tcPr>
            <w:tcW w:w="259" w:type="pct"/>
            <w:tcBorders>
              <w:tl2br w:val="nil"/>
              <w:tr2bl w:val="nil"/>
            </w:tcBorders>
            <w:noWrap/>
            <w:vAlign w:val="center"/>
          </w:tcPr>
          <w:p w14:paraId="75D048BE">
            <w:pPr>
              <w:pStyle w:val="45"/>
              <w:bidi w:val="0"/>
              <w:rPr>
                <w:b w:val="0"/>
                <w:bCs/>
                <w:color w:val="auto"/>
                <w:highlight w:val="none"/>
              </w:rPr>
            </w:pPr>
          </w:p>
        </w:tc>
        <w:tc>
          <w:tcPr>
            <w:tcW w:w="346" w:type="pct"/>
            <w:tcBorders>
              <w:tl2br w:val="nil"/>
              <w:tr2bl w:val="nil"/>
            </w:tcBorders>
            <w:noWrap/>
            <w:vAlign w:val="center"/>
          </w:tcPr>
          <w:p w14:paraId="73238429">
            <w:pPr>
              <w:pStyle w:val="45"/>
              <w:bidi w:val="0"/>
              <w:rPr>
                <w:b w:val="0"/>
                <w:bCs/>
                <w:color w:val="auto"/>
                <w:highlight w:val="none"/>
              </w:rPr>
            </w:pPr>
            <w:r>
              <w:rPr>
                <w:rFonts w:hint="default"/>
                <w:b w:val="0"/>
                <w:bCs/>
                <w:color w:val="auto"/>
                <w:highlight w:val="none"/>
                <w:lang w:val="en-US" w:eastAsia="zh-CN"/>
              </w:rPr>
              <w:t xml:space="preserve">1.43 </w:t>
            </w:r>
          </w:p>
        </w:tc>
        <w:tc>
          <w:tcPr>
            <w:tcW w:w="589" w:type="pct"/>
            <w:tcBorders>
              <w:tl2br w:val="nil"/>
              <w:tr2bl w:val="nil"/>
            </w:tcBorders>
            <w:noWrap/>
            <w:vAlign w:val="center"/>
          </w:tcPr>
          <w:p w14:paraId="75488D1C">
            <w:pPr>
              <w:pStyle w:val="45"/>
              <w:bidi w:val="0"/>
              <w:rPr>
                <w:b w:val="0"/>
                <w:bCs/>
                <w:color w:val="auto"/>
                <w:highlight w:val="none"/>
              </w:rPr>
            </w:pPr>
            <w:r>
              <w:rPr>
                <w:rFonts w:hint="default"/>
                <w:b w:val="0"/>
                <w:bCs/>
                <w:color w:val="auto"/>
                <w:highlight w:val="none"/>
                <w:lang w:val="en-US" w:eastAsia="zh-CN"/>
              </w:rPr>
              <w:t>Z6</w:t>
            </w:r>
          </w:p>
        </w:tc>
      </w:tr>
      <w:tr w14:paraId="3300A3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4379550E">
            <w:pPr>
              <w:pStyle w:val="45"/>
              <w:bidi w:val="0"/>
              <w:rPr>
                <w:b w:val="0"/>
                <w:bCs/>
                <w:color w:val="auto"/>
                <w:highlight w:val="none"/>
              </w:rPr>
            </w:pPr>
          </w:p>
        </w:tc>
        <w:tc>
          <w:tcPr>
            <w:tcW w:w="921" w:type="pct"/>
            <w:tcBorders>
              <w:tl2br w:val="nil"/>
              <w:tr2bl w:val="nil"/>
            </w:tcBorders>
            <w:noWrap/>
            <w:vAlign w:val="center"/>
          </w:tcPr>
          <w:p w14:paraId="669B7ECC">
            <w:pPr>
              <w:pStyle w:val="45"/>
              <w:bidi w:val="0"/>
              <w:rPr>
                <w:b w:val="0"/>
                <w:bCs/>
                <w:color w:val="auto"/>
                <w:highlight w:val="none"/>
              </w:rPr>
            </w:pPr>
            <w:r>
              <w:rPr>
                <w:b w:val="0"/>
                <w:bCs/>
                <w:color w:val="auto"/>
                <w:highlight w:val="none"/>
              </w:rPr>
              <w:t>13#</w:t>
            </w:r>
            <w:r>
              <w:rPr>
                <w:rFonts w:hint="default"/>
                <w:b w:val="0"/>
                <w:bCs/>
                <w:color w:val="auto"/>
                <w:highlight w:val="none"/>
              </w:rPr>
              <w:t>风机安装场地</w:t>
            </w:r>
          </w:p>
        </w:tc>
        <w:tc>
          <w:tcPr>
            <w:tcW w:w="293" w:type="pct"/>
            <w:tcBorders>
              <w:tl2br w:val="nil"/>
              <w:tr2bl w:val="nil"/>
            </w:tcBorders>
            <w:noWrap/>
            <w:vAlign w:val="center"/>
          </w:tcPr>
          <w:p w14:paraId="75C25F15">
            <w:pPr>
              <w:pStyle w:val="45"/>
              <w:bidi w:val="0"/>
              <w:rPr>
                <w:b w:val="0"/>
                <w:bCs/>
                <w:color w:val="auto"/>
                <w:highlight w:val="none"/>
              </w:rPr>
            </w:pPr>
            <w:r>
              <w:rPr>
                <w:rFonts w:hint="default"/>
                <w:b w:val="0"/>
                <w:bCs/>
                <w:color w:val="auto"/>
                <w:highlight w:val="none"/>
                <w:lang w:val="en-US" w:eastAsia="zh-CN"/>
              </w:rPr>
              <w:t xml:space="preserve">1.62 </w:t>
            </w:r>
          </w:p>
        </w:tc>
        <w:tc>
          <w:tcPr>
            <w:tcW w:w="331" w:type="pct"/>
            <w:tcBorders>
              <w:tl2br w:val="nil"/>
              <w:tr2bl w:val="nil"/>
            </w:tcBorders>
            <w:noWrap/>
            <w:vAlign w:val="center"/>
          </w:tcPr>
          <w:p w14:paraId="0434677E">
            <w:pPr>
              <w:pStyle w:val="45"/>
              <w:bidi w:val="0"/>
              <w:rPr>
                <w:b w:val="0"/>
                <w:bCs/>
                <w:color w:val="auto"/>
                <w:highlight w:val="none"/>
              </w:rPr>
            </w:pPr>
            <w:r>
              <w:rPr>
                <w:rFonts w:hint="default"/>
                <w:b w:val="0"/>
                <w:bCs/>
                <w:color w:val="auto"/>
                <w:highlight w:val="none"/>
                <w:lang w:val="en-US" w:eastAsia="zh-CN"/>
              </w:rPr>
              <w:t xml:space="preserve">1.59 </w:t>
            </w:r>
          </w:p>
        </w:tc>
        <w:tc>
          <w:tcPr>
            <w:tcW w:w="250" w:type="pct"/>
            <w:tcBorders>
              <w:tl2br w:val="nil"/>
              <w:tr2bl w:val="nil"/>
            </w:tcBorders>
            <w:noWrap/>
            <w:vAlign w:val="center"/>
          </w:tcPr>
          <w:p w14:paraId="50F86AEC">
            <w:pPr>
              <w:pStyle w:val="45"/>
              <w:bidi w:val="0"/>
              <w:rPr>
                <w:b w:val="0"/>
                <w:bCs/>
                <w:color w:val="auto"/>
                <w:highlight w:val="none"/>
              </w:rPr>
            </w:pPr>
            <w:r>
              <w:rPr>
                <w:rFonts w:hint="default"/>
                <w:b w:val="0"/>
                <w:bCs/>
                <w:color w:val="auto"/>
                <w:highlight w:val="none"/>
                <w:lang w:val="en-US" w:eastAsia="zh-CN"/>
              </w:rPr>
              <w:t xml:space="preserve">0.03 </w:t>
            </w:r>
          </w:p>
        </w:tc>
        <w:tc>
          <w:tcPr>
            <w:tcW w:w="274" w:type="pct"/>
            <w:tcBorders>
              <w:tl2br w:val="nil"/>
              <w:tr2bl w:val="nil"/>
            </w:tcBorders>
            <w:noWrap/>
            <w:vAlign w:val="center"/>
          </w:tcPr>
          <w:p w14:paraId="11878968">
            <w:pPr>
              <w:pStyle w:val="45"/>
              <w:bidi w:val="0"/>
              <w:rPr>
                <w:b w:val="0"/>
                <w:bCs/>
                <w:color w:val="auto"/>
                <w:highlight w:val="none"/>
              </w:rPr>
            </w:pPr>
            <w:r>
              <w:rPr>
                <w:rFonts w:hint="default"/>
                <w:b w:val="0"/>
                <w:bCs/>
                <w:color w:val="auto"/>
                <w:highlight w:val="none"/>
                <w:lang w:val="en-US" w:eastAsia="zh-CN"/>
              </w:rPr>
              <w:t xml:space="preserve">0.85 </w:t>
            </w:r>
          </w:p>
        </w:tc>
        <w:tc>
          <w:tcPr>
            <w:tcW w:w="371" w:type="pct"/>
            <w:tcBorders>
              <w:tl2br w:val="nil"/>
              <w:tr2bl w:val="nil"/>
            </w:tcBorders>
            <w:noWrap/>
            <w:vAlign w:val="center"/>
          </w:tcPr>
          <w:p w14:paraId="6B775A32">
            <w:pPr>
              <w:pStyle w:val="45"/>
              <w:bidi w:val="0"/>
              <w:rPr>
                <w:b w:val="0"/>
                <w:bCs/>
                <w:color w:val="auto"/>
                <w:highlight w:val="none"/>
              </w:rPr>
            </w:pPr>
            <w:r>
              <w:rPr>
                <w:rFonts w:hint="default"/>
                <w:b w:val="0"/>
                <w:bCs/>
                <w:color w:val="auto"/>
                <w:highlight w:val="none"/>
                <w:lang w:val="en-US" w:eastAsia="zh-CN"/>
              </w:rPr>
              <w:t xml:space="preserve">0.82 </w:t>
            </w:r>
          </w:p>
        </w:tc>
        <w:tc>
          <w:tcPr>
            <w:tcW w:w="289" w:type="pct"/>
            <w:tcBorders>
              <w:tl2br w:val="nil"/>
              <w:tr2bl w:val="nil"/>
            </w:tcBorders>
            <w:noWrap/>
            <w:vAlign w:val="center"/>
          </w:tcPr>
          <w:p w14:paraId="4C7A129A">
            <w:pPr>
              <w:pStyle w:val="45"/>
              <w:bidi w:val="0"/>
              <w:rPr>
                <w:b w:val="0"/>
                <w:bCs/>
                <w:color w:val="auto"/>
                <w:highlight w:val="none"/>
              </w:rPr>
            </w:pPr>
            <w:r>
              <w:rPr>
                <w:rFonts w:hint="default"/>
                <w:b w:val="0"/>
                <w:bCs/>
                <w:color w:val="auto"/>
                <w:highlight w:val="none"/>
                <w:lang w:val="en-US" w:eastAsia="zh-CN"/>
              </w:rPr>
              <w:t xml:space="preserve">0.03 </w:t>
            </w:r>
          </w:p>
        </w:tc>
        <w:tc>
          <w:tcPr>
            <w:tcW w:w="276" w:type="pct"/>
            <w:tcBorders>
              <w:tl2br w:val="nil"/>
              <w:tr2bl w:val="nil"/>
            </w:tcBorders>
            <w:noWrap/>
            <w:vAlign w:val="center"/>
          </w:tcPr>
          <w:p w14:paraId="2EC66B83">
            <w:pPr>
              <w:pStyle w:val="45"/>
              <w:bidi w:val="0"/>
              <w:rPr>
                <w:b w:val="0"/>
                <w:bCs/>
                <w:color w:val="auto"/>
                <w:highlight w:val="none"/>
              </w:rPr>
            </w:pPr>
          </w:p>
        </w:tc>
        <w:tc>
          <w:tcPr>
            <w:tcW w:w="259" w:type="pct"/>
            <w:tcBorders>
              <w:tl2br w:val="nil"/>
              <w:tr2bl w:val="nil"/>
            </w:tcBorders>
            <w:noWrap/>
            <w:vAlign w:val="center"/>
          </w:tcPr>
          <w:p w14:paraId="17B9BBDE">
            <w:pPr>
              <w:pStyle w:val="45"/>
              <w:bidi w:val="0"/>
              <w:rPr>
                <w:b w:val="0"/>
                <w:bCs/>
                <w:color w:val="auto"/>
                <w:highlight w:val="none"/>
              </w:rPr>
            </w:pPr>
          </w:p>
        </w:tc>
        <w:tc>
          <w:tcPr>
            <w:tcW w:w="346" w:type="pct"/>
            <w:tcBorders>
              <w:tl2br w:val="nil"/>
              <w:tr2bl w:val="nil"/>
            </w:tcBorders>
            <w:noWrap/>
            <w:vAlign w:val="center"/>
          </w:tcPr>
          <w:p w14:paraId="126606F5">
            <w:pPr>
              <w:pStyle w:val="45"/>
              <w:bidi w:val="0"/>
              <w:rPr>
                <w:b w:val="0"/>
                <w:bCs/>
                <w:color w:val="auto"/>
                <w:highlight w:val="none"/>
              </w:rPr>
            </w:pPr>
            <w:r>
              <w:rPr>
                <w:rFonts w:hint="default"/>
                <w:b w:val="0"/>
                <w:bCs/>
                <w:color w:val="auto"/>
                <w:highlight w:val="none"/>
                <w:lang w:val="en-US" w:eastAsia="zh-CN"/>
              </w:rPr>
              <w:t xml:space="preserve">0.77 </w:t>
            </w:r>
          </w:p>
        </w:tc>
        <w:tc>
          <w:tcPr>
            <w:tcW w:w="589" w:type="pct"/>
            <w:tcBorders>
              <w:tl2br w:val="nil"/>
              <w:tr2bl w:val="nil"/>
            </w:tcBorders>
            <w:noWrap/>
            <w:vAlign w:val="center"/>
          </w:tcPr>
          <w:p w14:paraId="2EDC04B3">
            <w:pPr>
              <w:pStyle w:val="45"/>
              <w:bidi w:val="0"/>
              <w:rPr>
                <w:b w:val="0"/>
                <w:bCs/>
                <w:color w:val="auto"/>
                <w:highlight w:val="none"/>
              </w:rPr>
            </w:pPr>
            <w:r>
              <w:rPr>
                <w:rFonts w:hint="default"/>
                <w:b w:val="0"/>
                <w:bCs/>
                <w:color w:val="auto"/>
                <w:highlight w:val="none"/>
                <w:lang w:val="en-US" w:eastAsia="zh-CN"/>
              </w:rPr>
              <w:t>Z12</w:t>
            </w:r>
          </w:p>
        </w:tc>
      </w:tr>
      <w:tr w14:paraId="79AB31A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4DE85C77">
            <w:pPr>
              <w:pStyle w:val="45"/>
              <w:bidi w:val="0"/>
              <w:rPr>
                <w:b w:val="0"/>
                <w:bCs/>
                <w:color w:val="auto"/>
                <w:highlight w:val="none"/>
              </w:rPr>
            </w:pPr>
          </w:p>
        </w:tc>
        <w:tc>
          <w:tcPr>
            <w:tcW w:w="921" w:type="pct"/>
            <w:tcBorders>
              <w:tl2br w:val="nil"/>
              <w:tr2bl w:val="nil"/>
            </w:tcBorders>
            <w:noWrap/>
            <w:vAlign w:val="center"/>
          </w:tcPr>
          <w:p w14:paraId="024DB582">
            <w:pPr>
              <w:pStyle w:val="45"/>
              <w:bidi w:val="0"/>
              <w:rPr>
                <w:b w:val="0"/>
                <w:bCs/>
                <w:color w:val="auto"/>
                <w:highlight w:val="none"/>
              </w:rPr>
            </w:pPr>
            <w:r>
              <w:rPr>
                <w:b w:val="0"/>
                <w:bCs/>
                <w:color w:val="auto"/>
                <w:highlight w:val="none"/>
              </w:rPr>
              <w:t>14#-16#</w:t>
            </w:r>
            <w:r>
              <w:rPr>
                <w:rFonts w:hint="default"/>
                <w:b w:val="0"/>
                <w:bCs/>
                <w:color w:val="auto"/>
                <w:highlight w:val="none"/>
              </w:rPr>
              <w:t>风机安装场地</w:t>
            </w:r>
          </w:p>
        </w:tc>
        <w:tc>
          <w:tcPr>
            <w:tcW w:w="293" w:type="pct"/>
            <w:tcBorders>
              <w:tl2br w:val="nil"/>
              <w:tr2bl w:val="nil"/>
            </w:tcBorders>
            <w:noWrap/>
            <w:vAlign w:val="center"/>
          </w:tcPr>
          <w:p w14:paraId="0E41543A">
            <w:pPr>
              <w:pStyle w:val="45"/>
              <w:bidi w:val="0"/>
              <w:rPr>
                <w:b w:val="0"/>
                <w:bCs/>
                <w:color w:val="auto"/>
                <w:highlight w:val="none"/>
              </w:rPr>
            </w:pPr>
            <w:r>
              <w:rPr>
                <w:rFonts w:hint="default"/>
                <w:b w:val="0"/>
                <w:bCs/>
                <w:color w:val="auto"/>
                <w:highlight w:val="none"/>
                <w:lang w:val="en-US" w:eastAsia="zh-CN"/>
              </w:rPr>
              <w:t xml:space="preserve">4.42 </w:t>
            </w:r>
          </w:p>
        </w:tc>
        <w:tc>
          <w:tcPr>
            <w:tcW w:w="331" w:type="pct"/>
            <w:tcBorders>
              <w:tl2br w:val="nil"/>
              <w:tr2bl w:val="nil"/>
            </w:tcBorders>
            <w:noWrap/>
            <w:vAlign w:val="center"/>
          </w:tcPr>
          <w:p w14:paraId="2B73268A">
            <w:pPr>
              <w:pStyle w:val="45"/>
              <w:bidi w:val="0"/>
              <w:rPr>
                <w:b w:val="0"/>
                <w:bCs/>
                <w:color w:val="auto"/>
                <w:highlight w:val="none"/>
              </w:rPr>
            </w:pPr>
            <w:r>
              <w:rPr>
                <w:rFonts w:hint="default"/>
                <w:b w:val="0"/>
                <w:bCs/>
                <w:color w:val="auto"/>
                <w:highlight w:val="none"/>
                <w:lang w:val="en-US" w:eastAsia="zh-CN"/>
              </w:rPr>
              <w:t xml:space="preserve">4.32 </w:t>
            </w:r>
          </w:p>
        </w:tc>
        <w:tc>
          <w:tcPr>
            <w:tcW w:w="250" w:type="pct"/>
            <w:tcBorders>
              <w:tl2br w:val="nil"/>
              <w:tr2bl w:val="nil"/>
            </w:tcBorders>
            <w:noWrap/>
            <w:vAlign w:val="center"/>
          </w:tcPr>
          <w:p w14:paraId="03C146B2">
            <w:pPr>
              <w:pStyle w:val="45"/>
              <w:bidi w:val="0"/>
              <w:rPr>
                <w:b w:val="0"/>
                <w:bCs/>
                <w:color w:val="auto"/>
                <w:highlight w:val="none"/>
              </w:rPr>
            </w:pPr>
            <w:r>
              <w:rPr>
                <w:rFonts w:hint="default"/>
                <w:b w:val="0"/>
                <w:bCs/>
                <w:color w:val="auto"/>
                <w:highlight w:val="none"/>
                <w:lang w:val="en-US" w:eastAsia="zh-CN"/>
              </w:rPr>
              <w:t xml:space="preserve">0.10 </w:t>
            </w:r>
          </w:p>
        </w:tc>
        <w:tc>
          <w:tcPr>
            <w:tcW w:w="274" w:type="pct"/>
            <w:tcBorders>
              <w:tl2br w:val="nil"/>
              <w:tr2bl w:val="nil"/>
            </w:tcBorders>
            <w:noWrap/>
            <w:vAlign w:val="center"/>
          </w:tcPr>
          <w:p w14:paraId="50667DA6">
            <w:pPr>
              <w:pStyle w:val="45"/>
              <w:bidi w:val="0"/>
              <w:rPr>
                <w:b w:val="0"/>
                <w:bCs/>
                <w:color w:val="auto"/>
                <w:highlight w:val="none"/>
              </w:rPr>
            </w:pPr>
            <w:r>
              <w:rPr>
                <w:rFonts w:hint="default"/>
                <w:b w:val="0"/>
                <w:bCs/>
                <w:color w:val="auto"/>
                <w:highlight w:val="none"/>
                <w:lang w:val="en-US" w:eastAsia="zh-CN"/>
              </w:rPr>
              <w:t xml:space="preserve">2.33 </w:t>
            </w:r>
          </w:p>
        </w:tc>
        <w:tc>
          <w:tcPr>
            <w:tcW w:w="371" w:type="pct"/>
            <w:tcBorders>
              <w:tl2br w:val="nil"/>
              <w:tr2bl w:val="nil"/>
            </w:tcBorders>
            <w:noWrap/>
            <w:vAlign w:val="center"/>
          </w:tcPr>
          <w:p w14:paraId="623D0BD2">
            <w:pPr>
              <w:pStyle w:val="45"/>
              <w:bidi w:val="0"/>
              <w:rPr>
                <w:b w:val="0"/>
                <w:bCs/>
                <w:color w:val="auto"/>
                <w:highlight w:val="none"/>
              </w:rPr>
            </w:pPr>
            <w:r>
              <w:rPr>
                <w:rFonts w:hint="default"/>
                <w:b w:val="0"/>
                <w:bCs/>
                <w:color w:val="auto"/>
                <w:highlight w:val="none"/>
                <w:lang w:val="en-US" w:eastAsia="zh-CN"/>
              </w:rPr>
              <w:t xml:space="preserve">2.23 </w:t>
            </w:r>
          </w:p>
        </w:tc>
        <w:tc>
          <w:tcPr>
            <w:tcW w:w="289" w:type="pct"/>
            <w:tcBorders>
              <w:tl2br w:val="nil"/>
              <w:tr2bl w:val="nil"/>
            </w:tcBorders>
            <w:noWrap/>
            <w:vAlign w:val="center"/>
          </w:tcPr>
          <w:p w14:paraId="5F926092">
            <w:pPr>
              <w:pStyle w:val="45"/>
              <w:bidi w:val="0"/>
              <w:rPr>
                <w:b w:val="0"/>
                <w:bCs/>
                <w:color w:val="auto"/>
                <w:highlight w:val="none"/>
              </w:rPr>
            </w:pPr>
            <w:r>
              <w:rPr>
                <w:rFonts w:hint="default"/>
                <w:b w:val="0"/>
                <w:bCs/>
                <w:color w:val="auto"/>
                <w:highlight w:val="none"/>
                <w:lang w:val="en-US" w:eastAsia="zh-CN"/>
              </w:rPr>
              <w:t xml:space="preserve">0.10 </w:t>
            </w:r>
          </w:p>
        </w:tc>
        <w:tc>
          <w:tcPr>
            <w:tcW w:w="276" w:type="pct"/>
            <w:tcBorders>
              <w:tl2br w:val="nil"/>
              <w:tr2bl w:val="nil"/>
            </w:tcBorders>
            <w:noWrap/>
            <w:vAlign w:val="center"/>
          </w:tcPr>
          <w:p w14:paraId="5204A9C4">
            <w:pPr>
              <w:pStyle w:val="45"/>
              <w:bidi w:val="0"/>
              <w:rPr>
                <w:b w:val="0"/>
                <w:bCs/>
                <w:color w:val="auto"/>
                <w:highlight w:val="none"/>
              </w:rPr>
            </w:pPr>
          </w:p>
        </w:tc>
        <w:tc>
          <w:tcPr>
            <w:tcW w:w="259" w:type="pct"/>
            <w:tcBorders>
              <w:tl2br w:val="nil"/>
              <w:tr2bl w:val="nil"/>
            </w:tcBorders>
            <w:noWrap/>
            <w:vAlign w:val="center"/>
          </w:tcPr>
          <w:p w14:paraId="6F94BA1E">
            <w:pPr>
              <w:pStyle w:val="45"/>
              <w:bidi w:val="0"/>
              <w:rPr>
                <w:b w:val="0"/>
                <w:bCs/>
                <w:color w:val="auto"/>
                <w:highlight w:val="none"/>
              </w:rPr>
            </w:pPr>
          </w:p>
        </w:tc>
        <w:tc>
          <w:tcPr>
            <w:tcW w:w="346" w:type="pct"/>
            <w:tcBorders>
              <w:tl2br w:val="nil"/>
              <w:tr2bl w:val="nil"/>
            </w:tcBorders>
            <w:noWrap/>
            <w:vAlign w:val="center"/>
          </w:tcPr>
          <w:p w14:paraId="314ABCD7">
            <w:pPr>
              <w:pStyle w:val="45"/>
              <w:bidi w:val="0"/>
              <w:rPr>
                <w:b w:val="0"/>
                <w:bCs/>
                <w:color w:val="auto"/>
                <w:highlight w:val="none"/>
              </w:rPr>
            </w:pPr>
            <w:r>
              <w:rPr>
                <w:rFonts w:hint="default"/>
                <w:b w:val="0"/>
                <w:bCs/>
                <w:color w:val="auto"/>
                <w:highlight w:val="none"/>
                <w:lang w:val="en-US" w:eastAsia="zh-CN"/>
              </w:rPr>
              <w:t xml:space="preserve">2.09 </w:t>
            </w:r>
          </w:p>
        </w:tc>
        <w:tc>
          <w:tcPr>
            <w:tcW w:w="589" w:type="pct"/>
            <w:tcBorders>
              <w:tl2br w:val="nil"/>
              <w:tr2bl w:val="nil"/>
            </w:tcBorders>
            <w:noWrap/>
            <w:vAlign w:val="center"/>
          </w:tcPr>
          <w:p w14:paraId="1C0E23E9">
            <w:pPr>
              <w:pStyle w:val="45"/>
              <w:bidi w:val="0"/>
              <w:rPr>
                <w:b w:val="0"/>
                <w:bCs/>
                <w:color w:val="auto"/>
                <w:highlight w:val="none"/>
              </w:rPr>
            </w:pPr>
            <w:r>
              <w:rPr>
                <w:rFonts w:hint="default"/>
                <w:b w:val="0"/>
                <w:bCs/>
                <w:color w:val="auto"/>
                <w:highlight w:val="none"/>
                <w:lang w:val="en-US" w:eastAsia="zh-CN"/>
              </w:rPr>
              <w:t>Z11</w:t>
            </w:r>
          </w:p>
        </w:tc>
      </w:tr>
      <w:tr w14:paraId="49CEB3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199E20A0">
            <w:pPr>
              <w:pStyle w:val="45"/>
              <w:bidi w:val="0"/>
              <w:rPr>
                <w:b w:val="0"/>
                <w:bCs/>
                <w:color w:val="auto"/>
                <w:highlight w:val="none"/>
              </w:rPr>
            </w:pPr>
          </w:p>
        </w:tc>
        <w:tc>
          <w:tcPr>
            <w:tcW w:w="921" w:type="pct"/>
            <w:tcBorders>
              <w:tl2br w:val="nil"/>
              <w:tr2bl w:val="nil"/>
            </w:tcBorders>
            <w:noWrap/>
            <w:vAlign w:val="center"/>
          </w:tcPr>
          <w:p w14:paraId="7C431F3E">
            <w:pPr>
              <w:pStyle w:val="45"/>
              <w:bidi w:val="0"/>
              <w:rPr>
                <w:b w:val="0"/>
                <w:bCs/>
                <w:color w:val="auto"/>
                <w:highlight w:val="none"/>
              </w:rPr>
            </w:pPr>
            <w:r>
              <w:rPr>
                <w:b w:val="0"/>
                <w:bCs/>
                <w:color w:val="auto"/>
                <w:highlight w:val="none"/>
              </w:rPr>
              <w:t>17#-19#</w:t>
            </w:r>
            <w:r>
              <w:rPr>
                <w:rFonts w:hint="default"/>
                <w:b w:val="0"/>
                <w:bCs/>
                <w:color w:val="auto"/>
                <w:highlight w:val="none"/>
              </w:rPr>
              <w:t>风机安装场地</w:t>
            </w:r>
          </w:p>
        </w:tc>
        <w:tc>
          <w:tcPr>
            <w:tcW w:w="293" w:type="pct"/>
            <w:tcBorders>
              <w:tl2br w:val="nil"/>
              <w:tr2bl w:val="nil"/>
            </w:tcBorders>
            <w:noWrap/>
            <w:vAlign w:val="center"/>
          </w:tcPr>
          <w:p w14:paraId="6F70BFB9">
            <w:pPr>
              <w:pStyle w:val="45"/>
              <w:bidi w:val="0"/>
              <w:rPr>
                <w:b w:val="0"/>
                <w:bCs/>
                <w:color w:val="auto"/>
                <w:highlight w:val="none"/>
              </w:rPr>
            </w:pPr>
            <w:r>
              <w:rPr>
                <w:rFonts w:hint="default"/>
                <w:b w:val="0"/>
                <w:bCs/>
                <w:color w:val="auto"/>
                <w:highlight w:val="none"/>
                <w:lang w:val="en-US" w:eastAsia="zh-CN"/>
              </w:rPr>
              <w:t xml:space="preserve">4.58 </w:t>
            </w:r>
          </w:p>
        </w:tc>
        <w:tc>
          <w:tcPr>
            <w:tcW w:w="331" w:type="pct"/>
            <w:tcBorders>
              <w:tl2br w:val="nil"/>
              <w:tr2bl w:val="nil"/>
            </w:tcBorders>
            <w:noWrap/>
            <w:vAlign w:val="center"/>
          </w:tcPr>
          <w:p w14:paraId="3E815411">
            <w:pPr>
              <w:pStyle w:val="45"/>
              <w:bidi w:val="0"/>
              <w:rPr>
                <w:b w:val="0"/>
                <w:bCs/>
                <w:color w:val="auto"/>
                <w:highlight w:val="none"/>
              </w:rPr>
            </w:pPr>
            <w:r>
              <w:rPr>
                <w:rFonts w:hint="default"/>
                <w:b w:val="0"/>
                <w:bCs/>
                <w:color w:val="auto"/>
                <w:highlight w:val="none"/>
                <w:lang w:val="en-US" w:eastAsia="zh-CN"/>
              </w:rPr>
              <w:t xml:space="preserve">4.48 </w:t>
            </w:r>
          </w:p>
        </w:tc>
        <w:tc>
          <w:tcPr>
            <w:tcW w:w="250" w:type="pct"/>
            <w:tcBorders>
              <w:tl2br w:val="nil"/>
              <w:tr2bl w:val="nil"/>
            </w:tcBorders>
            <w:noWrap/>
            <w:vAlign w:val="center"/>
          </w:tcPr>
          <w:p w14:paraId="7BE62FBB">
            <w:pPr>
              <w:pStyle w:val="45"/>
              <w:bidi w:val="0"/>
              <w:rPr>
                <w:b w:val="0"/>
                <w:bCs/>
                <w:color w:val="auto"/>
                <w:highlight w:val="none"/>
              </w:rPr>
            </w:pPr>
            <w:r>
              <w:rPr>
                <w:rFonts w:hint="default"/>
                <w:b w:val="0"/>
                <w:bCs/>
                <w:color w:val="auto"/>
                <w:highlight w:val="none"/>
                <w:lang w:val="en-US" w:eastAsia="zh-CN"/>
              </w:rPr>
              <w:t xml:space="preserve">0.10 </w:t>
            </w:r>
          </w:p>
        </w:tc>
        <w:tc>
          <w:tcPr>
            <w:tcW w:w="274" w:type="pct"/>
            <w:tcBorders>
              <w:tl2br w:val="nil"/>
              <w:tr2bl w:val="nil"/>
            </w:tcBorders>
            <w:noWrap/>
            <w:vAlign w:val="center"/>
          </w:tcPr>
          <w:p w14:paraId="55274A02">
            <w:pPr>
              <w:pStyle w:val="45"/>
              <w:bidi w:val="0"/>
              <w:rPr>
                <w:b w:val="0"/>
                <w:bCs/>
                <w:color w:val="auto"/>
                <w:highlight w:val="none"/>
              </w:rPr>
            </w:pPr>
            <w:r>
              <w:rPr>
                <w:rFonts w:hint="default"/>
                <w:b w:val="0"/>
                <w:bCs/>
                <w:color w:val="auto"/>
                <w:highlight w:val="none"/>
                <w:lang w:val="en-US" w:eastAsia="zh-CN"/>
              </w:rPr>
              <w:t xml:space="preserve">2.41 </w:t>
            </w:r>
          </w:p>
        </w:tc>
        <w:tc>
          <w:tcPr>
            <w:tcW w:w="371" w:type="pct"/>
            <w:tcBorders>
              <w:tl2br w:val="nil"/>
              <w:tr2bl w:val="nil"/>
            </w:tcBorders>
            <w:noWrap/>
            <w:vAlign w:val="center"/>
          </w:tcPr>
          <w:p w14:paraId="7DBBD9DC">
            <w:pPr>
              <w:pStyle w:val="45"/>
              <w:bidi w:val="0"/>
              <w:rPr>
                <w:b w:val="0"/>
                <w:bCs/>
                <w:color w:val="auto"/>
                <w:highlight w:val="none"/>
              </w:rPr>
            </w:pPr>
            <w:r>
              <w:rPr>
                <w:rFonts w:hint="default"/>
                <w:b w:val="0"/>
                <w:bCs/>
                <w:color w:val="auto"/>
                <w:highlight w:val="none"/>
                <w:lang w:val="en-US" w:eastAsia="zh-CN"/>
              </w:rPr>
              <w:t xml:space="preserve">2.31 </w:t>
            </w:r>
          </w:p>
        </w:tc>
        <w:tc>
          <w:tcPr>
            <w:tcW w:w="289" w:type="pct"/>
            <w:tcBorders>
              <w:tl2br w:val="nil"/>
              <w:tr2bl w:val="nil"/>
            </w:tcBorders>
            <w:noWrap/>
            <w:vAlign w:val="center"/>
          </w:tcPr>
          <w:p w14:paraId="3199287D">
            <w:pPr>
              <w:pStyle w:val="45"/>
              <w:bidi w:val="0"/>
              <w:rPr>
                <w:b w:val="0"/>
                <w:bCs/>
                <w:color w:val="auto"/>
                <w:highlight w:val="none"/>
              </w:rPr>
            </w:pPr>
            <w:r>
              <w:rPr>
                <w:rFonts w:hint="default"/>
                <w:b w:val="0"/>
                <w:bCs/>
                <w:color w:val="auto"/>
                <w:highlight w:val="none"/>
                <w:lang w:val="en-US" w:eastAsia="zh-CN"/>
              </w:rPr>
              <w:t xml:space="preserve">0.10 </w:t>
            </w:r>
          </w:p>
        </w:tc>
        <w:tc>
          <w:tcPr>
            <w:tcW w:w="276" w:type="pct"/>
            <w:tcBorders>
              <w:tl2br w:val="nil"/>
              <w:tr2bl w:val="nil"/>
            </w:tcBorders>
            <w:noWrap/>
            <w:vAlign w:val="center"/>
          </w:tcPr>
          <w:p w14:paraId="473B7F0E">
            <w:pPr>
              <w:pStyle w:val="45"/>
              <w:bidi w:val="0"/>
              <w:rPr>
                <w:b w:val="0"/>
                <w:bCs/>
                <w:color w:val="auto"/>
                <w:highlight w:val="none"/>
              </w:rPr>
            </w:pPr>
          </w:p>
        </w:tc>
        <w:tc>
          <w:tcPr>
            <w:tcW w:w="259" w:type="pct"/>
            <w:tcBorders>
              <w:tl2br w:val="nil"/>
              <w:tr2bl w:val="nil"/>
            </w:tcBorders>
            <w:noWrap/>
            <w:vAlign w:val="center"/>
          </w:tcPr>
          <w:p w14:paraId="20713CBB">
            <w:pPr>
              <w:pStyle w:val="45"/>
              <w:bidi w:val="0"/>
              <w:rPr>
                <w:b w:val="0"/>
                <w:bCs/>
                <w:color w:val="auto"/>
                <w:highlight w:val="none"/>
              </w:rPr>
            </w:pPr>
          </w:p>
        </w:tc>
        <w:tc>
          <w:tcPr>
            <w:tcW w:w="346" w:type="pct"/>
            <w:tcBorders>
              <w:tl2br w:val="nil"/>
              <w:tr2bl w:val="nil"/>
            </w:tcBorders>
            <w:noWrap/>
            <w:vAlign w:val="center"/>
          </w:tcPr>
          <w:p w14:paraId="491D6E17">
            <w:pPr>
              <w:pStyle w:val="45"/>
              <w:bidi w:val="0"/>
              <w:rPr>
                <w:b w:val="0"/>
                <w:bCs/>
                <w:color w:val="auto"/>
                <w:highlight w:val="none"/>
              </w:rPr>
            </w:pPr>
            <w:r>
              <w:rPr>
                <w:rFonts w:hint="default"/>
                <w:b w:val="0"/>
                <w:bCs/>
                <w:color w:val="auto"/>
                <w:highlight w:val="none"/>
                <w:lang w:val="en-US" w:eastAsia="zh-CN"/>
              </w:rPr>
              <w:t xml:space="preserve">2.17 </w:t>
            </w:r>
          </w:p>
        </w:tc>
        <w:tc>
          <w:tcPr>
            <w:tcW w:w="589" w:type="pct"/>
            <w:tcBorders>
              <w:tl2br w:val="nil"/>
              <w:tr2bl w:val="nil"/>
            </w:tcBorders>
            <w:noWrap/>
            <w:vAlign w:val="center"/>
          </w:tcPr>
          <w:p w14:paraId="2BDA9AE1">
            <w:pPr>
              <w:pStyle w:val="45"/>
              <w:bidi w:val="0"/>
              <w:rPr>
                <w:b w:val="0"/>
                <w:bCs/>
                <w:color w:val="auto"/>
                <w:highlight w:val="none"/>
              </w:rPr>
            </w:pPr>
            <w:r>
              <w:rPr>
                <w:rFonts w:hint="default"/>
                <w:b w:val="0"/>
                <w:bCs/>
                <w:color w:val="auto"/>
                <w:highlight w:val="none"/>
                <w:lang w:val="en-US" w:eastAsia="zh-CN"/>
              </w:rPr>
              <w:t>Z9</w:t>
            </w:r>
          </w:p>
        </w:tc>
      </w:tr>
      <w:tr w14:paraId="26AFA2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14512D3E">
            <w:pPr>
              <w:pStyle w:val="45"/>
              <w:bidi w:val="0"/>
              <w:rPr>
                <w:b w:val="0"/>
                <w:bCs/>
                <w:color w:val="auto"/>
                <w:highlight w:val="none"/>
              </w:rPr>
            </w:pPr>
          </w:p>
        </w:tc>
        <w:tc>
          <w:tcPr>
            <w:tcW w:w="921" w:type="pct"/>
            <w:tcBorders>
              <w:tl2br w:val="nil"/>
              <w:tr2bl w:val="nil"/>
            </w:tcBorders>
            <w:noWrap/>
            <w:vAlign w:val="center"/>
          </w:tcPr>
          <w:p w14:paraId="1122CCA7">
            <w:pPr>
              <w:pStyle w:val="45"/>
              <w:bidi w:val="0"/>
              <w:rPr>
                <w:b w:val="0"/>
                <w:bCs/>
                <w:color w:val="auto"/>
                <w:highlight w:val="none"/>
              </w:rPr>
            </w:pPr>
            <w:r>
              <w:rPr>
                <w:rFonts w:hint="default"/>
                <w:b w:val="0"/>
                <w:bCs/>
                <w:color w:val="auto"/>
                <w:highlight w:val="none"/>
              </w:rPr>
              <w:t>小计</w:t>
            </w:r>
          </w:p>
        </w:tc>
        <w:tc>
          <w:tcPr>
            <w:tcW w:w="293" w:type="pct"/>
            <w:tcBorders>
              <w:tl2br w:val="nil"/>
              <w:tr2bl w:val="nil"/>
            </w:tcBorders>
            <w:noWrap/>
            <w:vAlign w:val="center"/>
          </w:tcPr>
          <w:p w14:paraId="36FDAB76">
            <w:pPr>
              <w:pStyle w:val="45"/>
              <w:bidi w:val="0"/>
              <w:rPr>
                <w:b w:val="0"/>
                <w:bCs/>
                <w:color w:val="auto"/>
                <w:highlight w:val="none"/>
              </w:rPr>
            </w:pPr>
            <w:r>
              <w:rPr>
                <w:rFonts w:hint="default"/>
                <w:b w:val="0"/>
                <w:bCs/>
                <w:color w:val="auto"/>
                <w:highlight w:val="none"/>
                <w:lang w:val="en-US" w:eastAsia="zh-CN"/>
              </w:rPr>
              <w:t xml:space="preserve">24.37 </w:t>
            </w:r>
          </w:p>
        </w:tc>
        <w:tc>
          <w:tcPr>
            <w:tcW w:w="331" w:type="pct"/>
            <w:tcBorders>
              <w:tl2br w:val="nil"/>
              <w:tr2bl w:val="nil"/>
            </w:tcBorders>
            <w:noWrap/>
            <w:vAlign w:val="center"/>
          </w:tcPr>
          <w:p w14:paraId="17EEBD4E">
            <w:pPr>
              <w:pStyle w:val="45"/>
              <w:bidi w:val="0"/>
              <w:rPr>
                <w:b w:val="0"/>
                <w:bCs/>
                <w:color w:val="auto"/>
                <w:highlight w:val="none"/>
              </w:rPr>
            </w:pPr>
            <w:r>
              <w:rPr>
                <w:rFonts w:hint="default"/>
                <w:b w:val="0"/>
                <w:bCs/>
                <w:color w:val="auto"/>
                <w:highlight w:val="none"/>
                <w:lang w:val="en-US" w:eastAsia="zh-CN"/>
              </w:rPr>
              <w:t xml:space="preserve">23.83 </w:t>
            </w:r>
          </w:p>
        </w:tc>
        <w:tc>
          <w:tcPr>
            <w:tcW w:w="250" w:type="pct"/>
            <w:tcBorders>
              <w:tl2br w:val="nil"/>
              <w:tr2bl w:val="nil"/>
            </w:tcBorders>
            <w:noWrap/>
            <w:vAlign w:val="center"/>
          </w:tcPr>
          <w:p w14:paraId="6A8C19CF">
            <w:pPr>
              <w:pStyle w:val="45"/>
              <w:bidi w:val="0"/>
              <w:rPr>
                <w:b w:val="0"/>
                <w:bCs/>
                <w:color w:val="auto"/>
                <w:highlight w:val="none"/>
              </w:rPr>
            </w:pPr>
            <w:r>
              <w:rPr>
                <w:rFonts w:hint="default"/>
                <w:b w:val="0"/>
                <w:bCs/>
                <w:color w:val="auto"/>
                <w:highlight w:val="none"/>
                <w:lang w:val="en-US" w:eastAsia="zh-CN"/>
              </w:rPr>
              <w:t xml:space="preserve">0.54 </w:t>
            </w:r>
          </w:p>
        </w:tc>
        <w:tc>
          <w:tcPr>
            <w:tcW w:w="274" w:type="pct"/>
            <w:tcBorders>
              <w:tl2br w:val="nil"/>
              <w:tr2bl w:val="nil"/>
            </w:tcBorders>
            <w:noWrap/>
            <w:vAlign w:val="center"/>
          </w:tcPr>
          <w:p w14:paraId="4917B50E">
            <w:pPr>
              <w:pStyle w:val="45"/>
              <w:bidi w:val="0"/>
              <w:rPr>
                <w:b w:val="0"/>
                <w:bCs/>
                <w:color w:val="auto"/>
                <w:highlight w:val="none"/>
              </w:rPr>
            </w:pPr>
            <w:r>
              <w:rPr>
                <w:rFonts w:hint="default"/>
                <w:b w:val="0"/>
                <w:bCs/>
                <w:color w:val="auto"/>
                <w:highlight w:val="none"/>
                <w:lang w:val="en-US" w:eastAsia="zh-CN"/>
              </w:rPr>
              <w:t xml:space="preserve">12.81 </w:t>
            </w:r>
          </w:p>
        </w:tc>
        <w:tc>
          <w:tcPr>
            <w:tcW w:w="371" w:type="pct"/>
            <w:tcBorders>
              <w:tl2br w:val="nil"/>
              <w:tr2bl w:val="nil"/>
            </w:tcBorders>
            <w:noWrap/>
            <w:vAlign w:val="center"/>
          </w:tcPr>
          <w:p w14:paraId="3B8D5182">
            <w:pPr>
              <w:pStyle w:val="45"/>
              <w:bidi w:val="0"/>
              <w:rPr>
                <w:b w:val="0"/>
                <w:bCs/>
                <w:color w:val="auto"/>
                <w:highlight w:val="none"/>
              </w:rPr>
            </w:pPr>
            <w:r>
              <w:rPr>
                <w:rFonts w:hint="default"/>
                <w:b w:val="0"/>
                <w:bCs/>
                <w:color w:val="auto"/>
                <w:highlight w:val="none"/>
                <w:lang w:val="en-US" w:eastAsia="zh-CN"/>
              </w:rPr>
              <w:t xml:space="preserve">12.27 </w:t>
            </w:r>
          </w:p>
        </w:tc>
        <w:tc>
          <w:tcPr>
            <w:tcW w:w="289" w:type="pct"/>
            <w:tcBorders>
              <w:tl2br w:val="nil"/>
              <w:tr2bl w:val="nil"/>
            </w:tcBorders>
            <w:noWrap/>
            <w:vAlign w:val="center"/>
          </w:tcPr>
          <w:p w14:paraId="620382D3">
            <w:pPr>
              <w:pStyle w:val="45"/>
              <w:bidi w:val="0"/>
              <w:rPr>
                <w:b w:val="0"/>
                <w:bCs/>
                <w:color w:val="auto"/>
                <w:highlight w:val="none"/>
              </w:rPr>
            </w:pPr>
            <w:r>
              <w:rPr>
                <w:rFonts w:hint="default"/>
                <w:b w:val="0"/>
                <w:bCs/>
                <w:color w:val="auto"/>
                <w:highlight w:val="none"/>
                <w:lang w:val="en-US" w:eastAsia="zh-CN"/>
              </w:rPr>
              <w:t xml:space="preserve">0.54 </w:t>
            </w:r>
          </w:p>
        </w:tc>
        <w:tc>
          <w:tcPr>
            <w:tcW w:w="276" w:type="pct"/>
            <w:tcBorders>
              <w:tl2br w:val="nil"/>
              <w:tr2bl w:val="nil"/>
            </w:tcBorders>
            <w:noWrap/>
            <w:vAlign w:val="center"/>
          </w:tcPr>
          <w:p w14:paraId="4AABC9B1">
            <w:pPr>
              <w:pStyle w:val="45"/>
              <w:bidi w:val="0"/>
              <w:rPr>
                <w:b w:val="0"/>
                <w:bCs/>
                <w:color w:val="auto"/>
                <w:highlight w:val="none"/>
              </w:rPr>
            </w:pPr>
          </w:p>
        </w:tc>
        <w:tc>
          <w:tcPr>
            <w:tcW w:w="259" w:type="pct"/>
            <w:tcBorders>
              <w:tl2br w:val="nil"/>
              <w:tr2bl w:val="nil"/>
            </w:tcBorders>
            <w:noWrap/>
            <w:vAlign w:val="center"/>
          </w:tcPr>
          <w:p w14:paraId="7035DC4E">
            <w:pPr>
              <w:pStyle w:val="45"/>
              <w:bidi w:val="0"/>
              <w:rPr>
                <w:b w:val="0"/>
                <w:bCs/>
                <w:color w:val="auto"/>
                <w:highlight w:val="none"/>
              </w:rPr>
            </w:pPr>
          </w:p>
        </w:tc>
        <w:tc>
          <w:tcPr>
            <w:tcW w:w="346" w:type="pct"/>
            <w:tcBorders>
              <w:tl2br w:val="nil"/>
              <w:tr2bl w:val="nil"/>
            </w:tcBorders>
            <w:noWrap/>
            <w:vAlign w:val="center"/>
          </w:tcPr>
          <w:p w14:paraId="34E5C44D">
            <w:pPr>
              <w:pStyle w:val="45"/>
              <w:bidi w:val="0"/>
              <w:rPr>
                <w:b w:val="0"/>
                <w:bCs/>
                <w:color w:val="auto"/>
                <w:highlight w:val="none"/>
              </w:rPr>
            </w:pPr>
            <w:r>
              <w:rPr>
                <w:rFonts w:hint="default"/>
                <w:b w:val="0"/>
                <w:bCs/>
                <w:color w:val="auto"/>
                <w:highlight w:val="none"/>
                <w:lang w:val="en-US" w:eastAsia="zh-CN"/>
              </w:rPr>
              <w:t xml:space="preserve">11.56 </w:t>
            </w:r>
          </w:p>
        </w:tc>
        <w:tc>
          <w:tcPr>
            <w:tcW w:w="589" w:type="pct"/>
            <w:tcBorders>
              <w:tl2br w:val="nil"/>
              <w:tr2bl w:val="nil"/>
            </w:tcBorders>
            <w:noWrap/>
            <w:vAlign w:val="center"/>
          </w:tcPr>
          <w:p w14:paraId="6D8D3912">
            <w:pPr>
              <w:pStyle w:val="45"/>
              <w:bidi w:val="0"/>
              <w:rPr>
                <w:b w:val="0"/>
                <w:bCs/>
                <w:color w:val="auto"/>
                <w:highlight w:val="none"/>
              </w:rPr>
            </w:pPr>
          </w:p>
        </w:tc>
      </w:tr>
      <w:tr w14:paraId="1E8A82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7CECF5D3">
            <w:pPr>
              <w:pStyle w:val="45"/>
              <w:bidi w:val="0"/>
              <w:rPr>
                <w:b w:val="0"/>
                <w:bCs/>
                <w:color w:val="auto"/>
                <w:highlight w:val="none"/>
              </w:rPr>
            </w:pPr>
          </w:p>
        </w:tc>
        <w:tc>
          <w:tcPr>
            <w:tcW w:w="921" w:type="pct"/>
            <w:tcBorders>
              <w:tl2br w:val="nil"/>
              <w:tr2bl w:val="nil"/>
            </w:tcBorders>
            <w:noWrap/>
            <w:vAlign w:val="center"/>
          </w:tcPr>
          <w:p w14:paraId="602E37FF">
            <w:pPr>
              <w:pStyle w:val="45"/>
              <w:bidi w:val="0"/>
              <w:rPr>
                <w:b w:val="0"/>
                <w:bCs/>
                <w:color w:val="auto"/>
                <w:highlight w:val="none"/>
              </w:rPr>
            </w:pPr>
            <w:r>
              <w:rPr>
                <w:b w:val="0"/>
                <w:bCs/>
                <w:color w:val="auto"/>
                <w:highlight w:val="none"/>
              </w:rPr>
              <w:t>1#</w:t>
            </w:r>
            <w:r>
              <w:rPr>
                <w:rFonts w:hint="default"/>
                <w:b w:val="0"/>
                <w:bCs/>
                <w:color w:val="auto"/>
                <w:highlight w:val="none"/>
              </w:rPr>
              <w:t>风机及变压器基础</w:t>
            </w:r>
          </w:p>
        </w:tc>
        <w:tc>
          <w:tcPr>
            <w:tcW w:w="293" w:type="pct"/>
            <w:tcBorders>
              <w:tl2br w:val="nil"/>
              <w:tr2bl w:val="nil"/>
            </w:tcBorders>
            <w:noWrap/>
            <w:vAlign w:val="center"/>
          </w:tcPr>
          <w:p w14:paraId="091EC48B">
            <w:pPr>
              <w:pStyle w:val="45"/>
              <w:bidi w:val="0"/>
              <w:rPr>
                <w:b w:val="0"/>
                <w:bCs/>
                <w:color w:val="auto"/>
                <w:highlight w:val="none"/>
              </w:rPr>
            </w:pPr>
            <w:r>
              <w:rPr>
                <w:rFonts w:hint="default"/>
                <w:b w:val="0"/>
                <w:bCs/>
                <w:color w:val="auto"/>
                <w:highlight w:val="none"/>
                <w:lang w:val="en-US" w:eastAsia="zh-CN"/>
              </w:rPr>
              <w:t xml:space="preserve">0.31 </w:t>
            </w:r>
          </w:p>
        </w:tc>
        <w:tc>
          <w:tcPr>
            <w:tcW w:w="331" w:type="pct"/>
            <w:tcBorders>
              <w:tl2br w:val="nil"/>
              <w:tr2bl w:val="nil"/>
            </w:tcBorders>
            <w:noWrap/>
            <w:vAlign w:val="center"/>
          </w:tcPr>
          <w:p w14:paraId="017EF5CF">
            <w:pPr>
              <w:pStyle w:val="45"/>
              <w:bidi w:val="0"/>
              <w:rPr>
                <w:b w:val="0"/>
                <w:bCs/>
                <w:color w:val="auto"/>
                <w:highlight w:val="none"/>
              </w:rPr>
            </w:pPr>
            <w:r>
              <w:rPr>
                <w:rFonts w:hint="default"/>
                <w:b w:val="0"/>
                <w:bCs/>
                <w:color w:val="auto"/>
                <w:highlight w:val="none"/>
                <w:lang w:val="en-US" w:eastAsia="zh-CN"/>
              </w:rPr>
              <w:t xml:space="preserve">0.31 </w:t>
            </w:r>
          </w:p>
        </w:tc>
        <w:tc>
          <w:tcPr>
            <w:tcW w:w="250" w:type="pct"/>
            <w:tcBorders>
              <w:tl2br w:val="nil"/>
              <w:tr2bl w:val="nil"/>
            </w:tcBorders>
            <w:noWrap/>
            <w:vAlign w:val="center"/>
          </w:tcPr>
          <w:p w14:paraId="74D4A947">
            <w:pPr>
              <w:pStyle w:val="45"/>
              <w:bidi w:val="0"/>
              <w:rPr>
                <w:b w:val="0"/>
                <w:bCs/>
                <w:color w:val="auto"/>
                <w:highlight w:val="none"/>
              </w:rPr>
            </w:pPr>
          </w:p>
        </w:tc>
        <w:tc>
          <w:tcPr>
            <w:tcW w:w="274" w:type="pct"/>
            <w:tcBorders>
              <w:tl2br w:val="nil"/>
              <w:tr2bl w:val="nil"/>
            </w:tcBorders>
            <w:noWrap/>
            <w:vAlign w:val="center"/>
          </w:tcPr>
          <w:p w14:paraId="4B60DC3B">
            <w:pPr>
              <w:pStyle w:val="45"/>
              <w:bidi w:val="0"/>
              <w:rPr>
                <w:rFonts w:hint="default"/>
                <w:b w:val="0"/>
                <w:bCs/>
                <w:color w:val="auto"/>
                <w:highlight w:val="none"/>
              </w:rPr>
            </w:pPr>
            <w:r>
              <w:rPr>
                <w:rFonts w:hint="default"/>
                <w:b w:val="0"/>
                <w:bCs/>
                <w:color w:val="auto"/>
                <w:highlight w:val="none"/>
                <w:lang w:val="en-US" w:eastAsia="zh-CN"/>
              </w:rPr>
              <w:t xml:space="preserve">0.06 </w:t>
            </w:r>
          </w:p>
        </w:tc>
        <w:tc>
          <w:tcPr>
            <w:tcW w:w="371" w:type="pct"/>
            <w:tcBorders>
              <w:tl2br w:val="nil"/>
              <w:tr2bl w:val="nil"/>
            </w:tcBorders>
            <w:noWrap/>
            <w:vAlign w:val="center"/>
          </w:tcPr>
          <w:p w14:paraId="32CC2141">
            <w:pPr>
              <w:pStyle w:val="45"/>
              <w:bidi w:val="0"/>
              <w:rPr>
                <w:b w:val="0"/>
                <w:bCs/>
                <w:color w:val="auto"/>
                <w:highlight w:val="none"/>
              </w:rPr>
            </w:pPr>
            <w:r>
              <w:rPr>
                <w:rFonts w:hint="default"/>
                <w:b w:val="0"/>
                <w:bCs/>
                <w:color w:val="auto"/>
                <w:highlight w:val="none"/>
                <w:lang w:val="en-US" w:eastAsia="zh-CN"/>
              </w:rPr>
              <w:t xml:space="preserve">0.06 </w:t>
            </w:r>
          </w:p>
        </w:tc>
        <w:tc>
          <w:tcPr>
            <w:tcW w:w="289" w:type="pct"/>
            <w:tcBorders>
              <w:tl2br w:val="nil"/>
              <w:tr2bl w:val="nil"/>
            </w:tcBorders>
            <w:noWrap/>
            <w:vAlign w:val="center"/>
          </w:tcPr>
          <w:p w14:paraId="71A44D00">
            <w:pPr>
              <w:pStyle w:val="45"/>
              <w:bidi w:val="0"/>
              <w:rPr>
                <w:b w:val="0"/>
                <w:bCs/>
                <w:color w:val="auto"/>
                <w:highlight w:val="none"/>
              </w:rPr>
            </w:pPr>
          </w:p>
        </w:tc>
        <w:tc>
          <w:tcPr>
            <w:tcW w:w="276" w:type="pct"/>
            <w:tcBorders>
              <w:tl2br w:val="nil"/>
              <w:tr2bl w:val="nil"/>
            </w:tcBorders>
            <w:noWrap/>
            <w:vAlign w:val="center"/>
          </w:tcPr>
          <w:p w14:paraId="681ED74B">
            <w:pPr>
              <w:pStyle w:val="45"/>
              <w:bidi w:val="0"/>
              <w:rPr>
                <w:rFonts w:hint="default"/>
                <w:b w:val="0"/>
                <w:bCs/>
                <w:color w:val="auto"/>
                <w:highlight w:val="none"/>
              </w:rPr>
            </w:pPr>
          </w:p>
        </w:tc>
        <w:tc>
          <w:tcPr>
            <w:tcW w:w="259" w:type="pct"/>
            <w:tcBorders>
              <w:tl2br w:val="nil"/>
              <w:tr2bl w:val="nil"/>
            </w:tcBorders>
            <w:noWrap/>
            <w:vAlign w:val="center"/>
          </w:tcPr>
          <w:p w14:paraId="712151D3">
            <w:pPr>
              <w:pStyle w:val="45"/>
              <w:bidi w:val="0"/>
              <w:rPr>
                <w:rFonts w:hint="default"/>
                <w:b w:val="0"/>
                <w:bCs/>
                <w:color w:val="auto"/>
                <w:highlight w:val="none"/>
              </w:rPr>
            </w:pPr>
          </w:p>
        </w:tc>
        <w:tc>
          <w:tcPr>
            <w:tcW w:w="346" w:type="pct"/>
            <w:tcBorders>
              <w:tl2br w:val="nil"/>
              <w:tr2bl w:val="nil"/>
            </w:tcBorders>
            <w:noWrap/>
            <w:vAlign w:val="center"/>
          </w:tcPr>
          <w:p w14:paraId="49D2EC34">
            <w:pPr>
              <w:pStyle w:val="45"/>
              <w:bidi w:val="0"/>
              <w:rPr>
                <w:rFonts w:hint="default"/>
                <w:b w:val="0"/>
                <w:bCs/>
                <w:color w:val="auto"/>
                <w:highlight w:val="none"/>
              </w:rPr>
            </w:pPr>
            <w:r>
              <w:rPr>
                <w:rFonts w:hint="default"/>
                <w:b w:val="0"/>
                <w:bCs/>
                <w:color w:val="auto"/>
                <w:highlight w:val="none"/>
                <w:lang w:val="en-US" w:eastAsia="zh-CN"/>
              </w:rPr>
              <w:t xml:space="preserve">0.25 </w:t>
            </w:r>
          </w:p>
        </w:tc>
        <w:tc>
          <w:tcPr>
            <w:tcW w:w="589" w:type="pct"/>
            <w:tcBorders>
              <w:tl2br w:val="nil"/>
              <w:tr2bl w:val="nil"/>
            </w:tcBorders>
            <w:noWrap/>
            <w:vAlign w:val="center"/>
          </w:tcPr>
          <w:p w14:paraId="357A9622">
            <w:pPr>
              <w:pStyle w:val="45"/>
              <w:bidi w:val="0"/>
              <w:rPr>
                <w:b w:val="0"/>
                <w:bCs/>
                <w:color w:val="auto"/>
                <w:highlight w:val="none"/>
              </w:rPr>
            </w:pPr>
            <w:r>
              <w:rPr>
                <w:rFonts w:hint="default"/>
                <w:b w:val="0"/>
                <w:bCs/>
                <w:color w:val="auto"/>
                <w:highlight w:val="none"/>
                <w:lang w:val="en-US" w:eastAsia="zh-CN"/>
              </w:rPr>
              <w:t>Z1</w:t>
            </w:r>
          </w:p>
        </w:tc>
      </w:tr>
      <w:tr w14:paraId="07D4D5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1D383925">
            <w:pPr>
              <w:pStyle w:val="45"/>
              <w:bidi w:val="0"/>
              <w:rPr>
                <w:b w:val="0"/>
                <w:bCs/>
                <w:color w:val="auto"/>
                <w:highlight w:val="none"/>
              </w:rPr>
            </w:pPr>
          </w:p>
        </w:tc>
        <w:tc>
          <w:tcPr>
            <w:tcW w:w="921" w:type="pct"/>
            <w:tcBorders>
              <w:tl2br w:val="nil"/>
              <w:tr2bl w:val="nil"/>
            </w:tcBorders>
            <w:noWrap/>
            <w:vAlign w:val="center"/>
          </w:tcPr>
          <w:p w14:paraId="307E4EF8">
            <w:pPr>
              <w:pStyle w:val="45"/>
              <w:bidi w:val="0"/>
              <w:rPr>
                <w:b w:val="0"/>
                <w:bCs/>
                <w:color w:val="auto"/>
                <w:highlight w:val="none"/>
              </w:rPr>
            </w:pPr>
            <w:r>
              <w:rPr>
                <w:b w:val="0"/>
                <w:bCs/>
                <w:color w:val="auto"/>
                <w:highlight w:val="none"/>
              </w:rPr>
              <w:t>2#</w:t>
            </w:r>
            <w:r>
              <w:rPr>
                <w:rFonts w:hint="default"/>
                <w:b w:val="0"/>
                <w:bCs/>
                <w:color w:val="auto"/>
                <w:highlight w:val="none"/>
              </w:rPr>
              <w:t>风机及变压器基础</w:t>
            </w:r>
          </w:p>
        </w:tc>
        <w:tc>
          <w:tcPr>
            <w:tcW w:w="293" w:type="pct"/>
            <w:tcBorders>
              <w:tl2br w:val="nil"/>
              <w:tr2bl w:val="nil"/>
            </w:tcBorders>
            <w:noWrap/>
            <w:vAlign w:val="center"/>
          </w:tcPr>
          <w:p w14:paraId="5B1583BF">
            <w:pPr>
              <w:pStyle w:val="45"/>
              <w:bidi w:val="0"/>
              <w:rPr>
                <w:b w:val="0"/>
                <w:bCs/>
                <w:color w:val="auto"/>
                <w:highlight w:val="none"/>
              </w:rPr>
            </w:pPr>
            <w:r>
              <w:rPr>
                <w:rFonts w:hint="default"/>
                <w:b w:val="0"/>
                <w:bCs/>
                <w:color w:val="auto"/>
                <w:highlight w:val="none"/>
                <w:lang w:val="en-US" w:eastAsia="zh-CN"/>
              </w:rPr>
              <w:t xml:space="preserve">0.31 </w:t>
            </w:r>
          </w:p>
        </w:tc>
        <w:tc>
          <w:tcPr>
            <w:tcW w:w="331" w:type="pct"/>
            <w:tcBorders>
              <w:tl2br w:val="nil"/>
              <w:tr2bl w:val="nil"/>
            </w:tcBorders>
            <w:noWrap/>
            <w:vAlign w:val="center"/>
          </w:tcPr>
          <w:p w14:paraId="34C14F9C">
            <w:pPr>
              <w:pStyle w:val="45"/>
              <w:bidi w:val="0"/>
              <w:rPr>
                <w:b w:val="0"/>
                <w:bCs/>
                <w:color w:val="auto"/>
                <w:highlight w:val="none"/>
              </w:rPr>
            </w:pPr>
            <w:r>
              <w:rPr>
                <w:rFonts w:hint="default"/>
                <w:b w:val="0"/>
                <w:bCs/>
                <w:color w:val="auto"/>
                <w:highlight w:val="none"/>
                <w:lang w:val="en-US" w:eastAsia="zh-CN"/>
              </w:rPr>
              <w:t xml:space="preserve">0.31 </w:t>
            </w:r>
          </w:p>
        </w:tc>
        <w:tc>
          <w:tcPr>
            <w:tcW w:w="250" w:type="pct"/>
            <w:tcBorders>
              <w:tl2br w:val="nil"/>
              <w:tr2bl w:val="nil"/>
            </w:tcBorders>
            <w:noWrap/>
            <w:vAlign w:val="center"/>
          </w:tcPr>
          <w:p w14:paraId="46C4BC39">
            <w:pPr>
              <w:pStyle w:val="45"/>
              <w:bidi w:val="0"/>
              <w:rPr>
                <w:b w:val="0"/>
                <w:bCs/>
                <w:color w:val="auto"/>
                <w:highlight w:val="none"/>
              </w:rPr>
            </w:pPr>
          </w:p>
        </w:tc>
        <w:tc>
          <w:tcPr>
            <w:tcW w:w="274" w:type="pct"/>
            <w:tcBorders>
              <w:tl2br w:val="nil"/>
              <w:tr2bl w:val="nil"/>
            </w:tcBorders>
            <w:noWrap/>
            <w:vAlign w:val="center"/>
          </w:tcPr>
          <w:p w14:paraId="5D974920">
            <w:pPr>
              <w:pStyle w:val="45"/>
              <w:bidi w:val="0"/>
              <w:rPr>
                <w:rFonts w:hint="default"/>
                <w:b w:val="0"/>
                <w:bCs/>
                <w:color w:val="auto"/>
                <w:highlight w:val="none"/>
              </w:rPr>
            </w:pPr>
            <w:r>
              <w:rPr>
                <w:rFonts w:hint="default"/>
                <w:b w:val="0"/>
                <w:bCs/>
                <w:color w:val="auto"/>
                <w:highlight w:val="none"/>
                <w:lang w:val="en-US" w:eastAsia="zh-CN"/>
              </w:rPr>
              <w:t xml:space="preserve">0.05 </w:t>
            </w:r>
          </w:p>
        </w:tc>
        <w:tc>
          <w:tcPr>
            <w:tcW w:w="371" w:type="pct"/>
            <w:tcBorders>
              <w:tl2br w:val="nil"/>
              <w:tr2bl w:val="nil"/>
            </w:tcBorders>
            <w:noWrap/>
            <w:vAlign w:val="center"/>
          </w:tcPr>
          <w:p w14:paraId="50B4D898">
            <w:pPr>
              <w:pStyle w:val="45"/>
              <w:bidi w:val="0"/>
              <w:rPr>
                <w:b w:val="0"/>
                <w:bCs/>
                <w:color w:val="auto"/>
                <w:highlight w:val="none"/>
              </w:rPr>
            </w:pPr>
            <w:r>
              <w:rPr>
                <w:rFonts w:hint="default"/>
                <w:b w:val="0"/>
                <w:bCs/>
                <w:color w:val="auto"/>
                <w:highlight w:val="none"/>
                <w:lang w:val="en-US" w:eastAsia="zh-CN"/>
              </w:rPr>
              <w:t xml:space="preserve">0.05 </w:t>
            </w:r>
          </w:p>
        </w:tc>
        <w:tc>
          <w:tcPr>
            <w:tcW w:w="289" w:type="pct"/>
            <w:tcBorders>
              <w:tl2br w:val="nil"/>
              <w:tr2bl w:val="nil"/>
            </w:tcBorders>
            <w:noWrap/>
            <w:vAlign w:val="center"/>
          </w:tcPr>
          <w:p w14:paraId="0B583BC6">
            <w:pPr>
              <w:pStyle w:val="45"/>
              <w:bidi w:val="0"/>
              <w:rPr>
                <w:b w:val="0"/>
                <w:bCs/>
                <w:color w:val="auto"/>
                <w:highlight w:val="none"/>
              </w:rPr>
            </w:pPr>
          </w:p>
        </w:tc>
        <w:tc>
          <w:tcPr>
            <w:tcW w:w="276" w:type="pct"/>
            <w:tcBorders>
              <w:tl2br w:val="nil"/>
              <w:tr2bl w:val="nil"/>
            </w:tcBorders>
            <w:noWrap/>
            <w:vAlign w:val="center"/>
          </w:tcPr>
          <w:p w14:paraId="23DC4833">
            <w:pPr>
              <w:pStyle w:val="45"/>
              <w:bidi w:val="0"/>
              <w:rPr>
                <w:rFonts w:hint="default"/>
                <w:b w:val="0"/>
                <w:bCs/>
                <w:color w:val="auto"/>
                <w:highlight w:val="none"/>
              </w:rPr>
            </w:pPr>
          </w:p>
        </w:tc>
        <w:tc>
          <w:tcPr>
            <w:tcW w:w="259" w:type="pct"/>
            <w:tcBorders>
              <w:tl2br w:val="nil"/>
              <w:tr2bl w:val="nil"/>
            </w:tcBorders>
            <w:noWrap/>
            <w:vAlign w:val="center"/>
          </w:tcPr>
          <w:p w14:paraId="3636F8AB">
            <w:pPr>
              <w:pStyle w:val="45"/>
              <w:bidi w:val="0"/>
              <w:rPr>
                <w:rFonts w:hint="default"/>
                <w:b w:val="0"/>
                <w:bCs/>
                <w:color w:val="auto"/>
                <w:highlight w:val="none"/>
              </w:rPr>
            </w:pPr>
          </w:p>
        </w:tc>
        <w:tc>
          <w:tcPr>
            <w:tcW w:w="346" w:type="pct"/>
            <w:tcBorders>
              <w:tl2br w:val="nil"/>
              <w:tr2bl w:val="nil"/>
            </w:tcBorders>
            <w:noWrap/>
            <w:vAlign w:val="center"/>
          </w:tcPr>
          <w:p w14:paraId="0A445AF7">
            <w:pPr>
              <w:pStyle w:val="45"/>
              <w:bidi w:val="0"/>
              <w:rPr>
                <w:rFonts w:hint="default"/>
                <w:b w:val="0"/>
                <w:bCs/>
                <w:color w:val="auto"/>
                <w:highlight w:val="none"/>
              </w:rPr>
            </w:pPr>
            <w:r>
              <w:rPr>
                <w:rFonts w:hint="default"/>
                <w:b w:val="0"/>
                <w:bCs/>
                <w:color w:val="auto"/>
                <w:highlight w:val="none"/>
                <w:lang w:val="en-US" w:eastAsia="zh-CN"/>
              </w:rPr>
              <w:t xml:space="preserve">0.26 </w:t>
            </w:r>
          </w:p>
        </w:tc>
        <w:tc>
          <w:tcPr>
            <w:tcW w:w="589" w:type="pct"/>
            <w:tcBorders>
              <w:tl2br w:val="nil"/>
              <w:tr2bl w:val="nil"/>
            </w:tcBorders>
            <w:noWrap/>
            <w:vAlign w:val="center"/>
          </w:tcPr>
          <w:p w14:paraId="427A17CA">
            <w:pPr>
              <w:pStyle w:val="45"/>
              <w:bidi w:val="0"/>
              <w:rPr>
                <w:b w:val="0"/>
                <w:bCs/>
                <w:color w:val="auto"/>
                <w:highlight w:val="none"/>
              </w:rPr>
            </w:pPr>
            <w:r>
              <w:rPr>
                <w:rFonts w:hint="default"/>
                <w:b w:val="0"/>
                <w:bCs/>
                <w:color w:val="auto"/>
                <w:highlight w:val="none"/>
                <w:lang w:val="en-US" w:eastAsia="zh-CN"/>
              </w:rPr>
              <w:t>Z2</w:t>
            </w:r>
          </w:p>
        </w:tc>
      </w:tr>
      <w:tr w14:paraId="26F572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352DCAB5">
            <w:pPr>
              <w:pStyle w:val="45"/>
              <w:bidi w:val="0"/>
              <w:rPr>
                <w:b w:val="0"/>
                <w:bCs/>
                <w:color w:val="auto"/>
                <w:highlight w:val="none"/>
              </w:rPr>
            </w:pPr>
          </w:p>
        </w:tc>
        <w:tc>
          <w:tcPr>
            <w:tcW w:w="921" w:type="pct"/>
            <w:tcBorders>
              <w:tl2br w:val="nil"/>
              <w:tr2bl w:val="nil"/>
            </w:tcBorders>
            <w:noWrap/>
            <w:vAlign w:val="center"/>
          </w:tcPr>
          <w:p w14:paraId="455E9166">
            <w:pPr>
              <w:pStyle w:val="45"/>
              <w:bidi w:val="0"/>
              <w:rPr>
                <w:b w:val="0"/>
                <w:bCs/>
                <w:color w:val="auto"/>
                <w:highlight w:val="none"/>
              </w:rPr>
            </w:pPr>
            <w:r>
              <w:rPr>
                <w:b w:val="0"/>
                <w:bCs/>
                <w:color w:val="auto"/>
                <w:highlight w:val="none"/>
              </w:rPr>
              <w:t>3#-4#</w:t>
            </w:r>
            <w:r>
              <w:rPr>
                <w:rFonts w:hint="default"/>
                <w:b w:val="0"/>
                <w:bCs/>
                <w:color w:val="auto"/>
                <w:highlight w:val="none"/>
              </w:rPr>
              <w:t>风机及变压器基础</w:t>
            </w:r>
          </w:p>
        </w:tc>
        <w:tc>
          <w:tcPr>
            <w:tcW w:w="293" w:type="pct"/>
            <w:tcBorders>
              <w:tl2br w:val="nil"/>
              <w:tr2bl w:val="nil"/>
            </w:tcBorders>
            <w:noWrap/>
            <w:vAlign w:val="center"/>
          </w:tcPr>
          <w:p w14:paraId="18B3A9D4">
            <w:pPr>
              <w:pStyle w:val="45"/>
              <w:bidi w:val="0"/>
              <w:rPr>
                <w:b w:val="0"/>
                <w:bCs/>
                <w:color w:val="auto"/>
                <w:highlight w:val="none"/>
              </w:rPr>
            </w:pPr>
            <w:r>
              <w:rPr>
                <w:rFonts w:hint="default"/>
                <w:b w:val="0"/>
                <w:bCs/>
                <w:color w:val="auto"/>
                <w:highlight w:val="none"/>
                <w:lang w:val="en-US" w:eastAsia="zh-CN"/>
              </w:rPr>
              <w:t xml:space="preserve">0.62 </w:t>
            </w:r>
          </w:p>
        </w:tc>
        <w:tc>
          <w:tcPr>
            <w:tcW w:w="331" w:type="pct"/>
            <w:tcBorders>
              <w:tl2br w:val="nil"/>
              <w:tr2bl w:val="nil"/>
            </w:tcBorders>
            <w:noWrap/>
            <w:vAlign w:val="center"/>
          </w:tcPr>
          <w:p w14:paraId="304F4E4D">
            <w:pPr>
              <w:pStyle w:val="45"/>
              <w:bidi w:val="0"/>
              <w:rPr>
                <w:b w:val="0"/>
                <w:bCs/>
                <w:color w:val="auto"/>
                <w:highlight w:val="none"/>
              </w:rPr>
            </w:pPr>
            <w:r>
              <w:rPr>
                <w:rFonts w:hint="default"/>
                <w:b w:val="0"/>
                <w:bCs/>
                <w:color w:val="auto"/>
                <w:highlight w:val="none"/>
                <w:lang w:val="en-US" w:eastAsia="zh-CN"/>
              </w:rPr>
              <w:t xml:space="preserve">0.62 </w:t>
            </w:r>
          </w:p>
        </w:tc>
        <w:tc>
          <w:tcPr>
            <w:tcW w:w="250" w:type="pct"/>
            <w:tcBorders>
              <w:tl2br w:val="nil"/>
              <w:tr2bl w:val="nil"/>
            </w:tcBorders>
            <w:noWrap/>
            <w:vAlign w:val="center"/>
          </w:tcPr>
          <w:p w14:paraId="0B4156A0">
            <w:pPr>
              <w:pStyle w:val="45"/>
              <w:bidi w:val="0"/>
              <w:rPr>
                <w:b w:val="0"/>
                <w:bCs/>
                <w:color w:val="auto"/>
                <w:highlight w:val="none"/>
              </w:rPr>
            </w:pPr>
          </w:p>
        </w:tc>
        <w:tc>
          <w:tcPr>
            <w:tcW w:w="274" w:type="pct"/>
            <w:tcBorders>
              <w:tl2br w:val="nil"/>
              <w:tr2bl w:val="nil"/>
            </w:tcBorders>
            <w:noWrap/>
            <w:vAlign w:val="center"/>
          </w:tcPr>
          <w:p w14:paraId="464650CE">
            <w:pPr>
              <w:pStyle w:val="45"/>
              <w:bidi w:val="0"/>
              <w:rPr>
                <w:rFonts w:hint="default"/>
                <w:b w:val="0"/>
                <w:bCs/>
                <w:color w:val="auto"/>
                <w:highlight w:val="none"/>
              </w:rPr>
            </w:pPr>
            <w:r>
              <w:rPr>
                <w:rFonts w:hint="default"/>
                <w:b w:val="0"/>
                <w:bCs/>
                <w:color w:val="auto"/>
                <w:highlight w:val="none"/>
                <w:lang w:val="en-US" w:eastAsia="zh-CN"/>
              </w:rPr>
              <w:t xml:space="preserve">0.13 </w:t>
            </w:r>
          </w:p>
        </w:tc>
        <w:tc>
          <w:tcPr>
            <w:tcW w:w="371" w:type="pct"/>
            <w:tcBorders>
              <w:tl2br w:val="nil"/>
              <w:tr2bl w:val="nil"/>
            </w:tcBorders>
            <w:noWrap/>
            <w:vAlign w:val="center"/>
          </w:tcPr>
          <w:p w14:paraId="1B6ED9B6">
            <w:pPr>
              <w:pStyle w:val="45"/>
              <w:bidi w:val="0"/>
              <w:rPr>
                <w:b w:val="0"/>
                <w:bCs/>
                <w:color w:val="auto"/>
                <w:highlight w:val="none"/>
              </w:rPr>
            </w:pPr>
            <w:r>
              <w:rPr>
                <w:rFonts w:hint="default"/>
                <w:b w:val="0"/>
                <w:bCs/>
                <w:color w:val="auto"/>
                <w:highlight w:val="none"/>
                <w:lang w:val="en-US" w:eastAsia="zh-CN"/>
              </w:rPr>
              <w:t xml:space="preserve">0.13 </w:t>
            </w:r>
          </w:p>
        </w:tc>
        <w:tc>
          <w:tcPr>
            <w:tcW w:w="289" w:type="pct"/>
            <w:tcBorders>
              <w:tl2br w:val="nil"/>
              <w:tr2bl w:val="nil"/>
            </w:tcBorders>
            <w:noWrap/>
            <w:vAlign w:val="center"/>
          </w:tcPr>
          <w:p w14:paraId="00E5778B">
            <w:pPr>
              <w:pStyle w:val="45"/>
              <w:bidi w:val="0"/>
              <w:rPr>
                <w:b w:val="0"/>
                <w:bCs/>
                <w:color w:val="auto"/>
                <w:highlight w:val="none"/>
              </w:rPr>
            </w:pPr>
          </w:p>
        </w:tc>
        <w:tc>
          <w:tcPr>
            <w:tcW w:w="276" w:type="pct"/>
            <w:tcBorders>
              <w:tl2br w:val="nil"/>
              <w:tr2bl w:val="nil"/>
            </w:tcBorders>
            <w:noWrap/>
            <w:vAlign w:val="center"/>
          </w:tcPr>
          <w:p w14:paraId="6C046638">
            <w:pPr>
              <w:pStyle w:val="45"/>
              <w:bidi w:val="0"/>
              <w:rPr>
                <w:rFonts w:hint="default"/>
                <w:b w:val="0"/>
                <w:bCs/>
                <w:color w:val="auto"/>
                <w:highlight w:val="none"/>
              </w:rPr>
            </w:pPr>
          </w:p>
        </w:tc>
        <w:tc>
          <w:tcPr>
            <w:tcW w:w="259" w:type="pct"/>
            <w:tcBorders>
              <w:tl2br w:val="nil"/>
              <w:tr2bl w:val="nil"/>
            </w:tcBorders>
            <w:noWrap/>
            <w:vAlign w:val="center"/>
          </w:tcPr>
          <w:p w14:paraId="0FDF24C2">
            <w:pPr>
              <w:pStyle w:val="45"/>
              <w:bidi w:val="0"/>
              <w:rPr>
                <w:rFonts w:hint="default"/>
                <w:b w:val="0"/>
                <w:bCs/>
                <w:color w:val="auto"/>
                <w:highlight w:val="none"/>
              </w:rPr>
            </w:pPr>
          </w:p>
        </w:tc>
        <w:tc>
          <w:tcPr>
            <w:tcW w:w="346" w:type="pct"/>
            <w:tcBorders>
              <w:tl2br w:val="nil"/>
              <w:tr2bl w:val="nil"/>
            </w:tcBorders>
            <w:noWrap/>
            <w:vAlign w:val="center"/>
          </w:tcPr>
          <w:p w14:paraId="7BFCD1BE">
            <w:pPr>
              <w:pStyle w:val="45"/>
              <w:bidi w:val="0"/>
              <w:rPr>
                <w:rFonts w:hint="default"/>
                <w:b w:val="0"/>
                <w:bCs/>
                <w:color w:val="auto"/>
                <w:highlight w:val="none"/>
              </w:rPr>
            </w:pPr>
            <w:r>
              <w:rPr>
                <w:rFonts w:hint="default"/>
                <w:b w:val="0"/>
                <w:bCs/>
                <w:color w:val="auto"/>
                <w:highlight w:val="none"/>
                <w:lang w:val="en-US" w:eastAsia="zh-CN"/>
              </w:rPr>
              <w:t xml:space="preserve">0.49 </w:t>
            </w:r>
          </w:p>
        </w:tc>
        <w:tc>
          <w:tcPr>
            <w:tcW w:w="589" w:type="pct"/>
            <w:tcBorders>
              <w:tl2br w:val="nil"/>
              <w:tr2bl w:val="nil"/>
            </w:tcBorders>
            <w:noWrap/>
            <w:vAlign w:val="center"/>
          </w:tcPr>
          <w:p w14:paraId="3FF2CD21">
            <w:pPr>
              <w:pStyle w:val="45"/>
              <w:bidi w:val="0"/>
              <w:rPr>
                <w:b w:val="0"/>
                <w:bCs/>
                <w:color w:val="auto"/>
                <w:highlight w:val="none"/>
              </w:rPr>
            </w:pPr>
            <w:r>
              <w:rPr>
                <w:rFonts w:hint="default"/>
                <w:b w:val="0"/>
                <w:bCs/>
                <w:color w:val="auto"/>
                <w:highlight w:val="none"/>
                <w:lang w:val="en-US" w:eastAsia="zh-CN"/>
              </w:rPr>
              <w:t>Z3</w:t>
            </w:r>
          </w:p>
        </w:tc>
      </w:tr>
      <w:tr w14:paraId="3E6E43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2C41161A">
            <w:pPr>
              <w:pStyle w:val="45"/>
              <w:bidi w:val="0"/>
              <w:rPr>
                <w:b w:val="0"/>
                <w:bCs/>
                <w:color w:val="auto"/>
                <w:highlight w:val="none"/>
              </w:rPr>
            </w:pPr>
          </w:p>
        </w:tc>
        <w:tc>
          <w:tcPr>
            <w:tcW w:w="921" w:type="pct"/>
            <w:tcBorders>
              <w:tl2br w:val="nil"/>
              <w:tr2bl w:val="nil"/>
            </w:tcBorders>
            <w:noWrap/>
            <w:vAlign w:val="center"/>
          </w:tcPr>
          <w:p w14:paraId="68E11348">
            <w:pPr>
              <w:pStyle w:val="45"/>
              <w:bidi w:val="0"/>
              <w:rPr>
                <w:b w:val="0"/>
                <w:bCs/>
                <w:color w:val="auto"/>
                <w:highlight w:val="none"/>
              </w:rPr>
            </w:pPr>
            <w:r>
              <w:rPr>
                <w:b w:val="0"/>
                <w:bCs/>
                <w:color w:val="auto"/>
                <w:highlight w:val="none"/>
              </w:rPr>
              <w:t>5#</w:t>
            </w:r>
            <w:r>
              <w:rPr>
                <w:rFonts w:hint="default"/>
                <w:b w:val="0"/>
                <w:bCs/>
                <w:color w:val="auto"/>
                <w:highlight w:val="none"/>
              </w:rPr>
              <w:t>风机及变压器基础</w:t>
            </w:r>
          </w:p>
        </w:tc>
        <w:tc>
          <w:tcPr>
            <w:tcW w:w="293" w:type="pct"/>
            <w:tcBorders>
              <w:tl2br w:val="nil"/>
              <w:tr2bl w:val="nil"/>
            </w:tcBorders>
            <w:noWrap/>
            <w:vAlign w:val="center"/>
          </w:tcPr>
          <w:p w14:paraId="0D214AA7">
            <w:pPr>
              <w:pStyle w:val="45"/>
              <w:bidi w:val="0"/>
              <w:rPr>
                <w:b w:val="0"/>
                <w:bCs/>
                <w:color w:val="auto"/>
                <w:highlight w:val="none"/>
              </w:rPr>
            </w:pPr>
            <w:r>
              <w:rPr>
                <w:rFonts w:hint="default"/>
                <w:b w:val="0"/>
                <w:bCs/>
                <w:color w:val="auto"/>
                <w:highlight w:val="none"/>
                <w:lang w:val="en-US" w:eastAsia="zh-CN"/>
              </w:rPr>
              <w:t xml:space="preserve">0.31 </w:t>
            </w:r>
          </w:p>
        </w:tc>
        <w:tc>
          <w:tcPr>
            <w:tcW w:w="331" w:type="pct"/>
            <w:tcBorders>
              <w:tl2br w:val="nil"/>
              <w:tr2bl w:val="nil"/>
            </w:tcBorders>
            <w:noWrap/>
            <w:vAlign w:val="center"/>
          </w:tcPr>
          <w:p w14:paraId="3100568E">
            <w:pPr>
              <w:pStyle w:val="45"/>
              <w:bidi w:val="0"/>
              <w:rPr>
                <w:b w:val="0"/>
                <w:bCs/>
                <w:color w:val="auto"/>
                <w:highlight w:val="none"/>
              </w:rPr>
            </w:pPr>
            <w:r>
              <w:rPr>
                <w:rFonts w:hint="default"/>
                <w:b w:val="0"/>
                <w:bCs/>
                <w:color w:val="auto"/>
                <w:highlight w:val="none"/>
                <w:lang w:val="en-US" w:eastAsia="zh-CN"/>
              </w:rPr>
              <w:t xml:space="preserve">0.31 </w:t>
            </w:r>
          </w:p>
        </w:tc>
        <w:tc>
          <w:tcPr>
            <w:tcW w:w="250" w:type="pct"/>
            <w:tcBorders>
              <w:tl2br w:val="nil"/>
              <w:tr2bl w:val="nil"/>
            </w:tcBorders>
            <w:noWrap/>
            <w:vAlign w:val="center"/>
          </w:tcPr>
          <w:p w14:paraId="1CA89A07">
            <w:pPr>
              <w:pStyle w:val="45"/>
              <w:bidi w:val="0"/>
              <w:rPr>
                <w:b w:val="0"/>
                <w:bCs/>
                <w:color w:val="auto"/>
                <w:highlight w:val="none"/>
              </w:rPr>
            </w:pPr>
          </w:p>
        </w:tc>
        <w:tc>
          <w:tcPr>
            <w:tcW w:w="274" w:type="pct"/>
            <w:tcBorders>
              <w:tl2br w:val="nil"/>
              <w:tr2bl w:val="nil"/>
            </w:tcBorders>
            <w:noWrap/>
            <w:vAlign w:val="center"/>
          </w:tcPr>
          <w:p w14:paraId="6E5AD13F">
            <w:pPr>
              <w:pStyle w:val="45"/>
              <w:bidi w:val="0"/>
              <w:rPr>
                <w:rFonts w:hint="default"/>
                <w:b w:val="0"/>
                <w:bCs/>
                <w:color w:val="auto"/>
                <w:highlight w:val="none"/>
              </w:rPr>
            </w:pPr>
            <w:r>
              <w:rPr>
                <w:rFonts w:hint="default"/>
                <w:b w:val="0"/>
                <w:bCs/>
                <w:color w:val="auto"/>
                <w:highlight w:val="none"/>
                <w:lang w:val="en-US" w:eastAsia="zh-CN"/>
              </w:rPr>
              <w:t xml:space="preserve">0.05 </w:t>
            </w:r>
          </w:p>
        </w:tc>
        <w:tc>
          <w:tcPr>
            <w:tcW w:w="371" w:type="pct"/>
            <w:tcBorders>
              <w:tl2br w:val="nil"/>
              <w:tr2bl w:val="nil"/>
            </w:tcBorders>
            <w:noWrap/>
            <w:vAlign w:val="center"/>
          </w:tcPr>
          <w:p w14:paraId="7D6D9203">
            <w:pPr>
              <w:pStyle w:val="45"/>
              <w:bidi w:val="0"/>
              <w:rPr>
                <w:b w:val="0"/>
                <w:bCs/>
                <w:color w:val="auto"/>
                <w:highlight w:val="none"/>
              </w:rPr>
            </w:pPr>
            <w:r>
              <w:rPr>
                <w:rFonts w:hint="default"/>
                <w:b w:val="0"/>
                <w:bCs/>
                <w:color w:val="auto"/>
                <w:highlight w:val="none"/>
                <w:lang w:val="en-US" w:eastAsia="zh-CN"/>
              </w:rPr>
              <w:t xml:space="preserve">0.05 </w:t>
            </w:r>
          </w:p>
        </w:tc>
        <w:tc>
          <w:tcPr>
            <w:tcW w:w="289" w:type="pct"/>
            <w:tcBorders>
              <w:tl2br w:val="nil"/>
              <w:tr2bl w:val="nil"/>
            </w:tcBorders>
            <w:noWrap/>
            <w:vAlign w:val="center"/>
          </w:tcPr>
          <w:p w14:paraId="37E149BB">
            <w:pPr>
              <w:pStyle w:val="45"/>
              <w:bidi w:val="0"/>
              <w:rPr>
                <w:b w:val="0"/>
                <w:bCs/>
                <w:color w:val="auto"/>
                <w:highlight w:val="none"/>
              </w:rPr>
            </w:pPr>
          </w:p>
        </w:tc>
        <w:tc>
          <w:tcPr>
            <w:tcW w:w="276" w:type="pct"/>
            <w:tcBorders>
              <w:tl2br w:val="nil"/>
              <w:tr2bl w:val="nil"/>
            </w:tcBorders>
            <w:noWrap/>
            <w:vAlign w:val="center"/>
          </w:tcPr>
          <w:p w14:paraId="745F943C">
            <w:pPr>
              <w:pStyle w:val="45"/>
              <w:bidi w:val="0"/>
              <w:rPr>
                <w:rFonts w:hint="default"/>
                <w:b w:val="0"/>
                <w:bCs/>
                <w:color w:val="auto"/>
                <w:highlight w:val="none"/>
              </w:rPr>
            </w:pPr>
          </w:p>
        </w:tc>
        <w:tc>
          <w:tcPr>
            <w:tcW w:w="259" w:type="pct"/>
            <w:tcBorders>
              <w:tl2br w:val="nil"/>
              <w:tr2bl w:val="nil"/>
            </w:tcBorders>
            <w:noWrap/>
            <w:vAlign w:val="center"/>
          </w:tcPr>
          <w:p w14:paraId="29871D10">
            <w:pPr>
              <w:pStyle w:val="45"/>
              <w:bidi w:val="0"/>
              <w:rPr>
                <w:rFonts w:hint="default"/>
                <w:b w:val="0"/>
                <w:bCs/>
                <w:color w:val="auto"/>
                <w:highlight w:val="none"/>
              </w:rPr>
            </w:pPr>
          </w:p>
        </w:tc>
        <w:tc>
          <w:tcPr>
            <w:tcW w:w="346" w:type="pct"/>
            <w:tcBorders>
              <w:tl2br w:val="nil"/>
              <w:tr2bl w:val="nil"/>
            </w:tcBorders>
            <w:noWrap/>
            <w:vAlign w:val="center"/>
          </w:tcPr>
          <w:p w14:paraId="078C9F6C">
            <w:pPr>
              <w:pStyle w:val="45"/>
              <w:bidi w:val="0"/>
              <w:rPr>
                <w:rFonts w:hint="default"/>
                <w:b w:val="0"/>
                <w:bCs/>
                <w:color w:val="auto"/>
                <w:highlight w:val="none"/>
              </w:rPr>
            </w:pPr>
            <w:r>
              <w:rPr>
                <w:rFonts w:hint="default"/>
                <w:b w:val="0"/>
                <w:bCs/>
                <w:color w:val="auto"/>
                <w:highlight w:val="none"/>
                <w:lang w:val="en-US" w:eastAsia="zh-CN"/>
              </w:rPr>
              <w:t xml:space="preserve">0.26 </w:t>
            </w:r>
          </w:p>
        </w:tc>
        <w:tc>
          <w:tcPr>
            <w:tcW w:w="589" w:type="pct"/>
            <w:tcBorders>
              <w:tl2br w:val="nil"/>
              <w:tr2bl w:val="nil"/>
            </w:tcBorders>
            <w:noWrap/>
            <w:vAlign w:val="center"/>
          </w:tcPr>
          <w:p w14:paraId="2505DFC3">
            <w:pPr>
              <w:pStyle w:val="45"/>
              <w:bidi w:val="0"/>
              <w:rPr>
                <w:b w:val="0"/>
                <w:bCs/>
                <w:color w:val="auto"/>
                <w:highlight w:val="none"/>
              </w:rPr>
            </w:pPr>
            <w:r>
              <w:rPr>
                <w:rFonts w:hint="default"/>
                <w:b w:val="0"/>
                <w:bCs/>
                <w:color w:val="auto"/>
                <w:highlight w:val="none"/>
                <w:lang w:val="en-US" w:eastAsia="zh-CN"/>
              </w:rPr>
              <w:t>Z4</w:t>
            </w:r>
          </w:p>
        </w:tc>
      </w:tr>
      <w:tr w14:paraId="53CDAB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323505A7">
            <w:pPr>
              <w:pStyle w:val="45"/>
              <w:bidi w:val="0"/>
              <w:rPr>
                <w:b w:val="0"/>
                <w:bCs/>
                <w:color w:val="auto"/>
                <w:highlight w:val="none"/>
              </w:rPr>
            </w:pPr>
          </w:p>
        </w:tc>
        <w:tc>
          <w:tcPr>
            <w:tcW w:w="921" w:type="pct"/>
            <w:tcBorders>
              <w:tl2br w:val="nil"/>
              <w:tr2bl w:val="nil"/>
            </w:tcBorders>
            <w:noWrap/>
            <w:vAlign w:val="center"/>
          </w:tcPr>
          <w:p w14:paraId="14631EBA">
            <w:pPr>
              <w:pStyle w:val="45"/>
              <w:bidi w:val="0"/>
              <w:rPr>
                <w:b w:val="0"/>
                <w:bCs/>
                <w:color w:val="auto"/>
                <w:highlight w:val="none"/>
              </w:rPr>
            </w:pPr>
            <w:r>
              <w:rPr>
                <w:b w:val="0"/>
                <w:bCs/>
                <w:color w:val="auto"/>
                <w:highlight w:val="none"/>
              </w:rPr>
              <w:t>6#-7#-20#</w:t>
            </w:r>
            <w:r>
              <w:rPr>
                <w:rFonts w:hint="default"/>
                <w:b w:val="0"/>
                <w:bCs/>
                <w:color w:val="auto"/>
                <w:highlight w:val="none"/>
              </w:rPr>
              <w:t>风机及变压器基础</w:t>
            </w:r>
          </w:p>
        </w:tc>
        <w:tc>
          <w:tcPr>
            <w:tcW w:w="293" w:type="pct"/>
            <w:tcBorders>
              <w:tl2br w:val="nil"/>
              <w:tr2bl w:val="nil"/>
            </w:tcBorders>
            <w:noWrap/>
            <w:vAlign w:val="center"/>
          </w:tcPr>
          <w:p w14:paraId="694C04AB">
            <w:pPr>
              <w:pStyle w:val="45"/>
              <w:bidi w:val="0"/>
              <w:rPr>
                <w:b w:val="0"/>
                <w:bCs/>
                <w:color w:val="auto"/>
                <w:highlight w:val="none"/>
              </w:rPr>
            </w:pPr>
            <w:r>
              <w:rPr>
                <w:rFonts w:hint="default"/>
                <w:b w:val="0"/>
                <w:bCs/>
                <w:color w:val="auto"/>
                <w:highlight w:val="none"/>
                <w:lang w:val="en-US" w:eastAsia="zh-CN"/>
              </w:rPr>
              <w:t xml:space="preserve">0.62 </w:t>
            </w:r>
          </w:p>
        </w:tc>
        <w:tc>
          <w:tcPr>
            <w:tcW w:w="331" w:type="pct"/>
            <w:tcBorders>
              <w:tl2br w:val="nil"/>
              <w:tr2bl w:val="nil"/>
            </w:tcBorders>
            <w:noWrap/>
            <w:vAlign w:val="center"/>
          </w:tcPr>
          <w:p w14:paraId="072052D7">
            <w:pPr>
              <w:pStyle w:val="45"/>
              <w:bidi w:val="0"/>
              <w:rPr>
                <w:b w:val="0"/>
                <w:bCs/>
                <w:color w:val="auto"/>
                <w:highlight w:val="none"/>
              </w:rPr>
            </w:pPr>
            <w:r>
              <w:rPr>
                <w:rFonts w:hint="default"/>
                <w:b w:val="0"/>
                <w:bCs/>
                <w:color w:val="auto"/>
                <w:highlight w:val="none"/>
                <w:lang w:val="en-US" w:eastAsia="zh-CN"/>
              </w:rPr>
              <w:t xml:space="preserve">0.62 </w:t>
            </w:r>
          </w:p>
        </w:tc>
        <w:tc>
          <w:tcPr>
            <w:tcW w:w="250" w:type="pct"/>
            <w:tcBorders>
              <w:tl2br w:val="nil"/>
              <w:tr2bl w:val="nil"/>
            </w:tcBorders>
            <w:noWrap/>
            <w:vAlign w:val="center"/>
          </w:tcPr>
          <w:p w14:paraId="23BF86EE">
            <w:pPr>
              <w:pStyle w:val="45"/>
              <w:bidi w:val="0"/>
              <w:rPr>
                <w:b w:val="0"/>
                <w:bCs/>
                <w:color w:val="auto"/>
                <w:highlight w:val="none"/>
              </w:rPr>
            </w:pPr>
          </w:p>
        </w:tc>
        <w:tc>
          <w:tcPr>
            <w:tcW w:w="274" w:type="pct"/>
            <w:tcBorders>
              <w:tl2br w:val="nil"/>
              <w:tr2bl w:val="nil"/>
            </w:tcBorders>
            <w:noWrap/>
            <w:vAlign w:val="center"/>
          </w:tcPr>
          <w:p w14:paraId="4AB2D404">
            <w:pPr>
              <w:pStyle w:val="45"/>
              <w:bidi w:val="0"/>
              <w:rPr>
                <w:rFonts w:hint="default"/>
                <w:b w:val="0"/>
                <w:bCs/>
                <w:color w:val="auto"/>
                <w:highlight w:val="none"/>
              </w:rPr>
            </w:pPr>
            <w:r>
              <w:rPr>
                <w:rFonts w:hint="default"/>
                <w:b w:val="0"/>
                <w:bCs/>
                <w:color w:val="auto"/>
                <w:highlight w:val="none"/>
                <w:lang w:val="en-US" w:eastAsia="zh-CN"/>
              </w:rPr>
              <w:t xml:space="preserve">0.19 </w:t>
            </w:r>
          </w:p>
        </w:tc>
        <w:tc>
          <w:tcPr>
            <w:tcW w:w="371" w:type="pct"/>
            <w:tcBorders>
              <w:tl2br w:val="nil"/>
              <w:tr2bl w:val="nil"/>
            </w:tcBorders>
            <w:noWrap/>
            <w:vAlign w:val="center"/>
          </w:tcPr>
          <w:p w14:paraId="65CA6B6D">
            <w:pPr>
              <w:pStyle w:val="45"/>
              <w:bidi w:val="0"/>
              <w:rPr>
                <w:b w:val="0"/>
                <w:bCs/>
                <w:color w:val="auto"/>
                <w:highlight w:val="none"/>
              </w:rPr>
            </w:pPr>
            <w:r>
              <w:rPr>
                <w:rFonts w:hint="default"/>
                <w:b w:val="0"/>
                <w:bCs/>
                <w:color w:val="auto"/>
                <w:highlight w:val="none"/>
                <w:lang w:val="en-US" w:eastAsia="zh-CN"/>
              </w:rPr>
              <w:t xml:space="preserve">0.19 </w:t>
            </w:r>
          </w:p>
        </w:tc>
        <w:tc>
          <w:tcPr>
            <w:tcW w:w="289" w:type="pct"/>
            <w:tcBorders>
              <w:tl2br w:val="nil"/>
              <w:tr2bl w:val="nil"/>
            </w:tcBorders>
            <w:noWrap/>
            <w:vAlign w:val="center"/>
          </w:tcPr>
          <w:p w14:paraId="37468CC7">
            <w:pPr>
              <w:pStyle w:val="45"/>
              <w:bidi w:val="0"/>
              <w:rPr>
                <w:b w:val="0"/>
                <w:bCs/>
                <w:color w:val="auto"/>
                <w:highlight w:val="none"/>
              </w:rPr>
            </w:pPr>
          </w:p>
        </w:tc>
        <w:tc>
          <w:tcPr>
            <w:tcW w:w="276" w:type="pct"/>
            <w:tcBorders>
              <w:tl2br w:val="nil"/>
              <w:tr2bl w:val="nil"/>
            </w:tcBorders>
            <w:noWrap/>
            <w:vAlign w:val="center"/>
          </w:tcPr>
          <w:p w14:paraId="10F851E4">
            <w:pPr>
              <w:pStyle w:val="45"/>
              <w:bidi w:val="0"/>
              <w:rPr>
                <w:rFonts w:hint="default"/>
                <w:b w:val="0"/>
                <w:bCs/>
                <w:color w:val="auto"/>
                <w:highlight w:val="none"/>
              </w:rPr>
            </w:pPr>
          </w:p>
        </w:tc>
        <w:tc>
          <w:tcPr>
            <w:tcW w:w="259" w:type="pct"/>
            <w:tcBorders>
              <w:tl2br w:val="nil"/>
              <w:tr2bl w:val="nil"/>
            </w:tcBorders>
            <w:noWrap/>
            <w:vAlign w:val="center"/>
          </w:tcPr>
          <w:p w14:paraId="668D5B50">
            <w:pPr>
              <w:pStyle w:val="45"/>
              <w:bidi w:val="0"/>
              <w:rPr>
                <w:rFonts w:hint="default"/>
                <w:b w:val="0"/>
                <w:bCs/>
                <w:color w:val="auto"/>
                <w:highlight w:val="none"/>
              </w:rPr>
            </w:pPr>
          </w:p>
        </w:tc>
        <w:tc>
          <w:tcPr>
            <w:tcW w:w="346" w:type="pct"/>
            <w:tcBorders>
              <w:tl2br w:val="nil"/>
              <w:tr2bl w:val="nil"/>
            </w:tcBorders>
            <w:noWrap/>
            <w:vAlign w:val="center"/>
          </w:tcPr>
          <w:p w14:paraId="4021C4E7">
            <w:pPr>
              <w:pStyle w:val="45"/>
              <w:bidi w:val="0"/>
              <w:rPr>
                <w:rFonts w:hint="default"/>
                <w:b w:val="0"/>
                <w:bCs/>
                <w:color w:val="auto"/>
                <w:highlight w:val="none"/>
              </w:rPr>
            </w:pPr>
            <w:r>
              <w:rPr>
                <w:rFonts w:hint="default"/>
                <w:b w:val="0"/>
                <w:bCs/>
                <w:color w:val="auto"/>
                <w:highlight w:val="none"/>
                <w:lang w:val="en-US" w:eastAsia="zh-CN"/>
              </w:rPr>
              <w:t xml:space="preserve">0.43 </w:t>
            </w:r>
          </w:p>
        </w:tc>
        <w:tc>
          <w:tcPr>
            <w:tcW w:w="589" w:type="pct"/>
            <w:tcBorders>
              <w:tl2br w:val="nil"/>
              <w:tr2bl w:val="nil"/>
            </w:tcBorders>
            <w:noWrap/>
            <w:vAlign w:val="center"/>
          </w:tcPr>
          <w:p w14:paraId="0D2BB5CE">
            <w:pPr>
              <w:pStyle w:val="45"/>
              <w:bidi w:val="0"/>
              <w:rPr>
                <w:b w:val="0"/>
                <w:bCs/>
                <w:color w:val="auto"/>
                <w:highlight w:val="none"/>
              </w:rPr>
            </w:pPr>
            <w:r>
              <w:rPr>
                <w:rFonts w:hint="default"/>
                <w:b w:val="0"/>
                <w:bCs/>
                <w:color w:val="auto"/>
                <w:highlight w:val="none"/>
                <w:lang w:val="en-US" w:eastAsia="zh-CN"/>
              </w:rPr>
              <w:t>Z5</w:t>
            </w:r>
          </w:p>
        </w:tc>
      </w:tr>
      <w:tr w14:paraId="58734F0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36EF3B07">
            <w:pPr>
              <w:pStyle w:val="45"/>
              <w:bidi w:val="0"/>
              <w:rPr>
                <w:b w:val="0"/>
                <w:bCs/>
                <w:color w:val="auto"/>
                <w:highlight w:val="none"/>
              </w:rPr>
            </w:pPr>
          </w:p>
        </w:tc>
        <w:tc>
          <w:tcPr>
            <w:tcW w:w="921" w:type="pct"/>
            <w:tcBorders>
              <w:tl2br w:val="nil"/>
              <w:tr2bl w:val="nil"/>
            </w:tcBorders>
            <w:noWrap/>
            <w:vAlign w:val="center"/>
          </w:tcPr>
          <w:p w14:paraId="0A44FC7F">
            <w:pPr>
              <w:pStyle w:val="45"/>
              <w:bidi w:val="0"/>
              <w:rPr>
                <w:b w:val="0"/>
                <w:bCs/>
                <w:color w:val="auto"/>
                <w:highlight w:val="none"/>
              </w:rPr>
            </w:pPr>
            <w:r>
              <w:rPr>
                <w:b w:val="0"/>
                <w:bCs/>
                <w:color w:val="auto"/>
                <w:highlight w:val="none"/>
              </w:rPr>
              <w:t>8#-10#</w:t>
            </w:r>
            <w:r>
              <w:rPr>
                <w:rFonts w:hint="default"/>
                <w:b w:val="0"/>
                <w:bCs/>
                <w:color w:val="auto"/>
                <w:highlight w:val="none"/>
              </w:rPr>
              <w:t>风机及变压器基础</w:t>
            </w:r>
          </w:p>
        </w:tc>
        <w:tc>
          <w:tcPr>
            <w:tcW w:w="293" w:type="pct"/>
            <w:tcBorders>
              <w:tl2br w:val="nil"/>
              <w:tr2bl w:val="nil"/>
            </w:tcBorders>
            <w:noWrap/>
            <w:vAlign w:val="center"/>
          </w:tcPr>
          <w:p w14:paraId="5F467286">
            <w:pPr>
              <w:pStyle w:val="45"/>
              <w:bidi w:val="0"/>
              <w:rPr>
                <w:b w:val="0"/>
                <w:bCs/>
                <w:color w:val="auto"/>
                <w:highlight w:val="none"/>
              </w:rPr>
            </w:pPr>
            <w:r>
              <w:rPr>
                <w:rFonts w:hint="default"/>
                <w:b w:val="0"/>
                <w:bCs/>
                <w:color w:val="auto"/>
                <w:highlight w:val="none"/>
                <w:lang w:val="en-US" w:eastAsia="zh-CN"/>
              </w:rPr>
              <w:t xml:space="preserve">0.62 </w:t>
            </w:r>
          </w:p>
        </w:tc>
        <w:tc>
          <w:tcPr>
            <w:tcW w:w="331" w:type="pct"/>
            <w:tcBorders>
              <w:tl2br w:val="nil"/>
              <w:tr2bl w:val="nil"/>
            </w:tcBorders>
            <w:noWrap/>
            <w:vAlign w:val="center"/>
          </w:tcPr>
          <w:p w14:paraId="3C116C10">
            <w:pPr>
              <w:pStyle w:val="45"/>
              <w:bidi w:val="0"/>
              <w:rPr>
                <w:b w:val="0"/>
                <w:bCs/>
                <w:color w:val="auto"/>
                <w:highlight w:val="none"/>
              </w:rPr>
            </w:pPr>
            <w:r>
              <w:rPr>
                <w:rFonts w:hint="default"/>
                <w:b w:val="0"/>
                <w:bCs/>
                <w:color w:val="auto"/>
                <w:highlight w:val="none"/>
                <w:lang w:val="en-US" w:eastAsia="zh-CN"/>
              </w:rPr>
              <w:t xml:space="preserve">0.62 </w:t>
            </w:r>
          </w:p>
        </w:tc>
        <w:tc>
          <w:tcPr>
            <w:tcW w:w="250" w:type="pct"/>
            <w:tcBorders>
              <w:tl2br w:val="nil"/>
              <w:tr2bl w:val="nil"/>
            </w:tcBorders>
            <w:noWrap/>
            <w:vAlign w:val="center"/>
          </w:tcPr>
          <w:p w14:paraId="5BB7B91D">
            <w:pPr>
              <w:pStyle w:val="45"/>
              <w:bidi w:val="0"/>
              <w:rPr>
                <w:b w:val="0"/>
                <w:bCs/>
                <w:color w:val="auto"/>
                <w:highlight w:val="none"/>
              </w:rPr>
            </w:pPr>
          </w:p>
        </w:tc>
        <w:tc>
          <w:tcPr>
            <w:tcW w:w="274" w:type="pct"/>
            <w:tcBorders>
              <w:tl2br w:val="nil"/>
              <w:tr2bl w:val="nil"/>
            </w:tcBorders>
            <w:noWrap/>
            <w:vAlign w:val="center"/>
          </w:tcPr>
          <w:p w14:paraId="162F22CF">
            <w:pPr>
              <w:pStyle w:val="45"/>
              <w:bidi w:val="0"/>
              <w:rPr>
                <w:rFonts w:hint="default"/>
                <w:b w:val="0"/>
                <w:bCs/>
                <w:color w:val="auto"/>
                <w:highlight w:val="none"/>
              </w:rPr>
            </w:pPr>
            <w:r>
              <w:rPr>
                <w:rFonts w:hint="default"/>
                <w:b w:val="0"/>
                <w:bCs/>
                <w:color w:val="auto"/>
                <w:highlight w:val="none"/>
                <w:lang w:val="en-US" w:eastAsia="zh-CN"/>
              </w:rPr>
              <w:t xml:space="preserve">0.16 </w:t>
            </w:r>
          </w:p>
        </w:tc>
        <w:tc>
          <w:tcPr>
            <w:tcW w:w="371" w:type="pct"/>
            <w:tcBorders>
              <w:tl2br w:val="nil"/>
              <w:tr2bl w:val="nil"/>
            </w:tcBorders>
            <w:noWrap/>
            <w:vAlign w:val="center"/>
          </w:tcPr>
          <w:p w14:paraId="254E1773">
            <w:pPr>
              <w:pStyle w:val="45"/>
              <w:bidi w:val="0"/>
              <w:rPr>
                <w:b w:val="0"/>
                <w:bCs/>
                <w:color w:val="auto"/>
                <w:highlight w:val="none"/>
              </w:rPr>
            </w:pPr>
            <w:r>
              <w:rPr>
                <w:rFonts w:hint="default"/>
                <w:b w:val="0"/>
                <w:bCs/>
                <w:color w:val="auto"/>
                <w:highlight w:val="none"/>
                <w:lang w:val="en-US" w:eastAsia="zh-CN"/>
              </w:rPr>
              <w:t xml:space="preserve">0.16 </w:t>
            </w:r>
          </w:p>
        </w:tc>
        <w:tc>
          <w:tcPr>
            <w:tcW w:w="289" w:type="pct"/>
            <w:tcBorders>
              <w:tl2br w:val="nil"/>
              <w:tr2bl w:val="nil"/>
            </w:tcBorders>
            <w:noWrap/>
            <w:vAlign w:val="center"/>
          </w:tcPr>
          <w:p w14:paraId="310BB496">
            <w:pPr>
              <w:pStyle w:val="45"/>
              <w:bidi w:val="0"/>
              <w:rPr>
                <w:b w:val="0"/>
                <w:bCs/>
                <w:color w:val="auto"/>
                <w:highlight w:val="none"/>
              </w:rPr>
            </w:pPr>
          </w:p>
        </w:tc>
        <w:tc>
          <w:tcPr>
            <w:tcW w:w="276" w:type="pct"/>
            <w:tcBorders>
              <w:tl2br w:val="nil"/>
              <w:tr2bl w:val="nil"/>
            </w:tcBorders>
            <w:noWrap/>
            <w:vAlign w:val="center"/>
          </w:tcPr>
          <w:p w14:paraId="76A676DD">
            <w:pPr>
              <w:pStyle w:val="45"/>
              <w:bidi w:val="0"/>
              <w:rPr>
                <w:rFonts w:hint="default"/>
                <w:b w:val="0"/>
                <w:bCs/>
                <w:color w:val="auto"/>
                <w:highlight w:val="none"/>
              </w:rPr>
            </w:pPr>
          </w:p>
        </w:tc>
        <w:tc>
          <w:tcPr>
            <w:tcW w:w="259" w:type="pct"/>
            <w:tcBorders>
              <w:tl2br w:val="nil"/>
              <w:tr2bl w:val="nil"/>
            </w:tcBorders>
            <w:noWrap/>
            <w:vAlign w:val="center"/>
          </w:tcPr>
          <w:p w14:paraId="1B31003F">
            <w:pPr>
              <w:pStyle w:val="45"/>
              <w:bidi w:val="0"/>
              <w:rPr>
                <w:rFonts w:hint="default"/>
                <w:b w:val="0"/>
                <w:bCs/>
                <w:color w:val="auto"/>
                <w:highlight w:val="none"/>
              </w:rPr>
            </w:pPr>
          </w:p>
        </w:tc>
        <w:tc>
          <w:tcPr>
            <w:tcW w:w="346" w:type="pct"/>
            <w:tcBorders>
              <w:tl2br w:val="nil"/>
              <w:tr2bl w:val="nil"/>
            </w:tcBorders>
            <w:noWrap/>
            <w:vAlign w:val="center"/>
          </w:tcPr>
          <w:p w14:paraId="50A990DB">
            <w:pPr>
              <w:pStyle w:val="45"/>
              <w:bidi w:val="0"/>
              <w:rPr>
                <w:rFonts w:hint="default"/>
                <w:b w:val="0"/>
                <w:bCs/>
                <w:color w:val="auto"/>
                <w:highlight w:val="none"/>
              </w:rPr>
            </w:pPr>
            <w:r>
              <w:rPr>
                <w:rFonts w:hint="default"/>
                <w:b w:val="0"/>
                <w:bCs/>
                <w:color w:val="auto"/>
                <w:highlight w:val="none"/>
                <w:lang w:val="en-US" w:eastAsia="zh-CN"/>
              </w:rPr>
              <w:t xml:space="preserve">0.46 </w:t>
            </w:r>
          </w:p>
        </w:tc>
        <w:tc>
          <w:tcPr>
            <w:tcW w:w="589" w:type="pct"/>
            <w:tcBorders>
              <w:tl2br w:val="nil"/>
              <w:tr2bl w:val="nil"/>
            </w:tcBorders>
            <w:noWrap/>
            <w:vAlign w:val="center"/>
          </w:tcPr>
          <w:p w14:paraId="60460AFB">
            <w:pPr>
              <w:pStyle w:val="45"/>
              <w:bidi w:val="0"/>
              <w:rPr>
                <w:b w:val="0"/>
                <w:bCs/>
                <w:color w:val="auto"/>
                <w:highlight w:val="none"/>
              </w:rPr>
            </w:pPr>
            <w:r>
              <w:rPr>
                <w:rFonts w:hint="default"/>
                <w:b w:val="0"/>
                <w:bCs/>
                <w:color w:val="auto"/>
                <w:highlight w:val="none"/>
                <w:lang w:val="en-US" w:eastAsia="zh-CN"/>
              </w:rPr>
              <w:t>Z6</w:t>
            </w:r>
          </w:p>
        </w:tc>
      </w:tr>
      <w:tr w14:paraId="7AC673B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192AED6A">
            <w:pPr>
              <w:pStyle w:val="45"/>
              <w:bidi w:val="0"/>
              <w:rPr>
                <w:b w:val="0"/>
                <w:bCs/>
                <w:color w:val="auto"/>
                <w:highlight w:val="none"/>
              </w:rPr>
            </w:pPr>
          </w:p>
        </w:tc>
        <w:tc>
          <w:tcPr>
            <w:tcW w:w="921" w:type="pct"/>
            <w:tcBorders>
              <w:tl2br w:val="nil"/>
              <w:tr2bl w:val="nil"/>
            </w:tcBorders>
            <w:noWrap/>
            <w:vAlign w:val="center"/>
          </w:tcPr>
          <w:p w14:paraId="2D96A8AE">
            <w:pPr>
              <w:pStyle w:val="45"/>
              <w:bidi w:val="0"/>
              <w:rPr>
                <w:b w:val="0"/>
                <w:bCs/>
                <w:color w:val="auto"/>
                <w:highlight w:val="none"/>
              </w:rPr>
            </w:pPr>
            <w:r>
              <w:rPr>
                <w:b w:val="0"/>
                <w:bCs/>
                <w:color w:val="auto"/>
                <w:highlight w:val="none"/>
              </w:rPr>
              <w:t>13#</w:t>
            </w:r>
            <w:r>
              <w:rPr>
                <w:rFonts w:hint="default"/>
                <w:b w:val="0"/>
                <w:bCs/>
                <w:color w:val="auto"/>
                <w:highlight w:val="none"/>
              </w:rPr>
              <w:t>风机及变压器基础</w:t>
            </w:r>
          </w:p>
        </w:tc>
        <w:tc>
          <w:tcPr>
            <w:tcW w:w="293" w:type="pct"/>
            <w:tcBorders>
              <w:tl2br w:val="nil"/>
              <w:tr2bl w:val="nil"/>
            </w:tcBorders>
            <w:noWrap/>
            <w:vAlign w:val="center"/>
          </w:tcPr>
          <w:p w14:paraId="7634CA64">
            <w:pPr>
              <w:pStyle w:val="45"/>
              <w:bidi w:val="0"/>
              <w:rPr>
                <w:b w:val="0"/>
                <w:bCs/>
                <w:color w:val="auto"/>
                <w:highlight w:val="none"/>
              </w:rPr>
            </w:pPr>
            <w:r>
              <w:rPr>
                <w:rFonts w:hint="default"/>
                <w:b w:val="0"/>
                <w:bCs/>
                <w:color w:val="auto"/>
                <w:highlight w:val="none"/>
                <w:lang w:val="en-US" w:eastAsia="zh-CN"/>
              </w:rPr>
              <w:t xml:space="preserve">0.31 </w:t>
            </w:r>
          </w:p>
        </w:tc>
        <w:tc>
          <w:tcPr>
            <w:tcW w:w="331" w:type="pct"/>
            <w:tcBorders>
              <w:tl2br w:val="nil"/>
              <w:tr2bl w:val="nil"/>
            </w:tcBorders>
            <w:noWrap/>
            <w:vAlign w:val="center"/>
          </w:tcPr>
          <w:p w14:paraId="6989978F">
            <w:pPr>
              <w:pStyle w:val="45"/>
              <w:bidi w:val="0"/>
              <w:rPr>
                <w:b w:val="0"/>
                <w:bCs/>
                <w:color w:val="auto"/>
                <w:highlight w:val="none"/>
              </w:rPr>
            </w:pPr>
            <w:r>
              <w:rPr>
                <w:rFonts w:hint="default"/>
                <w:b w:val="0"/>
                <w:bCs/>
                <w:color w:val="auto"/>
                <w:highlight w:val="none"/>
                <w:lang w:val="en-US" w:eastAsia="zh-CN"/>
              </w:rPr>
              <w:t xml:space="preserve">0.31 </w:t>
            </w:r>
          </w:p>
        </w:tc>
        <w:tc>
          <w:tcPr>
            <w:tcW w:w="250" w:type="pct"/>
            <w:tcBorders>
              <w:tl2br w:val="nil"/>
              <w:tr2bl w:val="nil"/>
            </w:tcBorders>
            <w:noWrap/>
            <w:vAlign w:val="center"/>
          </w:tcPr>
          <w:p w14:paraId="4991A551">
            <w:pPr>
              <w:pStyle w:val="45"/>
              <w:bidi w:val="0"/>
              <w:rPr>
                <w:b w:val="0"/>
                <w:bCs/>
                <w:color w:val="auto"/>
                <w:highlight w:val="none"/>
              </w:rPr>
            </w:pPr>
          </w:p>
        </w:tc>
        <w:tc>
          <w:tcPr>
            <w:tcW w:w="274" w:type="pct"/>
            <w:tcBorders>
              <w:tl2br w:val="nil"/>
              <w:tr2bl w:val="nil"/>
            </w:tcBorders>
            <w:noWrap/>
            <w:vAlign w:val="center"/>
          </w:tcPr>
          <w:p w14:paraId="49417A46">
            <w:pPr>
              <w:pStyle w:val="45"/>
              <w:bidi w:val="0"/>
              <w:rPr>
                <w:rFonts w:hint="default"/>
                <w:b w:val="0"/>
                <w:bCs/>
                <w:color w:val="auto"/>
                <w:highlight w:val="none"/>
              </w:rPr>
            </w:pPr>
            <w:r>
              <w:rPr>
                <w:rFonts w:hint="default"/>
                <w:b w:val="0"/>
                <w:bCs/>
                <w:color w:val="auto"/>
                <w:highlight w:val="none"/>
                <w:lang w:val="en-US" w:eastAsia="zh-CN"/>
              </w:rPr>
              <w:t xml:space="preserve">0.04 </w:t>
            </w:r>
          </w:p>
        </w:tc>
        <w:tc>
          <w:tcPr>
            <w:tcW w:w="371" w:type="pct"/>
            <w:tcBorders>
              <w:tl2br w:val="nil"/>
              <w:tr2bl w:val="nil"/>
            </w:tcBorders>
            <w:noWrap/>
            <w:vAlign w:val="center"/>
          </w:tcPr>
          <w:p w14:paraId="33084469">
            <w:pPr>
              <w:pStyle w:val="45"/>
              <w:bidi w:val="0"/>
              <w:rPr>
                <w:b w:val="0"/>
                <w:bCs/>
                <w:color w:val="auto"/>
                <w:highlight w:val="none"/>
              </w:rPr>
            </w:pPr>
            <w:r>
              <w:rPr>
                <w:rFonts w:hint="default"/>
                <w:b w:val="0"/>
                <w:bCs/>
                <w:color w:val="auto"/>
                <w:highlight w:val="none"/>
                <w:lang w:val="en-US" w:eastAsia="zh-CN"/>
              </w:rPr>
              <w:t xml:space="preserve">0.04 </w:t>
            </w:r>
          </w:p>
        </w:tc>
        <w:tc>
          <w:tcPr>
            <w:tcW w:w="289" w:type="pct"/>
            <w:tcBorders>
              <w:tl2br w:val="nil"/>
              <w:tr2bl w:val="nil"/>
            </w:tcBorders>
            <w:noWrap/>
            <w:vAlign w:val="center"/>
          </w:tcPr>
          <w:p w14:paraId="06ACCF9C">
            <w:pPr>
              <w:pStyle w:val="45"/>
              <w:bidi w:val="0"/>
              <w:rPr>
                <w:b w:val="0"/>
                <w:bCs/>
                <w:color w:val="auto"/>
                <w:highlight w:val="none"/>
              </w:rPr>
            </w:pPr>
          </w:p>
        </w:tc>
        <w:tc>
          <w:tcPr>
            <w:tcW w:w="276" w:type="pct"/>
            <w:tcBorders>
              <w:tl2br w:val="nil"/>
              <w:tr2bl w:val="nil"/>
            </w:tcBorders>
            <w:noWrap/>
            <w:vAlign w:val="center"/>
          </w:tcPr>
          <w:p w14:paraId="65DC1C16">
            <w:pPr>
              <w:pStyle w:val="45"/>
              <w:bidi w:val="0"/>
              <w:rPr>
                <w:rFonts w:hint="default"/>
                <w:b w:val="0"/>
                <w:bCs/>
                <w:color w:val="auto"/>
                <w:highlight w:val="none"/>
              </w:rPr>
            </w:pPr>
          </w:p>
        </w:tc>
        <w:tc>
          <w:tcPr>
            <w:tcW w:w="259" w:type="pct"/>
            <w:tcBorders>
              <w:tl2br w:val="nil"/>
              <w:tr2bl w:val="nil"/>
            </w:tcBorders>
            <w:noWrap/>
            <w:vAlign w:val="center"/>
          </w:tcPr>
          <w:p w14:paraId="1CAFFDC9">
            <w:pPr>
              <w:pStyle w:val="45"/>
              <w:bidi w:val="0"/>
              <w:rPr>
                <w:rFonts w:hint="default"/>
                <w:b w:val="0"/>
                <w:bCs/>
                <w:color w:val="auto"/>
                <w:highlight w:val="none"/>
              </w:rPr>
            </w:pPr>
          </w:p>
        </w:tc>
        <w:tc>
          <w:tcPr>
            <w:tcW w:w="346" w:type="pct"/>
            <w:tcBorders>
              <w:tl2br w:val="nil"/>
              <w:tr2bl w:val="nil"/>
            </w:tcBorders>
            <w:noWrap/>
            <w:vAlign w:val="center"/>
          </w:tcPr>
          <w:p w14:paraId="331A4AC0">
            <w:pPr>
              <w:pStyle w:val="45"/>
              <w:bidi w:val="0"/>
              <w:rPr>
                <w:rFonts w:hint="default"/>
                <w:b w:val="0"/>
                <w:bCs/>
                <w:color w:val="auto"/>
                <w:highlight w:val="none"/>
              </w:rPr>
            </w:pPr>
            <w:r>
              <w:rPr>
                <w:rFonts w:hint="default"/>
                <w:b w:val="0"/>
                <w:bCs/>
                <w:color w:val="auto"/>
                <w:highlight w:val="none"/>
                <w:lang w:val="en-US" w:eastAsia="zh-CN"/>
              </w:rPr>
              <w:t xml:space="preserve">0.27 </w:t>
            </w:r>
          </w:p>
        </w:tc>
        <w:tc>
          <w:tcPr>
            <w:tcW w:w="589" w:type="pct"/>
            <w:tcBorders>
              <w:tl2br w:val="nil"/>
              <w:tr2bl w:val="nil"/>
            </w:tcBorders>
            <w:noWrap/>
            <w:vAlign w:val="center"/>
          </w:tcPr>
          <w:p w14:paraId="2A5CE910">
            <w:pPr>
              <w:pStyle w:val="45"/>
              <w:bidi w:val="0"/>
              <w:rPr>
                <w:b w:val="0"/>
                <w:bCs/>
                <w:color w:val="auto"/>
                <w:highlight w:val="none"/>
              </w:rPr>
            </w:pPr>
            <w:r>
              <w:rPr>
                <w:rFonts w:hint="default"/>
                <w:b w:val="0"/>
                <w:bCs/>
                <w:color w:val="auto"/>
                <w:highlight w:val="none"/>
                <w:lang w:val="en-US" w:eastAsia="zh-CN"/>
              </w:rPr>
              <w:t>Z12</w:t>
            </w:r>
          </w:p>
        </w:tc>
      </w:tr>
      <w:tr w14:paraId="3A5FB3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0BED293B">
            <w:pPr>
              <w:pStyle w:val="45"/>
              <w:bidi w:val="0"/>
              <w:rPr>
                <w:b w:val="0"/>
                <w:bCs/>
                <w:color w:val="auto"/>
                <w:highlight w:val="none"/>
              </w:rPr>
            </w:pPr>
          </w:p>
        </w:tc>
        <w:tc>
          <w:tcPr>
            <w:tcW w:w="921" w:type="pct"/>
            <w:tcBorders>
              <w:tl2br w:val="nil"/>
              <w:tr2bl w:val="nil"/>
            </w:tcBorders>
            <w:noWrap/>
            <w:vAlign w:val="center"/>
          </w:tcPr>
          <w:p w14:paraId="1601D6F3">
            <w:pPr>
              <w:pStyle w:val="45"/>
              <w:bidi w:val="0"/>
              <w:rPr>
                <w:b w:val="0"/>
                <w:bCs/>
                <w:color w:val="auto"/>
                <w:highlight w:val="none"/>
              </w:rPr>
            </w:pPr>
            <w:r>
              <w:rPr>
                <w:b w:val="0"/>
                <w:bCs/>
                <w:color w:val="auto"/>
                <w:highlight w:val="none"/>
              </w:rPr>
              <w:t>14#-16#</w:t>
            </w:r>
            <w:r>
              <w:rPr>
                <w:rFonts w:hint="default"/>
                <w:b w:val="0"/>
                <w:bCs/>
                <w:color w:val="auto"/>
                <w:highlight w:val="none"/>
              </w:rPr>
              <w:t>风机及变压器基础</w:t>
            </w:r>
          </w:p>
        </w:tc>
        <w:tc>
          <w:tcPr>
            <w:tcW w:w="293" w:type="pct"/>
            <w:tcBorders>
              <w:tl2br w:val="nil"/>
              <w:tr2bl w:val="nil"/>
            </w:tcBorders>
            <w:noWrap/>
            <w:vAlign w:val="center"/>
          </w:tcPr>
          <w:p w14:paraId="61BD1876">
            <w:pPr>
              <w:pStyle w:val="45"/>
              <w:bidi w:val="0"/>
              <w:rPr>
                <w:b w:val="0"/>
                <w:bCs/>
                <w:color w:val="auto"/>
                <w:highlight w:val="none"/>
              </w:rPr>
            </w:pPr>
            <w:r>
              <w:rPr>
                <w:rFonts w:hint="default"/>
                <w:b w:val="0"/>
                <w:bCs/>
                <w:color w:val="auto"/>
                <w:highlight w:val="none"/>
                <w:lang w:val="en-US" w:eastAsia="zh-CN"/>
              </w:rPr>
              <w:t xml:space="preserve">0.94 </w:t>
            </w:r>
          </w:p>
        </w:tc>
        <w:tc>
          <w:tcPr>
            <w:tcW w:w="331" w:type="pct"/>
            <w:tcBorders>
              <w:tl2br w:val="nil"/>
              <w:tr2bl w:val="nil"/>
            </w:tcBorders>
            <w:noWrap/>
            <w:vAlign w:val="center"/>
          </w:tcPr>
          <w:p w14:paraId="66ECAA84">
            <w:pPr>
              <w:pStyle w:val="45"/>
              <w:bidi w:val="0"/>
              <w:rPr>
                <w:b w:val="0"/>
                <w:bCs/>
                <w:color w:val="auto"/>
                <w:highlight w:val="none"/>
              </w:rPr>
            </w:pPr>
            <w:r>
              <w:rPr>
                <w:rFonts w:hint="default"/>
                <w:b w:val="0"/>
                <w:bCs/>
                <w:color w:val="auto"/>
                <w:highlight w:val="none"/>
                <w:lang w:val="en-US" w:eastAsia="zh-CN"/>
              </w:rPr>
              <w:t xml:space="preserve">0.94 </w:t>
            </w:r>
          </w:p>
        </w:tc>
        <w:tc>
          <w:tcPr>
            <w:tcW w:w="250" w:type="pct"/>
            <w:tcBorders>
              <w:tl2br w:val="nil"/>
              <w:tr2bl w:val="nil"/>
            </w:tcBorders>
            <w:noWrap/>
            <w:vAlign w:val="center"/>
          </w:tcPr>
          <w:p w14:paraId="47D7C84A">
            <w:pPr>
              <w:pStyle w:val="45"/>
              <w:bidi w:val="0"/>
              <w:rPr>
                <w:b w:val="0"/>
                <w:bCs/>
                <w:color w:val="auto"/>
                <w:highlight w:val="none"/>
              </w:rPr>
            </w:pPr>
          </w:p>
        </w:tc>
        <w:tc>
          <w:tcPr>
            <w:tcW w:w="274" w:type="pct"/>
            <w:tcBorders>
              <w:tl2br w:val="nil"/>
              <w:tr2bl w:val="nil"/>
            </w:tcBorders>
            <w:noWrap/>
            <w:vAlign w:val="center"/>
          </w:tcPr>
          <w:p w14:paraId="7E830732">
            <w:pPr>
              <w:pStyle w:val="45"/>
              <w:bidi w:val="0"/>
              <w:rPr>
                <w:rFonts w:hint="default"/>
                <w:b w:val="0"/>
                <w:bCs/>
                <w:color w:val="auto"/>
                <w:highlight w:val="none"/>
              </w:rPr>
            </w:pPr>
            <w:r>
              <w:rPr>
                <w:rFonts w:hint="default"/>
                <w:b w:val="0"/>
                <w:bCs/>
                <w:color w:val="auto"/>
                <w:highlight w:val="none"/>
                <w:lang w:val="en-US" w:eastAsia="zh-CN"/>
              </w:rPr>
              <w:t xml:space="preserve">0.21 </w:t>
            </w:r>
          </w:p>
        </w:tc>
        <w:tc>
          <w:tcPr>
            <w:tcW w:w="371" w:type="pct"/>
            <w:tcBorders>
              <w:tl2br w:val="nil"/>
              <w:tr2bl w:val="nil"/>
            </w:tcBorders>
            <w:noWrap/>
            <w:vAlign w:val="center"/>
          </w:tcPr>
          <w:p w14:paraId="753FB747">
            <w:pPr>
              <w:pStyle w:val="45"/>
              <w:bidi w:val="0"/>
              <w:rPr>
                <w:b w:val="0"/>
                <w:bCs/>
                <w:color w:val="auto"/>
                <w:highlight w:val="none"/>
              </w:rPr>
            </w:pPr>
            <w:r>
              <w:rPr>
                <w:rFonts w:hint="default"/>
                <w:b w:val="0"/>
                <w:bCs/>
                <w:color w:val="auto"/>
                <w:highlight w:val="none"/>
                <w:lang w:val="en-US" w:eastAsia="zh-CN"/>
              </w:rPr>
              <w:t xml:space="preserve">0.21 </w:t>
            </w:r>
          </w:p>
        </w:tc>
        <w:tc>
          <w:tcPr>
            <w:tcW w:w="289" w:type="pct"/>
            <w:tcBorders>
              <w:tl2br w:val="nil"/>
              <w:tr2bl w:val="nil"/>
            </w:tcBorders>
            <w:noWrap/>
            <w:vAlign w:val="center"/>
          </w:tcPr>
          <w:p w14:paraId="3F65A09F">
            <w:pPr>
              <w:pStyle w:val="45"/>
              <w:bidi w:val="0"/>
              <w:rPr>
                <w:b w:val="0"/>
                <w:bCs/>
                <w:color w:val="auto"/>
                <w:highlight w:val="none"/>
              </w:rPr>
            </w:pPr>
          </w:p>
        </w:tc>
        <w:tc>
          <w:tcPr>
            <w:tcW w:w="276" w:type="pct"/>
            <w:tcBorders>
              <w:tl2br w:val="nil"/>
              <w:tr2bl w:val="nil"/>
            </w:tcBorders>
            <w:noWrap/>
            <w:vAlign w:val="center"/>
          </w:tcPr>
          <w:p w14:paraId="76D84176">
            <w:pPr>
              <w:pStyle w:val="45"/>
              <w:bidi w:val="0"/>
              <w:rPr>
                <w:rFonts w:hint="default"/>
                <w:b w:val="0"/>
                <w:bCs/>
                <w:color w:val="auto"/>
                <w:highlight w:val="none"/>
              </w:rPr>
            </w:pPr>
          </w:p>
        </w:tc>
        <w:tc>
          <w:tcPr>
            <w:tcW w:w="259" w:type="pct"/>
            <w:tcBorders>
              <w:tl2br w:val="nil"/>
              <w:tr2bl w:val="nil"/>
            </w:tcBorders>
            <w:noWrap/>
            <w:vAlign w:val="center"/>
          </w:tcPr>
          <w:p w14:paraId="32C472FB">
            <w:pPr>
              <w:pStyle w:val="45"/>
              <w:bidi w:val="0"/>
              <w:rPr>
                <w:rFonts w:hint="default"/>
                <w:b w:val="0"/>
                <w:bCs/>
                <w:color w:val="auto"/>
                <w:highlight w:val="none"/>
              </w:rPr>
            </w:pPr>
          </w:p>
        </w:tc>
        <w:tc>
          <w:tcPr>
            <w:tcW w:w="346" w:type="pct"/>
            <w:tcBorders>
              <w:tl2br w:val="nil"/>
              <w:tr2bl w:val="nil"/>
            </w:tcBorders>
            <w:noWrap/>
            <w:vAlign w:val="center"/>
          </w:tcPr>
          <w:p w14:paraId="7320B828">
            <w:pPr>
              <w:pStyle w:val="45"/>
              <w:bidi w:val="0"/>
              <w:rPr>
                <w:rFonts w:hint="default"/>
                <w:b w:val="0"/>
                <w:bCs/>
                <w:color w:val="auto"/>
                <w:highlight w:val="none"/>
              </w:rPr>
            </w:pPr>
            <w:r>
              <w:rPr>
                <w:rFonts w:hint="default"/>
                <w:b w:val="0"/>
                <w:bCs/>
                <w:color w:val="auto"/>
                <w:highlight w:val="none"/>
                <w:lang w:val="en-US" w:eastAsia="zh-CN"/>
              </w:rPr>
              <w:t xml:space="preserve">0.73 </w:t>
            </w:r>
          </w:p>
        </w:tc>
        <w:tc>
          <w:tcPr>
            <w:tcW w:w="589" w:type="pct"/>
            <w:tcBorders>
              <w:tl2br w:val="nil"/>
              <w:tr2bl w:val="nil"/>
            </w:tcBorders>
            <w:noWrap/>
            <w:vAlign w:val="center"/>
          </w:tcPr>
          <w:p w14:paraId="0848B938">
            <w:pPr>
              <w:pStyle w:val="45"/>
              <w:bidi w:val="0"/>
              <w:rPr>
                <w:b w:val="0"/>
                <w:bCs/>
                <w:color w:val="auto"/>
                <w:highlight w:val="none"/>
              </w:rPr>
            </w:pPr>
            <w:r>
              <w:rPr>
                <w:rFonts w:hint="default"/>
                <w:b w:val="0"/>
                <w:bCs/>
                <w:color w:val="auto"/>
                <w:highlight w:val="none"/>
                <w:lang w:val="en-US" w:eastAsia="zh-CN"/>
              </w:rPr>
              <w:t>Z11</w:t>
            </w:r>
          </w:p>
        </w:tc>
      </w:tr>
      <w:tr w14:paraId="675B031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6594CA77">
            <w:pPr>
              <w:pStyle w:val="45"/>
              <w:bidi w:val="0"/>
              <w:rPr>
                <w:b w:val="0"/>
                <w:bCs/>
                <w:color w:val="auto"/>
                <w:highlight w:val="none"/>
              </w:rPr>
            </w:pPr>
          </w:p>
        </w:tc>
        <w:tc>
          <w:tcPr>
            <w:tcW w:w="921" w:type="pct"/>
            <w:tcBorders>
              <w:tl2br w:val="nil"/>
              <w:tr2bl w:val="nil"/>
            </w:tcBorders>
            <w:noWrap/>
            <w:vAlign w:val="center"/>
          </w:tcPr>
          <w:p w14:paraId="40368563">
            <w:pPr>
              <w:pStyle w:val="45"/>
              <w:bidi w:val="0"/>
              <w:rPr>
                <w:b w:val="0"/>
                <w:bCs/>
                <w:color w:val="auto"/>
                <w:highlight w:val="none"/>
              </w:rPr>
            </w:pPr>
            <w:r>
              <w:rPr>
                <w:b w:val="0"/>
                <w:bCs/>
                <w:color w:val="auto"/>
                <w:highlight w:val="none"/>
              </w:rPr>
              <w:t>17#-19#</w:t>
            </w:r>
            <w:r>
              <w:rPr>
                <w:rFonts w:hint="default"/>
                <w:b w:val="0"/>
                <w:bCs/>
                <w:color w:val="auto"/>
                <w:highlight w:val="none"/>
              </w:rPr>
              <w:t>风机及变压器基础</w:t>
            </w:r>
          </w:p>
        </w:tc>
        <w:tc>
          <w:tcPr>
            <w:tcW w:w="293" w:type="pct"/>
            <w:tcBorders>
              <w:tl2br w:val="nil"/>
              <w:tr2bl w:val="nil"/>
            </w:tcBorders>
            <w:noWrap/>
            <w:vAlign w:val="center"/>
          </w:tcPr>
          <w:p w14:paraId="1EC39840">
            <w:pPr>
              <w:pStyle w:val="45"/>
              <w:bidi w:val="0"/>
              <w:rPr>
                <w:b w:val="0"/>
                <w:bCs/>
                <w:color w:val="auto"/>
                <w:highlight w:val="none"/>
              </w:rPr>
            </w:pPr>
            <w:r>
              <w:rPr>
                <w:rFonts w:hint="default"/>
                <w:b w:val="0"/>
                <w:bCs/>
                <w:color w:val="auto"/>
                <w:highlight w:val="none"/>
                <w:lang w:val="en-US" w:eastAsia="zh-CN"/>
              </w:rPr>
              <w:t xml:space="preserve">0.94 </w:t>
            </w:r>
          </w:p>
        </w:tc>
        <w:tc>
          <w:tcPr>
            <w:tcW w:w="331" w:type="pct"/>
            <w:tcBorders>
              <w:tl2br w:val="nil"/>
              <w:tr2bl w:val="nil"/>
            </w:tcBorders>
            <w:noWrap/>
            <w:vAlign w:val="center"/>
          </w:tcPr>
          <w:p w14:paraId="328D839B">
            <w:pPr>
              <w:pStyle w:val="45"/>
              <w:bidi w:val="0"/>
              <w:rPr>
                <w:b w:val="0"/>
                <w:bCs/>
                <w:color w:val="auto"/>
                <w:highlight w:val="none"/>
              </w:rPr>
            </w:pPr>
            <w:r>
              <w:rPr>
                <w:rFonts w:hint="default"/>
                <w:b w:val="0"/>
                <w:bCs/>
                <w:color w:val="auto"/>
                <w:highlight w:val="none"/>
                <w:lang w:val="en-US" w:eastAsia="zh-CN"/>
              </w:rPr>
              <w:t xml:space="preserve">0.94 </w:t>
            </w:r>
          </w:p>
        </w:tc>
        <w:tc>
          <w:tcPr>
            <w:tcW w:w="250" w:type="pct"/>
            <w:tcBorders>
              <w:tl2br w:val="nil"/>
              <w:tr2bl w:val="nil"/>
            </w:tcBorders>
            <w:noWrap/>
            <w:vAlign w:val="center"/>
          </w:tcPr>
          <w:p w14:paraId="124CDCE1">
            <w:pPr>
              <w:pStyle w:val="45"/>
              <w:bidi w:val="0"/>
              <w:rPr>
                <w:b w:val="0"/>
                <w:bCs/>
                <w:color w:val="auto"/>
                <w:highlight w:val="none"/>
              </w:rPr>
            </w:pPr>
          </w:p>
        </w:tc>
        <w:tc>
          <w:tcPr>
            <w:tcW w:w="274" w:type="pct"/>
            <w:tcBorders>
              <w:tl2br w:val="nil"/>
              <w:tr2bl w:val="nil"/>
            </w:tcBorders>
            <w:noWrap/>
            <w:vAlign w:val="center"/>
          </w:tcPr>
          <w:p w14:paraId="32E3F483">
            <w:pPr>
              <w:pStyle w:val="45"/>
              <w:bidi w:val="0"/>
              <w:rPr>
                <w:rFonts w:hint="default"/>
                <w:b w:val="0"/>
                <w:bCs/>
                <w:color w:val="auto"/>
                <w:highlight w:val="none"/>
              </w:rPr>
            </w:pPr>
            <w:r>
              <w:rPr>
                <w:rFonts w:hint="default"/>
                <w:b w:val="0"/>
                <w:bCs/>
                <w:color w:val="auto"/>
                <w:highlight w:val="none"/>
                <w:lang w:val="en-US" w:eastAsia="zh-CN"/>
              </w:rPr>
              <w:t xml:space="preserve">0.20 </w:t>
            </w:r>
          </w:p>
        </w:tc>
        <w:tc>
          <w:tcPr>
            <w:tcW w:w="371" w:type="pct"/>
            <w:tcBorders>
              <w:tl2br w:val="nil"/>
              <w:tr2bl w:val="nil"/>
            </w:tcBorders>
            <w:noWrap/>
            <w:vAlign w:val="center"/>
          </w:tcPr>
          <w:p w14:paraId="4D1D1D77">
            <w:pPr>
              <w:pStyle w:val="45"/>
              <w:bidi w:val="0"/>
              <w:rPr>
                <w:b w:val="0"/>
                <w:bCs/>
                <w:color w:val="auto"/>
                <w:highlight w:val="none"/>
              </w:rPr>
            </w:pPr>
            <w:r>
              <w:rPr>
                <w:rFonts w:hint="default"/>
                <w:b w:val="0"/>
                <w:bCs/>
                <w:color w:val="auto"/>
                <w:highlight w:val="none"/>
                <w:lang w:val="en-US" w:eastAsia="zh-CN"/>
              </w:rPr>
              <w:t xml:space="preserve">0.20 </w:t>
            </w:r>
          </w:p>
        </w:tc>
        <w:tc>
          <w:tcPr>
            <w:tcW w:w="289" w:type="pct"/>
            <w:tcBorders>
              <w:tl2br w:val="nil"/>
              <w:tr2bl w:val="nil"/>
            </w:tcBorders>
            <w:noWrap/>
            <w:vAlign w:val="center"/>
          </w:tcPr>
          <w:p w14:paraId="383AE39C">
            <w:pPr>
              <w:pStyle w:val="45"/>
              <w:bidi w:val="0"/>
              <w:rPr>
                <w:b w:val="0"/>
                <w:bCs/>
                <w:color w:val="auto"/>
                <w:highlight w:val="none"/>
              </w:rPr>
            </w:pPr>
          </w:p>
        </w:tc>
        <w:tc>
          <w:tcPr>
            <w:tcW w:w="276" w:type="pct"/>
            <w:tcBorders>
              <w:tl2br w:val="nil"/>
              <w:tr2bl w:val="nil"/>
            </w:tcBorders>
            <w:noWrap/>
            <w:vAlign w:val="center"/>
          </w:tcPr>
          <w:p w14:paraId="5618AA9C">
            <w:pPr>
              <w:pStyle w:val="45"/>
              <w:bidi w:val="0"/>
              <w:rPr>
                <w:rFonts w:hint="default"/>
                <w:b w:val="0"/>
                <w:bCs/>
                <w:color w:val="auto"/>
                <w:highlight w:val="none"/>
              </w:rPr>
            </w:pPr>
          </w:p>
        </w:tc>
        <w:tc>
          <w:tcPr>
            <w:tcW w:w="259" w:type="pct"/>
            <w:tcBorders>
              <w:tl2br w:val="nil"/>
              <w:tr2bl w:val="nil"/>
            </w:tcBorders>
            <w:noWrap/>
            <w:vAlign w:val="center"/>
          </w:tcPr>
          <w:p w14:paraId="393B0676">
            <w:pPr>
              <w:pStyle w:val="45"/>
              <w:bidi w:val="0"/>
              <w:rPr>
                <w:rFonts w:hint="default"/>
                <w:b w:val="0"/>
                <w:bCs/>
                <w:color w:val="auto"/>
                <w:highlight w:val="none"/>
              </w:rPr>
            </w:pPr>
          </w:p>
        </w:tc>
        <w:tc>
          <w:tcPr>
            <w:tcW w:w="346" w:type="pct"/>
            <w:tcBorders>
              <w:tl2br w:val="nil"/>
              <w:tr2bl w:val="nil"/>
            </w:tcBorders>
            <w:noWrap/>
            <w:vAlign w:val="center"/>
          </w:tcPr>
          <w:p w14:paraId="3885FE71">
            <w:pPr>
              <w:pStyle w:val="45"/>
              <w:bidi w:val="0"/>
              <w:rPr>
                <w:rFonts w:hint="default"/>
                <w:b w:val="0"/>
                <w:bCs/>
                <w:color w:val="auto"/>
                <w:highlight w:val="none"/>
              </w:rPr>
            </w:pPr>
            <w:r>
              <w:rPr>
                <w:rFonts w:hint="default"/>
                <w:b w:val="0"/>
                <w:bCs/>
                <w:color w:val="auto"/>
                <w:highlight w:val="none"/>
                <w:lang w:val="en-US" w:eastAsia="zh-CN"/>
              </w:rPr>
              <w:t xml:space="preserve">0.74 </w:t>
            </w:r>
          </w:p>
        </w:tc>
        <w:tc>
          <w:tcPr>
            <w:tcW w:w="589" w:type="pct"/>
            <w:tcBorders>
              <w:tl2br w:val="nil"/>
              <w:tr2bl w:val="nil"/>
            </w:tcBorders>
            <w:noWrap/>
            <w:vAlign w:val="center"/>
          </w:tcPr>
          <w:p w14:paraId="6FCFF94F">
            <w:pPr>
              <w:pStyle w:val="45"/>
              <w:bidi w:val="0"/>
              <w:rPr>
                <w:b w:val="0"/>
                <w:bCs/>
                <w:color w:val="auto"/>
                <w:highlight w:val="none"/>
              </w:rPr>
            </w:pPr>
            <w:r>
              <w:rPr>
                <w:rFonts w:hint="default"/>
                <w:b w:val="0"/>
                <w:bCs/>
                <w:color w:val="auto"/>
                <w:highlight w:val="none"/>
                <w:lang w:val="en-US" w:eastAsia="zh-CN"/>
              </w:rPr>
              <w:t>Z9</w:t>
            </w:r>
          </w:p>
        </w:tc>
      </w:tr>
      <w:tr w14:paraId="548EC5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04E9FB49">
            <w:pPr>
              <w:pStyle w:val="45"/>
              <w:bidi w:val="0"/>
              <w:rPr>
                <w:b w:val="0"/>
                <w:bCs/>
                <w:color w:val="auto"/>
                <w:highlight w:val="none"/>
              </w:rPr>
            </w:pPr>
          </w:p>
        </w:tc>
        <w:tc>
          <w:tcPr>
            <w:tcW w:w="921" w:type="pct"/>
            <w:tcBorders>
              <w:tl2br w:val="nil"/>
              <w:tr2bl w:val="nil"/>
            </w:tcBorders>
            <w:noWrap/>
            <w:vAlign w:val="center"/>
          </w:tcPr>
          <w:p w14:paraId="1C9D044D">
            <w:pPr>
              <w:pStyle w:val="45"/>
              <w:bidi w:val="0"/>
              <w:rPr>
                <w:b w:val="0"/>
                <w:bCs/>
                <w:color w:val="auto"/>
                <w:highlight w:val="none"/>
              </w:rPr>
            </w:pPr>
            <w:r>
              <w:rPr>
                <w:rFonts w:hint="default"/>
                <w:b w:val="0"/>
                <w:bCs/>
                <w:color w:val="auto"/>
                <w:highlight w:val="none"/>
              </w:rPr>
              <w:t>小计</w:t>
            </w:r>
          </w:p>
        </w:tc>
        <w:tc>
          <w:tcPr>
            <w:tcW w:w="293" w:type="pct"/>
            <w:tcBorders>
              <w:tl2br w:val="nil"/>
              <w:tr2bl w:val="nil"/>
            </w:tcBorders>
            <w:noWrap/>
            <w:vAlign w:val="center"/>
          </w:tcPr>
          <w:p w14:paraId="20365D77">
            <w:pPr>
              <w:pStyle w:val="45"/>
              <w:bidi w:val="0"/>
              <w:rPr>
                <w:rFonts w:hint="default"/>
                <w:b w:val="0"/>
                <w:bCs/>
                <w:color w:val="auto"/>
                <w:highlight w:val="none"/>
              </w:rPr>
            </w:pPr>
            <w:r>
              <w:rPr>
                <w:rFonts w:hint="default"/>
                <w:b w:val="0"/>
                <w:bCs/>
                <w:color w:val="auto"/>
                <w:highlight w:val="none"/>
                <w:lang w:val="en-US" w:eastAsia="zh-CN"/>
              </w:rPr>
              <w:t xml:space="preserve">4.98 </w:t>
            </w:r>
          </w:p>
        </w:tc>
        <w:tc>
          <w:tcPr>
            <w:tcW w:w="331" w:type="pct"/>
            <w:tcBorders>
              <w:tl2br w:val="nil"/>
              <w:tr2bl w:val="nil"/>
            </w:tcBorders>
            <w:noWrap/>
            <w:vAlign w:val="center"/>
          </w:tcPr>
          <w:p w14:paraId="581735D1">
            <w:pPr>
              <w:pStyle w:val="45"/>
              <w:bidi w:val="0"/>
              <w:rPr>
                <w:b w:val="0"/>
                <w:bCs/>
                <w:color w:val="auto"/>
                <w:highlight w:val="none"/>
              </w:rPr>
            </w:pPr>
            <w:r>
              <w:rPr>
                <w:rFonts w:hint="default"/>
                <w:b w:val="0"/>
                <w:bCs/>
                <w:color w:val="auto"/>
                <w:highlight w:val="none"/>
                <w:lang w:val="en-US" w:eastAsia="zh-CN"/>
              </w:rPr>
              <w:t xml:space="preserve">4.98 </w:t>
            </w:r>
          </w:p>
        </w:tc>
        <w:tc>
          <w:tcPr>
            <w:tcW w:w="250" w:type="pct"/>
            <w:tcBorders>
              <w:tl2br w:val="nil"/>
              <w:tr2bl w:val="nil"/>
            </w:tcBorders>
            <w:noWrap/>
            <w:vAlign w:val="center"/>
          </w:tcPr>
          <w:p w14:paraId="3AD0A278">
            <w:pPr>
              <w:pStyle w:val="45"/>
              <w:bidi w:val="0"/>
              <w:rPr>
                <w:b w:val="0"/>
                <w:bCs/>
                <w:color w:val="auto"/>
                <w:highlight w:val="none"/>
              </w:rPr>
            </w:pPr>
          </w:p>
        </w:tc>
        <w:tc>
          <w:tcPr>
            <w:tcW w:w="274" w:type="pct"/>
            <w:tcBorders>
              <w:tl2br w:val="nil"/>
              <w:tr2bl w:val="nil"/>
            </w:tcBorders>
            <w:noWrap/>
            <w:vAlign w:val="center"/>
          </w:tcPr>
          <w:p w14:paraId="172B0435">
            <w:pPr>
              <w:pStyle w:val="45"/>
              <w:bidi w:val="0"/>
              <w:rPr>
                <w:rFonts w:hint="default"/>
                <w:b w:val="0"/>
                <w:bCs/>
                <w:color w:val="auto"/>
                <w:highlight w:val="none"/>
              </w:rPr>
            </w:pPr>
            <w:r>
              <w:rPr>
                <w:rFonts w:hint="default"/>
                <w:b w:val="0"/>
                <w:bCs/>
                <w:color w:val="auto"/>
                <w:highlight w:val="none"/>
                <w:lang w:val="en-US" w:eastAsia="zh-CN"/>
              </w:rPr>
              <w:t xml:space="preserve">1.09 </w:t>
            </w:r>
          </w:p>
        </w:tc>
        <w:tc>
          <w:tcPr>
            <w:tcW w:w="371" w:type="pct"/>
            <w:tcBorders>
              <w:tl2br w:val="nil"/>
              <w:tr2bl w:val="nil"/>
            </w:tcBorders>
            <w:noWrap/>
            <w:vAlign w:val="center"/>
          </w:tcPr>
          <w:p w14:paraId="27DDD4B8">
            <w:pPr>
              <w:pStyle w:val="45"/>
              <w:bidi w:val="0"/>
              <w:rPr>
                <w:b w:val="0"/>
                <w:bCs/>
                <w:color w:val="auto"/>
                <w:highlight w:val="none"/>
              </w:rPr>
            </w:pPr>
            <w:r>
              <w:rPr>
                <w:rFonts w:hint="default"/>
                <w:b w:val="0"/>
                <w:bCs/>
                <w:color w:val="auto"/>
                <w:highlight w:val="none"/>
                <w:lang w:val="en-US" w:eastAsia="zh-CN"/>
              </w:rPr>
              <w:t xml:space="preserve">1.09 </w:t>
            </w:r>
          </w:p>
        </w:tc>
        <w:tc>
          <w:tcPr>
            <w:tcW w:w="289" w:type="pct"/>
            <w:tcBorders>
              <w:tl2br w:val="nil"/>
              <w:tr2bl w:val="nil"/>
            </w:tcBorders>
            <w:noWrap/>
            <w:vAlign w:val="center"/>
          </w:tcPr>
          <w:p w14:paraId="593B08D4">
            <w:pPr>
              <w:pStyle w:val="45"/>
              <w:bidi w:val="0"/>
              <w:rPr>
                <w:b w:val="0"/>
                <w:bCs/>
                <w:color w:val="auto"/>
                <w:highlight w:val="none"/>
              </w:rPr>
            </w:pPr>
          </w:p>
        </w:tc>
        <w:tc>
          <w:tcPr>
            <w:tcW w:w="276" w:type="pct"/>
            <w:tcBorders>
              <w:tl2br w:val="nil"/>
              <w:tr2bl w:val="nil"/>
            </w:tcBorders>
            <w:noWrap/>
            <w:vAlign w:val="center"/>
          </w:tcPr>
          <w:p w14:paraId="6C79A155">
            <w:pPr>
              <w:pStyle w:val="45"/>
              <w:bidi w:val="0"/>
              <w:rPr>
                <w:rFonts w:hint="default"/>
                <w:b w:val="0"/>
                <w:bCs/>
                <w:color w:val="auto"/>
                <w:highlight w:val="none"/>
              </w:rPr>
            </w:pPr>
          </w:p>
        </w:tc>
        <w:tc>
          <w:tcPr>
            <w:tcW w:w="259" w:type="pct"/>
            <w:tcBorders>
              <w:tl2br w:val="nil"/>
              <w:tr2bl w:val="nil"/>
            </w:tcBorders>
            <w:noWrap/>
            <w:vAlign w:val="center"/>
          </w:tcPr>
          <w:p w14:paraId="26DAE147">
            <w:pPr>
              <w:pStyle w:val="45"/>
              <w:bidi w:val="0"/>
              <w:rPr>
                <w:rFonts w:hint="default"/>
                <w:b w:val="0"/>
                <w:bCs/>
                <w:color w:val="auto"/>
                <w:highlight w:val="none"/>
              </w:rPr>
            </w:pPr>
          </w:p>
        </w:tc>
        <w:tc>
          <w:tcPr>
            <w:tcW w:w="346" w:type="pct"/>
            <w:tcBorders>
              <w:tl2br w:val="nil"/>
              <w:tr2bl w:val="nil"/>
            </w:tcBorders>
            <w:noWrap/>
            <w:vAlign w:val="center"/>
          </w:tcPr>
          <w:p w14:paraId="34ADC947">
            <w:pPr>
              <w:pStyle w:val="45"/>
              <w:bidi w:val="0"/>
              <w:rPr>
                <w:rFonts w:hint="default"/>
                <w:b w:val="0"/>
                <w:bCs/>
                <w:color w:val="auto"/>
                <w:highlight w:val="none"/>
              </w:rPr>
            </w:pPr>
            <w:r>
              <w:rPr>
                <w:rFonts w:hint="default"/>
                <w:b w:val="0"/>
                <w:bCs/>
                <w:color w:val="auto"/>
                <w:highlight w:val="none"/>
                <w:lang w:val="en-US" w:eastAsia="zh-CN"/>
              </w:rPr>
              <w:t xml:space="preserve">3.89 </w:t>
            </w:r>
          </w:p>
        </w:tc>
        <w:tc>
          <w:tcPr>
            <w:tcW w:w="589" w:type="pct"/>
            <w:tcBorders>
              <w:tl2br w:val="nil"/>
              <w:tr2bl w:val="nil"/>
            </w:tcBorders>
            <w:noWrap/>
            <w:vAlign w:val="center"/>
          </w:tcPr>
          <w:p w14:paraId="7D302954">
            <w:pPr>
              <w:pStyle w:val="45"/>
              <w:bidi w:val="0"/>
              <w:rPr>
                <w:b w:val="0"/>
                <w:bCs/>
                <w:color w:val="auto"/>
                <w:highlight w:val="none"/>
              </w:rPr>
            </w:pPr>
          </w:p>
        </w:tc>
      </w:tr>
      <w:tr w14:paraId="16F1EBE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416DBEEE">
            <w:pPr>
              <w:pStyle w:val="45"/>
              <w:bidi w:val="0"/>
              <w:rPr>
                <w:b w:val="0"/>
                <w:bCs/>
                <w:color w:val="auto"/>
                <w:highlight w:val="none"/>
              </w:rPr>
            </w:pPr>
          </w:p>
        </w:tc>
        <w:tc>
          <w:tcPr>
            <w:tcW w:w="921" w:type="pct"/>
            <w:tcBorders>
              <w:tl2br w:val="nil"/>
              <w:tr2bl w:val="nil"/>
            </w:tcBorders>
            <w:noWrap/>
            <w:vAlign w:val="center"/>
          </w:tcPr>
          <w:p w14:paraId="5CC612A4">
            <w:pPr>
              <w:pStyle w:val="45"/>
              <w:bidi w:val="0"/>
              <w:rPr>
                <w:b w:val="0"/>
                <w:bCs/>
                <w:color w:val="auto"/>
                <w:highlight w:val="none"/>
              </w:rPr>
            </w:pPr>
            <w:r>
              <w:rPr>
                <w:rFonts w:hint="default"/>
                <w:b w:val="0"/>
                <w:bCs/>
                <w:color w:val="auto"/>
                <w:highlight w:val="none"/>
              </w:rPr>
              <w:t>合计</w:t>
            </w:r>
          </w:p>
        </w:tc>
        <w:tc>
          <w:tcPr>
            <w:tcW w:w="293" w:type="pct"/>
            <w:tcBorders>
              <w:tl2br w:val="nil"/>
              <w:tr2bl w:val="nil"/>
            </w:tcBorders>
            <w:noWrap/>
            <w:vAlign w:val="center"/>
          </w:tcPr>
          <w:p w14:paraId="512E7BAF">
            <w:pPr>
              <w:pStyle w:val="45"/>
              <w:bidi w:val="0"/>
              <w:rPr>
                <w:rFonts w:hint="default"/>
                <w:b w:val="0"/>
                <w:bCs/>
                <w:color w:val="auto"/>
                <w:highlight w:val="none"/>
              </w:rPr>
            </w:pPr>
            <w:r>
              <w:rPr>
                <w:rFonts w:hint="default"/>
                <w:b w:val="0"/>
                <w:bCs/>
                <w:color w:val="auto"/>
                <w:highlight w:val="none"/>
                <w:lang w:val="en-US" w:eastAsia="zh-CN"/>
              </w:rPr>
              <w:t xml:space="preserve">29.35 </w:t>
            </w:r>
          </w:p>
        </w:tc>
        <w:tc>
          <w:tcPr>
            <w:tcW w:w="331" w:type="pct"/>
            <w:tcBorders>
              <w:tl2br w:val="nil"/>
              <w:tr2bl w:val="nil"/>
            </w:tcBorders>
            <w:noWrap/>
            <w:vAlign w:val="center"/>
          </w:tcPr>
          <w:p w14:paraId="5D6530D3">
            <w:pPr>
              <w:pStyle w:val="45"/>
              <w:bidi w:val="0"/>
              <w:rPr>
                <w:b w:val="0"/>
                <w:bCs/>
                <w:color w:val="auto"/>
                <w:highlight w:val="none"/>
              </w:rPr>
            </w:pPr>
            <w:r>
              <w:rPr>
                <w:rFonts w:hint="default"/>
                <w:b w:val="0"/>
                <w:bCs/>
                <w:color w:val="auto"/>
                <w:highlight w:val="none"/>
                <w:lang w:val="en-US" w:eastAsia="zh-CN"/>
              </w:rPr>
              <w:t xml:space="preserve">28.81 </w:t>
            </w:r>
          </w:p>
        </w:tc>
        <w:tc>
          <w:tcPr>
            <w:tcW w:w="250" w:type="pct"/>
            <w:tcBorders>
              <w:tl2br w:val="nil"/>
              <w:tr2bl w:val="nil"/>
            </w:tcBorders>
            <w:noWrap/>
            <w:vAlign w:val="center"/>
          </w:tcPr>
          <w:p w14:paraId="66BD337C">
            <w:pPr>
              <w:pStyle w:val="45"/>
              <w:bidi w:val="0"/>
              <w:rPr>
                <w:b w:val="0"/>
                <w:bCs/>
                <w:color w:val="auto"/>
                <w:highlight w:val="none"/>
              </w:rPr>
            </w:pPr>
            <w:r>
              <w:rPr>
                <w:rFonts w:hint="default"/>
                <w:b w:val="0"/>
                <w:bCs/>
                <w:color w:val="auto"/>
                <w:highlight w:val="none"/>
                <w:lang w:val="en-US" w:eastAsia="zh-CN"/>
              </w:rPr>
              <w:t xml:space="preserve">0.54 </w:t>
            </w:r>
          </w:p>
        </w:tc>
        <w:tc>
          <w:tcPr>
            <w:tcW w:w="274" w:type="pct"/>
            <w:tcBorders>
              <w:tl2br w:val="nil"/>
              <w:tr2bl w:val="nil"/>
            </w:tcBorders>
            <w:noWrap/>
            <w:vAlign w:val="center"/>
          </w:tcPr>
          <w:p w14:paraId="17324732">
            <w:pPr>
              <w:pStyle w:val="45"/>
              <w:bidi w:val="0"/>
              <w:rPr>
                <w:b w:val="0"/>
                <w:bCs/>
                <w:color w:val="auto"/>
                <w:highlight w:val="none"/>
              </w:rPr>
            </w:pPr>
            <w:r>
              <w:rPr>
                <w:rFonts w:hint="default"/>
                <w:b w:val="0"/>
                <w:bCs/>
                <w:color w:val="auto"/>
                <w:highlight w:val="none"/>
                <w:lang w:val="en-US" w:eastAsia="zh-CN"/>
              </w:rPr>
              <w:t xml:space="preserve">13.90 </w:t>
            </w:r>
          </w:p>
        </w:tc>
        <w:tc>
          <w:tcPr>
            <w:tcW w:w="371" w:type="pct"/>
            <w:tcBorders>
              <w:tl2br w:val="nil"/>
              <w:tr2bl w:val="nil"/>
            </w:tcBorders>
            <w:noWrap/>
            <w:vAlign w:val="center"/>
          </w:tcPr>
          <w:p w14:paraId="78F33B25">
            <w:pPr>
              <w:pStyle w:val="45"/>
              <w:bidi w:val="0"/>
              <w:rPr>
                <w:b w:val="0"/>
                <w:bCs/>
                <w:color w:val="auto"/>
                <w:highlight w:val="none"/>
              </w:rPr>
            </w:pPr>
            <w:r>
              <w:rPr>
                <w:rFonts w:hint="default"/>
                <w:b w:val="0"/>
                <w:bCs/>
                <w:color w:val="auto"/>
                <w:highlight w:val="none"/>
                <w:lang w:val="en-US" w:eastAsia="zh-CN"/>
              </w:rPr>
              <w:t xml:space="preserve">13.36 </w:t>
            </w:r>
          </w:p>
        </w:tc>
        <w:tc>
          <w:tcPr>
            <w:tcW w:w="289" w:type="pct"/>
            <w:tcBorders>
              <w:tl2br w:val="nil"/>
              <w:tr2bl w:val="nil"/>
            </w:tcBorders>
            <w:noWrap/>
            <w:vAlign w:val="center"/>
          </w:tcPr>
          <w:p w14:paraId="12E882FF">
            <w:pPr>
              <w:pStyle w:val="45"/>
              <w:bidi w:val="0"/>
              <w:rPr>
                <w:b w:val="0"/>
                <w:bCs/>
                <w:color w:val="auto"/>
                <w:highlight w:val="none"/>
              </w:rPr>
            </w:pPr>
            <w:r>
              <w:rPr>
                <w:rFonts w:hint="default"/>
                <w:b w:val="0"/>
                <w:bCs/>
                <w:color w:val="auto"/>
                <w:highlight w:val="none"/>
                <w:lang w:val="en-US" w:eastAsia="zh-CN"/>
              </w:rPr>
              <w:t xml:space="preserve">0.54 </w:t>
            </w:r>
          </w:p>
        </w:tc>
        <w:tc>
          <w:tcPr>
            <w:tcW w:w="276" w:type="pct"/>
            <w:tcBorders>
              <w:tl2br w:val="nil"/>
              <w:tr2bl w:val="nil"/>
            </w:tcBorders>
            <w:noWrap/>
            <w:vAlign w:val="center"/>
          </w:tcPr>
          <w:p w14:paraId="354B4A7C">
            <w:pPr>
              <w:pStyle w:val="45"/>
              <w:bidi w:val="0"/>
              <w:rPr>
                <w:b w:val="0"/>
                <w:bCs/>
                <w:color w:val="auto"/>
                <w:highlight w:val="none"/>
              </w:rPr>
            </w:pPr>
          </w:p>
        </w:tc>
        <w:tc>
          <w:tcPr>
            <w:tcW w:w="259" w:type="pct"/>
            <w:tcBorders>
              <w:tl2br w:val="nil"/>
              <w:tr2bl w:val="nil"/>
            </w:tcBorders>
            <w:noWrap/>
            <w:vAlign w:val="center"/>
          </w:tcPr>
          <w:p w14:paraId="08A55FB7">
            <w:pPr>
              <w:pStyle w:val="45"/>
              <w:bidi w:val="0"/>
              <w:rPr>
                <w:b w:val="0"/>
                <w:bCs/>
                <w:color w:val="auto"/>
                <w:highlight w:val="none"/>
              </w:rPr>
            </w:pPr>
          </w:p>
        </w:tc>
        <w:tc>
          <w:tcPr>
            <w:tcW w:w="346" w:type="pct"/>
            <w:tcBorders>
              <w:tl2br w:val="nil"/>
              <w:tr2bl w:val="nil"/>
            </w:tcBorders>
            <w:noWrap/>
            <w:vAlign w:val="center"/>
          </w:tcPr>
          <w:p w14:paraId="09646793">
            <w:pPr>
              <w:pStyle w:val="45"/>
              <w:bidi w:val="0"/>
              <w:rPr>
                <w:b w:val="0"/>
                <w:bCs/>
                <w:color w:val="auto"/>
                <w:highlight w:val="none"/>
              </w:rPr>
            </w:pPr>
            <w:r>
              <w:rPr>
                <w:rFonts w:hint="default"/>
                <w:b w:val="0"/>
                <w:bCs/>
                <w:color w:val="auto"/>
                <w:highlight w:val="none"/>
                <w:lang w:val="en-US" w:eastAsia="zh-CN"/>
              </w:rPr>
              <w:t xml:space="preserve">15.45 </w:t>
            </w:r>
          </w:p>
        </w:tc>
        <w:tc>
          <w:tcPr>
            <w:tcW w:w="589" w:type="pct"/>
            <w:tcBorders>
              <w:tl2br w:val="nil"/>
              <w:tr2bl w:val="nil"/>
            </w:tcBorders>
            <w:noWrap/>
            <w:vAlign w:val="center"/>
          </w:tcPr>
          <w:p w14:paraId="40046216">
            <w:pPr>
              <w:pStyle w:val="45"/>
              <w:bidi w:val="0"/>
              <w:rPr>
                <w:b w:val="0"/>
                <w:bCs/>
                <w:color w:val="auto"/>
                <w:highlight w:val="none"/>
              </w:rPr>
            </w:pPr>
          </w:p>
        </w:tc>
      </w:tr>
      <w:tr w14:paraId="5F7F1E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restart"/>
            <w:tcBorders>
              <w:tl2br w:val="nil"/>
              <w:tr2bl w:val="nil"/>
            </w:tcBorders>
            <w:noWrap/>
            <w:vAlign w:val="center"/>
          </w:tcPr>
          <w:p w14:paraId="1CF89157">
            <w:pPr>
              <w:pStyle w:val="45"/>
              <w:bidi w:val="0"/>
              <w:rPr>
                <w:b w:val="0"/>
                <w:bCs/>
                <w:color w:val="auto"/>
                <w:highlight w:val="none"/>
              </w:rPr>
            </w:pPr>
            <w:r>
              <w:rPr>
                <w:rFonts w:hint="default"/>
                <w:b w:val="0"/>
                <w:bCs/>
                <w:color w:val="auto"/>
                <w:highlight w:val="none"/>
              </w:rPr>
              <w:t>集电线路区</w:t>
            </w:r>
          </w:p>
        </w:tc>
        <w:tc>
          <w:tcPr>
            <w:tcW w:w="921" w:type="pct"/>
            <w:tcBorders>
              <w:tl2br w:val="nil"/>
              <w:tr2bl w:val="nil"/>
            </w:tcBorders>
            <w:noWrap/>
            <w:vAlign w:val="center"/>
          </w:tcPr>
          <w:p w14:paraId="3FE68D9A">
            <w:pPr>
              <w:pStyle w:val="45"/>
              <w:bidi w:val="0"/>
              <w:rPr>
                <w:rFonts w:hint="default"/>
                <w:b w:val="0"/>
                <w:bCs/>
                <w:color w:val="auto"/>
                <w:highlight w:val="none"/>
              </w:rPr>
            </w:pPr>
            <w:r>
              <w:rPr>
                <w:rFonts w:hint="default"/>
                <w:b w:val="0"/>
                <w:bCs/>
                <w:color w:val="auto"/>
                <w:highlight w:val="none"/>
              </w:rPr>
              <w:t>直埋电缆</w:t>
            </w:r>
          </w:p>
        </w:tc>
        <w:tc>
          <w:tcPr>
            <w:tcW w:w="293" w:type="pct"/>
            <w:tcBorders>
              <w:tl2br w:val="nil"/>
              <w:tr2bl w:val="nil"/>
            </w:tcBorders>
            <w:noWrap/>
            <w:vAlign w:val="center"/>
          </w:tcPr>
          <w:p w14:paraId="36D3C1C6">
            <w:pPr>
              <w:pStyle w:val="45"/>
              <w:bidi w:val="0"/>
              <w:rPr>
                <w:rFonts w:hint="default"/>
                <w:b w:val="0"/>
                <w:bCs/>
                <w:color w:val="auto"/>
                <w:highlight w:val="none"/>
              </w:rPr>
            </w:pPr>
            <w:r>
              <w:rPr>
                <w:rFonts w:hint="default"/>
                <w:b w:val="0"/>
                <w:bCs/>
                <w:color w:val="auto"/>
                <w:highlight w:val="none"/>
                <w:lang w:val="en-US" w:eastAsia="zh-CN"/>
              </w:rPr>
              <w:t xml:space="preserve">7.30 </w:t>
            </w:r>
          </w:p>
        </w:tc>
        <w:tc>
          <w:tcPr>
            <w:tcW w:w="331" w:type="pct"/>
            <w:tcBorders>
              <w:tl2br w:val="nil"/>
              <w:tr2bl w:val="nil"/>
            </w:tcBorders>
            <w:noWrap/>
            <w:vAlign w:val="center"/>
          </w:tcPr>
          <w:p w14:paraId="0F8E66D5">
            <w:pPr>
              <w:pStyle w:val="45"/>
              <w:bidi w:val="0"/>
              <w:rPr>
                <w:b w:val="0"/>
                <w:bCs/>
                <w:color w:val="auto"/>
                <w:highlight w:val="none"/>
              </w:rPr>
            </w:pPr>
            <w:r>
              <w:rPr>
                <w:rFonts w:hint="default"/>
                <w:b w:val="0"/>
                <w:bCs/>
                <w:color w:val="auto"/>
                <w:highlight w:val="none"/>
                <w:lang w:val="en-US" w:eastAsia="zh-CN"/>
              </w:rPr>
              <w:t xml:space="preserve">7.30 </w:t>
            </w:r>
          </w:p>
        </w:tc>
        <w:tc>
          <w:tcPr>
            <w:tcW w:w="250" w:type="pct"/>
            <w:tcBorders>
              <w:tl2br w:val="nil"/>
              <w:tr2bl w:val="nil"/>
            </w:tcBorders>
            <w:noWrap/>
            <w:vAlign w:val="center"/>
          </w:tcPr>
          <w:p w14:paraId="6B65C245">
            <w:pPr>
              <w:pStyle w:val="45"/>
              <w:bidi w:val="0"/>
              <w:rPr>
                <w:b w:val="0"/>
                <w:bCs/>
                <w:color w:val="auto"/>
                <w:highlight w:val="none"/>
              </w:rPr>
            </w:pPr>
          </w:p>
        </w:tc>
        <w:tc>
          <w:tcPr>
            <w:tcW w:w="274" w:type="pct"/>
            <w:tcBorders>
              <w:tl2br w:val="nil"/>
              <w:tr2bl w:val="nil"/>
            </w:tcBorders>
            <w:noWrap/>
            <w:vAlign w:val="center"/>
          </w:tcPr>
          <w:p w14:paraId="47B97C19">
            <w:pPr>
              <w:pStyle w:val="45"/>
              <w:bidi w:val="0"/>
              <w:rPr>
                <w:b w:val="0"/>
                <w:bCs/>
                <w:color w:val="auto"/>
                <w:highlight w:val="none"/>
              </w:rPr>
            </w:pPr>
            <w:r>
              <w:rPr>
                <w:rFonts w:hint="default"/>
                <w:b w:val="0"/>
                <w:bCs/>
                <w:color w:val="auto"/>
                <w:highlight w:val="none"/>
                <w:lang w:val="en-US" w:eastAsia="zh-CN"/>
              </w:rPr>
              <w:t xml:space="preserve">7.30 </w:t>
            </w:r>
          </w:p>
        </w:tc>
        <w:tc>
          <w:tcPr>
            <w:tcW w:w="371" w:type="pct"/>
            <w:tcBorders>
              <w:tl2br w:val="nil"/>
              <w:tr2bl w:val="nil"/>
            </w:tcBorders>
            <w:noWrap/>
            <w:vAlign w:val="center"/>
          </w:tcPr>
          <w:p w14:paraId="11092B17">
            <w:pPr>
              <w:pStyle w:val="45"/>
              <w:bidi w:val="0"/>
              <w:rPr>
                <w:b w:val="0"/>
                <w:bCs/>
                <w:color w:val="auto"/>
                <w:highlight w:val="none"/>
              </w:rPr>
            </w:pPr>
            <w:r>
              <w:rPr>
                <w:rFonts w:hint="default"/>
                <w:b w:val="0"/>
                <w:bCs/>
                <w:color w:val="auto"/>
                <w:highlight w:val="none"/>
                <w:lang w:val="en-US" w:eastAsia="zh-CN"/>
              </w:rPr>
              <w:t xml:space="preserve">7.30 </w:t>
            </w:r>
          </w:p>
        </w:tc>
        <w:tc>
          <w:tcPr>
            <w:tcW w:w="289" w:type="pct"/>
            <w:tcBorders>
              <w:tl2br w:val="nil"/>
              <w:tr2bl w:val="nil"/>
            </w:tcBorders>
            <w:noWrap/>
            <w:vAlign w:val="center"/>
          </w:tcPr>
          <w:p w14:paraId="14704399">
            <w:pPr>
              <w:pStyle w:val="45"/>
              <w:bidi w:val="0"/>
              <w:rPr>
                <w:b w:val="0"/>
                <w:bCs/>
                <w:color w:val="auto"/>
                <w:highlight w:val="none"/>
              </w:rPr>
            </w:pPr>
          </w:p>
        </w:tc>
        <w:tc>
          <w:tcPr>
            <w:tcW w:w="276" w:type="pct"/>
            <w:tcBorders>
              <w:tl2br w:val="nil"/>
              <w:tr2bl w:val="nil"/>
            </w:tcBorders>
            <w:noWrap/>
            <w:vAlign w:val="center"/>
          </w:tcPr>
          <w:p w14:paraId="34A07BFF">
            <w:pPr>
              <w:pStyle w:val="45"/>
              <w:bidi w:val="0"/>
              <w:rPr>
                <w:b w:val="0"/>
                <w:bCs/>
                <w:color w:val="auto"/>
                <w:highlight w:val="none"/>
              </w:rPr>
            </w:pPr>
          </w:p>
        </w:tc>
        <w:tc>
          <w:tcPr>
            <w:tcW w:w="259" w:type="pct"/>
            <w:tcBorders>
              <w:tl2br w:val="nil"/>
              <w:tr2bl w:val="nil"/>
            </w:tcBorders>
            <w:noWrap/>
            <w:vAlign w:val="center"/>
          </w:tcPr>
          <w:p w14:paraId="6AEB0F3B">
            <w:pPr>
              <w:pStyle w:val="45"/>
              <w:bidi w:val="0"/>
              <w:rPr>
                <w:b w:val="0"/>
                <w:bCs/>
                <w:color w:val="auto"/>
                <w:highlight w:val="none"/>
              </w:rPr>
            </w:pPr>
          </w:p>
        </w:tc>
        <w:tc>
          <w:tcPr>
            <w:tcW w:w="346" w:type="pct"/>
            <w:tcBorders>
              <w:tl2br w:val="nil"/>
              <w:tr2bl w:val="nil"/>
            </w:tcBorders>
            <w:noWrap/>
            <w:vAlign w:val="center"/>
          </w:tcPr>
          <w:p w14:paraId="283C4A76">
            <w:pPr>
              <w:pStyle w:val="45"/>
              <w:bidi w:val="0"/>
              <w:rPr>
                <w:b w:val="0"/>
                <w:bCs/>
                <w:color w:val="auto"/>
                <w:highlight w:val="none"/>
              </w:rPr>
            </w:pPr>
          </w:p>
        </w:tc>
        <w:tc>
          <w:tcPr>
            <w:tcW w:w="589" w:type="pct"/>
            <w:tcBorders>
              <w:tl2br w:val="nil"/>
              <w:tr2bl w:val="nil"/>
            </w:tcBorders>
            <w:noWrap/>
            <w:vAlign w:val="center"/>
          </w:tcPr>
          <w:p w14:paraId="23C1B1F0">
            <w:pPr>
              <w:pStyle w:val="45"/>
              <w:bidi w:val="0"/>
              <w:rPr>
                <w:b w:val="0"/>
                <w:bCs/>
                <w:color w:val="auto"/>
                <w:highlight w:val="none"/>
              </w:rPr>
            </w:pPr>
          </w:p>
        </w:tc>
      </w:tr>
      <w:tr w14:paraId="50CE602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699F58D1">
            <w:pPr>
              <w:pStyle w:val="45"/>
              <w:bidi w:val="0"/>
              <w:rPr>
                <w:b w:val="0"/>
                <w:bCs/>
                <w:color w:val="auto"/>
                <w:highlight w:val="none"/>
              </w:rPr>
            </w:pPr>
          </w:p>
        </w:tc>
        <w:tc>
          <w:tcPr>
            <w:tcW w:w="921" w:type="pct"/>
            <w:tcBorders>
              <w:tl2br w:val="nil"/>
              <w:tr2bl w:val="nil"/>
            </w:tcBorders>
            <w:noWrap/>
            <w:vAlign w:val="center"/>
          </w:tcPr>
          <w:p w14:paraId="549AEB6B">
            <w:pPr>
              <w:pStyle w:val="45"/>
              <w:bidi w:val="0"/>
              <w:rPr>
                <w:b w:val="0"/>
                <w:bCs/>
                <w:color w:val="auto"/>
                <w:highlight w:val="none"/>
              </w:rPr>
            </w:pPr>
            <w:r>
              <w:rPr>
                <w:rFonts w:hint="default"/>
                <w:b w:val="0"/>
                <w:bCs/>
                <w:color w:val="auto"/>
                <w:highlight w:val="none"/>
              </w:rPr>
              <w:t>合计</w:t>
            </w:r>
          </w:p>
        </w:tc>
        <w:tc>
          <w:tcPr>
            <w:tcW w:w="293" w:type="pct"/>
            <w:tcBorders>
              <w:tl2br w:val="nil"/>
              <w:tr2bl w:val="nil"/>
            </w:tcBorders>
            <w:noWrap/>
            <w:vAlign w:val="center"/>
          </w:tcPr>
          <w:p w14:paraId="4F271995">
            <w:pPr>
              <w:pStyle w:val="45"/>
              <w:bidi w:val="0"/>
              <w:rPr>
                <w:rFonts w:hint="default"/>
                <w:b w:val="0"/>
                <w:bCs/>
                <w:color w:val="auto"/>
                <w:highlight w:val="none"/>
              </w:rPr>
            </w:pPr>
            <w:r>
              <w:rPr>
                <w:rFonts w:hint="default"/>
                <w:b w:val="0"/>
                <w:bCs/>
                <w:color w:val="auto"/>
                <w:highlight w:val="none"/>
                <w:lang w:val="en-US" w:eastAsia="zh-CN"/>
              </w:rPr>
              <w:t xml:space="preserve">7.30 </w:t>
            </w:r>
          </w:p>
        </w:tc>
        <w:tc>
          <w:tcPr>
            <w:tcW w:w="331" w:type="pct"/>
            <w:tcBorders>
              <w:tl2br w:val="nil"/>
              <w:tr2bl w:val="nil"/>
            </w:tcBorders>
            <w:noWrap/>
            <w:vAlign w:val="center"/>
          </w:tcPr>
          <w:p w14:paraId="30A54055">
            <w:pPr>
              <w:pStyle w:val="45"/>
              <w:bidi w:val="0"/>
              <w:rPr>
                <w:b w:val="0"/>
                <w:bCs/>
                <w:color w:val="auto"/>
                <w:highlight w:val="none"/>
              </w:rPr>
            </w:pPr>
            <w:r>
              <w:rPr>
                <w:rFonts w:hint="default"/>
                <w:b w:val="0"/>
                <w:bCs/>
                <w:color w:val="auto"/>
                <w:highlight w:val="none"/>
                <w:lang w:val="en-US" w:eastAsia="zh-CN"/>
              </w:rPr>
              <w:t xml:space="preserve">7.30 </w:t>
            </w:r>
          </w:p>
        </w:tc>
        <w:tc>
          <w:tcPr>
            <w:tcW w:w="250" w:type="pct"/>
            <w:tcBorders>
              <w:tl2br w:val="nil"/>
              <w:tr2bl w:val="nil"/>
            </w:tcBorders>
            <w:noWrap/>
            <w:vAlign w:val="center"/>
          </w:tcPr>
          <w:p w14:paraId="2EDB8228">
            <w:pPr>
              <w:pStyle w:val="45"/>
              <w:bidi w:val="0"/>
              <w:rPr>
                <w:b w:val="0"/>
                <w:bCs/>
                <w:color w:val="auto"/>
                <w:highlight w:val="none"/>
              </w:rPr>
            </w:pPr>
          </w:p>
        </w:tc>
        <w:tc>
          <w:tcPr>
            <w:tcW w:w="274" w:type="pct"/>
            <w:tcBorders>
              <w:tl2br w:val="nil"/>
              <w:tr2bl w:val="nil"/>
            </w:tcBorders>
            <w:noWrap/>
            <w:vAlign w:val="center"/>
          </w:tcPr>
          <w:p w14:paraId="2ED69F32">
            <w:pPr>
              <w:pStyle w:val="45"/>
              <w:bidi w:val="0"/>
              <w:rPr>
                <w:b w:val="0"/>
                <w:bCs/>
                <w:color w:val="auto"/>
                <w:highlight w:val="none"/>
              </w:rPr>
            </w:pPr>
            <w:r>
              <w:rPr>
                <w:rFonts w:hint="default"/>
                <w:b w:val="0"/>
                <w:bCs/>
                <w:color w:val="auto"/>
                <w:highlight w:val="none"/>
                <w:lang w:val="en-US" w:eastAsia="zh-CN"/>
              </w:rPr>
              <w:t xml:space="preserve">7.30 </w:t>
            </w:r>
          </w:p>
        </w:tc>
        <w:tc>
          <w:tcPr>
            <w:tcW w:w="371" w:type="pct"/>
            <w:tcBorders>
              <w:tl2br w:val="nil"/>
              <w:tr2bl w:val="nil"/>
            </w:tcBorders>
            <w:noWrap/>
            <w:vAlign w:val="center"/>
          </w:tcPr>
          <w:p w14:paraId="151CF568">
            <w:pPr>
              <w:pStyle w:val="45"/>
              <w:bidi w:val="0"/>
              <w:rPr>
                <w:b w:val="0"/>
                <w:bCs/>
                <w:color w:val="auto"/>
                <w:highlight w:val="none"/>
              </w:rPr>
            </w:pPr>
            <w:r>
              <w:rPr>
                <w:rFonts w:hint="default"/>
                <w:b w:val="0"/>
                <w:bCs/>
                <w:color w:val="auto"/>
                <w:highlight w:val="none"/>
                <w:lang w:val="en-US" w:eastAsia="zh-CN"/>
              </w:rPr>
              <w:t xml:space="preserve">7.30 </w:t>
            </w:r>
          </w:p>
        </w:tc>
        <w:tc>
          <w:tcPr>
            <w:tcW w:w="289" w:type="pct"/>
            <w:tcBorders>
              <w:tl2br w:val="nil"/>
              <w:tr2bl w:val="nil"/>
            </w:tcBorders>
            <w:noWrap/>
            <w:vAlign w:val="center"/>
          </w:tcPr>
          <w:p w14:paraId="0077899A">
            <w:pPr>
              <w:pStyle w:val="45"/>
              <w:bidi w:val="0"/>
              <w:rPr>
                <w:b w:val="0"/>
                <w:bCs/>
                <w:color w:val="auto"/>
                <w:highlight w:val="none"/>
              </w:rPr>
            </w:pPr>
          </w:p>
        </w:tc>
        <w:tc>
          <w:tcPr>
            <w:tcW w:w="276" w:type="pct"/>
            <w:tcBorders>
              <w:tl2br w:val="nil"/>
              <w:tr2bl w:val="nil"/>
            </w:tcBorders>
            <w:noWrap/>
            <w:vAlign w:val="center"/>
          </w:tcPr>
          <w:p w14:paraId="65C6D9E2">
            <w:pPr>
              <w:pStyle w:val="45"/>
              <w:bidi w:val="0"/>
              <w:rPr>
                <w:b w:val="0"/>
                <w:bCs/>
                <w:color w:val="auto"/>
                <w:highlight w:val="none"/>
              </w:rPr>
            </w:pPr>
          </w:p>
        </w:tc>
        <w:tc>
          <w:tcPr>
            <w:tcW w:w="259" w:type="pct"/>
            <w:tcBorders>
              <w:tl2br w:val="nil"/>
              <w:tr2bl w:val="nil"/>
            </w:tcBorders>
            <w:noWrap/>
            <w:vAlign w:val="center"/>
          </w:tcPr>
          <w:p w14:paraId="394BA20D">
            <w:pPr>
              <w:pStyle w:val="45"/>
              <w:bidi w:val="0"/>
              <w:rPr>
                <w:rFonts w:hint="default"/>
                <w:b w:val="0"/>
                <w:bCs/>
                <w:color w:val="auto"/>
                <w:highlight w:val="none"/>
              </w:rPr>
            </w:pPr>
          </w:p>
        </w:tc>
        <w:tc>
          <w:tcPr>
            <w:tcW w:w="346" w:type="pct"/>
            <w:tcBorders>
              <w:tl2br w:val="nil"/>
              <w:tr2bl w:val="nil"/>
            </w:tcBorders>
            <w:noWrap/>
            <w:vAlign w:val="center"/>
          </w:tcPr>
          <w:p w14:paraId="4EFC4192">
            <w:pPr>
              <w:pStyle w:val="45"/>
              <w:bidi w:val="0"/>
              <w:rPr>
                <w:b w:val="0"/>
                <w:bCs/>
                <w:color w:val="auto"/>
                <w:highlight w:val="none"/>
              </w:rPr>
            </w:pPr>
          </w:p>
        </w:tc>
        <w:tc>
          <w:tcPr>
            <w:tcW w:w="589" w:type="pct"/>
            <w:tcBorders>
              <w:tl2br w:val="nil"/>
              <w:tr2bl w:val="nil"/>
            </w:tcBorders>
            <w:noWrap/>
            <w:vAlign w:val="center"/>
          </w:tcPr>
          <w:p w14:paraId="3E87ECC0">
            <w:pPr>
              <w:pStyle w:val="45"/>
              <w:bidi w:val="0"/>
              <w:rPr>
                <w:rFonts w:hint="default"/>
                <w:b w:val="0"/>
                <w:bCs/>
                <w:color w:val="auto"/>
                <w:highlight w:val="none"/>
              </w:rPr>
            </w:pPr>
          </w:p>
        </w:tc>
      </w:tr>
      <w:tr w14:paraId="5249F1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restart"/>
            <w:tcBorders>
              <w:tl2br w:val="nil"/>
              <w:tr2bl w:val="nil"/>
            </w:tcBorders>
            <w:noWrap/>
            <w:vAlign w:val="center"/>
          </w:tcPr>
          <w:p w14:paraId="418CED9B">
            <w:pPr>
              <w:pStyle w:val="45"/>
              <w:bidi w:val="0"/>
              <w:rPr>
                <w:b w:val="0"/>
                <w:bCs/>
                <w:color w:val="auto"/>
                <w:highlight w:val="none"/>
              </w:rPr>
            </w:pPr>
            <w:r>
              <w:rPr>
                <w:rFonts w:hint="default"/>
                <w:b w:val="0"/>
                <w:bCs/>
                <w:color w:val="auto"/>
                <w:highlight w:val="none"/>
              </w:rPr>
              <w:t>道路工程区</w:t>
            </w:r>
          </w:p>
        </w:tc>
        <w:tc>
          <w:tcPr>
            <w:tcW w:w="921" w:type="pct"/>
            <w:tcBorders>
              <w:tl2br w:val="nil"/>
              <w:tr2bl w:val="nil"/>
            </w:tcBorders>
            <w:noWrap/>
            <w:vAlign w:val="center"/>
          </w:tcPr>
          <w:p w14:paraId="02010C63">
            <w:pPr>
              <w:pStyle w:val="45"/>
              <w:bidi w:val="0"/>
              <w:rPr>
                <w:rFonts w:hint="default"/>
                <w:b w:val="0"/>
                <w:bCs/>
                <w:color w:val="auto"/>
                <w:highlight w:val="none"/>
              </w:rPr>
            </w:pPr>
            <w:r>
              <w:rPr>
                <w:b w:val="0"/>
                <w:bCs/>
                <w:color w:val="auto"/>
                <w:highlight w:val="none"/>
              </w:rPr>
              <w:t>1#/</w:t>
            </w:r>
            <w:r>
              <w:rPr>
                <w:rFonts w:hint="default"/>
                <w:b w:val="0"/>
                <w:bCs/>
                <w:color w:val="auto"/>
                <w:highlight w:val="none"/>
              </w:rPr>
              <w:t>主干道</w:t>
            </w:r>
          </w:p>
        </w:tc>
        <w:tc>
          <w:tcPr>
            <w:tcW w:w="293" w:type="pct"/>
            <w:tcBorders>
              <w:tl2br w:val="nil"/>
              <w:tr2bl w:val="nil"/>
            </w:tcBorders>
            <w:noWrap/>
            <w:vAlign w:val="center"/>
          </w:tcPr>
          <w:p w14:paraId="4DAE69C6">
            <w:pPr>
              <w:pStyle w:val="45"/>
              <w:bidi w:val="0"/>
              <w:rPr>
                <w:b w:val="0"/>
                <w:bCs/>
                <w:color w:val="auto"/>
                <w:highlight w:val="none"/>
              </w:rPr>
            </w:pPr>
            <w:r>
              <w:rPr>
                <w:rFonts w:hint="default"/>
                <w:b w:val="0"/>
                <w:bCs/>
                <w:color w:val="auto"/>
                <w:highlight w:val="none"/>
                <w:lang w:val="en-US" w:eastAsia="zh-CN"/>
              </w:rPr>
              <w:t xml:space="preserve">23.72 </w:t>
            </w:r>
          </w:p>
        </w:tc>
        <w:tc>
          <w:tcPr>
            <w:tcW w:w="331" w:type="pct"/>
            <w:tcBorders>
              <w:tl2br w:val="nil"/>
              <w:tr2bl w:val="nil"/>
            </w:tcBorders>
            <w:noWrap/>
            <w:vAlign w:val="center"/>
          </w:tcPr>
          <w:p w14:paraId="0910FC21">
            <w:pPr>
              <w:pStyle w:val="45"/>
              <w:bidi w:val="0"/>
              <w:rPr>
                <w:rFonts w:hint="default"/>
                <w:b w:val="0"/>
                <w:bCs/>
                <w:color w:val="auto"/>
                <w:highlight w:val="none"/>
              </w:rPr>
            </w:pPr>
            <w:r>
              <w:rPr>
                <w:rFonts w:hint="default"/>
                <w:b w:val="0"/>
                <w:bCs/>
                <w:color w:val="auto"/>
                <w:highlight w:val="none"/>
                <w:lang w:val="en-US" w:eastAsia="zh-CN"/>
              </w:rPr>
              <w:t xml:space="preserve">22.58 </w:t>
            </w:r>
          </w:p>
        </w:tc>
        <w:tc>
          <w:tcPr>
            <w:tcW w:w="250" w:type="pct"/>
            <w:tcBorders>
              <w:tl2br w:val="nil"/>
              <w:tr2bl w:val="nil"/>
            </w:tcBorders>
            <w:noWrap/>
            <w:vAlign w:val="center"/>
          </w:tcPr>
          <w:p w14:paraId="31016C9D">
            <w:pPr>
              <w:pStyle w:val="45"/>
              <w:bidi w:val="0"/>
              <w:rPr>
                <w:b w:val="0"/>
                <w:bCs/>
                <w:color w:val="auto"/>
                <w:highlight w:val="none"/>
              </w:rPr>
            </w:pPr>
            <w:r>
              <w:rPr>
                <w:rFonts w:hint="default"/>
                <w:b w:val="0"/>
                <w:bCs/>
                <w:color w:val="auto"/>
                <w:highlight w:val="none"/>
                <w:lang w:val="en-US" w:eastAsia="zh-CN"/>
              </w:rPr>
              <w:t xml:space="preserve">1.14 </w:t>
            </w:r>
          </w:p>
        </w:tc>
        <w:tc>
          <w:tcPr>
            <w:tcW w:w="274" w:type="pct"/>
            <w:tcBorders>
              <w:tl2br w:val="nil"/>
              <w:tr2bl w:val="nil"/>
            </w:tcBorders>
            <w:noWrap/>
            <w:vAlign w:val="center"/>
          </w:tcPr>
          <w:p w14:paraId="4810BB68">
            <w:pPr>
              <w:pStyle w:val="45"/>
              <w:bidi w:val="0"/>
              <w:rPr>
                <w:b w:val="0"/>
                <w:bCs/>
                <w:color w:val="auto"/>
                <w:highlight w:val="none"/>
              </w:rPr>
            </w:pPr>
            <w:r>
              <w:rPr>
                <w:rFonts w:hint="default"/>
                <w:b w:val="0"/>
                <w:bCs/>
                <w:color w:val="auto"/>
                <w:highlight w:val="none"/>
                <w:lang w:val="en-US" w:eastAsia="zh-CN"/>
              </w:rPr>
              <w:t xml:space="preserve">18.98 </w:t>
            </w:r>
          </w:p>
        </w:tc>
        <w:tc>
          <w:tcPr>
            <w:tcW w:w="371" w:type="pct"/>
            <w:tcBorders>
              <w:tl2br w:val="nil"/>
              <w:tr2bl w:val="nil"/>
            </w:tcBorders>
            <w:noWrap/>
            <w:vAlign w:val="center"/>
          </w:tcPr>
          <w:p w14:paraId="0AAE7EA9">
            <w:pPr>
              <w:pStyle w:val="45"/>
              <w:bidi w:val="0"/>
              <w:rPr>
                <w:rFonts w:hint="default"/>
                <w:b w:val="0"/>
                <w:bCs/>
                <w:color w:val="auto"/>
                <w:highlight w:val="none"/>
              </w:rPr>
            </w:pPr>
            <w:r>
              <w:rPr>
                <w:rFonts w:hint="default"/>
                <w:b w:val="0"/>
                <w:bCs/>
                <w:color w:val="auto"/>
                <w:highlight w:val="none"/>
                <w:lang w:val="en-US" w:eastAsia="zh-CN"/>
              </w:rPr>
              <w:t xml:space="preserve">17.84 </w:t>
            </w:r>
          </w:p>
        </w:tc>
        <w:tc>
          <w:tcPr>
            <w:tcW w:w="289" w:type="pct"/>
            <w:tcBorders>
              <w:tl2br w:val="nil"/>
              <w:tr2bl w:val="nil"/>
            </w:tcBorders>
            <w:noWrap/>
            <w:vAlign w:val="center"/>
          </w:tcPr>
          <w:p w14:paraId="637CD3C5">
            <w:pPr>
              <w:pStyle w:val="45"/>
              <w:bidi w:val="0"/>
              <w:rPr>
                <w:b w:val="0"/>
                <w:bCs/>
                <w:color w:val="auto"/>
                <w:highlight w:val="none"/>
              </w:rPr>
            </w:pPr>
            <w:r>
              <w:rPr>
                <w:rFonts w:hint="default"/>
                <w:b w:val="0"/>
                <w:bCs/>
                <w:color w:val="auto"/>
                <w:highlight w:val="none"/>
                <w:lang w:val="en-US" w:eastAsia="zh-CN"/>
              </w:rPr>
              <w:t xml:space="preserve">1.14 </w:t>
            </w:r>
          </w:p>
        </w:tc>
        <w:tc>
          <w:tcPr>
            <w:tcW w:w="276" w:type="pct"/>
            <w:tcBorders>
              <w:tl2br w:val="nil"/>
              <w:tr2bl w:val="nil"/>
            </w:tcBorders>
            <w:noWrap/>
            <w:vAlign w:val="center"/>
          </w:tcPr>
          <w:p w14:paraId="57CF044A">
            <w:pPr>
              <w:pStyle w:val="45"/>
              <w:bidi w:val="0"/>
              <w:rPr>
                <w:b w:val="0"/>
                <w:bCs/>
                <w:color w:val="auto"/>
                <w:highlight w:val="none"/>
              </w:rPr>
            </w:pPr>
            <w:r>
              <w:rPr>
                <w:rFonts w:hint="default"/>
                <w:b w:val="0"/>
                <w:bCs/>
                <w:color w:val="auto"/>
                <w:highlight w:val="none"/>
                <w:lang w:val="en-US" w:eastAsia="zh-CN"/>
              </w:rPr>
              <w:t xml:space="preserve">0.78 </w:t>
            </w:r>
          </w:p>
        </w:tc>
        <w:tc>
          <w:tcPr>
            <w:tcW w:w="259" w:type="pct"/>
            <w:tcBorders>
              <w:tl2br w:val="nil"/>
              <w:tr2bl w:val="nil"/>
            </w:tcBorders>
            <w:noWrap/>
            <w:vAlign w:val="center"/>
          </w:tcPr>
          <w:p w14:paraId="16D1BF3F">
            <w:pPr>
              <w:pStyle w:val="45"/>
              <w:bidi w:val="0"/>
              <w:rPr>
                <w:b w:val="0"/>
                <w:bCs/>
                <w:color w:val="auto"/>
                <w:highlight w:val="none"/>
              </w:rPr>
            </w:pPr>
          </w:p>
        </w:tc>
        <w:tc>
          <w:tcPr>
            <w:tcW w:w="346" w:type="pct"/>
            <w:tcBorders>
              <w:tl2br w:val="nil"/>
              <w:tr2bl w:val="nil"/>
            </w:tcBorders>
            <w:noWrap/>
            <w:vAlign w:val="center"/>
          </w:tcPr>
          <w:p w14:paraId="5F45A6C6">
            <w:pPr>
              <w:pStyle w:val="45"/>
              <w:bidi w:val="0"/>
              <w:rPr>
                <w:b w:val="0"/>
                <w:bCs/>
                <w:color w:val="auto"/>
                <w:highlight w:val="none"/>
              </w:rPr>
            </w:pPr>
            <w:r>
              <w:rPr>
                <w:rFonts w:hint="default"/>
                <w:b w:val="0"/>
                <w:bCs/>
                <w:color w:val="auto"/>
                <w:highlight w:val="none"/>
                <w:lang w:val="en-US" w:eastAsia="zh-CN"/>
              </w:rPr>
              <w:t xml:space="preserve">3.96 </w:t>
            </w:r>
          </w:p>
        </w:tc>
        <w:tc>
          <w:tcPr>
            <w:tcW w:w="589" w:type="pct"/>
            <w:tcBorders>
              <w:tl2br w:val="nil"/>
              <w:tr2bl w:val="nil"/>
            </w:tcBorders>
            <w:noWrap/>
            <w:vAlign w:val="center"/>
          </w:tcPr>
          <w:p w14:paraId="45619DDF">
            <w:pPr>
              <w:pStyle w:val="45"/>
              <w:bidi w:val="0"/>
              <w:rPr>
                <w:b w:val="0"/>
                <w:bCs/>
                <w:color w:val="auto"/>
                <w:highlight w:val="none"/>
              </w:rPr>
            </w:pPr>
            <w:r>
              <w:rPr>
                <w:rFonts w:hint="default"/>
                <w:b w:val="0"/>
                <w:bCs/>
                <w:color w:val="auto"/>
                <w:highlight w:val="none"/>
                <w:lang w:val="en-US" w:eastAsia="zh-CN"/>
              </w:rPr>
              <w:t>Z11\Z12</w:t>
            </w:r>
          </w:p>
        </w:tc>
      </w:tr>
      <w:tr w14:paraId="640438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52044019">
            <w:pPr>
              <w:pStyle w:val="45"/>
              <w:bidi w:val="0"/>
              <w:rPr>
                <w:b w:val="0"/>
                <w:bCs/>
                <w:color w:val="auto"/>
                <w:highlight w:val="none"/>
              </w:rPr>
            </w:pPr>
          </w:p>
        </w:tc>
        <w:tc>
          <w:tcPr>
            <w:tcW w:w="921" w:type="pct"/>
            <w:tcBorders>
              <w:tl2br w:val="nil"/>
              <w:tr2bl w:val="nil"/>
            </w:tcBorders>
            <w:noWrap/>
            <w:vAlign w:val="center"/>
          </w:tcPr>
          <w:p w14:paraId="0120EA24">
            <w:pPr>
              <w:pStyle w:val="45"/>
              <w:bidi w:val="0"/>
              <w:rPr>
                <w:b w:val="0"/>
                <w:bCs/>
                <w:color w:val="auto"/>
                <w:highlight w:val="none"/>
              </w:rPr>
            </w:pPr>
            <w:r>
              <w:rPr>
                <w:b w:val="0"/>
                <w:bCs/>
                <w:color w:val="auto"/>
                <w:highlight w:val="none"/>
              </w:rPr>
              <w:t>1-1#/19</w:t>
            </w:r>
            <w:r>
              <w:rPr>
                <w:rFonts w:hint="default"/>
                <w:b w:val="0"/>
                <w:bCs/>
                <w:color w:val="auto"/>
                <w:highlight w:val="none"/>
              </w:rPr>
              <w:t>号风机道路</w:t>
            </w:r>
          </w:p>
        </w:tc>
        <w:tc>
          <w:tcPr>
            <w:tcW w:w="293" w:type="pct"/>
            <w:tcBorders>
              <w:tl2br w:val="nil"/>
              <w:tr2bl w:val="nil"/>
            </w:tcBorders>
            <w:noWrap/>
            <w:vAlign w:val="center"/>
          </w:tcPr>
          <w:p w14:paraId="2D1A4BC9">
            <w:pPr>
              <w:pStyle w:val="45"/>
              <w:bidi w:val="0"/>
              <w:rPr>
                <w:b w:val="0"/>
                <w:bCs/>
                <w:color w:val="auto"/>
                <w:highlight w:val="none"/>
              </w:rPr>
            </w:pPr>
            <w:r>
              <w:rPr>
                <w:rFonts w:hint="default"/>
                <w:b w:val="0"/>
                <w:bCs/>
                <w:color w:val="auto"/>
                <w:highlight w:val="none"/>
                <w:lang w:val="en-US" w:eastAsia="zh-CN"/>
              </w:rPr>
              <w:t xml:space="preserve">14.43 </w:t>
            </w:r>
          </w:p>
        </w:tc>
        <w:tc>
          <w:tcPr>
            <w:tcW w:w="331" w:type="pct"/>
            <w:tcBorders>
              <w:tl2br w:val="nil"/>
              <w:tr2bl w:val="nil"/>
            </w:tcBorders>
            <w:noWrap/>
            <w:vAlign w:val="center"/>
          </w:tcPr>
          <w:p w14:paraId="415D4EAF">
            <w:pPr>
              <w:pStyle w:val="45"/>
              <w:bidi w:val="0"/>
              <w:rPr>
                <w:rFonts w:hint="default"/>
                <w:b w:val="0"/>
                <w:bCs/>
                <w:color w:val="auto"/>
                <w:highlight w:val="none"/>
              </w:rPr>
            </w:pPr>
            <w:r>
              <w:rPr>
                <w:rFonts w:hint="default"/>
                <w:b w:val="0"/>
                <w:bCs/>
                <w:color w:val="auto"/>
                <w:highlight w:val="none"/>
                <w:lang w:val="en-US" w:eastAsia="zh-CN"/>
              </w:rPr>
              <w:t xml:space="preserve">13.70 </w:t>
            </w:r>
          </w:p>
        </w:tc>
        <w:tc>
          <w:tcPr>
            <w:tcW w:w="250" w:type="pct"/>
            <w:tcBorders>
              <w:tl2br w:val="nil"/>
              <w:tr2bl w:val="nil"/>
            </w:tcBorders>
            <w:noWrap/>
            <w:vAlign w:val="center"/>
          </w:tcPr>
          <w:p w14:paraId="155AEDE4">
            <w:pPr>
              <w:pStyle w:val="45"/>
              <w:bidi w:val="0"/>
              <w:rPr>
                <w:b w:val="0"/>
                <w:bCs/>
                <w:color w:val="auto"/>
                <w:highlight w:val="none"/>
              </w:rPr>
            </w:pPr>
            <w:r>
              <w:rPr>
                <w:rFonts w:hint="default"/>
                <w:b w:val="0"/>
                <w:bCs/>
                <w:color w:val="auto"/>
                <w:highlight w:val="none"/>
                <w:lang w:val="en-US" w:eastAsia="zh-CN"/>
              </w:rPr>
              <w:t xml:space="preserve">0.73 </w:t>
            </w:r>
          </w:p>
        </w:tc>
        <w:tc>
          <w:tcPr>
            <w:tcW w:w="274" w:type="pct"/>
            <w:tcBorders>
              <w:tl2br w:val="nil"/>
              <w:tr2bl w:val="nil"/>
            </w:tcBorders>
            <w:noWrap/>
            <w:vAlign w:val="center"/>
          </w:tcPr>
          <w:p w14:paraId="1EAE9274">
            <w:pPr>
              <w:pStyle w:val="45"/>
              <w:bidi w:val="0"/>
              <w:rPr>
                <w:b w:val="0"/>
                <w:bCs/>
                <w:color w:val="auto"/>
                <w:highlight w:val="none"/>
              </w:rPr>
            </w:pPr>
            <w:r>
              <w:rPr>
                <w:rFonts w:hint="default"/>
                <w:b w:val="0"/>
                <w:bCs/>
                <w:color w:val="auto"/>
                <w:highlight w:val="none"/>
                <w:lang w:val="en-US" w:eastAsia="zh-CN"/>
              </w:rPr>
              <w:t xml:space="preserve">7.34 </w:t>
            </w:r>
          </w:p>
        </w:tc>
        <w:tc>
          <w:tcPr>
            <w:tcW w:w="371" w:type="pct"/>
            <w:tcBorders>
              <w:tl2br w:val="nil"/>
              <w:tr2bl w:val="nil"/>
            </w:tcBorders>
            <w:noWrap/>
            <w:vAlign w:val="center"/>
          </w:tcPr>
          <w:p w14:paraId="2B8ECE8F">
            <w:pPr>
              <w:pStyle w:val="45"/>
              <w:bidi w:val="0"/>
              <w:rPr>
                <w:rFonts w:hint="default"/>
                <w:b w:val="0"/>
                <w:bCs/>
                <w:color w:val="auto"/>
                <w:highlight w:val="none"/>
              </w:rPr>
            </w:pPr>
            <w:r>
              <w:rPr>
                <w:rFonts w:hint="default"/>
                <w:b w:val="0"/>
                <w:bCs/>
                <w:color w:val="auto"/>
                <w:highlight w:val="none"/>
                <w:lang w:val="en-US" w:eastAsia="zh-CN"/>
              </w:rPr>
              <w:t xml:space="preserve">6.61 </w:t>
            </w:r>
          </w:p>
        </w:tc>
        <w:tc>
          <w:tcPr>
            <w:tcW w:w="289" w:type="pct"/>
            <w:tcBorders>
              <w:tl2br w:val="nil"/>
              <w:tr2bl w:val="nil"/>
            </w:tcBorders>
            <w:noWrap/>
            <w:vAlign w:val="center"/>
          </w:tcPr>
          <w:p w14:paraId="3FE47D15">
            <w:pPr>
              <w:pStyle w:val="45"/>
              <w:bidi w:val="0"/>
              <w:rPr>
                <w:b w:val="0"/>
                <w:bCs/>
                <w:color w:val="auto"/>
                <w:highlight w:val="none"/>
              </w:rPr>
            </w:pPr>
            <w:r>
              <w:rPr>
                <w:rFonts w:hint="default"/>
                <w:b w:val="0"/>
                <w:bCs/>
                <w:color w:val="auto"/>
                <w:highlight w:val="none"/>
                <w:lang w:val="en-US" w:eastAsia="zh-CN"/>
              </w:rPr>
              <w:t xml:space="preserve">0.73 </w:t>
            </w:r>
          </w:p>
        </w:tc>
        <w:tc>
          <w:tcPr>
            <w:tcW w:w="276" w:type="pct"/>
            <w:tcBorders>
              <w:tl2br w:val="nil"/>
              <w:tr2bl w:val="nil"/>
            </w:tcBorders>
            <w:noWrap/>
            <w:vAlign w:val="center"/>
          </w:tcPr>
          <w:p w14:paraId="7B685A9C">
            <w:pPr>
              <w:pStyle w:val="45"/>
              <w:bidi w:val="0"/>
              <w:rPr>
                <w:b w:val="0"/>
                <w:bCs/>
                <w:color w:val="auto"/>
                <w:highlight w:val="none"/>
              </w:rPr>
            </w:pPr>
          </w:p>
        </w:tc>
        <w:tc>
          <w:tcPr>
            <w:tcW w:w="259" w:type="pct"/>
            <w:tcBorders>
              <w:tl2br w:val="nil"/>
              <w:tr2bl w:val="nil"/>
            </w:tcBorders>
            <w:noWrap/>
            <w:vAlign w:val="center"/>
          </w:tcPr>
          <w:p w14:paraId="1DB9DACB">
            <w:pPr>
              <w:pStyle w:val="45"/>
              <w:bidi w:val="0"/>
              <w:rPr>
                <w:b w:val="0"/>
                <w:bCs/>
                <w:color w:val="auto"/>
                <w:highlight w:val="none"/>
              </w:rPr>
            </w:pPr>
          </w:p>
        </w:tc>
        <w:tc>
          <w:tcPr>
            <w:tcW w:w="346" w:type="pct"/>
            <w:tcBorders>
              <w:tl2br w:val="nil"/>
              <w:tr2bl w:val="nil"/>
            </w:tcBorders>
            <w:noWrap/>
            <w:vAlign w:val="center"/>
          </w:tcPr>
          <w:p w14:paraId="43A5655D">
            <w:pPr>
              <w:pStyle w:val="45"/>
              <w:bidi w:val="0"/>
              <w:rPr>
                <w:b w:val="0"/>
                <w:bCs/>
                <w:color w:val="auto"/>
                <w:highlight w:val="none"/>
              </w:rPr>
            </w:pPr>
            <w:r>
              <w:rPr>
                <w:rFonts w:hint="default"/>
                <w:b w:val="0"/>
                <w:bCs/>
                <w:color w:val="auto"/>
                <w:highlight w:val="none"/>
                <w:lang w:val="en-US" w:eastAsia="zh-CN"/>
              </w:rPr>
              <w:t xml:space="preserve">7.09 </w:t>
            </w:r>
          </w:p>
        </w:tc>
        <w:tc>
          <w:tcPr>
            <w:tcW w:w="589" w:type="pct"/>
            <w:tcBorders>
              <w:tl2br w:val="nil"/>
              <w:tr2bl w:val="nil"/>
            </w:tcBorders>
            <w:noWrap/>
            <w:vAlign w:val="center"/>
          </w:tcPr>
          <w:p w14:paraId="3D4FB7B4">
            <w:pPr>
              <w:pStyle w:val="45"/>
              <w:bidi w:val="0"/>
              <w:rPr>
                <w:b w:val="0"/>
                <w:bCs/>
                <w:color w:val="auto"/>
                <w:highlight w:val="none"/>
              </w:rPr>
            </w:pPr>
            <w:r>
              <w:rPr>
                <w:rFonts w:hint="default"/>
                <w:b w:val="0"/>
                <w:bCs/>
                <w:color w:val="auto"/>
                <w:highlight w:val="none"/>
                <w:lang w:val="en-US" w:eastAsia="zh-CN"/>
              </w:rPr>
              <w:t>Z10</w:t>
            </w:r>
          </w:p>
        </w:tc>
      </w:tr>
      <w:tr w14:paraId="7EAEF99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796F6F3F">
            <w:pPr>
              <w:pStyle w:val="45"/>
              <w:bidi w:val="0"/>
              <w:rPr>
                <w:b w:val="0"/>
                <w:bCs/>
                <w:color w:val="auto"/>
                <w:highlight w:val="none"/>
              </w:rPr>
            </w:pPr>
          </w:p>
        </w:tc>
        <w:tc>
          <w:tcPr>
            <w:tcW w:w="921" w:type="pct"/>
            <w:tcBorders>
              <w:tl2br w:val="nil"/>
              <w:tr2bl w:val="nil"/>
            </w:tcBorders>
            <w:noWrap/>
            <w:vAlign w:val="center"/>
          </w:tcPr>
          <w:p w14:paraId="12310ACF">
            <w:pPr>
              <w:pStyle w:val="45"/>
              <w:bidi w:val="0"/>
              <w:rPr>
                <w:b w:val="0"/>
                <w:bCs/>
                <w:color w:val="auto"/>
                <w:highlight w:val="none"/>
              </w:rPr>
            </w:pPr>
            <w:r>
              <w:rPr>
                <w:b w:val="0"/>
                <w:bCs/>
                <w:color w:val="auto"/>
                <w:highlight w:val="none"/>
              </w:rPr>
              <w:t>1-2#/17</w:t>
            </w:r>
            <w:r>
              <w:rPr>
                <w:rFonts w:hint="default"/>
                <w:b w:val="0"/>
                <w:bCs/>
                <w:color w:val="auto"/>
                <w:highlight w:val="none"/>
              </w:rPr>
              <w:t>号风机道路</w:t>
            </w:r>
          </w:p>
        </w:tc>
        <w:tc>
          <w:tcPr>
            <w:tcW w:w="293" w:type="pct"/>
            <w:tcBorders>
              <w:tl2br w:val="nil"/>
              <w:tr2bl w:val="nil"/>
            </w:tcBorders>
            <w:noWrap/>
            <w:vAlign w:val="center"/>
          </w:tcPr>
          <w:p w14:paraId="1EFFC468">
            <w:pPr>
              <w:pStyle w:val="45"/>
              <w:bidi w:val="0"/>
              <w:rPr>
                <w:b w:val="0"/>
                <w:bCs/>
                <w:color w:val="auto"/>
                <w:highlight w:val="none"/>
              </w:rPr>
            </w:pPr>
            <w:r>
              <w:rPr>
                <w:rFonts w:hint="default"/>
                <w:b w:val="0"/>
                <w:bCs/>
                <w:color w:val="auto"/>
                <w:highlight w:val="none"/>
                <w:lang w:val="en-US" w:eastAsia="zh-CN"/>
              </w:rPr>
              <w:t xml:space="preserve">1.15 </w:t>
            </w:r>
          </w:p>
        </w:tc>
        <w:tc>
          <w:tcPr>
            <w:tcW w:w="331" w:type="pct"/>
            <w:tcBorders>
              <w:tl2br w:val="nil"/>
              <w:tr2bl w:val="nil"/>
            </w:tcBorders>
            <w:noWrap/>
            <w:vAlign w:val="center"/>
          </w:tcPr>
          <w:p w14:paraId="568B1BE4">
            <w:pPr>
              <w:pStyle w:val="45"/>
              <w:bidi w:val="0"/>
              <w:rPr>
                <w:rFonts w:hint="default"/>
                <w:b w:val="0"/>
                <w:bCs/>
                <w:color w:val="auto"/>
                <w:highlight w:val="none"/>
              </w:rPr>
            </w:pPr>
            <w:r>
              <w:rPr>
                <w:rFonts w:hint="default"/>
                <w:b w:val="0"/>
                <w:bCs/>
                <w:color w:val="auto"/>
                <w:highlight w:val="none"/>
                <w:lang w:val="en-US" w:eastAsia="zh-CN"/>
              </w:rPr>
              <w:t xml:space="preserve">1.09 </w:t>
            </w:r>
          </w:p>
        </w:tc>
        <w:tc>
          <w:tcPr>
            <w:tcW w:w="250" w:type="pct"/>
            <w:tcBorders>
              <w:tl2br w:val="nil"/>
              <w:tr2bl w:val="nil"/>
            </w:tcBorders>
            <w:noWrap/>
            <w:vAlign w:val="center"/>
          </w:tcPr>
          <w:p w14:paraId="158E6C94">
            <w:pPr>
              <w:pStyle w:val="45"/>
              <w:bidi w:val="0"/>
              <w:rPr>
                <w:b w:val="0"/>
                <w:bCs/>
                <w:color w:val="auto"/>
                <w:highlight w:val="none"/>
              </w:rPr>
            </w:pPr>
            <w:r>
              <w:rPr>
                <w:rFonts w:hint="default"/>
                <w:b w:val="0"/>
                <w:bCs/>
                <w:color w:val="auto"/>
                <w:highlight w:val="none"/>
                <w:lang w:val="en-US" w:eastAsia="zh-CN"/>
              </w:rPr>
              <w:t xml:space="preserve">0.06 </w:t>
            </w:r>
          </w:p>
        </w:tc>
        <w:tc>
          <w:tcPr>
            <w:tcW w:w="274" w:type="pct"/>
            <w:tcBorders>
              <w:tl2br w:val="nil"/>
              <w:tr2bl w:val="nil"/>
            </w:tcBorders>
            <w:noWrap/>
            <w:vAlign w:val="center"/>
          </w:tcPr>
          <w:p w14:paraId="249E224D">
            <w:pPr>
              <w:pStyle w:val="45"/>
              <w:bidi w:val="0"/>
              <w:rPr>
                <w:b w:val="0"/>
                <w:bCs/>
                <w:color w:val="auto"/>
                <w:highlight w:val="none"/>
              </w:rPr>
            </w:pPr>
            <w:r>
              <w:rPr>
                <w:rFonts w:hint="default"/>
                <w:b w:val="0"/>
                <w:bCs/>
                <w:color w:val="auto"/>
                <w:highlight w:val="none"/>
                <w:lang w:val="en-US" w:eastAsia="zh-CN"/>
              </w:rPr>
              <w:t xml:space="preserve">0.06 </w:t>
            </w:r>
          </w:p>
        </w:tc>
        <w:tc>
          <w:tcPr>
            <w:tcW w:w="371" w:type="pct"/>
            <w:tcBorders>
              <w:tl2br w:val="nil"/>
              <w:tr2bl w:val="nil"/>
            </w:tcBorders>
            <w:noWrap/>
            <w:vAlign w:val="center"/>
          </w:tcPr>
          <w:p w14:paraId="734785DB">
            <w:pPr>
              <w:pStyle w:val="45"/>
              <w:bidi w:val="0"/>
              <w:rPr>
                <w:rFonts w:hint="default"/>
                <w:b w:val="0"/>
                <w:bCs/>
                <w:color w:val="auto"/>
                <w:highlight w:val="none"/>
              </w:rPr>
            </w:pPr>
            <w:r>
              <w:rPr>
                <w:rFonts w:hint="default"/>
                <w:b w:val="0"/>
                <w:bCs/>
                <w:color w:val="auto"/>
                <w:highlight w:val="none"/>
                <w:lang w:val="en-US" w:eastAsia="zh-CN"/>
              </w:rPr>
              <w:t xml:space="preserve">0.00 </w:t>
            </w:r>
          </w:p>
        </w:tc>
        <w:tc>
          <w:tcPr>
            <w:tcW w:w="289" w:type="pct"/>
            <w:tcBorders>
              <w:tl2br w:val="nil"/>
              <w:tr2bl w:val="nil"/>
            </w:tcBorders>
            <w:noWrap/>
            <w:vAlign w:val="center"/>
          </w:tcPr>
          <w:p w14:paraId="3BA50E8B">
            <w:pPr>
              <w:pStyle w:val="45"/>
              <w:bidi w:val="0"/>
              <w:rPr>
                <w:b w:val="0"/>
                <w:bCs/>
                <w:color w:val="auto"/>
                <w:highlight w:val="none"/>
              </w:rPr>
            </w:pPr>
            <w:r>
              <w:rPr>
                <w:rFonts w:hint="default"/>
                <w:b w:val="0"/>
                <w:bCs/>
                <w:color w:val="auto"/>
                <w:highlight w:val="none"/>
                <w:lang w:val="en-US" w:eastAsia="zh-CN"/>
              </w:rPr>
              <w:t xml:space="preserve">0.06 </w:t>
            </w:r>
          </w:p>
        </w:tc>
        <w:tc>
          <w:tcPr>
            <w:tcW w:w="276" w:type="pct"/>
            <w:tcBorders>
              <w:tl2br w:val="nil"/>
              <w:tr2bl w:val="nil"/>
            </w:tcBorders>
            <w:noWrap/>
            <w:vAlign w:val="center"/>
          </w:tcPr>
          <w:p w14:paraId="1B1D6926">
            <w:pPr>
              <w:pStyle w:val="45"/>
              <w:bidi w:val="0"/>
              <w:rPr>
                <w:b w:val="0"/>
                <w:bCs/>
                <w:color w:val="auto"/>
                <w:highlight w:val="none"/>
              </w:rPr>
            </w:pPr>
          </w:p>
        </w:tc>
        <w:tc>
          <w:tcPr>
            <w:tcW w:w="259" w:type="pct"/>
            <w:tcBorders>
              <w:tl2br w:val="nil"/>
              <w:tr2bl w:val="nil"/>
            </w:tcBorders>
            <w:noWrap/>
            <w:vAlign w:val="center"/>
          </w:tcPr>
          <w:p w14:paraId="417BCF57">
            <w:pPr>
              <w:pStyle w:val="45"/>
              <w:bidi w:val="0"/>
              <w:rPr>
                <w:b w:val="0"/>
                <w:bCs/>
                <w:color w:val="auto"/>
                <w:highlight w:val="none"/>
              </w:rPr>
            </w:pPr>
          </w:p>
        </w:tc>
        <w:tc>
          <w:tcPr>
            <w:tcW w:w="346" w:type="pct"/>
            <w:tcBorders>
              <w:tl2br w:val="nil"/>
              <w:tr2bl w:val="nil"/>
            </w:tcBorders>
            <w:noWrap/>
            <w:vAlign w:val="center"/>
          </w:tcPr>
          <w:p w14:paraId="5C5F3A8C">
            <w:pPr>
              <w:pStyle w:val="45"/>
              <w:bidi w:val="0"/>
              <w:rPr>
                <w:b w:val="0"/>
                <w:bCs/>
                <w:color w:val="auto"/>
                <w:highlight w:val="none"/>
              </w:rPr>
            </w:pPr>
            <w:r>
              <w:rPr>
                <w:rFonts w:hint="default"/>
                <w:b w:val="0"/>
                <w:bCs/>
                <w:color w:val="auto"/>
                <w:highlight w:val="none"/>
                <w:lang w:val="en-US" w:eastAsia="zh-CN"/>
              </w:rPr>
              <w:t xml:space="preserve">1.09 </w:t>
            </w:r>
          </w:p>
        </w:tc>
        <w:tc>
          <w:tcPr>
            <w:tcW w:w="589" w:type="pct"/>
            <w:tcBorders>
              <w:tl2br w:val="nil"/>
              <w:tr2bl w:val="nil"/>
            </w:tcBorders>
            <w:noWrap/>
            <w:vAlign w:val="center"/>
          </w:tcPr>
          <w:p w14:paraId="0E5E4FC1">
            <w:pPr>
              <w:pStyle w:val="45"/>
              <w:bidi w:val="0"/>
              <w:rPr>
                <w:b w:val="0"/>
                <w:bCs/>
                <w:color w:val="auto"/>
                <w:highlight w:val="none"/>
              </w:rPr>
            </w:pPr>
            <w:r>
              <w:rPr>
                <w:rFonts w:hint="default"/>
                <w:b w:val="0"/>
                <w:bCs/>
                <w:color w:val="auto"/>
                <w:highlight w:val="none"/>
                <w:lang w:val="en-US" w:eastAsia="zh-CN"/>
              </w:rPr>
              <w:t>Z10</w:t>
            </w:r>
          </w:p>
        </w:tc>
      </w:tr>
      <w:tr w14:paraId="37A9CA8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4A57935F">
            <w:pPr>
              <w:pStyle w:val="45"/>
              <w:bidi w:val="0"/>
              <w:rPr>
                <w:b w:val="0"/>
                <w:bCs/>
                <w:color w:val="auto"/>
                <w:highlight w:val="none"/>
              </w:rPr>
            </w:pPr>
          </w:p>
        </w:tc>
        <w:tc>
          <w:tcPr>
            <w:tcW w:w="921" w:type="pct"/>
            <w:tcBorders>
              <w:tl2br w:val="nil"/>
              <w:tr2bl w:val="nil"/>
            </w:tcBorders>
            <w:noWrap/>
            <w:vAlign w:val="center"/>
          </w:tcPr>
          <w:p w14:paraId="135C4EA1">
            <w:pPr>
              <w:pStyle w:val="45"/>
              <w:bidi w:val="0"/>
              <w:rPr>
                <w:b w:val="0"/>
                <w:bCs/>
                <w:color w:val="auto"/>
                <w:highlight w:val="none"/>
              </w:rPr>
            </w:pPr>
            <w:r>
              <w:rPr>
                <w:b w:val="0"/>
                <w:bCs/>
                <w:color w:val="auto"/>
                <w:highlight w:val="none"/>
              </w:rPr>
              <w:t>1-3#/18</w:t>
            </w:r>
            <w:r>
              <w:rPr>
                <w:rFonts w:hint="default"/>
                <w:b w:val="0"/>
                <w:bCs/>
                <w:color w:val="auto"/>
                <w:highlight w:val="none"/>
              </w:rPr>
              <w:t>号风机道路</w:t>
            </w:r>
          </w:p>
        </w:tc>
        <w:tc>
          <w:tcPr>
            <w:tcW w:w="293" w:type="pct"/>
            <w:tcBorders>
              <w:tl2br w:val="nil"/>
              <w:tr2bl w:val="nil"/>
            </w:tcBorders>
            <w:noWrap/>
            <w:vAlign w:val="center"/>
          </w:tcPr>
          <w:p w14:paraId="798D817C">
            <w:pPr>
              <w:pStyle w:val="45"/>
              <w:bidi w:val="0"/>
              <w:rPr>
                <w:b w:val="0"/>
                <w:bCs/>
                <w:color w:val="auto"/>
                <w:highlight w:val="none"/>
              </w:rPr>
            </w:pPr>
            <w:r>
              <w:rPr>
                <w:rFonts w:hint="default"/>
                <w:b w:val="0"/>
                <w:bCs/>
                <w:color w:val="auto"/>
                <w:highlight w:val="none"/>
                <w:lang w:val="en-US" w:eastAsia="zh-CN"/>
              </w:rPr>
              <w:t xml:space="preserve">2.81 </w:t>
            </w:r>
          </w:p>
        </w:tc>
        <w:tc>
          <w:tcPr>
            <w:tcW w:w="331" w:type="pct"/>
            <w:tcBorders>
              <w:tl2br w:val="nil"/>
              <w:tr2bl w:val="nil"/>
            </w:tcBorders>
            <w:noWrap/>
            <w:vAlign w:val="center"/>
          </w:tcPr>
          <w:p w14:paraId="08FE3A6D">
            <w:pPr>
              <w:pStyle w:val="45"/>
              <w:bidi w:val="0"/>
              <w:rPr>
                <w:rFonts w:hint="default"/>
                <w:b w:val="0"/>
                <w:bCs/>
                <w:color w:val="auto"/>
                <w:highlight w:val="none"/>
              </w:rPr>
            </w:pPr>
            <w:r>
              <w:rPr>
                <w:rFonts w:hint="default"/>
                <w:b w:val="0"/>
                <w:bCs/>
                <w:color w:val="auto"/>
                <w:highlight w:val="none"/>
                <w:lang w:val="en-US" w:eastAsia="zh-CN"/>
              </w:rPr>
              <w:t xml:space="preserve">2.67 </w:t>
            </w:r>
          </w:p>
        </w:tc>
        <w:tc>
          <w:tcPr>
            <w:tcW w:w="250" w:type="pct"/>
            <w:tcBorders>
              <w:tl2br w:val="nil"/>
              <w:tr2bl w:val="nil"/>
            </w:tcBorders>
            <w:noWrap/>
            <w:vAlign w:val="center"/>
          </w:tcPr>
          <w:p w14:paraId="68274602">
            <w:pPr>
              <w:pStyle w:val="45"/>
              <w:bidi w:val="0"/>
              <w:rPr>
                <w:b w:val="0"/>
                <w:bCs/>
                <w:color w:val="auto"/>
                <w:highlight w:val="none"/>
              </w:rPr>
            </w:pPr>
            <w:r>
              <w:rPr>
                <w:rFonts w:hint="default"/>
                <w:b w:val="0"/>
                <w:bCs/>
                <w:color w:val="auto"/>
                <w:highlight w:val="none"/>
                <w:lang w:val="en-US" w:eastAsia="zh-CN"/>
              </w:rPr>
              <w:t xml:space="preserve">0.14 </w:t>
            </w:r>
          </w:p>
        </w:tc>
        <w:tc>
          <w:tcPr>
            <w:tcW w:w="274" w:type="pct"/>
            <w:tcBorders>
              <w:tl2br w:val="nil"/>
              <w:tr2bl w:val="nil"/>
            </w:tcBorders>
            <w:noWrap/>
            <w:vAlign w:val="center"/>
          </w:tcPr>
          <w:p w14:paraId="3B51F3C6">
            <w:pPr>
              <w:pStyle w:val="45"/>
              <w:bidi w:val="0"/>
              <w:rPr>
                <w:b w:val="0"/>
                <w:bCs/>
                <w:color w:val="auto"/>
                <w:highlight w:val="none"/>
              </w:rPr>
            </w:pPr>
            <w:r>
              <w:rPr>
                <w:rFonts w:hint="default"/>
                <w:b w:val="0"/>
                <w:bCs/>
                <w:color w:val="auto"/>
                <w:highlight w:val="none"/>
                <w:lang w:val="en-US" w:eastAsia="zh-CN"/>
              </w:rPr>
              <w:t xml:space="preserve">0.52 </w:t>
            </w:r>
          </w:p>
        </w:tc>
        <w:tc>
          <w:tcPr>
            <w:tcW w:w="371" w:type="pct"/>
            <w:tcBorders>
              <w:tl2br w:val="nil"/>
              <w:tr2bl w:val="nil"/>
            </w:tcBorders>
            <w:noWrap/>
            <w:vAlign w:val="center"/>
          </w:tcPr>
          <w:p w14:paraId="02179267">
            <w:pPr>
              <w:pStyle w:val="45"/>
              <w:bidi w:val="0"/>
              <w:rPr>
                <w:rFonts w:hint="default"/>
                <w:b w:val="0"/>
                <w:bCs/>
                <w:color w:val="auto"/>
                <w:highlight w:val="none"/>
              </w:rPr>
            </w:pPr>
            <w:r>
              <w:rPr>
                <w:rFonts w:hint="default"/>
                <w:b w:val="0"/>
                <w:bCs/>
                <w:color w:val="auto"/>
                <w:highlight w:val="none"/>
                <w:lang w:val="en-US" w:eastAsia="zh-CN"/>
              </w:rPr>
              <w:t xml:space="preserve">0.38 </w:t>
            </w:r>
          </w:p>
        </w:tc>
        <w:tc>
          <w:tcPr>
            <w:tcW w:w="289" w:type="pct"/>
            <w:tcBorders>
              <w:tl2br w:val="nil"/>
              <w:tr2bl w:val="nil"/>
            </w:tcBorders>
            <w:noWrap/>
            <w:vAlign w:val="center"/>
          </w:tcPr>
          <w:p w14:paraId="794781A0">
            <w:pPr>
              <w:pStyle w:val="45"/>
              <w:bidi w:val="0"/>
              <w:rPr>
                <w:b w:val="0"/>
                <w:bCs/>
                <w:color w:val="auto"/>
                <w:highlight w:val="none"/>
              </w:rPr>
            </w:pPr>
            <w:r>
              <w:rPr>
                <w:rFonts w:hint="default"/>
                <w:b w:val="0"/>
                <w:bCs/>
                <w:color w:val="auto"/>
                <w:highlight w:val="none"/>
                <w:lang w:val="en-US" w:eastAsia="zh-CN"/>
              </w:rPr>
              <w:t xml:space="preserve">0.14 </w:t>
            </w:r>
          </w:p>
        </w:tc>
        <w:tc>
          <w:tcPr>
            <w:tcW w:w="276" w:type="pct"/>
            <w:tcBorders>
              <w:tl2br w:val="nil"/>
              <w:tr2bl w:val="nil"/>
            </w:tcBorders>
            <w:noWrap/>
            <w:vAlign w:val="center"/>
          </w:tcPr>
          <w:p w14:paraId="7F0010EB">
            <w:pPr>
              <w:pStyle w:val="45"/>
              <w:bidi w:val="0"/>
              <w:rPr>
                <w:b w:val="0"/>
                <w:bCs/>
                <w:color w:val="auto"/>
                <w:highlight w:val="none"/>
              </w:rPr>
            </w:pPr>
          </w:p>
        </w:tc>
        <w:tc>
          <w:tcPr>
            <w:tcW w:w="259" w:type="pct"/>
            <w:tcBorders>
              <w:tl2br w:val="nil"/>
              <w:tr2bl w:val="nil"/>
            </w:tcBorders>
            <w:noWrap/>
            <w:vAlign w:val="center"/>
          </w:tcPr>
          <w:p w14:paraId="703E5C62">
            <w:pPr>
              <w:pStyle w:val="45"/>
              <w:bidi w:val="0"/>
              <w:rPr>
                <w:b w:val="0"/>
                <w:bCs/>
                <w:color w:val="auto"/>
                <w:highlight w:val="none"/>
              </w:rPr>
            </w:pPr>
          </w:p>
        </w:tc>
        <w:tc>
          <w:tcPr>
            <w:tcW w:w="346" w:type="pct"/>
            <w:tcBorders>
              <w:tl2br w:val="nil"/>
              <w:tr2bl w:val="nil"/>
            </w:tcBorders>
            <w:noWrap/>
            <w:vAlign w:val="center"/>
          </w:tcPr>
          <w:p w14:paraId="32D184F1">
            <w:pPr>
              <w:pStyle w:val="45"/>
              <w:bidi w:val="0"/>
              <w:rPr>
                <w:b w:val="0"/>
                <w:bCs/>
                <w:color w:val="auto"/>
                <w:highlight w:val="none"/>
              </w:rPr>
            </w:pPr>
            <w:r>
              <w:rPr>
                <w:rFonts w:hint="default"/>
                <w:b w:val="0"/>
                <w:bCs/>
                <w:color w:val="auto"/>
                <w:highlight w:val="none"/>
                <w:lang w:val="en-US" w:eastAsia="zh-CN"/>
              </w:rPr>
              <w:t xml:space="preserve">2.29 </w:t>
            </w:r>
          </w:p>
        </w:tc>
        <w:tc>
          <w:tcPr>
            <w:tcW w:w="589" w:type="pct"/>
            <w:tcBorders>
              <w:tl2br w:val="nil"/>
              <w:tr2bl w:val="nil"/>
            </w:tcBorders>
            <w:noWrap/>
            <w:vAlign w:val="center"/>
          </w:tcPr>
          <w:p w14:paraId="5E57C0C3">
            <w:pPr>
              <w:pStyle w:val="45"/>
              <w:bidi w:val="0"/>
              <w:rPr>
                <w:b w:val="0"/>
                <w:bCs/>
                <w:color w:val="auto"/>
                <w:highlight w:val="none"/>
              </w:rPr>
            </w:pPr>
            <w:r>
              <w:rPr>
                <w:rFonts w:hint="default"/>
                <w:b w:val="0"/>
                <w:bCs/>
                <w:color w:val="auto"/>
                <w:highlight w:val="none"/>
                <w:lang w:val="en-US" w:eastAsia="zh-CN"/>
              </w:rPr>
              <w:t>Z9</w:t>
            </w:r>
          </w:p>
        </w:tc>
      </w:tr>
      <w:tr w14:paraId="09D9830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4F0BF878">
            <w:pPr>
              <w:pStyle w:val="45"/>
              <w:bidi w:val="0"/>
              <w:rPr>
                <w:b w:val="0"/>
                <w:bCs/>
                <w:color w:val="auto"/>
                <w:highlight w:val="none"/>
              </w:rPr>
            </w:pPr>
          </w:p>
        </w:tc>
        <w:tc>
          <w:tcPr>
            <w:tcW w:w="921" w:type="pct"/>
            <w:tcBorders>
              <w:tl2br w:val="nil"/>
              <w:tr2bl w:val="nil"/>
            </w:tcBorders>
            <w:noWrap/>
            <w:vAlign w:val="center"/>
          </w:tcPr>
          <w:p w14:paraId="28D05D34">
            <w:pPr>
              <w:pStyle w:val="45"/>
              <w:bidi w:val="0"/>
              <w:rPr>
                <w:b w:val="0"/>
                <w:bCs/>
                <w:color w:val="auto"/>
                <w:highlight w:val="none"/>
              </w:rPr>
            </w:pPr>
            <w:r>
              <w:rPr>
                <w:b w:val="0"/>
                <w:bCs/>
                <w:color w:val="auto"/>
                <w:highlight w:val="none"/>
              </w:rPr>
              <w:t>1-4#/16</w:t>
            </w:r>
            <w:r>
              <w:rPr>
                <w:rFonts w:hint="default"/>
                <w:b w:val="0"/>
                <w:bCs/>
                <w:color w:val="auto"/>
                <w:highlight w:val="none"/>
              </w:rPr>
              <w:t>号风机道路</w:t>
            </w:r>
          </w:p>
        </w:tc>
        <w:tc>
          <w:tcPr>
            <w:tcW w:w="293" w:type="pct"/>
            <w:tcBorders>
              <w:tl2br w:val="nil"/>
              <w:tr2bl w:val="nil"/>
            </w:tcBorders>
            <w:noWrap/>
            <w:vAlign w:val="center"/>
          </w:tcPr>
          <w:p w14:paraId="103D1A1B">
            <w:pPr>
              <w:pStyle w:val="45"/>
              <w:bidi w:val="0"/>
              <w:rPr>
                <w:b w:val="0"/>
                <w:bCs/>
                <w:color w:val="auto"/>
                <w:highlight w:val="none"/>
              </w:rPr>
            </w:pPr>
            <w:r>
              <w:rPr>
                <w:rFonts w:hint="default"/>
                <w:b w:val="0"/>
                <w:bCs/>
                <w:color w:val="auto"/>
                <w:highlight w:val="none"/>
                <w:lang w:val="en-US" w:eastAsia="zh-CN"/>
              </w:rPr>
              <w:t xml:space="preserve">0.90 </w:t>
            </w:r>
          </w:p>
        </w:tc>
        <w:tc>
          <w:tcPr>
            <w:tcW w:w="331" w:type="pct"/>
            <w:tcBorders>
              <w:tl2br w:val="nil"/>
              <w:tr2bl w:val="nil"/>
            </w:tcBorders>
            <w:noWrap/>
            <w:vAlign w:val="center"/>
          </w:tcPr>
          <w:p w14:paraId="2AFA4812">
            <w:pPr>
              <w:pStyle w:val="45"/>
              <w:bidi w:val="0"/>
              <w:rPr>
                <w:rFonts w:hint="default"/>
                <w:b w:val="0"/>
                <w:bCs/>
                <w:color w:val="auto"/>
                <w:highlight w:val="none"/>
              </w:rPr>
            </w:pPr>
            <w:r>
              <w:rPr>
                <w:rFonts w:hint="default"/>
                <w:b w:val="0"/>
                <w:bCs/>
                <w:color w:val="auto"/>
                <w:highlight w:val="none"/>
                <w:lang w:val="en-US" w:eastAsia="zh-CN"/>
              </w:rPr>
              <w:t xml:space="preserve">0.85 </w:t>
            </w:r>
          </w:p>
        </w:tc>
        <w:tc>
          <w:tcPr>
            <w:tcW w:w="250" w:type="pct"/>
            <w:tcBorders>
              <w:tl2br w:val="nil"/>
              <w:tr2bl w:val="nil"/>
            </w:tcBorders>
            <w:noWrap/>
            <w:vAlign w:val="center"/>
          </w:tcPr>
          <w:p w14:paraId="4546DE45">
            <w:pPr>
              <w:pStyle w:val="45"/>
              <w:bidi w:val="0"/>
              <w:rPr>
                <w:b w:val="0"/>
                <w:bCs/>
                <w:color w:val="auto"/>
                <w:highlight w:val="none"/>
              </w:rPr>
            </w:pPr>
            <w:r>
              <w:rPr>
                <w:rFonts w:hint="default"/>
                <w:b w:val="0"/>
                <w:bCs/>
                <w:color w:val="auto"/>
                <w:highlight w:val="none"/>
                <w:lang w:val="en-US" w:eastAsia="zh-CN"/>
              </w:rPr>
              <w:t xml:space="preserve">0.05 </w:t>
            </w:r>
          </w:p>
        </w:tc>
        <w:tc>
          <w:tcPr>
            <w:tcW w:w="274" w:type="pct"/>
            <w:tcBorders>
              <w:tl2br w:val="nil"/>
              <w:tr2bl w:val="nil"/>
            </w:tcBorders>
            <w:noWrap/>
            <w:vAlign w:val="center"/>
          </w:tcPr>
          <w:p w14:paraId="6C1DE63E">
            <w:pPr>
              <w:pStyle w:val="45"/>
              <w:bidi w:val="0"/>
              <w:rPr>
                <w:b w:val="0"/>
                <w:bCs/>
                <w:color w:val="auto"/>
                <w:highlight w:val="none"/>
              </w:rPr>
            </w:pPr>
            <w:r>
              <w:rPr>
                <w:rFonts w:hint="default"/>
                <w:b w:val="0"/>
                <w:bCs/>
                <w:color w:val="auto"/>
                <w:highlight w:val="none"/>
                <w:lang w:val="en-US" w:eastAsia="zh-CN"/>
              </w:rPr>
              <w:t xml:space="preserve">0.04 </w:t>
            </w:r>
          </w:p>
        </w:tc>
        <w:tc>
          <w:tcPr>
            <w:tcW w:w="371" w:type="pct"/>
            <w:tcBorders>
              <w:tl2br w:val="nil"/>
              <w:tr2bl w:val="nil"/>
            </w:tcBorders>
            <w:noWrap/>
            <w:vAlign w:val="center"/>
          </w:tcPr>
          <w:p w14:paraId="093BCD96">
            <w:pPr>
              <w:pStyle w:val="45"/>
              <w:bidi w:val="0"/>
              <w:rPr>
                <w:rFonts w:hint="default"/>
                <w:b w:val="0"/>
                <w:bCs/>
                <w:color w:val="auto"/>
                <w:highlight w:val="none"/>
              </w:rPr>
            </w:pPr>
            <w:r>
              <w:rPr>
                <w:rFonts w:hint="default"/>
                <w:b w:val="0"/>
                <w:bCs/>
                <w:color w:val="auto"/>
                <w:highlight w:val="none"/>
                <w:lang w:val="en-US" w:eastAsia="zh-CN"/>
              </w:rPr>
              <w:t xml:space="preserve">-0.01 </w:t>
            </w:r>
          </w:p>
        </w:tc>
        <w:tc>
          <w:tcPr>
            <w:tcW w:w="289" w:type="pct"/>
            <w:tcBorders>
              <w:tl2br w:val="nil"/>
              <w:tr2bl w:val="nil"/>
            </w:tcBorders>
            <w:noWrap/>
            <w:vAlign w:val="center"/>
          </w:tcPr>
          <w:p w14:paraId="50DA9DC6">
            <w:pPr>
              <w:pStyle w:val="45"/>
              <w:bidi w:val="0"/>
              <w:rPr>
                <w:b w:val="0"/>
                <w:bCs/>
                <w:color w:val="auto"/>
                <w:highlight w:val="none"/>
              </w:rPr>
            </w:pPr>
            <w:r>
              <w:rPr>
                <w:rFonts w:hint="default"/>
                <w:b w:val="0"/>
                <w:bCs/>
                <w:color w:val="auto"/>
                <w:highlight w:val="none"/>
                <w:lang w:val="en-US" w:eastAsia="zh-CN"/>
              </w:rPr>
              <w:t xml:space="preserve">0.05 </w:t>
            </w:r>
          </w:p>
        </w:tc>
        <w:tc>
          <w:tcPr>
            <w:tcW w:w="276" w:type="pct"/>
            <w:tcBorders>
              <w:tl2br w:val="nil"/>
              <w:tr2bl w:val="nil"/>
            </w:tcBorders>
            <w:noWrap/>
            <w:vAlign w:val="center"/>
          </w:tcPr>
          <w:p w14:paraId="4966CF4A">
            <w:pPr>
              <w:pStyle w:val="45"/>
              <w:bidi w:val="0"/>
              <w:rPr>
                <w:b w:val="0"/>
                <w:bCs/>
                <w:color w:val="auto"/>
                <w:highlight w:val="none"/>
              </w:rPr>
            </w:pPr>
          </w:p>
        </w:tc>
        <w:tc>
          <w:tcPr>
            <w:tcW w:w="259" w:type="pct"/>
            <w:tcBorders>
              <w:tl2br w:val="nil"/>
              <w:tr2bl w:val="nil"/>
            </w:tcBorders>
            <w:noWrap/>
            <w:vAlign w:val="center"/>
          </w:tcPr>
          <w:p w14:paraId="7AA3AD33">
            <w:pPr>
              <w:pStyle w:val="45"/>
              <w:bidi w:val="0"/>
              <w:rPr>
                <w:b w:val="0"/>
                <w:bCs/>
                <w:color w:val="auto"/>
                <w:highlight w:val="none"/>
              </w:rPr>
            </w:pPr>
          </w:p>
        </w:tc>
        <w:tc>
          <w:tcPr>
            <w:tcW w:w="346" w:type="pct"/>
            <w:tcBorders>
              <w:tl2br w:val="nil"/>
              <w:tr2bl w:val="nil"/>
            </w:tcBorders>
            <w:noWrap/>
            <w:vAlign w:val="center"/>
          </w:tcPr>
          <w:p w14:paraId="3CAEDC51">
            <w:pPr>
              <w:pStyle w:val="45"/>
              <w:bidi w:val="0"/>
              <w:rPr>
                <w:b w:val="0"/>
                <w:bCs/>
                <w:color w:val="auto"/>
                <w:highlight w:val="none"/>
              </w:rPr>
            </w:pPr>
            <w:r>
              <w:rPr>
                <w:rFonts w:hint="default"/>
                <w:b w:val="0"/>
                <w:bCs/>
                <w:color w:val="auto"/>
                <w:highlight w:val="none"/>
                <w:lang w:val="en-US" w:eastAsia="zh-CN"/>
              </w:rPr>
              <w:t xml:space="preserve">0.86 </w:t>
            </w:r>
          </w:p>
        </w:tc>
        <w:tc>
          <w:tcPr>
            <w:tcW w:w="589" w:type="pct"/>
            <w:tcBorders>
              <w:tl2br w:val="nil"/>
              <w:tr2bl w:val="nil"/>
            </w:tcBorders>
            <w:noWrap/>
            <w:vAlign w:val="center"/>
          </w:tcPr>
          <w:p w14:paraId="3FB232EF">
            <w:pPr>
              <w:pStyle w:val="45"/>
              <w:bidi w:val="0"/>
              <w:rPr>
                <w:b w:val="0"/>
                <w:bCs/>
                <w:color w:val="auto"/>
                <w:highlight w:val="none"/>
              </w:rPr>
            </w:pPr>
            <w:r>
              <w:rPr>
                <w:rFonts w:hint="default"/>
                <w:b w:val="0"/>
                <w:bCs/>
                <w:color w:val="auto"/>
                <w:highlight w:val="none"/>
                <w:lang w:val="en-US" w:eastAsia="zh-CN"/>
              </w:rPr>
              <w:t>Z11</w:t>
            </w:r>
          </w:p>
        </w:tc>
      </w:tr>
      <w:tr w14:paraId="1B8304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76738397">
            <w:pPr>
              <w:pStyle w:val="45"/>
              <w:bidi w:val="0"/>
              <w:rPr>
                <w:b w:val="0"/>
                <w:bCs/>
                <w:color w:val="auto"/>
                <w:highlight w:val="none"/>
              </w:rPr>
            </w:pPr>
          </w:p>
        </w:tc>
        <w:tc>
          <w:tcPr>
            <w:tcW w:w="921" w:type="pct"/>
            <w:tcBorders>
              <w:tl2br w:val="nil"/>
              <w:tr2bl w:val="nil"/>
            </w:tcBorders>
            <w:noWrap/>
            <w:vAlign w:val="center"/>
          </w:tcPr>
          <w:p w14:paraId="261B0539">
            <w:pPr>
              <w:pStyle w:val="45"/>
              <w:bidi w:val="0"/>
              <w:rPr>
                <w:b w:val="0"/>
                <w:bCs/>
                <w:color w:val="auto"/>
                <w:highlight w:val="none"/>
              </w:rPr>
            </w:pPr>
            <w:r>
              <w:rPr>
                <w:b w:val="0"/>
                <w:bCs/>
                <w:color w:val="auto"/>
                <w:highlight w:val="none"/>
              </w:rPr>
              <w:t>1-5#/15</w:t>
            </w:r>
            <w:r>
              <w:rPr>
                <w:rFonts w:hint="default"/>
                <w:b w:val="0"/>
                <w:bCs/>
                <w:color w:val="auto"/>
                <w:highlight w:val="none"/>
              </w:rPr>
              <w:t>号风机道路</w:t>
            </w:r>
          </w:p>
        </w:tc>
        <w:tc>
          <w:tcPr>
            <w:tcW w:w="293" w:type="pct"/>
            <w:tcBorders>
              <w:tl2br w:val="nil"/>
              <w:tr2bl w:val="nil"/>
            </w:tcBorders>
            <w:noWrap/>
            <w:vAlign w:val="center"/>
          </w:tcPr>
          <w:p w14:paraId="697D18FA">
            <w:pPr>
              <w:pStyle w:val="45"/>
              <w:bidi w:val="0"/>
              <w:rPr>
                <w:b w:val="0"/>
                <w:bCs/>
                <w:color w:val="auto"/>
                <w:highlight w:val="none"/>
              </w:rPr>
            </w:pPr>
            <w:r>
              <w:rPr>
                <w:rFonts w:hint="default"/>
                <w:b w:val="0"/>
                <w:bCs/>
                <w:color w:val="auto"/>
                <w:highlight w:val="none"/>
                <w:lang w:val="en-US" w:eastAsia="zh-CN"/>
              </w:rPr>
              <w:t xml:space="preserve">1.21 </w:t>
            </w:r>
          </w:p>
        </w:tc>
        <w:tc>
          <w:tcPr>
            <w:tcW w:w="331" w:type="pct"/>
            <w:tcBorders>
              <w:tl2br w:val="nil"/>
              <w:tr2bl w:val="nil"/>
            </w:tcBorders>
            <w:noWrap/>
            <w:vAlign w:val="center"/>
          </w:tcPr>
          <w:p w14:paraId="5190B4A8">
            <w:pPr>
              <w:pStyle w:val="45"/>
              <w:bidi w:val="0"/>
              <w:rPr>
                <w:rFonts w:hint="default"/>
                <w:b w:val="0"/>
                <w:bCs/>
                <w:color w:val="auto"/>
                <w:highlight w:val="none"/>
              </w:rPr>
            </w:pPr>
            <w:r>
              <w:rPr>
                <w:rFonts w:hint="default"/>
                <w:b w:val="0"/>
                <w:bCs/>
                <w:color w:val="auto"/>
                <w:highlight w:val="none"/>
                <w:lang w:val="en-US" w:eastAsia="zh-CN"/>
              </w:rPr>
              <w:t xml:space="preserve">1.15 </w:t>
            </w:r>
          </w:p>
        </w:tc>
        <w:tc>
          <w:tcPr>
            <w:tcW w:w="250" w:type="pct"/>
            <w:tcBorders>
              <w:tl2br w:val="nil"/>
              <w:tr2bl w:val="nil"/>
            </w:tcBorders>
            <w:noWrap/>
            <w:vAlign w:val="center"/>
          </w:tcPr>
          <w:p w14:paraId="1F9F75DD">
            <w:pPr>
              <w:pStyle w:val="45"/>
              <w:bidi w:val="0"/>
              <w:rPr>
                <w:b w:val="0"/>
                <w:bCs/>
                <w:color w:val="auto"/>
                <w:highlight w:val="none"/>
              </w:rPr>
            </w:pPr>
            <w:r>
              <w:rPr>
                <w:rFonts w:hint="default"/>
                <w:b w:val="0"/>
                <w:bCs/>
                <w:color w:val="auto"/>
                <w:highlight w:val="none"/>
                <w:lang w:val="en-US" w:eastAsia="zh-CN"/>
              </w:rPr>
              <w:t xml:space="preserve">0.06 </w:t>
            </w:r>
          </w:p>
        </w:tc>
        <w:tc>
          <w:tcPr>
            <w:tcW w:w="274" w:type="pct"/>
            <w:tcBorders>
              <w:tl2br w:val="nil"/>
              <w:tr2bl w:val="nil"/>
            </w:tcBorders>
            <w:noWrap/>
            <w:vAlign w:val="center"/>
          </w:tcPr>
          <w:p w14:paraId="537D3744">
            <w:pPr>
              <w:pStyle w:val="45"/>
              <w:bidi w:val="0"/>
              <w:rPr>
                <w:b w:val="0"/>
                <w:bCs/>
                <w:color w:val="auto"/>
                <w:highlight w:val="none"/>
              </w:rPr>
            </w:pPr>
            <w:r>
              <w:rPr>
                <w:rFonts w:hint="default"/>
                <w:b w:val="0"/>
                <w:bCs/>
                <w:color w:val="auto"/>
                <w:highlight w:val="none"/>
                <w:lang w:val="en-US" w:eastAsia="zh-CN"/>
              </w:rPr>
              <w:t xml:space="preserve">0.50 </w:t>
            </w:r>
          </w:p>
        </w:tc>
        <w:tc>
          <w:tcPr>
            <w:tcW w:w="371" w:type="pct"/>
            <w:tcBorders>
              <w:tl2br w:val="nil"/>
              <w:tr2bl w:val="nil"/>
            </w:tcBorders>
            <w:noWrap/>
            <w:vAlign w:val="center"/>
          </w:tcPr>
          <w:p w14:paraId="7AD4C83A">
            <w:pPr>
              <w:pStyle w:val="45"/>
              <w:bidi w:val="0"/>
              <w:rPr>
                <w:rFonts w:hint="default"/>
                <w:b w:val="0"/>
                <w:bCs/>
                <w:color w:val="auto"/>
                <w:highlight w:val="none"/>
              </w:rPr>
            </w:pPr>
            <w:r>
              <w:rPr>
                <w:rFonts w:hint="default"/>
                <w:b w:val="0"/>
                <w:bCs/>
                <w:color w:val="auto"/>
                <w:highlight w:val="none"/>
                <w:lang w:val="en-US" w:eastAsia="zh-CN"/>
              </w:rPr>
              <w:t xml:space="preserve">0.44 </w:t>
            </w:r>
          </w:p>
        </w:tc>
        <w:tc>
          <w:tcPr>
            <w:tcW w:w="289" w:type="pct"/>
            <w:tcBorders>
              <w:tl2br w:val="nil"/>
              <w:tr2bl w:val="nil"/>
            </w:tcBorders>
            <w:noWrap/>
            <w:vAlign w:val="center"/>
          </w:tcPr>
          <w:p w14:paraId="7B36E129">
            <w:pPr>
              <w:pStyle w:val="45"/>
              <w:bidi w:val="0"/>
              <w:rPr>
                <w:b w:val="0"/>
                <w:bCs/>
                <w:color w:val="auto"/>
                <w:highlight w:val="none"/>
              </w:rPr>
            </w:pPr>
            <w:r>
              <w:rPr>
                <w:rFonts w:hint="default"/>
                <w:b w:val="0"/>
                <w:bCs/>
                <w:color w:val="auto"/>
                <w:highlight w:val="none"/>
                <w:lang w:val="en-US" w:eastAsia="zh-CN"/>
              </w:rPr>
              <w:t xml:space="preserve">0.06 </w:t>
            </w:r>
          </w:p>
        </w:tc>
        <w:tc>
          <w:tcPr>
            <w:tcW w:w="276" w:type="pct"/>
            <w:tcBorders>
              <w:tl2br w:val="nil"/>
              <w:tr2bl w:val="nil"/>
            </w:tcBorders>
            <w:noWrap/>
            <w:vAlign w:val="center"/>
          </w:tcPr>
          <w:p w14:paraId="30020721">
            <w:pPr>
              <w:pStyle w:val="45"/>
              <w:bidi w:val="0"/>
              <w:rPr>
                <w:b w:val="0"/>
                <w:bCs/>
                <w:color w:val="auto"/>
                <w:highlight w:val="none"/>
              </w:rPr>
            </w:pPr>
          </w:p>
        </w:tc>
        <w:tc>
          <w:tcPr>
            <w:tcW w:w="259" w:type="pct"/>
            <w:tcBorders>
              <w:tl2br w:val="nil"/>
              <w:tr2bl w:val="nil"/>
            </w:tcBorders>
            <w:noWrap/>
            <w:vAlign w:val="center"/>
          </w:tcPr>
          <w:p w14:paraId="72E92569">
            <w:pPr>
              <w:pStyle w:val="45"/>
              <w:bidi w:val="0"/>
              <w:rPr>
                <w:b w:val="0"/>
                <w:bCs/>
                <w:color w:val="auto"/>
                <w:highlight w:val="none"/>
              </w:rPr>
            </w:pPr>
          </w:p>
        </w:tc>
        <w:tc>
          <w:tcPr>
            <w:tcW w:w="346" w:type="pct"/>
            <w:tcBorders>
              <w:tl2br w:val="nil"/>
              <w:tr2bl w:val="nil"/>
            </w:tcBorders>
            <w:noWrap/>
            <w:vAlign w:val="center"/>
          </w:tcPr>
          <w:p w14:paraId="30A4578A">
            <w:pPr>
              <w:pStyle w:val="45"/>
              <w:bidi w:val="0"/>
              <w:rPr>
                <w:b w:val="0"/>
                <w:bCs/>
                <w:color w:val="auto"/>
                <w:highlight w:val="none"/>
              </w:rPr>
            </w:pPr>
            <w:r>
              <w:rPr>
                <w:rFonts w:hint="default"/>
                <w:b w:val="0"/>
                <w:bCs/>
                <w:color w:val="auto"/>
                <w:highlight w:val="none"/>
                <w:lang w:val="en-US" w:eastAsia="zh-CN"/>
              </w:rPr>
              <w:t xml:space="preserve">0.71 </w:t>
            </w:r>
          </w:p>
        </w:tc>
        <w:tc>
          <w:tcPr>
            <w:tcW w:w="589" w:type="pct"/>
            <w:tcBorders>
              <w:tl2br w:val="nil"/>
              <w:tr2bl w:val="nil"/>
            </w:tcBorders>
            <w:noWrap/>
            <w:vAlign w:val="center"/>
          </w:tcPr>
          <w:p w14:paraId="78880195">
            <w:pPr>
              <w:pStyle w:val="45"/>
              <w:bidi w:val="0"/>
              <w:rPr>
                <w:b w:val="0"/>
                <w:bCs/>
                <w:color w:val="auto"/>
                <w:highlight w:val="none"/>
              </w:rPr>
            </w:pPr>
            <w:r>
              <w:rPr>
                <w:rFonts w:hint="default"/>
                <w:b w:val="0"/>
                <w:bCs/>
                <w:color w:val="auto"/>
                <w:highlight w:val="none"/>
                <w:lang w:val="en-US" w:eastAsia="zh-CN"/>
              </w:rPr>
              <w:t>Z11</w:t>
            </w:r>
          </w:p>
        </w:tc>
      </w:tr>
      <w:tr w14:paraId="448AAC6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33FFB3C0">
            <w:pPr>
              <w:pStyle w:val="45"/>
              <w:bidi w:val="0"/>
              <w:rPr>
                <w:b w:val="0"/>
                <w:bCs/>
                <w:color w:val="auto"/>
                <w:highlight w:val="none"/>
              </w:rPr>
            </w:pPr>
          </w:p>
        </w:tc>
        <w:tc>
          <w:tcPr>
            <w:tcW w:w="921" w:type="pct"/>
            <w:tcBorders>
              <w:tl2br w:val="nil"/>
              <w:tr2bl w:val="nil"/>
            </w:tcBorders>
            <w:noWrap/>
            <w:vAlign w:val="center"/>
          </w:tcPr>
          <w:p w14:paraId="32D7A5C4">
            <w:pPr>
              <w:pStyle w:val="45"/>
              <w:bidi w:val="0"/>
              <w:rPr>
                <w:b w:val="0"/>
                <w:bCs/>
                <w:color w:val="auto"/>
                <w:highlight w:val="none"/>
              </w:rPr>
            </w:pPr>
            <w:r>
              <w:rPr>
                <w:b w:val="0"/>
                <w:bCs/>
                <w:color w:val="auto"/>
                <w:highlight w:val="none"/>
              </w:rPr>
              <w:t>2#/</w:t>
            </w:r>
            <w:r>
              <w:rPr>
                <w:rFonts w:hint="default"/>
                <w:b w:val="0"/>
                <w:bCs/>
                <w:color w:val="auto"/>
                <w:highlight w:val="none"/>
              </w:rPr>
              <w:t>主干道</w:t>
            </w:r>
          </w:p>
        </w:tc>
        <w:tc>
          <w:tcPr>
            <w:tcW w:w="293" w:type="pct"/>
            <w:tcBorders>
              <w:tl2br w:val="nil"/>
              <w:tr2bl w:val="nil"/>
            </w:tcBorders>
            <w:noWrap/>
            <w:vAlign w:val="center"/>
          </w:tcPr>
          <w:p w14:paraId="677A8706">
            <w:pPr>
              <w:pStyle w:val="45"/>
              <w:bidi w:val="0"/>
              <w:rPr>
                <w:b w:val="0"/>
                <w:bCs/>
                <w:color w:val="auto"/>
                <w:highlight w:val="none"/>
              </w:rPr>
            </w:pPr>
            <w:r>
              <w:rPr>
                <w:rFonts w:hint="default"/>
                <w:b w:val="0"/>
                <w:bCs/>
                <w:color w:val="auto"/>
                <w:highlight w:val="none"/>
                <w:lang w:val="en-US" w:eastAsia="zh-CN"/>
              </w:rPr>
              <w:t xml:space="preserve">17.30 </w:t>
            </w:r>
          </w:p>
        </w:tc>
        <w:tc>
          <w:tcPr>
            <w:tcW w:w="331" w:type="pct"/>
            <w:tcBorders>
              <w:tl2br w:val="nil"/>
              <w:tr2bl w:val="nil"/>
            </w:tcBorders>
            <w:noWrap/>
            <w:vAlign w:val="center"/>
          </w:tcPr>
          <w:p w14:paraId="376B5588">
            <w:pPr>
              <w:pStyle w:val="45"/>
              <w:bidi w:val="0"/>
              <w:rPr>
                <w:rFonts w:hint="default"/>
                <w:b w:val="0"/>
                <w:bCs/>
                <w:color w:val="auto"/>
                <w:highlight w:val="none"/>
              </w:rPr>
            </w:pPr>
            <w:r>
              <w:rPr>
                <w:rFonts w:hint="default"/>
                <w:b w:val="0"/>
                <w:bCs/>
                <w:color w:val="auto"/>
                <w:highlight w:val="none"/>
                <w:lang w:val="en-US" w:eastAsia="zh-CN"/>
              </w:rPr>
              <w:t xml:space="preserve">16.42 </w:t>
            </w:r>
          </w:p>
        </w:tc>
        <w:tc>
          <w:tcPr>
            <w:tcW w:w="250" w:type="pct"/>
            <w:tcBorders>
              <w:tl2br w:val="nil"/>
              <w:tr2bl w:val="nil"/>
            </w:tcBorders>
            <w:noWrap/>
            <w:vAlign w:val="center"/>
          </w:tcPr>
          <w:p w14:paraId="4F96E9D8">
            <w:pPr>
              <w:pStyle w:val="45"/>
              <w:bidi w:val="0"/>
              <w:rPr>
                <w:b w:val="0"/>
                <w:bCs/>
                <w:color w:val="auto"/>
                <w:highlight w:val="none"/>
              </w:rPr>
            </w:pPr>
            <w:r>
              <w:rPr>
                <w:rFonts w:hint="default"/>
                <w:b w:val="0"/>
                <w:bCs/>
                <w:color w:val="auto"/>
                <w:highlight w:val="none"/>
                <w:lang w:val="en-US" w:eastAsia="zh-CN"/>
              </w:rPr>
              <w:t xml:space="preserve">0.88 </w:t>
            </w:r>
          </w:p>
        </w:tc>
        <w:tc>
          <w:tcPr>
            <w:tcW w:w="274" w:type="pct"/>
            <w:tcBorders>
              <w:tl2br w:val="nil"/>
              <w:tr2bl w:val="nil"/>
            </w:tcBorders>
            <w:noWrap/>
            <w:vAlign w:val="center"/>
          </w:tcPr>
          <w:p w14:paraId="741E26AD">
            <w:pPr>
              <w:pStyle w:val="45"/>
              <w:bidi w:val="0"/>
              <w:rPr>
                <w:b w:val="0"/>
                <w:bCs/>
                <w:color w:val="auto"/>
                <w:highlight w:val="none"/>
              </w:rPr>
            </w:pPr>
            <w:r>
              <w:rPr>
                <w:rFonts w:hint="default"/>
                <w:b w:val="0"/>
                <w:bCs/>
                <w:color w:val="auto"/>
                <w:highlight w:val="none"/>
                <w:lang w:val="en-US" w:eastAsia="zh-CN"/>
              </w:rPr>
              <w:t xml:space="preserve">8.86 </w:t>
            </w:r>
          </w:p>
        </w:tc>
        <w:tc>
          <w:tcPr>
            <w:tcW w:w="371" w:type="pct"/>
            <w:tcBorders>
              <w:tl2br w:val="nil"/>
              <w:tr2bl w:val="nil"/>
            </w:tcBorders>
            <w:noWrap/>
            <w:vAlign w:val="center"/>
          </w:tcPr>
          <w:p w14:paraId="3427A463">
            <w:pPr>
              <w:pStyle w:val="45"/>
              <w:bidi w:val="0"/>
              <w:rPr>
                <w:rFonts w:hint="default"/>
                <w:b w:val="0"/>
                <w:bCs/>
                <w:color w:val="auto"/>
                <w:highlight w:val="none"/>
              </w:rPr>
            </w:pPr>
            <w:r>
              <w:rPr>
                <w:rFonts w:hint="default"/>
                <w:b w:val="0"/>
                <w:bCs/>
                <w:color w:val="auto"/>
                <w:highlight w:val="none"/>
                <w:lang w:val="en-US" w:eastAsia="zh-CN"/>
              </w:rPr>
              <w:t xml:space="preserve">7.98 </w:t>
            </w:r>
          </w:p>
        </w:tc>
        <w:tc>
          <w:tcPr>
            <w:tcW w:w="289" w:type="pct"/>
            <w:tcBorders>
              <w:tl2br w:val="nil"/>
              <w:tr2bl w:val="nil"/>
            </w:tcBorders>
            <w:noWrap/>
            <w:vAlign w:val="center"/>
          </w:tcPr>
          <w:p w14:paraId="192ADCA4">
            <w:pPr>
              <w:pStyle w:val="45"/>
              <w:bidi w:val="0"/>
              <w:rPr>
                <w:b w:val="0"/>
                <w:bCs/>
                <w:color w:val="auto"/>
                <w:highlight w:val="none"/>
              </w:rPr>
            </w:pPr>
            <w:r>
              <w:rPr>
                <w:rFonts w:hint="default"/>
                <w:b w:val="0"/>
                <w:bCs/>
                <w:color w:val="auto"/>
                <w:highlight w:val="none"/>
                <w:lang w:val="en-US" w:eastAsia="zh-CN"/>
              </w:rPr>
              <w:t xml:space="preserve">0.88 </w:t>
            </w:r>
          </w:p>
        </w:tc>
        <w:tc>
          <w:tcPr>
            <w:tcW w:w="276" w:type="pct"/>
            <w:tcBorders>
              <w:tl2br w:val="nil"/>
              <w:tr2bl w:val="nil"/>
            </w:tcBorders>
            <w:noWrap/>
            <w:vAlign w:val="center"/>
          </w:tcPr>
          <w:p w14:paraId="3F2E3267">
            <w:pPr>
              <w:pStyle w:val="45"/>
              <w:bidi w:val="0"/>
              <w:rPr>
                <w:b w:val="0"/>
                <w:bCs/>
                <w:color w:val="auto"/>
                <w:highlight w:val="none"/>
              </w:rPr>
            </w:pPr>
          </w:p>
        </w:tc>
        <w:tc>
          <w:tcPr>
            <w:tcW w:w="259" w:type="pct"/>
            <w:tcBorders>
              <w:tl2br w:val="nil"/>
              <w:tr2bl w:val="nil"/>
            </w:tcBorders>
            <w:noWrap/>
            <w:vAlign w:val="center"/>
          </w:tcPr>
          <w:p w14:paraId="0B9C22ED">
            <w:pPr>
              <w:pStyle w:val="45"/>
              <w:bidi w:val="0"/>
              <w:rPr>
                <w:b w:val="0"/>
                <w:bCs/>
                <w:color w:val="auto"/>
                <w:highlight w:val="none"/>
              </w:rPr>
            </w:pPr>
          </w:p>
        </w:tc>
        <w:tc>
          <w:tcPr>
            <w:tcW w:w="346" w:type="pct"/>
            <w:tcBorders>
              <w:tl2br w:val="nil"/>
              <w:tr2bl w:val="nil"/>
            </w:tcBorders>
            <w:noWrap/>
            <w:vAlign w:val="center"/>
          </w:tcPr>
          <w:p w14:paraId="3D63D310">
            <w:pPr>
              <w:pStyle w:val="45"/>
              <w:bidi w:val="0"/>
              <w:rPr>
                <w:b w:val="0"/>
                <w:bCs/>
                <w:color w:val="auto"/>
                <w:highlight w:val="none"/>
              </w:rPr>
            </w:pPr>
            <w:r>
              <w:rPr>
                <w:rFonts w:hint="default"/>
                <w:b w:val="0"/>
                <w:bCs/>
                <w:color w:val="auto"/>
                <w:highlight w:val="none"/>
                <w:lang w:val="en-US" w:eastAsia="zh-CN"/>
              </w:rPr>
              <w:t xml:space="preserve">8.44 </w:t>
            </w:r>
          </w:p>
        </w:tc>
        <w:tc>
          <w:tcPr>
            <w:tcW w:w="589" w:type="pct"/>
            <w:tcBorders>
              <w:tl2br w:val="nil"/>
              <w:tr2bl w:val="nil"/>
            </w:tcBorders>
            <w:noWrap/>
            <w:vAlign w:val="center"/>
          </w:tcPr>
          <w:p w14:paraId="63924BA1">
            <w:pPr>
              <w:pStyle w:val="45"/>
              <w:bidi w:val="0"/>
              <w:rPr>
                <w:b w:val="0"/>
                <w:bCs/>
                <w:color w:val="auto"/>
                <w:highlight w:val="none"/>
              </w:rPr>
            </w:pPr>
            <w:r>
              <w:rPr>
                <w:rFonts w:hint="default"/>
                <w:b w:val="0"/>
                <w:bCs/>
                <w:color w:val="auto"/>
                <w:highlight w:val="none"/>
                <w:lang w:val="en-US" w:eastAsia="zh-CN"/>
              </w:rPr>
              <w:t>Z</w:t>
            </w:r>
            <w:r>
              <w:rPr>
                <w:rFonts w:hint="eastAsia"/>
                <w:b w:val="0"/>
                <w:bCs/>
                <w:color w:val="auto"/>
                <w:highlight w:val="none"/>
                <w:lang w:val="en-US" w:eastAsia="zh-CN"/>
              </w:rPr>
              <w:t>1</w:t>
            </w:r>
            <w:r>
              <w:rPr>
                <w:rFonts w:hint="default"/>
                <w:b w:val="0"/>
                <w:bCs/>
                <w:color w:val="auto"/>
                <w:highlight w:val="none"/>
                <w:lang w:val="en-US" w:eastAsia="zh-CN"/>
              </w:rPr>
              <w:t>\Z2\Z3\Z4\Z5</w:t>
            </w:r>
          </w:p>
        </w:tc>
      </w:tr>
      <w:tr w14:paraId="208C202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758E3121">
            <w:pPr>
              <w:pStyle w:val="45"/>
              <w:bidi w:val="0"/>
              <w:rPr>
                <w:b w:val="0"/>
                <w:bCs/>
                <w:color w:val="auto"/>
                <w:highlight w:val="none"/>
              </w:rPr>
            </w:pPr>
          </w:p>
        </w:tc>
        <w:tc>
          <w:tcPr>
            <w:tcW w:w="921" w:type="pct"/>
            <w:tcBorders>
              <w:tl2br w:val="nil"/>
              <w:tr2bl w:val="nil"/>
            </w:tcBorders>
            <w:noWrap/>
            <w:vAlign w:val="center"/>
          </w:tcPr>
          <w:p w14:paraId="2F828644">
            <w:pPr>
              <w:pStyle w:val="45"/>
              <w:bidi w:val="0"/>
              <w:rPr>
                <w:b w:val="0"/>
                <w:bCs/>
                <w:color w:val="auto"/>
                <w:highlight w:val="none"/>
              </w:rPr>
            </w:pPr>
            <w:r>
              <w:rPr>
                <w:b w:val="0"/>
                <w:bCs/>
                <w:color w:val="auto"/>
                <w:highlight w:val="none"/>
              </w:rPr>
              <w:t>g2#8-1</w:t>
            </w:r>
            <w:r>
              <w:rPr>
                <w:rFonts w:hint="eastAsia"/>
                <w:b w:val="0"/>
                <w:bCs/>
                <w:color w:val="auto"/>
                <w:highlight w:val="none"/>
                <w:lang w:val="en-US" w:eastAsia="zh-CN"/>
              </w:rPr>
              <w:t>0</w:t>
            </w:r>
            <w:r>
              <w:rPr>
                <w:rFonts w:hint="default"/>
                <w:b w:val="0"/>
                <w:bCs/>
                <w:color w:val="auto"/>
                <w:highlight w:val="none"/>
              </w:rPr>
              <w:t>号风机主路</w:t>
            </w:r>
          </w:p>
        </w:tc>
        <w:tc>
          <w:tcPr>
            <w:tcW w:w="293" w:type="pct"/>
            <w:tcBorders>
              <w:tl2br w:val="nil"/>
              <w:tr2bl w:val="nil"/>
            </w:tcBorders>
            <w:noWrap/>
            <w:vAlign w:val="center"/>
          </w:tcPr>
          <w:p w14:paraId="20C30EF4">
            <w:pPr>
              <w:pStyle w:val="45"/>
              <w:bidi w:val="0"/>
              <w:rPr>
                <w:b w:val="0"/>
                <w:bCs/>
                <w:color w:val="auto"/>
                <w:highlight w:val="none"/>
              </w:rPr>
            </w:pPr>
            <w:r>
              <w:rPr>
                <w:rFonts w:hint="default"/>
                <w:b w:val="0"/>
                <w:bCs/>
                <w:color w:val="auto"/>
                <w:highlight w:val="none"/>
                <w:lang w:val="en-US" w:eastAsia="zh-CN"/>
              </w:rPr>
              <w:t xml:space="preserve">2.70 </w:t>
            </w:r>
          </w:p>
        </w:tc>
        <w:tc>
          <w:tcPr>
            <w:tcW w:w="331" w:type="pct"/>
            <w:tcBorders>
              <w:tl2br w:val="nil"/>
              <w:tr2bl w:val="nil"/>
            </w:tcBorders>
            <w:noWrap/>
            <w:vAlign w:val="center"/>
          </w:tcPr>
          <w:p w14:paraId="14D3EFCC">
            <w:pPr>
              <w:pStyle w:val="45"/>
              <w:bidi w:val="0"/>
              <w:rPr>
                <w:rFonts w:hint="default"/>
                <w:b w:val="0"/>
                <w:bCs/>
                <w:color w:val="auto"/>
                <w:highlight w:val="none"/>
              </w:rPr>
            </w:pPr>
            <w:r>
              <w:rPr>
                <w:rFonts w:hint="default"/>
                <w:b w:val="0"/>
                <w:bCs/>
                <w:color w:val="auto"/>
                <w:highlight w:val="none"/>
                <w:lang w:val="en-US" w:eastAsia="zh-CN"/>
              </w:rPr>
              <w:t xml:space="preserve">2.56 </w:t>
            </w:r>
          </w:p>
        </w:tc>
        <w:tc>
          <w:tcPr>
            <w:tcW w:w="250" w:type="pct"/>
            <w:tcBorders>
              <w:tl2br w:val="nil"/>
              <w:tr2bl w:val="nil"/>
            </w:tcBorders>
            <w:noWrap/>
            <w:vAlign w:val="center"/>
          </w:tcPr>
          <w:p w14:paraId="2E023DB3">
            <w:pPr>
              <w:pStyle w:val="45"/>
              <w:bidi w:val="0"/>
              <w:rPr>
                <w:b w:val="0"/>
                <w:bCs/>
                <w:color w:val="auto"/>
                <w:highlight w:val="none"/>
              </w:rPr>
            </w:pPr>
            <w:r>
              <w:rPr>
                <w:rFonts w:hint="default"/>
                <w:b w:val="0"/>
                <w:bCs/>
                <w:color w:val="auto"/>
                <w:highlight w:val="none"/>
                <w:lang w:val="en-US" w:eastAsia="zh-CN"/>
              </w:rPr>
              <w:t xml:space="preserve">0.14 </w:t>
            </w:r>
          </w:p>
        </w:tc>
        <w:tc>
          <w:tcPr>
            <w:tcW w:w="274" w:type="pct"/>
            <w:tcBorders>
              <w:tl2br w:val="nil"/>
              <w:tr2bl w:val="nil"/>
            </w:tcBorders>
            <w:noWrap/>
            <w:vAlign w:val="center"/>
          </w:tcPr>
          <w:p w14:paraId="34C9C9D3">
            <w:pPr>
              <w:pStyle w:val="45"/>
              <w:bidi w:val="0"/>
              <w:rPr>
                <w:b w:val="0"/>
                <w:bCs/>
                <w:color w:val="auto"/>
                <w:highlight w:val="none"/>
              </w:rPr>
            </w:pPr>
            <w:r>
              <w:rPr>
                <w:rFonts w:hint="default"/>
                <w:b w:val="0"/>
                <w:bCs/>
                <w:color w:val="auto"/>
                <w:highlight w:val="none"/>
                <w:lang w:val="en-US" w:eastAsia="zh-CN"/>
              </w:rPr>
              <w:t xml:space="preserve">0.14 </w:t>
            </w:r>
          </w:p>
        </w:tc>
        <w:tc>
          <w:tcPr>
            <w:tcW w:w="371" w:type="pct"/>
            <w:tcBorders>
              <w:tl2br w:val="nil"/>
              <w:tr2bl w:val="nil"/>
            </w:tcBorders>
            <w:noWrap/>
            <w:vAlign w:val="center"/>
          </w:tcPr>
          <w:p w14:paraId="344ECF71">
            <w:pPr>
              <w:pStyle w:val="45"/>
              <w:bidi w:val="0"/>
              <w:rPr>
                <w:rFonts w:hint="default"/>
                <w:b w:val="0"/>
                <w:bCs/>
                <w:color w:val="auto"/>
                <w:highlight w:val="none"/>
              </w:rPr>
            </w:pPr>
          </w:p>
        </w:tc>
        <w:tc>
          <w:tcPr>
            <w:tcW w:w="289" w:type="pct"/>
            <w:tcBorders>
              <w:tl2br w:val="nil"/>
              <w:tr2bl w:val="nil"/>
            </w:tcBorders>
            <w:noWrap/>
            <w:vAlign w:val="center"/>
          </w:tcPr>
          <w:p w14:paraId="7B6DA6FC">
            <w:pPr>
              <w:pStyle w:val="45"/>
              <w:bidi w:val="0"/>
              <w:rPr>
                <w:b w:val="0"/>
                <w:bCs/>
                <w:color w:val="auto"/>
                <w:highlight w:val="none"/>
              </w:rPr>
            </w:pPr>
            <w:r>
              <w:rPr>
                <w:rFonts w:hint="default"/>
                <w:b w:val="0"/>
                <w:bCs/>
                <w:color w:val="auto"/>
                <w:highlight w:val="none"/>
                <w:lang w:val="en-US" w:eastAsia="zh-CN"/>
              </w:rPr>
              <w:t xml:space="preserve">0.14 </w:t>
            </w:r>
          </w:p>
        </w:tc>
        <w:tc>
          <w:tcPr>
            <w:tcW w:w="276" w:type="pct"/>
            <w:tcBorders>
              <w:tl2br w:val="nil"/>
              <w:tr2bl w:val="nil"/>
            </w:tcBorders>
            <w:noWrap/>
            <w:vAlign w:val="center"/>
          </w:tcPr>
          <w:p w14:paraId="75F7977F">
            <w:pPr>
              <w:pStyle w:val="45"/>
              <w:bidi w:val="0"/>
              <w:rPr>
                <w:b w:val="0"/>
                <w:bCs/>
                <w:color w:val="auto"/>
                <w:highlight w:val="none"/>
              </w:rPr>
            </w:pPr>
          </w:p>
        </w:tc>
        <w:tc>
          <w:tcPr>
            <w:tcW w:w="259" w:type="pct"/>
            <w:tcBorders>
              <w:tl2br w:val="nil"/>
              <w:tr2bl w:val="nil"/>
            </w:tcBorders>
            <w:noWrap/>
            <w:vAlign w:val="center"/>
          </w:tcPr>
          <w:p w14:paraId="44C6C945">
            <w:pPr>
              <w:pStyle w:val="45"/>
              <w:bidi w:val="0"/>
              <w:rPr>
                <w:b w:val="0"/>
                <w:bCs/>
                <w:color w:val="auto"/>
                <w:highlight w:val="none"/>
              </w:rPr>
            </w:pPr>
          </w:p>
        </w:tc>
        <w:tc>
          <w:tcPr>
            <w:tcW w:w="346" w:type="pct"/>
            <w:tcBorders>
              <w:tl2br w:val="nil"/>
              <w:tr2bl w:val="nil"/>
            </w:tcBorders>
            <w:noWrap/>
            <w:vAlign w:val="center"/>
          </w:tcPr>
          <w:p w14:paraId="37ADBB81">
            <w:pPr>
              <w:pStyle w:val="45"/>
              <w:bidi w:val="0"/>
              <w:rPr>
                <w:b w:val="0"/>
                <w:bCs/>
                <w:color w:val="auto"/>
                <w:highlight w:val="none"/>
              </w:rPr>
            </w:pPr>
            <w:r>
              <w:rPr>
                <w:rFonts w:hint="default"/>
                <w:b w:val="0"/>
                <w:bCs/>
                <w:color w:val="auto"/>
                <w:highlight w:val="none"/>
                <w:lang w:val="en-US" w:eastAsia="zh-CN"/>
              </w:rPr>
              <w:t xml:space="preserve">2.56 </w:t>
            </w:r>
          </w:p>
        </w:tc>
        <w:tc>
          <w:tcPr>
            <w:tcW w:w="589" w:type="pct"/>
            <w:tcBorders>
              <w:tl2br w:val="nil"/>
              <w:tr2bl w:val="nil"/>
            </w:tcBorders>
            <w:noWrap/>
            <w:vAlign w:val="center"/>
          </w:tcPr>
          <w:p w14:paraId="237C77BA">
            <w:pPr>
              <w:pStyle w:val="45"/>
              <w:bidi w:val="0"/>
              <w:rPr>
                <w:b w:val="0"/>
                <w:bCs/>
                <w:color w:val="auto"/>
                <w:highlight w:val="none"/>
              </w:rPr>
            </w:pPr>
            <w:r>
              <w:rPr>
                <w:rFonts w:hint="default"/>
                <w:b w:val="0"/>
                <w:bCs/>
                <w:color w:val="auto"/>
                <w:highlight w:val="none"/>
                <w:lang w:val="en-US" w:eastAsia="zh-CN"/>
              </w:rPr>
              <w:t>Z7</w:t>
            </w:r>
          </w:p>
        </w:tc>
      </w:tr>
      <w:tr w14:paraId="7DF1916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31A4DA2A">
            <w:pPr>
              <w:pStyle w:val="45"/>
              <w:bidi w:val="0"/>
              <w:rPr>
                <w:b w:val="0"/>
                <w:bCs/>
                <w:color w:val="auto"/>
                <w:highlight w:val="none"/>
              </w:rPr>
            </w:pPr>
          </w:p>
        </w:tc>
        <w:tc>
          <w:tcPr>
            <w:tcW w:w="921" w:type="pct"/>
            <w:tcBorders>
              <w:tl2br w:val="nil"/>
              <w:tr2bl w:val="nil"/>
            </w:tcBorders>
            <w:noWrap/>
            <w:vAlign w:val="center"/>
          </w:tcPr>
          <w:p w14:paraId="02EA918C">
            <w:pPr>
              <w:pStyle w:val="45"/>
              <w:bidi w:val="0"/>
              <w:rPr>
                <w:b w:val="0"/>
                <w:bCs/>
                <w:color w:val="auto"/>
                <w:highlight w:val="none"/>
              </w:rPr>
            </w:pPr>
            <w:r>
              <w:rPr>
                <w:b w:val="0"/>
                <w:bCs/>
                <w:color w:val="auto"/>
                <w:highlight w:val="none"/>
              </w:rPr>
              <w:t>g2-1#10</w:t>
            </w:r>
            <w:r>
              <w:rPr>
                <w:rFonts w:hint="default"/>
                <w:b w:val="0"/>
                <w:bCs/>
                <w:color w:val="auto"/>
                <w:highlight w:val="none"/>
              </w:rPr>
              <w:t>号风机道路</w:t>
            </w:r>
          </w:p>
        </w:tc>
        <w:tc>
          <w:tcPr>
            <w:tcW w:w="293" w:type="pct"/>
            <w:tcBorders>
              <w:tl2br w:val="nil"/>
              <w:tr2bl w:val="nil"/>
            </w:tcBorders>
            <w:noWrap/>
            <w:vAlign w:val="center"/>
          </w:tcPr>
          <w:p w14:paraId="63E64ECE">
            <w:pPr>
              <w:pStyle w:val="45"/>
              <w:bidi w:val="0"/>
              <w:rPr>
                <w:b w:val="0"/>
                <w:bCs/>
                <w:color w:val="auto"/>
                <w:highlight w:val="none"/>
              </w:rPr>
            </w:pPr>
            <w:r>
              <w:rPr>
                <w:rFonts w:hint="default"/>
                <w:b w:val="0"/>
                <w:bCs/>
                <w:color w:val="auto"/>
                <w:highlight w:val="none"/>
                <w:lang w:val="en-US" w:eastAsia="zh-CN"/>
              </w:rPr>
              <w:t xml:space="preserve">0.00 </w:t>
            </w:r>
          </w:p>
        </w:tc>
        <w:tc>
          <w:tcPr>
            <w:tcW w:w="331" w:type="pct"/>
            <w:tcBorders>
              <w:tl2br w:val="nil"/>
              <w:tr2bl w:val="nil"/>
            </w:tcBorders>
            <w:noWrap/>
            <w:vAlign w:val="center"/>
          </w:tcPr>
          <w:p w14:paraId="1C25D734">
            <w:pPr>
              <w:pStyle w:val="45"/>
              <w:bidi w:val="0"/>
              <w:rPr>
                <w:rFonts w:hint="default"/>
                <w:b w:val="0"/>
                <w:bCs/>
                <w:color w:val="auto"/>
                <w:highlight w:val="none"/>
              </w:rPr>
            </w:pPr>
          </w:p>
        </w:tc>
        <w:tc>
          <w:tcPr>
            <w:tcW w:w="250" w:type="pct"/>
            <w:tcBorders>
              <w:tl2br w:val="nil"/>
              <w:tr2bl w:val="nil"/>
            </w:tcBorders>
            <w:noWrap/>
            <w:vAlign w:val="center"/>
          </w:tcPr>
          <w:p w14:paraId="4E108D3F">
            <w:pPr>
              <w:pStyle w:val="45"/>
              <w:bidi w:val="0"/>
              <w:rPr>
                <w:b w:val="0"/>
                <w:bCs/>
                <w:color w:val="auto"/>
                <w:highlight w:val="none"/>
              </w:rPr>
            </w:pPr>
          </w:p>
        </w:tc>
        <w:tc>
          <w:tcPr>
            <w:tcW w:w="274" w:type="pct"/>
            <w:tcBorders>
              <w:tl2br w:val="nil"/>
              <w:tr2bl w:val="nil"/>
            </w:tcBorders>
            <w:noWrap/>
            <w:vAlign w:val="center"/>
          </w:tcPr>
          <w:p w14:paraId="0122474E">
            <w:pPr>
              <w:pStyle w:val="45"/>
              <w:bidi w:val="0"/>
              <w:rPr>
                <w:b w:val="0"/>
                <w:bCs/>
                <w:color w:val="auto"/>
                <w:highlight w:val="none"/>
              </w:rPr>
            </w:pPr>
            <w:r>
              <w:rPr>
                <w:rFonts w:hint="default"/>
                <w:b w:val="0"/>
                <w:bCs/>
                <w:color w:val="auto"/>
                <w:highlight w:val="none"/>
                <w:lang w:val="en-US" w:eastAsia="zh-CN"/>
              </w:rPr>
              <w:t xml:space="preserve">0.22 </w:t>
            </w:r>
          </w:p>
        </w:tc>
        <w:tc>
          <w:tcPr>
            <w:tcW w:w="371" w:type="pct"/>
            <w:tcBorders>
              <w:tl2br w:val="nil"/>
              <w:tr2bl w:val="nil"/>
            </w:tcBorders>
            <w:noWrap/>
            <w:vAlign w:val="center"/>
          </w:tcPr>
          <w:p w14:paraId="4E51B18A">
            <w:pPr>
              <w:pStyle w:val="45"/>
              <w:bidi w:val="0"/>
              <w:rPr>
                <w:rFonts w:hint="default"/>
                <w:b w:val="0"/>
                <w:bCs/>
                <w:color w:val="auto"/>
                <w:highlight w:val="none"/>
              </w:rPr>
            </w:pPr>
            <w:r>
              <w:rPr>
                <w:rFonts w:hint="default"/>
                <w:b w:val="0"/>
                <w:bCs/>
                <w:color w:val="auto"/>
                <w:highlight w:val="none"/>
                <w:lang w:val="en-US" w:eastAsia="zh-CN"/>
              </w:rPr>
              <w:t xml:space="preserve">0.22 </w:t>
            </w:r>
          </w:p>
        </w:tc>
        <w:tc>
          <w:tcPr>
            <w:tcW w:w="289" w:type="pct"/>
            <w:tcBorders>
              <w:tl2br w:val="nil"/>
              <w:tr2bl w:val="nil"/>
            </w:tcBorders>
            <w:noWrap/>
            <w:vAlign w:val="center"/>
          </w:tcPr>
          <w:p w14:paraId="7CB81F1D">
            <w:pPr>
              <w:pStyle w:val="45"/>
              <w:bidi w:val="0"/>
              <w:rPr>
                <w:b w:val="0"/>
                <w:bCs/>
                <w:color w:val="auto"/>
                <w:highlight w:val="none"/>
              </w:rPr>
            </w:pPr>
          </w:p>
        </w:tc>
        <w:tc>
          <w:tcPr>
            <w:tcW w:w="276" w:type="pct"/>
            <w:tcBorders>
              <w:tl2br w:val="nil"/>
              <w:tr2bl w:val="nil"/>
            </w:tcBorders>
            <w:noWrap/>
            <w:vAlign w:val="center"/>
          </w:tcPr>
          <w:p w14:paraId="67B908A4">
            <w:pPr>
              <w:pStyle w:val="45"/>
              <w:bidi w:val="0"/>
              <w:rPr>
                <w:b w:val="0"/>
                <w:bCs/>
                <w:color w:val="auto"/>
                <w:highlight w:val="none"/>
              </w:rPr>
            </w:pPr>
          </w:p>
        </w:tc>
        <w:tc>
          <w:tcPr>
            <w:tcW w:w="259" w:type="pct"/>
            <w:tcBorders>
              <w:tl2br w:val="nil"/>
              <w:tr2bl w:val="nil"/>
            </w:tcBorders>
            <w:noWrap/>
            <w:vAlign w:val="center"/>
          </w:tcPr>
          <w:p w14:paraId="628D077B">
            <w:pPr>
              <w:pStyle w:val="45"/>
              <w:bidi w:val="0"/>
              <w:rPr>
                <w:b w:val="0"/>
                <w:bCs/>
                <w:color w:val="auto"/>
                <w:highlight w:val="none"/>
              </w:rPr>
            </w:pPr>
            <w:r>
              <w:rPr>
                <w:rFonts w:hint="default"/>
                <w:b w:val="0"/>
                <w:bCs/>
                <w:color w:val="auto"/>
                <w:highlight w:val="none"/>
                <w:lang w:val="en-US" w:eastAsia="zh-CN"/>
              </w:rPr>
              <w:t xml:space="preserve">0.22 </w:t>
            </w:r>
          </w:p>
        </w:tc>
        <w:tc>
          <w:tcPr>
            <w:tcW w:w="346" w:type="pct"/>
            <w:tcBorders>
              <w:tl2br w:val="nil"/>
              <w:tr2bl w:val="nil"/>
            </w:tcBorders>
            <w:noWrap/>
            <w:vAlign w:val="center"/>
          </w:tcPr>
          <w:p w14:paraId="25A45EBE">
            <w:pPr>
              <w:pStyle w:val="45"/>
              <w:bidi w:val="0"/>
              <w:rPr>
                <w:b w:val="0"/>
                <w:bCs/>
                <w:color w:val="auto"/>
                <w:highlight w:val="none"/>
              </w:rPr>
            </w:pPr>
            <w:r>
              <w:rPr>
                <w:rFonts w:hint="default"/>
                <w:b w:val="0"/>
                <w:bCs/>
                <w:color w:val="auto"/>
                <w:highlight w:val="none"/>
                <w:lang w:val="en-US" w:eastAsia="zh-CN"/>
              </w:rPr>
              <w:t xml:space="preserve"> </w:t>
            </w:r>
          </w:p>
        </w:tc>
        <w:tc>
          <w:tcPr>
            <w:tcW w:w="589" w:type="pct"/>
            <w:tcBorders>
              <w:tl2br w:val="nil"/>
              <w:tr2bl w:val="nil"/>
            </w:tcBorders>
            <w:noWrap/>
            <w:vAlign w:val="center"/>
          </w:tcPr>
          <w:p w14:paraId="4AD06B39">
            <w:pPr>
              <w:pStyle w:val="45"/>
              <w:bidi w:val="0"/>
              <w:rPr>
                <w:b w:val="0"/>
                <w:bCs/>
                <w:color w:val="auto"/>
                <w:highlight w:val="none"/>
              </w:rPr>
            </w:pPr>
          </w:p>
        </w:tc>
      </w:tr>
      <w:tr w14:paraId="775E94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4EF5FA1F">
            <w:pPr>
              <w:pStyle w:val="45"/>
              <w:bidi w:val="0"/>
              <w:rPr>
                <w:b w:val="0"/>
                <w:bCs/>
                <w:color w:val="auto"/>
                <w:highlight w:val="none"/>
              </w:rPr>
            </w:pPr>
          </w:p>
        </w:tc>
        <w:tc>
          <w:tcPr>
            <w:tcW w:w="921" w:type="pct"/>
            <w:tcBorders>
              <w:tl2br w:val="nil"/>
              <w:tr2bl w:val="nil"/>
            </w:tcBorders>
            <w:noWrap/>
            <w:vAlign w:val="center"/>
          </w:tcPr>
          <w:p w14:paraId="4F2F197A">
            <w:pPr>
              <w:pStyle w:val="45"/>
              <w:bidi w:val="0"/>
              <w:rPr>
                <w:b w:val="0"/>
                <w:bCs/>
                <w:color w:val="auto"/>
                <w:highlight w:val="none"/>
              </w:rPr>
            </w:pPr>
            <w:r>
              <w:rPr>
                <w:b w:val="0"/>
                <w:bCs/>
                <w:color w:val="auto"/>
                <w:highlight w:val="none"/>
              </w:rPr>
              <w:t>2-1#/1</w:t>
            </w:r>
            <w:r>
              <w:rPr>
                <w:rFonts w:hint="default"/>
                <w:b w:val="0"/>
                <w:bCs/>
                <w:color w:val="auto"/>
                <w:highlight w:val="none"/>
              </w:rPr>
              <w:t>号风机道路</w:t>
            </w:r>
          </w:p>
        </w:tc>
        <w:tc>
          <w:tcPr>
            <w:tcW w:w="293" w:type="pct"/>
            <w:tcBorders>
              <w:tl2br w:val="nil"/>
              <w:tr2bl w:val="nil"/>
            </w:tcBorders>
            <w:noWrap/>
            <w:vAlign w:val="center"/>
          </w:tcPr>
          <w:p w14:paraId="4310E931">
            <w:pPr>
              <w:pStyle w:val="45"/>
              <w:bidi w:val="0"/>
              <w:rPr>
                <w:b w:val="0"/>
                <w:bCs/>
                <w:color w:val="auto"/>
                <w:highlight w:val="none"/>
              </w:rPr>
            </w:pPr>
            <w:r>
              <w:rPr>
                <w:rFonts w:hint="default"/>
                <w:b w:val="0"/>
                <w:bCs/>
                <w:color w:val="auto"/>
                <w:highlight w:val="none"/>
                <w:lang w:val="en-US" w:eastAsia="zh-CN"/>
              </w:rPr>
              <w:t xml:space="preserve">5.24 </w:t>
            </w:r>
          </w:p>
        </w:tc>
        <w:tc>
          <w:tcPr>
            <w:tcW w:w="331" w:type="pct"/>
            <w:tcBorders>
              <w:tl2br w:val="nil"/>
              <w:tr2bl w:val="nil"/>
            </w:tcBorders>
            <w:noWrap/>
            <w:vAlign w:val="center"/>
          </w:tcPr>
          <w:p w14:paraId="30CA63F3">
            <w:pPr>
              <w:pStyle w:val="45"/>
              <w:bidi w:val="0"/>
              <w:rPr>
                <w:rFonts w:hint="default"/>
                <w:b w:val="0"/>
                <w:bCs/>
                <w:color w:val="auto"/>
                <w:highlight w:val="none"/>
              </w:rPr>
            </w:pPr>
            <w:r>
              <w:rPr>
                <w:rFonts w:hint="default"/>
                <w:b w:val="0"/>
                <w:bCs/>
                <w:color w:val="auto"/>
                <w:highlight w:val="none"/>
                <w:lang w:val="en-US" w:eastAsia="zh-CN"/>
              </w:rPr>
              <w:t xml:space="preserve">4.97 </w:t>
            </w:r>
          </w:p>
        </w:tc>
        <w:tc>
          <w:tcPr>
            <w:tcW w:w="250" w:type="pct"/>
            <w:tcBorders>
              <w:tl2br w:val="nil"/>
              <w:tr2bl w:val="nil"/>
            </w:tcBorders>
            <w:noWrap/>
            <w:vAlign w:val="center"/>
          </w:tcPr>
          <w:p w14:paraId="5CE1F652">
            <w:pPr>
              <w:pStyle w:val="45"/>
              <w:bidi w:val="0"/>
              <w:rPr>
                <w:b w:val="0"/>
                <w:bCs/>
                <w:color w:val="auto"/>
                <w:highlight w:val="none"/>
              </w:rPr>
            </w:pPr>
            <w:r>
              <w:rPr>
                <w:rFonts w:hint="default"/>
                <w:b w:val="0"/>
                <w:bCs/>
                <w:color w:val="auto"/>
                <w:highlight w:val="none"/>
                <w:lang w:val="en-US" w:eastAsia="zh-CN"/>
              </w:rPr>
              <w:t xml:space="preserve">0.27 </w:t>
            </w:r>
          </w:p>
        </w:tc>
        <w:tc>
          <w:tcPr>
            <w:tcW w:w="274" w:type="pct"/>
            <w:tcBorders>
              <w:tl2br w:val="nil"/>
              <w:tr2bl w:val="nil"/>
            </w:tcBorders>
            <w:noWrap/>
            <w:vAlign w:val="center"/>
          </w:tcPr>
          <w:p w14:paraId="165F7FD7">
            <w:pPr>
              <w:pStyle w:val="45"/>
              <w:bidi w:val="0"/>
              <w:rPr>
                <w:b w:val="0"/>
                <w:bCs/>
                <w:color w:val="auto"/>
                <w:highlight w:val="none"/>
              </w:rPr>
            </w:pPr>
            <w:r>
              <w:rPr>
                <w:rFonts w:hint="default"/>
                <w:b w:val="0"/>
                <w:bCs/>
                <w:color w:val="auto"/>
                <w:highlight w:val="none"/>
                <w:lang w:val="en-US" w:eastAsia="zh-CN"/>
              </w:rPr>
              <w:t xml:space="preserve">3.02 </w:t>
            </w:r>
          </w:p>
        </w:tc>
        <w:tc>
          <w:tcPr>
            <w:tcW w:w="371" w:type="pct"/>
            <w:tcBorders>
              <w:tl2br w:val="nil"/>
              <w:tr2bl w:val="nil"/>
            </w:tcBorders>
            <w:noWrap/>
            <w:vAlign w:val="center"/>
          </w:tcPr>
          <w:p w14:paraId="78E50444">
            <w:pPr>
              <w:pStyle w:val="45"/>
              <w:bidi w:val="0"/>
              <w:rPr>
                <w:rFonts w:hint="default"/>
                <w:b w:val="0"/>
                <w:bCs/>
                <w:color w:val="auto"/>
                <w:highlight w:val="none"/>
              </w:rPr>
            </w:pPr>
            <w:r>
              <w:rPr>
                <w:rFonts w:hint="default"/>
                <w:b w:val="0"/>
                <w:bCs/>
                <w:color w:val="auto"/>
                <w:highlight w:val="none"/>
                <w:lang w:val="en-US" w:eastAsia="zh-CN"/>
              </w:rPr>
              <w:t xml:space="preserve">2.75 </w:t>
            </w:r>
          </w:p>
        </w:tc>
        <w:tc>
          <w:tcPr>
            <w:tcW w:w="289" w:type="pct"/>
            <w:tcBorders>
              <w:tl2br w:val="nil"/>
              <w:tr2bl w:val="nil"/>
            </w:tcBorders>
            <w:noWrap/>
            <w:vAlign w:val="center"/>
          </w:tcPr>
          <w:p w14:paraId="7D4D882A">
            <w:pPr>
              <w:pStyle w:val="45"/>
              <w:bidi w:val="0"/>
              <w:rPr>
                <w:b w:val="0"/>
                <w:bCs/>
                <w:color w:val="auto"/>
                <w:highlight w:val="none"/>
              </w:rPr>
            </w:pPr>
            <w:r>
              <w:rPr>
                <w:rFonts w:hint="default"/>
                <w:b w:val="0"/>
                <w:bCs/>
                <w:color w:val="auto"/>
                <w:highlight w:val="none"/>
                <w:lang w:val="en-US" w:eastAsia="zh-CN"/>
              </w:rPr>
              <w:t xml:space="preserve">0.27 </w:t>
            </w:r>
          </w:p>
        </w:tc>
        <w:tc>
          <w:tcPr>
            <w:tcW w:w="276" w:type="pct"/>
            <w:tcBorders>
              <w:tl2br w:val="nil"/>
              <w:tr2bl w:val="nil"/>
            </w:tcBorders>
            <w:noWrap/>
            <w:vAlign w:val="center"/>
          </w:tcPr>
          <w:p w14:paraId="5927CC5C">
            <w:pPr>
              <w:pStyle w:val="45"/>
              <w:bidi w:val="0"/>
              <w:rPr>
                <w:b w:val="0"/>
                <w:bCs/>
                <w:color w:val="auto"/>
                <w:highlight w:val="none"/>
              </w:rPr>
            </w:pPr>
          </w:p>
        </w:tc>
        <w:tc>
          <w:tcPr>
            <w:tcW w:w="259" w:type="pct"/>
            <w:tcBorders>
              <w:tl2br w:val="nil"/>
              <w:tr2bl w:val="nil"/>
            </w:tcBorders>
            <w:noWrap/>
            <w:vAlign w:val="center"/>
          </w:tcPr>
          <w:p w14:paraId="119147FE">
            <w:pPr>
              <w:pStyle w:val="45"/>
              <w:bidi w:val="0"/>
              <w:rPr>
                <w:b w:val="0"/>
                <w:bCs/>
                <w:color w:val="auto"/>
                <w:highlight w:val="none"/>
              </w:rPr>
            </w:pPr>
          </w:p>
        </w:tc>
        <w:tc>
          <w:tcPr>
            <w:tcW w:w="346" w:type="pct"/>
            <w:tcBorders>
              <w:tl2br w:val="nil"/>
              <w:tr2bl w:val="nil"/>
            </w:tcBorders>
            <w:noWrap/>
            <w:vAlign w:val="center"/>
          </w:tcPr>
          <w:p w14:paraId="709396C5">
            <w:pPr>
              <w:pStyle w:val="45"/>
              <w:bidi w:val="0"/>
              <w:rPr>
                <w:b w:val="0"/>
                <w:bCs/>
                <w:color w:val="auto"/>
                <w:highlight w:val="none"/>
              </w:rPr>
            </w:pPr>
            <w:r>
              <w:rPr>
                <w:rFonts w:hint="default"/>
                <w:b w:val="0"/>
                <w:bCs/>
                <w:color w:val="auto"/>
                <w:highlight w:val="none"/>
                <w:lang w:val="en-US" w:eastAsia="zh-CN"/>
              </w:rPr>
              <w:t xml:space="preserve">2.22 </w:t>
            </w:r>
          </w:p>
        </w:tc>
        <w:tc>
          <w:tcPr>
            <w:tcW w:w="589" w:type="pct"/>
            <w:tcBorders>
              <w:tl2br w:val="nil"/>
              <w:tr2bl w:val="nil"/>
            </w:tcBorders>
            <w:noWrap/>
            <w:vAlign w:val="center"/>
          </w:tcPr>
          <w:p w14:paraId="0853DD6A">
            <w:pPr>
              <w:pStyle w:val="45"/>
              <w:bidi w:val="0"/>
              <w:rPr>
                <w:b w:val="0"/>
                <w:bCs/>
                <w:color w:val="auto"/>
                <w:highlight w:val="none"/>
              </w:rPr>
            </w:pPr>
            <w:r>
              <w:rPr>
                <w:rFonts w:hint="default"/>
                <w:b w:val="0"/>
                <w:bCs/>
                <w:color w:val="auto"/>
                <w:highlight w:val="none"/>
                <w:lang w:val="en-US" w:eastAsia="zh-CN"/>
              </w:rPr>
              <w:t>Z1</w:t>
            </w:r>
          </w:p>
        </w:tc>
      </w:tr>
      <w:tr w14:paraId="6C2097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0D0F21FB">
            <w:pPr>
              <w:pStyle w:val="45"/>
              <w:bidi w:val="0"/>
              <w:rPr>
                <w:b w:val="0"/>
                <w:bCs/>
                <w:color w:val="auto"/>
                <w:highlight w:val="none"/>
              </w:rPr>
            </w:pPr>
          </w:p>
        </w:tc>
        <w:tc>
          <w:tcPr>
            <w:tcW w:w="921" w:type="pct"/>
            <w:tcBorders>
              <w:tl2br w:val="nil"/>
              <w:tr2bl w:val="nil"/>
            </w:tcBorders>
            <w:noWrap/>
            <w:vAlign w:val="center"/>
          </w:tcPr>
          <w:p w14:paraId="6FB70607">
            <w:pPr>
              <w:pStyle w:val="45"/>
              <w:bidi w:val="0"/>
              <w:rPr>
                <w:b w:val="0"/>
                <w:bCs/>
                <w:color w:val="auto"/>
                <w:highlight w:val="none"/>
              </w:rPr>
            </w:pPr>
            <w:r>
              <w:rPr>
                <w:b w:val="0"/>
                <w:bCs/>
                <w:color w:val="auto"/>
                <w:highlight w:val="none"/>
              </w:rPr>
              <w:t>2-2#/2</w:t>
            </w:r>
            <w:r>
              <w:rPr>
                <w:rFonts w:hint="default"/>
                <w:b w:val="0"/>
                <w:bCs/>
                <w:color w:val="auto"/>
                <w:highlight w:val="none"/>
              </w:rPr>
              <w:t>号风机当道路</w:t>
            </w:r>
          </w:p>
        </w:tc>
        <w:tc>
          <w:tcPr>
            <w:tcW w:w="293" w:type="pct"/>
            <w:tcBorders>
              <w:tl2br w:val="nil"/>
              <w:tr2bl w:val="nil"/>
            </w:tcBorders>
            <w:noWrap/>
            <w:vAlign w:val="center"/>
          </w:tcPr>
          <w:p w14:paraId="11F55704">
            <w:pPr>
              <w:pStyle w:val="45"/>
              <w:bidi w:val="0"/>
              <w:rPr>
                <w:b w:val="0"/>
                <w:bCs/>
                <w:color w:val="auto"/>
                <w:highlight w:val="none"/>
              </w:rPr>
            </w:pPr>
            <w:r>
              <w:rPr>
                <w:rFonts w:hint="default"/>
                <w:b w:val="0"/>
                <w:bCs/>
                <w:color w:val="auto"/>
                <w:highlight w:val="none"/>
                <w:lang w:val="en-US" w:eastAsia="zh-CN"/>
              </w:rPr>
              <w:t xml:space="preserve">0.44 </w:t>
            </w:r>
          </w:p>
        </w:tc>
        <w:tc>
          <w:tcPr>
            <w:tcW w:w="331" w:type="pct"/>
            <w:tcBorders>
              <w:tl2br w:val="nil"/>
              <w:tr2bl w:val="nil"/>
            </w:tcBorders>
            <w:noWrap/>
            <w:vAlign w:val="center"/>
          </w:tcPr>
          <w:p w14:paraId="6BB679BA">
            <w:pPr>
              <w:pStyle w:val="45"/>
              <w:bidi w:val="0"/>
              <w:rPr>
                <w:rFonts w:hint="default"/>
                <w:b w:val="0"/>
                <w:bCs/>
                <w:color w:val="auto"/>
                <w:highlight w:val="none"/>
              </w:rPr>
            </w:pPr>
            <w:r>
              <w:rPr>
                <w:rFonts w:hint="default"/>
                <w:b w:val="0"/>
                <w:bCs/>
                <w:color w:val="auto"/>
                <w:highlight w:val="none"/>
                <w:lang w:val="en-US" w:eastAsia="zh-CN"/>
              </w:rPr>
              <w:t xml:space="preserve">0.42 </w:t>
            </w:r>
          </w:p>
        </w:tc>
        <w:tc>
          <w:tcPr>
            <w:tcW w:w="250" w:type="pct"/>
            <w:tcBorders>
              <w:tl2br w:val="nil"/>
              <w:tr2bl w:val="nil"/>
            </w:tcBorders>
            <w:noWrap/>
            <w:vAlign w:val="center"/>
          </w:tcPr>
          <w:p w14:paraId="5AC88682">
            <w:pPr>
              <w:pStyle w:val="45"/>
              <w:bidi w:val="0"/>
              <w:rPr>
                <w:b w:val="0"/>
                <w:bCs/>
                <w:color w:val="auto"/>
                <w:highlight w:val="none"/>
              </w:rPr>
            </w:pPr>
            <w:r>
              <w:rPr>
                <w:rFonts w:hint="default"/>
                <w:b w:val="0"/>
                <w:bCs/>
                <w:color w:val="auto"/>
                <w:highlight w:val="none"/>
                <w:lang w:val="en-US" w:eastAsia="zh-CN"/>
              </w:rPr>
              <w:t xml:space="preserve">0.02 </w:t>
            </w:r>
          </w:p>
        </w:tc>
        <w:tc>
          <w:tcPr>
            <w:tcW w:w="274" w:type="pct"/>
            <w:tcBorders>
              <w:tl2br w:val="nil"/>
              <w:tr2bl w:val="nil"/>
            </w:tcBorders>
            <w:noWrap/>
            <w:vAlign w:val="center"/>
          </w:tcPr>
          <w:p w14:paraId="6DCBF502">
            <w:pPr>
              <w:pStyle w:val="45"/>
              <w:bidi w:val="0"/>
              <w:rPr>
                <w:b w:val="0"/>
                <w:bCs/>
                <w:color w:val="auto"/>
                <w:highlight w:val="none"/>
              </w:rPr>
            </w:pPr>
            <w:r>
              <w:rPr>
                <w:rFonts w:hint="default"/>
                <w:b w:val="0"/>
                <w:bCs/>
                <w:color w:val="auto"/>
                <w:highlight w:val="none"/>
                <w:lang w:val="en-US" w:eastAsia="zh-CN"/>
              </w:rPr>
              <w:t xml:space="preserve">0.02 </w:t>
            </w:r>
          </w:p>
        </w:tc>
        <w:tc>
          <w:tcPr>
            <w:tcW w:w="371" w:type="pct"/>
            <w:tcBorders>
              <w:tl2br w:val="nil"/>
              <w:tr2bl w:val="nil"/>
            </w:tcBorders>
            <w:noWrap/>
            <w:vAlign w:val="center"/>
          </w:tcPr>
          <w:p w14:paraId="32D6EB72">
            <w:pPr>
              <w:pStyle w:val="45"/>
              <w:bidi w:val="0"/>
              <w:rPr>
                <w:rFonts w:hint="default"/>
                <w:b w:val="0"/>
                <w:bCs/>
                <w:color w:val="auto"/>
                <w:highlight w:val="none"/>
              </w:rPr>
            </w:pPr>
            <w:r>
              <w:rPr>
                <w:rFonts w:hint="default"/>
                <w:b w:val="0"/>
                <w:bCs/>
                <w:color w:val="auto"/>
                <w:highlight w:val="none"/>
                <w:lang w:val="en-US" w:eastAsia="zh-CN"/>
              </w:rPr>
              <w:t xml:space="preserve">0.00 </w:t>
            </w:r>
          </w:p>
        </w:tc>
        <w:tc>
          <w:tcPr>
            <w:tcW w:w="289" w:type="pct"/>
            <w:tcBorders>
              <w:tl2br w:val="nil"/>
              <w:tr2bl w:val="nil"/>
            </w:tcBorders>
            <w:noWrap/>
            <w:vAlign w:val="center"/>
          </w:tcPr>
          <w:p w14:paraId="6499F3F4">
            <w:pPr>
              <w:pStyle w:val="45"/>
              <w:bidi w:val="0"/>
              <w:rPr>
                <w:b w:val="0"/>
                <w:bCs/>
                <w:color w:val="auto"/>
                <w:highlight w:val="none"/>
              </w:rPr>
            </w:pPr>
            <w:r>
              <w:rPr>
                <w:rFonts w:hint="default"/>
                <w:b w:val="0"/>
                <w:bCs/>
                <w:color w:val="auto"/>
                <w:highlight w:val="none"/>
                <w:lang w:val="en-US" w:eastAsia="zh-CN"/>
              </w:rPr>
              <w:t xml:space="preserve">0.02 </w:t>
            </w:r>
          </w:p>
        </w:tc>
        <w:tc>
          <w:tcPr>
            <w:tcW w:w="276" w:type="pct"/>
            <w:tcBorders>
              <w:tl2br w:val="nil"/>
              <w:tr2bl w:val="nil"/>
            </w:tcBorders>
            <w:noWrap/>
            <w:vAlign w:val="center"/>
          </w:tcPr>
          <w:p w14:paraId="494CEF97">
            <w:pPr>
              <w:pStyle w:val="45"/>
              <w:bidi w:val="0"/>
              <w:rPr>
                <w:b w:val="0"/>
                <w:bCs/>
                <w:color w:val="auto"/>
                <w:highlight w:val="none"/>
              </w:rPr>
            </w:pPr>
          </w:p>
        </w:tc>
        <w:tc>
          <w:tcPr>
            <w:tcW w:w="259" w:type="pct"/>
            <w:tcBorders>
              <w:tl2br w:val="nil"/>
              <w:tr2bl w:val="nil"/>
            </w:tcBorders>
            <w:noWrap/>
            <w:vAlign w:val="center"/>
          </w:tcPr>
          <w:p w14:paraId="35B5802C">
            <w:pPr>
              <w:pStyle w:val="45"/>
              <w:bidi w:val="0"/>
              <w:rPr>
                <w:b w:val="0"/>
                <w:bCs/>
                <w:color w:val="auto"/>
                <w:highlight w:val="none"/>
              </w:rPr>
            </w:pPr>
          </w:p>
        </w:tc>
        <w:tc>
          <w:tcPr>
            <w:tcW w:w="346" w:type="pct"/>
            <w:tcBorders>
              <w:tl2br w:val="nil"/>
              <w:tr2bl w:val="nil"/>
            </w:tcBorders>
            <w:noWrap/>
            <w:vAlign w:val="center"/>
          </w:tcPr>
          <w:p w14:paraId="1A686CD9">
            <w:pPr>
              <w:pStyle w:val="45"/>
              <w:bidi w:val="0"/>
              <w:rPr>
                <w:b w:val="0"/>
                <w:bCs/>
                <w:color w:val="auto"/>
                <w:highlight w:val="none"/>
              </w:rPr>
            </w:pPr>
            <w:r>
              <w:rPr>
                <w:rFonts w:hint="default"/>
                <w:b w:val="0"/>
                <w:bCs/>
                <w:color w:val="auto"/>
                <w:highlight w:val="none"/>
                <w:lang w:val="en-US" w:eastAsia="zh-CN"/>
              </w:rPr>
              <w:t xml:space="preserve">0.42 </w:t>
            </w:r>
          </w:p>
        </w:tc>
        <w:tc>
          <w:tcPr>
            <w:tcW w:w="589" w:type="pct"/>
            <w:tcBorders>
              <w:tl2br w:val="nil"/>
              <w:tr2bl w:val="nil"/>
            </w:tcBorders>
            <w:noWrap/>
            <w:vAlign w:val="center"/>
          </w:tcPr>
          <w:p w14:paraId="5BDB4E7C">
            <w:pPr>
              <w:pStyle w:val="45"/>
              <w:bidi w:val="0"/>
              <w:rPr>
                <w:b w:val="0"/>
                <w:bCs/>
                <w:color w:val="auto"/>
                <w:highlight w:val="none"/>
              </w:rPr>
            </w:pPr>
            <w:r>
              <w:rPr>
                <w:rFonts w:hint="default"/>
                <w:b w:val="0"/>
                <w:bCs/>
                <w:color w:val="auto"/>
                <w:highlight w:val="none"/>
                <w:lang w:val="en-US" w:eastAsia="zh-CN"/>
              </w:rPr>
              <w:t>Z2</w:t>
            </w:r>
          </w:p>
        </w:tc>
      </w:tr>
      <w:tr w14:paraId="70B946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3D411CFF">
            <w:pPr>
              <w:pStyle w:val="45"/>
              <w:bidi w:val="0"/>
              <w:rPr>
                <w:b w:val="0"/>
                <w:bCs/>
                <w:color w:val="auto"/>
                <w:highlight w:val="none"/>
              </w:rPr>
            </w:pPr>
          </w:p>
        </w:tc>
        <w:tc>
          <w:tcPr>
            <w:tcW w:w="921" w:type="pct"/>
            <w:tcBorders>
              <w:tl2br w:val="nil"/>
              <w:tr2bl w:val="nil"/>
            </w:tcBorders>
            <w:noWrap/>
            <w:vAlign w:val="center"/>
          </w:tcPr>
          <w:p w14:paraId="359B602A">
            <w:pPr>
              <w:pStyle w:val="45"/>
              <w:bidi w:val="0"/>
              <w:rPr>
                <w:b w:val="0"/>
                <w:bCs/>
                <w:color w:val="auto"/>
                <w:highlight w:val="none"/>
              </w:rPr>
            </w:pPr>
            <w:r>
              <w:rPr>
                <w:b w:val="0"/>
                <w:bCs/>
                <w:color w:val="auto"/>
                <w:highlight w:val="none"/>
              </w:rPr>
              <w:t>2-3#/3</w:t>
            </w:r>
            <w:r>
              <w:rPr>
                <w:rFonts w:hint="default"/>
                <w:b w:val="0"/>
                <w:bCs/>
                <w:color w:val="auto"/>
                <w:highlight w:val="none"/>
              </w:rPr>
              <w:t>号风机道路</w:t>
            </w:r>
          </w:p>
        </w:tc>
        <w:tc>
          <w:tcPr>
            <w:tcW w:w="293" w:type="pct"/>
            <w:tcBorders>
              <w:tl2br w:val="nil"/>
              <w:tr2bl w:val="nil"/>
            </w:tcBorders>
            <w:noWrap/>
            <w:vAlign w:val="center"/>
          </w:tcPr>
          <w:p w14:paraId="3F572921">
            <w:pPr>
              <w:pStyle w:val="45"/>
              <w:bidi w:val="0"/>
              <w:rPr>
                <w:b w:val="0"/>
                <w:bCs/>
                <w:color w:val="auto"/>
                <w:highlight w:val="none"/>
              </w:rPr>
            </w:pPr>
            <w:r>
              <w:rPr>
                <w:rFonts w:hint="default"/>
                <w:b w:val="0"/>
                <w:bCs/>
                <w:color w:val="auto"/>
                <w:highlight w:val="none"/>
                <w:lang w:val="en-US" w:eastAsia="zh-CN"/>
              </w:rPr>
              <w:t xml:space="preserve">0.26 </w:t>
            </w:r>
          </w:p>
        </w:tc>
        <w:tc>
          <w:tcPr>
            <w:tcW w:w="331" w:type="pct"/>
            <w:tcBorders>
              <w:tl2br w:val="nil"/>
              <w:tr2bl w:val="nil"/>
            </w:tcBorders>
            <w:noWrap/>
            <w:vAlign w:val="center"/>
          </w:tcPr>
          <w:p w14:paraId="7653AD8C">
            <w:pPr>
              <w:pStyle w:val="45"/>
              <w:bidi w:val="0"/>
              <w:rPr>
                <w:rFonts w:hint="default"/>
                <w:b w:val="0"/>
                <w:bCs/>
                <w:color w:val="auto"/>
                <w:highlight w:val="none"/>
              </w:rPr>
            </w:pPr>
            <w:r>
              <w:rPr>
                <w:rFonts w:hint="default"/>
                <w:b w:val="0"/>
                <w:bCs/>
                <w:color w:val="auto"/>
                <w:highlight w:val="none"/>
                <w:lang w:val="en-US" w:eastAsia="zh-CN"/>
              </w:rPr>
              <w:t xml:space="preserve">0.25 </w:t>
            </w:r>
          </w:p>
        </w:tc>
        <w:tc>
          <w:tcPr>
            <w:tcW w:w="250" w:type="pct"/>
            <w:tcBorders>
              <w:tl2br w:val="nil"/>
              <w:tr2bl w:val="nil"/>
            </w:tcBorders>
            <w:noWrap/>
            <w:vAlign w:val="center"/>
          </w:tcPr>
          <w:p w14:paraId="60093CEF">
            <w:pPr>
              <w:pStyle w:val="45"/>
              <w:bidi w:val="0"/>
              <w:rPr>
                <w:b w:val="0"/>
                <w:bCs/>
                <w:color w:val="auto"/>
                <w:highlight w:val="none"/>
              </w:rPr>
            </w:pPr>
            <w:r>
              <w:rPr>
                <w:rFonts w:hint="default"/>
                <w:b w:val="0"/>
                <w:bCs/>
                <w:color w:val="auto"/>
                <w:highlight w:val="none"/>
                <w:lang w:val="en-US" w:eastAsia="zh-CN"/>
              </w:rPr>
              <w:t xml:space="preserve">0.01 </w:t>
            </w:r>
          </w:p>
        </w:tc>
        <w:tc>
          <w:tcPr>
            <w:tcW w:w="274" w:type="pct"/>
            <w:tcBorders>
              <w:tl2br w:val="nil"/>
              <w:tr2bl w:val="nil"/>
            </w:tcBorders>
            <w:noWrap/>
            <w:vAlign w:val="center"/>
          </w:tcPr>
          <w:p w14:paraId="793AB0AD">
            <w:pPr>
              <w:pStyle w:val="45"/>
              <w:bidi w:val="0"/>
              <w:rPr>
                <w:b w:val="0"/>
                <w:bCs/>
                <w:color w:val="auto"/>
                <w:highlight w:val="none"/>
              </w:rPr>
            </w:pPr>
            <w:r>
              <w:rPr>
                <w:rFonts w:hint="default"/>
                <w:b w:val="0"/>
                <w:bCs/>
                <w:color w:val="auto"/>
                <w:highlight w:val="none"/>
                <w:lang w:val="en-US" w:eastAsia="zh-CN"/>
              </w:rPr>
              <w:t xml:space="preserve">0.06 </w:t>
            </w:r>
          </w:p>
        </w:tc>
        <w:tc>
          <w:tcPr>
            <w:tcW w:w="371" w:type="pct"/>
            <w:tcBorders>
              <w:tl2br w:val="nil"/>
              <w:tr2bl w:val="nil"/>
            </w:tcBorders>
            <w:noWrap/>
            <w:vAlign w:val="center"/>
          </w:tcPr>
          <w:p w14:paraId="3CC6E98D">
            <w:pPr>
              <w:pStyle w:val="45"/>
              <w:bidi w:val="0"/>
              <w:rPr>
                <w:rFonts w:hint="default"/>
                <w:b w:val="0"/>
                <w:bCs/>
                <w:color w:val="auto"/>
                <w:highlight w:val="none"/>
              </w:rPr>
            </w:pPr>
            <w:r>
              <w:rPr>
                <w:rFonts w:hint="default"/>
                <w:b w:val="0"/>
                <w:bCs/>
                <w:color w:val="auto"/>
                <w:highlight w:val="none"/>
                <w:lang w:val="en-US" w:eastAsia="zh-CN"/>
              </w:rPr>
              <w:t xml:space="preserve">0.05 </w:t>
            </w:r>
          </w:p>
        </w:tc>
        <w:tc>
          <w:tcPr>
            <w:tcW w:w="289" w:type="pct"/>
            <w:tcBorders>
              <w:tl2br w:val="nil"/>
              <w:tr2bl w:val="nil"/>
            </w:tcBorders>
            <w:noWrap/>
            <w:vAlign w:val="center"/>
          </w:tcPr>
          <w:p w14:paraId="5BED4E57">
            <w:pPr>
              <w:pStyle w:val="45"/>
              <w:bidi w:val="0"/>
              <w:rPr>
                <w:b w:val="0"/>
                <w:bCs/>
                <w:color w:val="auto"/>
                <w:highlight w:val="none"/>
              </w:rPr>
            </w:pPr>
            <w:r>
              <w:rPr>
                <w:rFonts w:hint="default"/>
                <w:b w:val="0"/>
                <w:bCs/>
                <w:color w:val="auto"/>
                <w:highlight w:val="none"/>
                <w:lang w:val="en-US" w:eastAsia="zh-CN"/>
              </w:rPr>
              <w:t xml:space="preserve">0.01 </w:t>
            </w:r>
          </w:p>
        </w:tc>
        <w:tc>
          <w:tcPr>
            <w:tcW w:w="276" w:type="pct"/>
            <w:tcBorders>
              <w:tl2br w:val="nil"/>
              <w:tr2bl w:val="nil"/>
            </w:tcBorders>
            <w:noWrap/>
            <w:vAlign w:val="center"/>
          </w:tcPr>
          <w:p w14:paraId="3FFDFD78">
            <w:pPr>
              <w:pStyle w:val="45"/>
              <w:bidi w:val="0"/>
              <w:rPr>
                <w:b w:val="0"/>
                <w:bCs/>
                <w:color w:val="auto"/>
                <w:highlight w:val="none"/>
              </w:rPr>
            </w:pPr>
          </w:p>
        </w:tc>
        <w:tc>
          <w:tcPr>
            <w:tcW w:w="259" w:type="pct"/>
            <w:tcBorders>
              <w:tl2br w:val="nil"/>
              <w:tr2bl w:val="nil"/>
            </w:tcBorders>
            <w:noWrap/>
            <w:vAlign w:val="center"/>
          </w:tcPr>
          <w:p w14:paraId="6F28D6C1">
            <w:pPr>
              <w:pStyle w:val="45"/>
              <w:bidi w:val="0"/>
              <w:rPr>
                <w:b w:val="0"/>
                <w:bCs/>
                <w:color w:val="auto"/>
                <w:highlight w:val="none"/>
              </w:rPr>
            </w:pPr>
          </w:p>
        </w:tc>
        <w:tc>
          <w:tcPr>
            <w:tcW w:w="346" w:type="pct"/>
            <w:tcBorders>
              <w:tl2br w:val="nil"/>
              <w:tr2bl w:val="nil"/>
            </w:tcBorders>
            <w:noWrap/>
            <w:vAlign w:val="center"/>
          </w:tcPr>
          <w:p w14:paraId="30655A79">
            <w:pPr>
              <w:pStyle w:val="45"/>
              <w:bidi w:val="0"/>
              <w:rPr>
                <w:b w:val="0"/>
                <w:bCs/>
                <w:color w:val="auto"/>
                <w:highlight w:val="none"/>
              </w:rPr>
            </w:pPr>
            <w:r>
              <w:rPr>
                <w:rFonts w:hint="default"/>
                <w:b w:val="0"/>
                <w:bCs/>
                <w:color w:val="auto"/>
                <w:highlight w:val="none"/>
                <w:lang w:val="en-US" w:eastAsia="zh-CN"/>
              </w:rPr>
              <w:t xml:space="preserve">0.20 </w:t>
            </w:r>
          </w:p>
        </w:tc>
        <w:tc>
          <w:tcPr>
            <w:tcW w:w="589" w:type="pct"/>
            <w:tcBorders>
              <w:tl2br w:val="nil"/>
              <w:tr2bl w:val="nil"/>
            </w:tcBorders>
            <w:noWrap/>
            <w:vAlign w:val="center"/>
          </w:tcPr>
          <w:p w14:paraId="033EC35B">
            <w:pPr>
              <w:pStyle w:val="45"/>
              <w:bidi w:val="0"/>
              <w:rPr>
                <w:b w:val="0"/>
                <w:bCs/>
                <w:color w:val="auto"/>
                <w:highlight w:val="none"/>
              </w:rPr>
            </w:pPr>
            <w:r>
              <w:rPr>
                <w:rFonts w:hint="default"/>
                <w:b w:val="0"/>
                <w:bCs/>
                <w:color w:val="auto"/>
                <w:highlight w:val="none"/>
                <w:lang w:val="en-US" w:eastAsia="zh-CN"/>
              </w:rPr>
              <w:t>Z3</w:t>
            </w:r>
          </w:p>
        </w:tc>
      </w:tr>
      <w:tr w14:paraId="2E0506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1F0B9E01">
            <w:pPr>
              <w:pStyle w:val="45"/>
              <w:bidi w:val="0"/>
              <w:rPr>
                <w:b w:val="0"/>
                <w:bCs/>
                <w:color w:val="auto"/>
                <w:highlight w:val="none"/>
              </w:rPr>
            </w:pPr>
          </w:p>
        </w:tc>
        <w:tc>
          <w:tcPr>
            <w:tcW w:w="921" w:type="pct"/>
            <w:tcBorders>
              <w:tl2br w:val="nil"/>
              <w:tr2bl w:val="nil"/>
            </w:tcBorders>
            <w:noWrap/>
            <w:vAlign w:val="center"/>
          </w:tcPr>
          <w:p w14:paraId="2932D441">
            <w:pPr>
              <w:pStyle w:val="45"/>
              <w:bidi w:val="0"/>
              <w:rPr>
                <w:b w:val="0"/>
                <w:bCs/>
                <w:color w:val="auto"/>
                <w:highlight w:val="none"/>
              </w:rPr>
            </w:pPr>
            <w:r>
              <w:rPr>
                <w:b w:val="0"/>
                <w:bCs/>
                <w:color w:val="auto"/>
                <w:highlight w:val="none"/>
              </w:rPr>
              <w:t>2-4#/5</w:t>
            </w:r>
            <w:r>
              <w:rPr>
                <w:rFonts w:hint="default"/>
                <w:b w:val="0"/>
                <w:bCs/>
                <w:color w:val="auto"/>
                <w:highlight w:val="none"/>
              </w:rPr>
              <w:t>号风机道路</w:t>
            </w:r>
          </w:p>
        </w:tc>
        <w:tc>
          <w:tcPr>
            <w:tcW w:w="293" w:type="pct"/>
            <w:tcBorders>
              <w:tl2br w:val="nil"/>
              <w:tr2bl w:val="nil"/>
            </w:tcBorders>
            <w:noWrap/>
            <w:vAlign w:val="center"/>
          </w:tcPr>
          <w:p w14:paraId="400D6912">
            <w:pPr>
              <w:pStyle w:val="45"/>
              <w:bidi w:val="0"/>
              <w:rPr>
                <w:b w:val="0"/>
                <w:bCs/>
                <w:color w:val="auto"/>
                <w:highlight w:val="none"/>
              </w:rPr>
            </w:pPr>
            <w:r>
              <w:rPr>
                <w:rFonts w:hint="default"/>
                <w:b w:val="0"/>
                <w:bCs/>
                <w:color w:val="auto"/>
                <w:highlight w:val="none"/>
                <w:lang w:val="en-US" w:eastAsia="zh-CN"/>
              </w:rPr>
              <w:t xml:space="preserve">2.33 </w:t>
            </w:r>
          </w:p>
        </w:tc>
        <w:tc>
          <w:tcPr>
            <w:tcW w:w="331" w:type="pct"/>
            <w:tcBorders>
              <w:tl2br w:val="nil"/>
              <w:tr2bl w:val="nil"/>
            </w:tcBorders>
            <w:noWrap/>
            <w:vAlign w:val="center"/>
          </w:tcPr>
          <w:p w14:paraId="0521BDA6">
            <w:pPr>
              <w:pStyle w:val="45"/>
              <w:bidi w:val="0"/>
              <w:rPr>
                <w:rFonts w:hint="default"/>
                <w:b w:val="0"/>
                <w:bCs/>
                <w:color w:val="auto"/>
                <w:highlight w:val="none"/>
              </w:rPr>
            </w:pPr>
            <w:r>
              <w:rPr>
                <w:rFonts w:hint="default"/>
                <w:b w:val="0"/>
                <w:bCs/>
                <w:color w:val="auto"/>
                <w:highlight w:val="none"/>
                <w:lang w:val="en-US" w:eastAsia="zh-CN"/>
              </w:rPr>
              <w:t xml:space="preserve">2.21 </w:t>
            </w:r>
          </w:p>
        </w:tc>
        <w:tc>
          <w:tcPr>
            <w:tcW w:w="250" w:type="pct"/>
            <w:tcBorders>
              <w:tl2br w:val="nil"/>
              <w:tr2bl w:val="nil"/>
            </w:tcBorders>
            <w:noWrap/>
            <w:vAlign w:val="center"/>
          </w:tcPr>
          <w:p w14:paraId="103D9402">
            <w:pPr>
              <w:pStyle w:val="45"/>
              <w:bidi w:val="0"/>
              <w:rPr>
                <w:b w:val="0"/>
                <w:bCs/>
                <w:color w:val="auto"/>
                <w:highlight w:val="none"/>
              </w:rPr>
            </w:pPr>
            <w:r>
              <w:rPr>
                <w:rFonts w:hint="default"/>
                <w:b w:val="0"/>
                <w:bCs/>
                <w:color w:val="auto"/>
                <w:highlight w:val="none"/>
                <w:lang w:val="en-US" w:eastAsia="zh-CN"/>
              </w:rPr>
              <w:t xml:space="preserve">0.12 </w:t>
            </w:r>
          </w:p>
        </w:tc>
        <w:tc>
          <w:tcPr>
            <w:tcW w:w="274" w:type="pct"/>
            <w:tcBorders>
              <w:tl2br w:val="nil"/>
              <w:tr2bl w:val="nil"/>
            </w:tcBorders>
            <w:noWrap/>
            <w:vAlign w:val="center"/>
          </w:tcPr>
          <w:p w14:paraId="52B975C2">
            <w:pPr>
              <w:pStyle w:val="45"/>
              <w:bidi w:val="0"/>
              <w:rPr>
                <w:b w:val="0"/>
                <w:bCs/>
                <w:color w:val="auto"/>
                <w:highlight w:val="none"/>
              </w:rPr>
            </w:pPr>
            <w:r>
              <w:rPr>
                <w:rFonts w:hint="default"/>
                <w:b w:val="0"/>
                <w:bCs/>
                <w:color w:val="auto"/>
                <w:highlight w:val="none"/>
                <w:lang w:val="en-US" w:eastAsia="zh-CN"/>
              </w:rPr>
              <w:t xml:space="preserve">3.11 </w:t>
            </w:r>
          </w:p>
        </w:tc>
        <w:tc>
          <w:tcPr>
            <w:tcW w:w="371" w:type="pct"/>
            <w:tcBorders>
              <w:tl2br w:val="nil"/>
              <w:tr2bl w:val="nil"/>
            </w:tcBorders>
            <w:noWrap/>
            <w:vAlign w:val="center"/>
          </w:tcPr>
          <w:p w14:paraId="5B35BA7B">
            <w:pPr>
              <w:pStyle w:val="45"/>
              <w:bidi w:val="0"/>
              <w:rPr>
                <w:rFonts w:hint="default"/>
                <w:b w:val="0"/>
                <w:bCs/>
                <w:color w:val="auto"/>
                <w:highlight w:val="none"/>
              </w:rPr>
            </w:pPr>
            <w:r>
              <w:rPr>
                <w:rFonts w:hint="default"/>
                <w:b w:val="0"/>
                <w:bCs/>
                <w:color w:val="auto"/>
                <w:highlight w:val="none"/>
                <w:lang w:val="en-US" w:eastAsia="zh-CN"/>
              </w:rPr>
              <w:t xml:space="preserve">2.99 </w:t>
            </w:r>
          </w:p>
        </w:tc>
        <w:tc>
          <w:tcPr>
            <w:tcW w:w="289" w:type="pct"/>
            <w:tcBorders>
              <w:tl2br w:val="nil"/>
              <w:tr2bl w:val="nil"/>
            </w:tcBorders>
            <w:noWrap/>
            <w:vAlign w:val="center"/>
          </w:tcPr>
          <w:p w14:paraId="78D5D8EE">
            <w:pPr>
              <w:pStyle w:val="45"/>
              <w:bidi w:val="0"/>
              <w:rPr>
                <w:b w:val="0"/>
                <w:bCs/>
                <w:color w:val="auto"/>
                <w:highlight w:val="none"/>
              </w:rPr>
            </w:pPr>
            <w:r>
              <w:rPr>
                <w:rFonts w:hint="default"/>
                <w:b w:val="0"/>
                <w:bCs/>
                <w:color w:val="auto"/>
                <w:highlight w:val="none"/>
                <w:lang w:val="en-US" w:eastAsia="zh-CN"/>
              </w:rPr>
              <w:t xml:space="preserve">0.12 </w:t>
            </w:r>
          </w:p>
        </w:tc>
        <w:tc>
          <w:tcPr>
            <w:tcW w:w="276" w:type="pct"/>
            <w:tcBorders>
              <w:tl2br w:val="nil"/>
              <w:tr2bl w:val="nil"/>
            </w:tcBorders>
            <w:noWrap/>
            <w:vAlign w:val="center"/>
          </w:tcPr>
          <w:p w14:paraId="2C1363A9">
            <w:pPr>
              <w:pStyle w:val="45"/>
              <w:bidi w:val="0"/>
              <w:rPr>
                <w:b w:val="0"/>
                <w:bCs/>
                <w:color w:val="auto"/>
                <w:highlight w:val="none"/>
              </w:rPr>
            </w:pPr>
          </w:p>
        </w:tc>
        <w:tc>
          <w:tcPr>
            <w:tcW w:w="259" w:type="pct"/>
            <w:tcBorders>
              <w:tl2br w:val="nil"/>
              <w:tr2bl w:val="nil"/>
            </w:tcBorders>
            <w:noWrap/>
            <w:vAlign w:val="center"/>
          </w:tcPr>
          <w:p w14:paraId="6904610E">
            <w:pPr>
              <w:pStyle w:val="45"/>
              <w:bidi w:val="0"/>
              <w:rPr>
                <w:b w:val="0"/>
                <w:bCs/>
                <w:color w:val="auto"/>
                <w:highlight w:val="none"/>
              </w:rPr>
            </w:pPr>
            <w:r>
              <w:rPr>
                <w:rFonts w:hint="default"/>
                <w:b w:val="0"/>
                <w:bCs/>
                <w:color w:val="auto"/>
                <w:highlight w:val="none"/>
                <w:lang w:val="en-US" w:eastAsia="zh-CN"/>
              </w:rPr>
              <w:t xml:space="preserve">0.78 </w:t>
            </w:r>
          </w:p>
        </w:tc>
        <w:tc>
          <w:tcPr>
            <w:tcW w:w="346" w:type="pct"/>
            <w:tcBorders>
              <w:tl2br w:val="nil"/>
              <w:tr2bl w:val="nil"/>
            </w:tcBorders>
            <w:noWrap/>
            <w:vAlign w:val="center"/>
          </w:tcPr>
          <w:p w14:paraId="1326E24C">
            <w:pPr>
              <w:pStyle w:val="45"/>
              <w:bidi w:val="0"/>
              <w:rPr>
                <w:b w:val="0"/>
                <w:bCs/>
                <w:color w:val="auto"/>
                <w:highlight w:val="none"/>
              </w:rPr>
            </w:pPr>
          </w:p>
        </w:tc>
        <w:tc>
          <w:tcPr>
            <w:tcW w:w="589" w:type="pct"/>
            <w:tcBorders>
              <w:tl2br w:val="nil"/>
              <w:tr2bl w:val="nil"/>
            </w:tcBorders>
            <w:noWrap/>
            <w:vAlign w:val="center"/>
          </w:tcPr>
          <w:p w14:paraId="38AC31AB">
            <w:pPr>
              <w:pStyle w:val="45"/>
              <w:bidi w:val="0"/>
              <w:rPr>
                <w:b w:val="0"/>
                <w:bCs/>
                <w:color w:val="auto"/>
                <w:highlight w:val="none"/>
              </w:rPr>
            </w:pPr>
            <w:r>
              <w:rPr>
                <w:rFonts w:hint="default"/>
                <w:b w:val="0"/>
                <w:bCs/>
                <w:color w:val="auto"/>
                <w:highlight w:val="none"/>
                <w:lang w:val="en-US" w:eastAsia="zh-CN"/>
              </w:rPr>
              <w:t>Z4</w:t>
            </w:r>
          </w:p>
        </w:tc>
      </w:tr>
      <w:tr w14:paraId="555076C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46FD2169">
            <w:pPr>
              <w:pStyle w:val="45"/>
              <w:bidi w:val="0"/>
              <w:rPr>
                <w:b w:val="0"/>
                <w:bCs/>
                <w:color w:val="auto"/>
                <w:highlight w:val="none"/>
              </w:rPr>
            </w:pPr>
          </w:p>
        </w:tc>
        <w:tc>
          <w:tcPr>
            <w:tcW w:w="921" w:type="pct"/>
            <w:tcBorders>
              <w:tl2br w:val="nil"/>
              <w:tr2bl w:val="nil"/>
            </w:tcBorders>
            <w:noWrap/>
            <w:vAlign w:val="center"/>
          </w:tcPr>
          <w:p w14:paraId="430233EE">
            <w:pPr>
              <w:pStyle w:val="45"/>
              <w:bidi w:val="0"/>
              <w:rPr>
                <w:b w:val="0"/>
                <w:bCs/>
                <w:color w:val="auto"/>
                <w:highlight w:val="none"/>
              </w:rPr>
            </w:pPr>
            <w:r>
              <w:rPr>
                <w:b w:val="0"/>
                <w:bCs/>
                <w:color w:val="auto"/>
                <w:highlight w:val="none"/>
              </w:rPr>
              <w:t>2-5#/20</w:t>
            </w:r>
            <w:r>
              <w:rPr>
                <w:rFonts w:hint="default"/>
                <w:b w:val="0"/>
                <w:bCs/>
                <w:color w:val="auto"/>
                <w:highlight w:val="none"/>
              </w:rPr>
              <w:t>号风机道路</w:t>
            </w:r>
          </w:p>
        </w:tc>
        <w:tc>
          <w:tcPr>
            <w:tcW w:w="293" w:type="pct"/>
            <w:tcBorders>
              <w:tl2br w:val="nil"/>
              <w:tr2bl w:val="nil"/>
            </w:tcBorders>
            <w:noWrap/>
            <w:vAlign w:val="center"/>
          </w:tcPr>
          <w:p w14:paraId="729B42C3">
            <w:pPr>
              <w:pStyle w:val="45"/>
              <w:bidi w:val="0"/>
              <w:rPr>
                <w:b w:val="0"/>
                <w:bCs/>
                <w:color w:val="auto"/>
                <w:highlight w:val="none"/>
              </w:rPr>
            </w:pPr>
            <w:r>
              <w:rPr>
                <w:rFonts w:hint="default"/>
                <w:b w:val="0"/>
                <w:bCs/>
                <w:color w:val="auto"/>
                <w:highlight w:val="none"/>
                <w:lang w:val="en-US" w:eastAsia="zh-CN"/>
              </w:rPr>
              <w:t xml:space="preserve">2.88 </w:t>
            </w:r>
          </w:p>
        </w:tc>
        <w:tc>
          <w:tcPr>
            <w:tcW w:w="331" w:type="pct"/>
            <w:tcBorders>
              <w:tl2br w:val="nil"/>
              <w:tr2bl w:val="nil"/>
            </w:tcBorders>
            <w:noWrap/>
            <w:vAlign w:val="center"/>
          </w:tcPr>
          <w:p w14:paraId="2741DFEC">
            <w:pPr>
              <w:pStyle w:val="45"/>
              <w:bidi w:val="0"/>
              <w:rPr>
                <w:rFonts w:hint="default"/>
                <w:b w:val="0"/>
                <w:bCs/>
                <w:color w:val="auto"/>
                <w:highlight w:val="none"/>
              </w:rPr>
            </w:pPr>
            <w:r>
              <w:rPr>
                <w:rFonts w:hint="default"/>
                <w:b w:val="0"/>
                <w:bCs/>
                <w:color w:val="auto"/>
                <w:highlight w:val="none"/>
                <w:lang w:val="en-US" w:eastAsia="zh-CN"/>
              </w:rPr>
              <w:t xml:space="preserve">2.73 </w:t>
            </w:r>
          </w:p>
        </w:tc>
        <w:tc>
          <w:tcPr>
            <w:tcW w:w="250" w:type="pct"/>
            <w:tcBorders>
              <w:tl2br w:val="nil"/>
              <w:tr2bl w:val="nil"/>
            </w:tcBorders>
            <w:noWrap/>
            <w:vAlign w:val="center"/>
          </w:tcPr>
          <w:p w14:paraId="0E3A0310">
            <w:pPr>
              <w:pStyle w:val="45"/>
              <w:bidi w:val="0"/>
              <w:rPr>
                <w:b w:val="0"/>
                <w:bCs/>
                <w:color w:val="auto"/>
                <w:highlight w:val="none"/>
              </w:rPr>
            </w:pPr>
            <w:r>
              <w:rPr>
                <w:rFonts w:hint="default"/>
                <w:b w:val="0"/>
                <w:bCs/>
                <w:color w:val="auto"/>
                <w:highlight w:val="none"/>
                <w:lang w:val="en-US" w:eastAsia="zh-CN"/>
              </w:rPr>
              <w:t xml:space="preserve">0.15 </w:t>
            </w:r>
          </w:p>
        </w:tc>
        <w:tc>
          <w:tcPr>
            <w:tcW w:w="274" w:type="pct"/>
            <w:tcBorders>
              <w:tl2br w:val="nil"/>
              <w:tr2bl w:val="nil"/>
            </w:tcBorders>
            <w:noWrap/>
            <w:vAlign w:val="center"/>
          </w:tcPr>
          <w:p w14:paraId="12A9B076">
            <w:pPr>
              <w:pStyle w:val="45"/>
              <w:bidi w:val="0"/>
              <w:rPr>
                <w:b w:val="0"/>
                <w:bCs/>
                <w:color w:val="auto"/>
                <w:highlight w:val="none"/>
              </w:rPr>
            </w:pPr>
            <w:r>
              <w:rPr>
                <w:rFonts w:hint="default"/>
                <w:b w:val="0"/>
                <w:bCs/>
                <w:color w:val="auto"/>
                <w:highlight w:val="none"/>
                <w:lang w:val="en-US" w:eastAsia="zh-CN"/>
              </w:rPr>
              <w:t xml:space="preserve">1.96 </w:t>
            </w:r>
          </w:p>
        </w:tc>
        <w:tc>
          <w:tcPr>
            <w:tcW w:w="371" w:type="pct"/>
            <w:tcBorders>
              <w:tl2br w:val="nil"/>
              <w:tr2bl w:val="nil"/>
            </w:tcBorders>
            <w:noWrap/>
            <w:vAlign w:val="center"/>
          </w:tcPr>
          <w:p w14:paraId="26986F61">
            <w:pPr>
              <w:pStyle w:val="45"/>
              <w:bidi w:val="0"/>
              <w:rPr>
                <w:rFonts w:hint="default"/>
                <w:b w:val="0"/>
                <w:bCs/>
                <w:color w:val="auto"/>
                <w:highlight w:val="none"/>
              </w:rPr>
            </w:pPr>
            <w:r>
              <w:rPr>
                <w:rFonts w:hint="default"/>
                <w:b w:val="0"/>
                <w:bCs/>
                <w:color w:val="auto"/>
                <w:highlight w:val="none"/>
                <w:lang w:val="en-US" w:eastAsia="zh-CN"/>
              </w:rPr>
              <w:t xml:space="preserve">1.81 </w:t>
            </w:r>
          </w:p>
        </w:tc>
        <w:tc>
          <w:tcPr>
            <w:tcW w:w="289" w:type="pct"/>
            <w:tcBorders>
              <w:tl2br w:val="nil"/>
              <w:tr2bl w:val="nil"/>
            </w:tcBorders>
            <w:noWrap/>
            <w:vAlign w:val="center"/>
          </w:tcPr>
          <w:p w14:paraId="760892EF">
            <w:pPr>
              <w:pStyle w:val="45"/>
              <w:bidi w:val="0"/>
              <w:rPr>
                <w:b w:val="0"/>
                <w:bCs/>
                <w:color w:val="auto"/>
                <w:highlight w:val="none"/>
              </w:rPr>
            </w:pPr>
            <w:r>
              <w:rPr>
                <w:rFonts w:hint="default"/>
                <w:b w:val="0"/>
                <w:bCs/>
                <w:color w:val="auto"/>
                <w:highlight w:val="none"/>
                <w:lang w:val="en-US" w:eastAsia="zh-CN"/>
              </w:rPr>
              <w:t xml:space="preserve">0.15 </w:t>
            </w:r>
          </w:p>
        </w:tc>
        <w:tc>
          <w:tcPr>
            <w:tcW w:w="276" w:type="pct"/>
            <w:tcBorders>
              <w:tl2br w:val="nil"/>
              <w:tr2bl w:val="nil"/>
            </w:tcBorders>
            <w:noWrap/>
            <w:vAlign w:val="center"/>
          </w:tcPr>
          <w:p w14:paraId="4C7B2B83">
            <w:pPr>
              <w:pStyle w:val="45"/>
              <w:bidi w:val="0"/>
              <w:rPr>
                <w:b w:val="0"/>
                <w:bCs/>
                <w:color w:val="auto"/>
                <w:highlight w:val="none"/>
              </w:rPr>
            </w:pPr>
          </w:p>
        </w:tc>
        <w:tc>
          <w:tcPr>
            <w:tcW w:w="259" w:type="pct"/>
            <w:tcBorders>
              <w:tl2br w:val="nil"/>
              <w:tr2bl w:val="nil"/>
            </w:tcBorders>
            <w:noWrap/>
            <w:vAlign w:val="center"/>
          </w:tcPr>
          <w:p w14:paraId="17DDE327">
            <w:pPr>
              <w:pStyle w:val="45"/>
              <w:bidi w:val="0"/>
              <w:rPr>
                <w:b w:val="0"/>
                <w:bCs/>
                <w:color w:val="auto"/>
                <w:highlight w:val="none"/>
              </w:rPr>
            </w:pPr>
          </w:p>
        </w:tc>
        <w:tc>
          <w:tcPr>
            <w:tcW w:w="346" w:type="pct"/>
            <w:tcBorders>
              <w:tl2br w:val="nil"/>
              <w:tr2bl w:val="nil"/>
            </w:tcBorders>
            <w:noWrap/>
            <w:vAlign w:val="center"/>
          </w:tcPr>
          <w:p w14:paraId="5D5D6188">
            <w:pPr>
              <w:pStyle w:val="45"/>
              <w:bidi w:val="0"/>
              <w:rPr>
                <w:b w:val="0"/>
                <w:bCs/>
                <w:color w:val="auto"/>
                <w:highlight w:val="none"/>
              </w:rPr>
            </w:pPr>
            <w:r>
              <w:rPr>
                <w:rFonts w:hint="default"/>
                <w:b w:val="0"/>
                <w:bCs/>
                <w:color w:val="auto"/>
                <w:highlight w:val="none"/>
                <w:lang w:val="en-US" w:eastAsia="zh-CN"/>
              </w:rPr>
              <w:t xml:space="preserve">0.92 </w:t>
            </w:r>
          </w:p>
        </w:tc>
        <w:tc>
          <w:tcPr>
            <w:tcW w:w="589" w:type="pct"/>
            <w:tcBorders>
              <w:tl2br w:val="nil"/>
              <w:tr2bl w:val="nil"/>
            </w:tcBorders>
            <w:noWrap/>
            <w:vAlign w:val="center"/>
          </w:tcPr>
          <w:p w14:paraId="6AC5FF7A">
            <w:pPr>
              <w:pStyle w:val="45"/>
              <w:bidi w:val="0"/>
              <w:rPr>
                <w:b w:val="0"/>
                <w:bCs/>
                <w:color w:val="auto"/>
                <w:highlight w:val="none"/>
              </w:rPr>
            </w:pPr>
            <w:r>
              <w:rPr>
                <w:rFonts w:hint="default"/>
                <w:b w:val="0"/>
                <w:bCs/>
                <w:color w:val="auto"/>
                <w:highlight w:val="none"/>
                <w:lang w:val="en-US" w:eastAsia="zh-CN"/>
              </w:rPr>
              <w:t>Z5</w:t>
            </w:r>
          </w:p>
        </w:tc>
      </w:tr>
      <w:tr w14:paraId="77627C1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68FC6427">
            <w:pPr>
              <w:pStyle w:val="45"/>
              <w:bidi w:val="0"/>
              <w:rPr>
                <w:b w:val="0"/>
                <w:bCs/>
                <w:color w:val="auto"/>
                <w:highlight w:val="none"/>
              </w:rPr>
            </w:pPr>
          </w:p>
        </w:tc>
        <w:tc>
          <w:tcPr>
            <w:tcW w:w="921" w:type="pct"/>
            <w:tcBorders>
              <w:tl2br w:val="nil"/>
              <w:tr2bl w:val="nil"/>
            </w:tcBorders>
            <w:noWrap/>
            <w:vAlign w:val="center"/>
          </w:tcPr>
          <w:p w14:paraId="5E769FF2">
            <w:pPr>
              <w:pStyle w:val="45"/>
              <w:bidi w:val="0"/>
              <w:rPr>
                <w:b w:val="0"/>
                <w:bCs/>
                <w:color w:val="auto"/>
                <w:highlight w:val="none"/>
              </w:rPr>
            </w:pPr>
            <w:r>
              <w:rPr>
                <w:b w:val="0"/>
                <w:bCs/>
                <w:color w:val="auto"/>
                <w:highlight w:val="none"/>
              </w:rPr>
              <w:t>JC1/8-1</w:t>
            </w:r>
            <w:r>
              <w:rPr>
                <w:rFonts w:hint="eastAsia"/>
                <w:b w:val="0"/>
                <w:bCs/>
                <w:color w:val="auto"/>
                <w:highlight w:val="none"/>
                <w:lang w:val="en-US" w:eastAsia="zh-CN"/>
              </w:rPr>
              <w:t>0</w:t>
            </w:r>
            <w:r>
              <w:rPr>
                <w:rFonts w:hint="default"/>
                <w:b w:val="0"/>
                <w:bCs/>
                <w:color w:val="auto"/>
                <w:highlight w:val="none"/>
              </w:rPr>
              <w:t>号风机进场道路</w:t>
            </w:r>
          </w:p>
        </w:tc>
        <w:tc>
          <w:tcPr>
            <w:tcW w:w="293" w:type="pct"/>
            <w:tcBorders>
              <w:tl2br w:val="nil"/>
              <w:tr2bl w:val="nil"/>
            </w:tcBorders>
            <w:noWrap/>
            <w:vAlign w:val="center"/>
          </w:tcPr>
          <w:p w14:paraId="44968B0D">
            <w:pPr>
              <w:pStyle w:val="45"/>
              <w:bidi w:val="0"/>
              <w:rPr>
                <w:b w:val="0"/>
                <w:bCs/>
                <w:color w:val="auto"/>
                <w:highlight w:val="none"/>
              </w:rPr>
            </w:pPr>
            <w:r>
              <w:rPr>
                <w:rFonts w:hint="default"/>
                <w:b w:val="0"/>
                <w:bCs/>
                <w:color w:val="auto"/>
                <w:highlight w:val="none"/>
                <w:lang w:val="en-US" w:eastAsia="zh-CN"/>
              </w:rPr>
              <w:t xml:space="preserve">5.73 </w:t>
            </w:r>
          </w:p>
        </w:tc>
        <w:tc>
          <w:tcPr>
            <w:tcW w:w="331" w:type="pct"/>
            <w:tcBorders>
              <w:tl2br w:val="nil"/>
              <w:tr2bl w:val="nil"/>
            </w:tcBorders>
            <w:noWrap/>
            <w:vAlign w:val="center"/>
          </w:tcPr>
          <w:p w14:paraId="0458CC23">
            <w:pPr>
              <w:pStyle w:val="45"/>
              <w:bidi w:val="0"/>
              <w:rPr>
                <w:rFonts w:hint="default"/>
                <w:b w:val="0"/>
                <w:bCs/>
                <w:color w:val="auto"/>
                <w:highlight w:val="none"/>
              </w:rPr>
            </w:pPr>
            <w:r>
              <w:rPr>
                <w:rFonts w:hint="default"/>
                <w:b w:val="0"/>
                <w:bCs/>
                <w:color w:val="auto"/>
                <w:highlight w:val="none"/>
                <w:lang w:val="en-US" w:eastAsia="zh-CN"/>
              </w:rPr>
              <w:t xml:space="preserve">5.44 </w:t>
            </w:r>
          </w:p>
        </w:tc>
        <w:tc>
          <w:tcPr>
            <w:tcW w:w="250" w:type="pct"/>
            <w:tcBorders>
              <w:tl2br w:val="nil"/>
              <w:tr2bl w:val="nil"/>
            </w:tcBorders>
            <w:noWrap/>
            <w:vAlign w:val="center"/>
          </w:tcPr>
          <w:p w14:paraId="6B79C65A">
            <w:pPr>
              <w:pStyle w:val="45"/>
              <w:bidi w:val="0"/>
              <w:rPr>
                <w:b w:val="0"/>
                <w:bCs/>
                <w:color w:val="auto"/>
                <w:highlight w:val="none"/>
              </w:rPr>
            </w:pPr>
            <w:r>
              <w:rPr>
                <w:rFonts w:hint="default"/>
                <w:b w:val="0"/>
                <w:bCs/>
                <w:color w:val="auto"/>
                <w:highlight w:val="none"/>
                <w:lang w:val="en-US" w:eastAsia="zh-CN"/>
              </w:rPr>
              <w:t xml:space="preserve">0.29 </w:t>
            </w:r>
          </w:p>
        </w:tc>
        <w:tc>
          <w:tcPr>
            <w:tcW w:w="274" w:type="pct"/>
            <w:tcBorders>
              <w:tl2br w:val="nil"/>
              <w:tr2bl w:val="nil"/>
            </w:tcBorders>
            <w:noWrap/>
            <w:vAlign w:val="center"/>
          </w:tcPr>
          <w:p w14:paraId="675213B0">
            <w:pPr>
              <w:pStyle w:val="45"/>
              <w:bidi w:val="0"/>
              <w:rPr>
                <w:b w:val="0"/>
                <w:bCs/>
                <w:color w:val="auto"/>
                <w:highlight w:val="none"/>
              </w:rPr>
            </w:pPr>
            <w:r>
              <w:rPr>
                <w:rFonts w:hint="default"/>
                <w:b w:val="0"/>
                <w:bCs/>
                <w:color w:val="auto"/>
                <w:highlight w:val="none"/>
                <w:lang w:val="en-US" w:eastAsia="zh-CN"/>
              </w:rPr>
              <w:t xml:space="preserve">2.01 </w:t>
            </w:r>
          </w:p>
        </w:tc>
        <w:tc>
          <w:tcPr>
            <w:tcW w:w="371" w:type="pct"/>
            <w:tcBorders>
              <w:tl2br w:val="nil"/>
              <w:tr2bl w:val="nil"/>
            </w:tcBorders>
            <w:noWrap/>
            <w:vAlign w:val="center"/>
          </w:tcPr>
          <w:p w14:paraId="147B29A6">
            <w:pPr>
              <w:pStyle w:val="45"/>
              <w:bidi w:val="0"/>
              <w:rPr>
                <w:rFonts w:hint="default"/>
                <w:b w:val="0"/>
                <w:bCs/>
                <w:color w:val="auto"/>
                <w:highlight w:val="none"/>
              </w:rPr>
            </w:pPr>
            <w:r>
              <w:rPr>
                <w:rFonts w:hint="default"/>
                <w:b w:val="0"/>
                <w:bCs/>
                <w:color w:val="auto"/>
                <w:highlight w:val="none"/>
                <w:lang w:val="en-US" w:eastAsia="zh-CN"/>
              </w:rPr>
              <w:t xml:space="preserve">1.72 </w:t>
            </w:r>
          </w:p>
        </w:tc>
        <w:tc>
          <w:tcPr>
            <w:tcW w:w="289" w:type="pct"/>
            <w:tcBorders>
              <w:tl2br w:val="nil"/>
              <w:tr2bl w:val="nil"/>
            </w:tcBorders>
            <w:noWrap/>
            <w:vAlign w:val="center"/>
          </w:tcPr>
          <w:p w14:paraId="3982E3A4">
            <w:pPr>
              <w:pStyle w:val="45"/>
              <w:bidi w:val="0"/>
              <w:rPr>
                <w:b w:val="0"/>
                <w:bCs/>
                <w:color w:val="auto"/>
                <w:highlight w:val="none"/>
              </w:rPr>
            </w:pPr>
            <w:r>
              <w:rPr>
                <w:rFonts w:hint="default"/>
                <w:b w:val="0"/>
                <w:bCs/>
                <w:color w:val="auto"/>
                <w:highlight w:val="none"/>
                <w:lang w:val="en-US" w:eastAsia="zh-CN"/>
              </w:rPr>
              <w:t xml:space="preserve">0.29 </w:t>
            </w:r>
          </w:p>
        </w:tc>
        <w:tc>
          <w:tcPr>
            <w:tcW w:w="276" w:type="pct"/>
            <w:tcBorders>
              <w:tl2br w:val="nil"/>
              <w:tr2bl w:val="nil"/>
            </w:tcBorders>
            <w:noWrap/>
            <w:vAlign w:val="center"/>
          </w:tcPr>
          <w:p w14:paraId="561E482A">
            <w:pPr>
              <w:pStyle w:val="45"/>
              <w:bidi w:val="0"/>
              <w:rPr>
                <w:b w:val="0"/>
                <w:bCs/>
                <w:color w:val="auto"/>
                <w:highlight w:val="none"/>
              </w:rPr>
            </w:pPr>
            <w:r>
              <w:rPr>
                <w:rFonts w:hint="default"/>
                <w:b w:val="0"/>
                <w:bCs/>
                <w:color w:val="auto"/>
                <w:highlight w:val="none"/>
                <w:lang w:val="en-US" w:eastAsia="zh-CN"/>
              </w:rPr>
              <w:t xml:space="preserve">0.22 </w:t>
            </w:r>
          </w:p>
        </w:tc>
        <w:tc>
          <w:tcPr>
            <w:tcW w:w="259" w:type="pct"/>
            <w:tcBorders>
              <w:tl2br w:val="nil"/>
              <w:tr2bl w:val="nil"/>
            </w:tcBorders>
            <w:noWrap/>
            <w:vAlign w:val="center"/>
          </w:tcPr>
          <w:p w14:paraId="7C76C2F0">
            <w:pPr>
              <w:pStyle w:val="45"/>
              <w:bidi w:val="0"/>
              <w:rPr>
                <w:b w:val="0"/>
                <w:bCs/>
                <w:color w:val="auto"/>
                <w:highlight w:val="none"/>
              </w:rPr>
            </w:pPr>
          </w:p>
        </w:tc>
        <w:tc>
          <w:tcPr>
            <w:tcW w:w="346" w:type="pct"/>
            <w:tcBorders>
              <w:tl2br w:val="nil"/>
              <w:tr2bl w:val="nil"/>
            </w:tcBorders>
            <w:noWrap/>
            <w:vAlign w:val="center"/>
          </w:tcPr>
          <w:p w14:paraId="16A5730A">
            <w:pPr>
              <w:pStyle w:val="45"/>
              <w:bidi w:val="0"/>
              <w:rPr>
                <w:b w:val="0"/>
                <w:bCs/>
                <w:color w:val="auto"/>
                <w:highlight w:val="none"/>
              </w:rPr>
            </w:pPr>
            <w:r>
              <w:rPr>
                <w:rFonts w:hint="default"/>
                <w:b w:val="0"/>
                <w:bCs/>
                <w:color w:val="auto"/>
                <w:highlight w:val="none"/>
                <w:lang w:val="en-US" w:eastAsia="zh-CN"/>
              </w:rPr>
              <w:t xml:space="preserve">3.50 </w:t>
            </w:r>
          </w:p>
        </w:tc>
        <w:tc>
          <w:tcPr>
            <w:tcW w:w="589" w:type="pct"/>
            <w:tcBorders>
              <w:tl2br w:val="nil"/>
              <w:tr2bl w:val="nil"/>
            </w:tcBorders>
            <w:noWrap/>
            <w:vAlign w:val="center"/>
          </w:tcPr>
          <w:p w14:paraId="706AFBE2">
            <w:pPr>
              <w:pStyle w:val="45"/>
              <w:bidi w:val="0"/>
              <w:rPr>
                <w:b w:val="0"/>
                <w:bCs/>
                <w:color w:val="auto"/>
                <w:highlight w:val="none"/>
              </w:rPr>
            </w:pPr>
            <w:r>
              <w:rPr>
                <w:rFonts w:hint="default"/>
                <w:b w:val="0"/>
                <w:bCs/>
                <w:color w:val="auto"/>
                <w:highlight w:val="none"/>
                <w:lang w:val="en-US" w:eastAsia="zh-CN"/>
              </w:rPr>
              <w:t>Z8</w:t>
            </w:r>
          </w:p>
        </w:tc>
      </w:tr>
      <w:tr w14:paraId="11BDFDA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vMerge w:val="continue"/>
            <w:tcBorders>
              <w:tl2br w:val="nil"/>
              <w:tr2bl w:val="nil"/>
            </w:tcBorders>
            <w:noWrap w:val="0"/>
            <w:vAlign w:val="center"/>
          </w:tcPr>
          <w:p w14:paraId="4095586F">
            <w:pPr>
              <w:pStyle w:val="45"/>
              <w:bidi w:val="0"/>
              <w:rPr>
                <w:b w:val="0"/>
                <w:bCs/>
                <w:color w:val="auto"/>
                <w:highlight w:val="none"/>
              </w:rPr>
            </w:pPr>
          </w:p>
        </w:tc>
        <w:tc>
          <w:tcPr>
            <w:tcW w:w="921" w:type="pct"/>
            <w:tcBorders>
              <w:tl2br w:val="nil"/>
              <w:tr2bl w:val="nil"/>
            </w:tcBorders>
            <w:noWrap/>
            <w:vAlign w:val="center"/>
          </w:tcPr>
          <w:p w14:paraId="464C75AB">
            <w:pPr>
              <w:pStyle w:val="45"/>
              <w:bidi w:val="0"/>
              <w:rPr>
                <w:b w:val="0"/>
                <w:bCs/>
                <w:color w:val="auto"/>
                <w:highlight w:val="none"/>
              </w:rPr>
            </w:pPr>
            <w:r>
              <w:rPr>
                <w:rFonts w:hint="default"/>
                <w:b w:val="0"/>
                <w:bCs/>
                <w:color w:val="auto"/>
                <w:highlight w:val="none"/>
              </w:rPr>
              <w:t>合计</w:t>
            </w:r>
          </w:p>
        </w:tc>
        <w:tc>
          <w:tcPr>
            <w:tcW w:w="293" w:type="pct"/>
            <w:tcBorders>
              <w:tl2br w:val="nil"/>
              <w:tr2bl w:val="nil"/>
            </w:tcBorders>
            <w:noWrap/>
            <w:vAlign w:val="center"/>
          </w:tcPr>
          <w:p w14:paraId="658E3F6B">
            <w:pPr>
              <w:pStyle w:val="45"/>
              <w:bidi w:val="0"/>
              <w:rPr>
                <w:rFonts w:hint="default"/>
                <w:b w:val="0"/>
                <w:bCs/>
                <w:color w:val="auto"/>
                <w:highlight w:val="none"/>
              </w:rPr>
            </w:pPr>
            <w:r>
              <w:rPr>
                <w:rFonts w:hint="default"/>
                <w:b w:val="0"/>
                <w:bCs/>
                <w:color w:val="auto"/>
                <w:highlight w:val="none"/>
                <w:lang w:val="en-US" w:eastAsia="zh-CN"/>
              </w:rPr>
              <w:t xml:space="preserve">81.10 </w:t>
            </w:r>
          </w:p>
        </w:tc>
        <w:tc>
          <w:tcPr>
            <w:tcW w:w="331" w:type="pct"/>
            <w:tcBorders>
              <w:tl2br w:val="nil"/>
              <w:tr2bl w:val="nil"/>
            </w:tcBorders>
            <w:noWrap/>
            <w:vAlign w:val="center"/>
          </w:tcPr>
          <w:p w14:paraId="060F1018">
            <w:pPr>
              <w:pStyle w:val="45"/>
              <w:bidi w:val="0"/>
              <w:rPr>
                <w:b w:val="0"/>
                <w:bCs/>
                <w:color w:val="auto"/>
                <w:highlight w:val="none"/>
              </w:rPr>
            </w:pPr>
            <w:r>
              <w:rPr>
                <w:rFonts w:hint="default"/>
                <w:b w:val="0"/>
                <w:bCs/>
                <w:color w:val="auto"/>
                <w:highlight w:val="none"/>
                <w:lang w:val="en-US" w:eastAsia="zh-CN"/>
              </w:rPr>
              <w:t xml:space="preserve">77.04 </w:t>
            </w:r>
          </w:p>
        </w:tc>
        <w:tc>
          <w:tcPr>
            <w:tcW w:w="250" w:type="pct"/>
            <w:tcBorders>
              <w:tl2br w:val="nil"/>
              <w:tr2bl w:val="nil"/>
            </w:tcBorders>
            <w:noWrap/>
            <w:vAlign w:val="center"/>
          </w:tcPr>
          <w:p w14:paraId="69AC5287">
            <w:pPr>
              <w:pStyle w:val="45"/>
              <w:bidi w:val="0"/>
              <w:rPr>
                <w:b w:val="0"/>
                <w:bCs/>
                <w:color w:val="auto"/>
                <w:highlight w:val="none"/>
              </w:rPr>
            </w:pPr>
            <w:r>
              <w:rPr>
                <w:rFonts w:hint="default"/>
                <w:b w:val="0"/>
                <w:bCs/>
                <w:color w:val="auto"/>
                <w:highlight w:val="none"/>
                <w:lang w:val="en-US" w:eastAsia="zh-CN"/>
              </w:rPr>
              <w:t xml:space="preserve">4.06 </w:t>
            </w:r>
          </w:p>
        </w:tc>
        <w:tc>
          <w:tcPr>
            <w:tcW w:w="274" w:type="pct"/>
            <w:tcBorders>
              <w:tl2br w:val="nil"/>
              <w:tr2bl w:val="nil"/>
            </w:tcBorders>
            <w:noWrap/>
            <w:vAlign w:val="center"/>
          </w:tcPr>
          <w:p w14:paraId="7CE5109B">
            <w:pPr>
              <w:pStyle w:val="45"/>
              <w:bidi w:val="0"/>
              <w:rPr>
                <w:b w:val="0"/>
                <w:bCs/>
                <w:color w:val="auto"/>
                <w:highlight w:val="none"/>
              </w:rPr>
            </w:pPr>
            <w:r>
              <w:rPr>
                <w:rFonts w:hint="default"/>
                <w:b w:val="0"/>
                <w:bCs/>
                <w:color w:val="auto"/>
                <w:highlight w:val="none"/>
                <w:lang w:val="en-US" w:eastAsia="zh-CN"/>
              </w:rPr>
              <w:t xml:space="preserve">46.84 </w:t>
            </w:r>
          </w:p>
        </w:tc>
        <w:tc>
          <w:tcPr>
            <w:tcW w:w="371" w:type="pct"/>
            <w:tcBorders>
              <w:tl2br w:val="nil"/>
              <w:tr2bl w:val="nil"/>
            </w:tcBorders>
            <w:noWrap/>
            <w:vAlign w:val="center"/>
          </w:tcPr>
          <w:p w14:paraId="7360363F">
            <w:pPr>
              <w:pStyle w:val="45"/>
              <w:bidi w:val="0"/>
              <w:rPr>
                <w:b w:val="0"/>
                <w:bCs/>
                <w:color w:val="auto"/>
                <w:highlight w:val="none"/>
              </w:rPr>
            </w:pPr>
            <w:r>
              <w:rPr>
                <w:rFonts w:hint="default"/>
                <w:b w:val="0"/>
                <w:bCs/>
                <w:color w:val="auto"/>
                <w:highlight w:val="none"/>
                <w:lang w:val="en-US" w:eastAsia="zh-CN"/>
              </w:rPr>
              <w:t xml:space="preserve">42.78 </w:t>
            </w:r>
          </w:p>
        </w:tc>
        <w:tc>
          <w:tcPr>
            <w:tcW w:w="289" w:type="pct"/>
            <w:tcBorders>
              <w:tl2br w:val="nil"/>
              <w:tr2bl w:val="nil"/>
            </w:tcBorders>
            <w:noWrap/>
            <w:vAlign w:val="center"/>
          </w:tcPr>
          <w:p w14:paraId="430F9CB7">
            <w:pPr>
              <w:pStyle w:val="45"/>
              <w:bidi w:val="0"/>
              <w:rPr>
                <w:b w:val="0"/>
                <w:bCs/>
                <w:color w:val="auto"/>
                <w:highlight w:val="none"/>
              </w:rPr>
            </w:pPr>
            <w:r>
              <w:rPr>
                <w:rFonts w:hint="default"/>
                <w:b w:val="0"/>
                <w:bCs/>
                <w:color w:val="auto"/>
                <w:highlight w:val="none"/>
                <w:lang w:val="en-US" w:eastAsia="zh-CN"/>
              </w:rPr>
              <w:t xml:space="preserve">4.06 </w:t>
            </w:r>
          </w:p>
        </w:tc>
        <w:tc>
          <w:tcPr>
            <w:tcW w:w="276" w:type="pct"/>
            <w:tcBorders>
              <w:tl2br w:val="nil"/>
              <w:tr2bl w:val="nil"/>
            </w:tcBorders>
            <w:noWrap/>
            <w:vAlign w:val="center"/>
          </w:tcPr>
          <w:p w14:paraId="654757CF">
            <w:pPr>
              <w:pStyle w:val="45"/>
              <w:bidi w:val="0"/>
              <w:rPr>
                <w:b w:val="0"/>
                <w:bCs/>
                <w:color w:val="auto"/>
                <w:highlight w:val="none"/>
              </w:rPr>
            </w:pPr>
            <w:r>
              <w:rPr>
                <w:rFonts w:hint="default"/>
                <w:b w:val="0"/>
                <w:bCs/>
                <w:color w:val="auto"/>
                <w:highlight w:val="none"/>
                <w:lang w:val="en-US" w:eastAsia="zh-CN"/>
              </w:rPr>
              <w:t xml:space="preserve">1.00 </w:t>
            </w:r>
          </w:p>
        </w:tc>
        <w:tc>
          <w:tcPr>
            <w:tcW w:w="259" w:type="pct"/>
            <w:tcBorders>
              <w:tl2br w:val="nil"/>
              <w:tr2bl w:val="nil"/>
            </w:tcBorders>
            <w:noWrap/>
            <w:vAlign w:val="center"/>
          </w:tcPr>
          <w:p w14:paraId="46C7C5C6">
            <w:pPr>
              <w:pStyle w:val="45"/>
              <w:bidi w:val="0"/>
              <w:rPr>
                <w:b w:val="0"/>
                <w:bCs/>
                <w:color w:val="auto"/>
                <w:highlight w:val="none"/>
              </w:rPr>
            </w:pPr>
            <w:r>
              <w:rPr>
                <w:rFonts w:hint="default"/>
                <w:b w:val="0"/>
                <w:bCs/>
                <w:color w:val="auto"/>
                <w:highlight w:val="none"/>
                <w:lang w:val="en-US" w:eastAsia="zh-CN"/>
              </w:rPr>
              <w:t xml:space="preserve">1.00 </w:t>
            </w:r>
          </w:p>
        </w:tc>
        <w:tc>
          <w:tcPr>
            <w:tcW w:w="346" w:type="pct"/>
            <w:tcBorders>
              <w:tl2br w:val="nil"/>
              <w:tr2bl w:val="nil"/>
            </w:tcBorders>
            <w:noWrap/>
            <w:vAlign w:val="center"/>
          </w:tcPr>
          <w:p w14:paraId="2FAC0751">
            <w:pPr>
              <w:pStyle w:val="45"/>
              <w:bidi w:val="0"/>
              <w:rPr>
                <w:b w:val="0"/>
                <w:bCs/>
                <w:color w:val="auto"/>
                <w:highlight w:val="none"/>
              </w:rPr>
            </w:pPr>
            <w:r>
              <w:rPr>
                <w:rFonts w:hint="default"/>
                <w:b w:val="0"/>
                <w:bCs/>
                <w:color w:val="auto"/>
                <w:highlight w:val="none"/>
                <w:lang w:val="en-US" w:eastAsia="zh-CN"/>
              </w:rPr>
              <w:t xml:space="preserve">34.26 </w:t>
            </w:r>
          </w:p>
        </w:tc>
        <w:tc>
          <w:tcPr>
            <w:tcW w:w="589" w:type="pct"/>
            <w:tcBorders>
              <w:tl2br w:val="nil"/>
              <w:tr2bl w:val="nil"/>
            </w:tcBorders>
            <w:noWrap/>
            <w:vAlign w:val="center"/>
          </w:tcPr>
          <w:p w14:paraId="21E4C96E">
            <w:pPr>
              <w:pStyle w:val="45"/>
              <w:bidi w:val="0"/>
              <w:rPr>
                <w:b w:val="0"/>
                <w:bCs/>
                <w:color w:val="auto"/>
                <w:highlight w:val="none"/>
              </w:rPr>
            </w:pPr>
          </w:p>
        </w:tc>
      </w:tr>
      <w:tr w14:paraId="16A35FC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25" w:type="pct"/>
            <w:tcBorders>
              <w:tl2br w:val="nil"/>
              <w:tr2bl w:val="nil"/>
            </w:tcBorders>
            <w:noWrap/>
            <w:vAlign w:val="center"/>
          </w:tcPr>
          <w:p w14:paraId="631C0999">
            <w:pPr>
              <w:pStyle w:val="45"/>
              <w:bidi w:val="0"/>
              <w:rPr>
                <w:b w:val="0"/>
                <w:bCs/>
                <w:color w:val="auto"/>
                <w:highlight w:val="none"/>
              </w:rPr>
            </w:pPr>
            <w:r>
              <w:rPr>
                <w:rFonts w:hint="default"/>
                <w:b w:val="0"/>
                <w:bCs/>
                <w:color w:val="auto"/>
                <w:highlight w:val="none"/>
              </w:rPr>
              <w:t>弃渣场</w:t>
            </w:r>
          </w:p>
        </w:tc>
        <w:tc>
          <w:tcPr>
            <w:tcW w:w="921" w:type="pct"/>
            <w:tcBorders>
              <w:tl2br w:val="nil"/>
              <w:tr2bl w:val="nil"/>
            </w:tcBorders>
            <w:noWrap/>
            <w:vAlign w:val="center"/>
          </w:tcPr>
          <w:p w14:paraId="04AFD4A8">
            <w:pPr>
              <w:pStyle w:val="45"/>
              <w:bidi w:val="0"/>
              <w:rPr>
                <w:rFonts w:hint="default"/>
                <w:b w:val="0"/>
                <w:bCs/>
                <w:color w:val="auto"/>
                <w:highlight w:val="none"/>
              </w:rPr>
            </w:pPr>
            <w:r>
              <w:rPr>
                <w:rFonts w:hint="default"/>
                <w:b w:val="0"/>
                <w:bCs/>
                <w:color w:val="auto"/>
                <w:highlight w:val="none"/>
              </w:rPr>
              <w:t>清表</w:t>
            </w:r>
          </w:p>
        </w:tc>
        <w:tc>
          <w:tcPr>
            <w:tcW w:w="293" w:type="pct"/>
            <w:tcBorders>
              <w:tl2br w:val="nil"/>
              <w:tr2bl w:val="nil"/>
            </w:tcBorders>
            <w:noWrap/>
            <w:vAlign w:val="center"/>
          </w:tcPr>
          <w:p w14:paraId="34FC2624">
            <w:pPr>
              <w:pStyle w:val="45"/>
              <w:bidi w:val="0"/>
              <w:rPr>
                <w:rFonts w:hint="eastAsia"/>
                <w:b w:val="0"/>
                <w:bCs/>
                <w:color w:val="auto"/>
                <w:highlight w:val="none"/>
                <w:lang w:eastAsia="zh-CN"/>
              </w:rPr>
            </w:pPr>
            <w:r>
              <w:rPr>
                <w:rFonts w:hint="default"/>
                <w:b w:val="0"/>
                <w:bCs/>
                <w:color w:val="auto"/>
                <w:highlight w:val="none"/>
                <w:lang w:val="en-US" w:eastAsia="zh-CN"/>
              </w:rPr>
              <w:t xml:space="preserve">1.09 </w:t>
            </w:r>
          </w:p>
        </w:tc>
        <w:tc>
          <w:tcPr>
            <w:tcW w:w="331" w:type="pct"/>
            <w:tcBorders>
              <w:tl2br w:val="nil"/>
              <w:tr2bl w:val="nil"/>
            </w:tcBorders>
            <w:noWrap/>
            <w:vAlign w:val="center"/>
          </w:tcPr>
          <w:p w14:paraId="5C52F0F6">
            <w:pPr>
              <w:pStyle w:val="45"/>
              <w:bidi w:val="0"/>
              <w:rPr>
                <w:b w:val="0"/>
                <w:bCs/>
                <w:color w:val="auto"/>
                <w:highlight w:val="none"/>
              </w:rPr>
            </w:pPr>
          </w:p>
        </w:tc>
        <w:tc>
          <w:tcPr>
            <w:tcW w:w="250" w:type="pct"/>
            <w:tcBorders>
              <w:tl2br w:val="nil"/>
              <w:tr2bl w:val="nil"/>
            </w:tcBorders>
            <w:noWrap/>
            <w:vAlign w:val="center"/>
          </w:tcPr>
          <w:p w14:paraId="58DBE3D1">
            <w:pPr>
              <w:pStyle w:val="45"/>
              <w:bidi w:val="0"/>
              <w:rPr>
                <w:rFonts w:hint="eastAsia"/>
                <w:b w:val="0"/>
                <w:bCs/>
                <w:color w:val="auto"/>
                <w:highlight w:val="none"/>
                <w:lang w:eastAsia="zh-CN"/>
              </w:rPr>
            </w:pPr>
            <w:r>
              <w:rPr>
                <w:rFonts w:hint="default"/>
                <w:b w:val="0"/>
                <w:bCs/>
                <w:color w:val="auto"/>
                <w:highlight w:val="none"/>
                <w:lang w:val="en-US" w:eastAsia="zh-CN"/>
              </w:rPr>
              <w:t xml:space="preserve">1.09 </w:t>
            </w:r>
          </w:p>
        </w:tc>
        <w:tc>
          <w:tcPr>
            <w:tcW w:w="274" w:type="pct"/>
            <w:tcBorders>
              <w:tl2br w:val="nil"/>
              <w:tr2bl w:val="nil"/>
            </w:tcBorders>
            <w:noWrap/>
            <w:vAlign w:val="center"/>
          </w:tcPr>
          <w:p w14:paraId="5B58AC3E">
            <w:pPr>
              <w:pStyle w:val="45"/>
              <w:bidi w:val="0"/>
              <w:rPr>
                <w:b w:val="0"/>
                <w:bCs/>
                <w:color w:val="auto"/>
                <w:highlight w:val="none"/>
              </w:rPr>
            </w:pPr>
            <w:r>
              <w:rPr>
                <w:rFonts w:hint="default"/>
                <w:b w:val="0"/>
                <w:bCs/>
                <w:color w:val="auto"/>
                <w:highlight w:val="none"/>
                <w:lang w:val="en-US" w:eastAsia="zh-CN"/>
              </w:rPr>
              <w:t xml:space="preserve">1.09 </w:t>
            </w:r>
          </w:p>
        </w:tc>
        <w:tc>
          <w:tcPr>
            <w:tcW w:w="371" w:type="pct"/>
            <w:tcBorders>
              <w:tl2br w:val="nil"/>
              <w:tr2bl w:val="nil"/>
            </w:tcBorders>
            <w:noWrap/>
            <w:vAlign w:val="center"/>
          </w:tcPr>
          <w:p w14:paraId="315C3F38">
            <w:pPr>
              <w:pStyle w:val="45"/>
              <w:bidi w:val="0"/>
              <w:rPr>
                <w:b w:val="0"/>
                <w:bCs/>
                <w:color w:val="auto"/>
                <w:highlight w:val="none"/>
              </w:rPr>
            </w:pPr>
          </w:p>
        </w:tc>
        <w:tc>
          <w:tcPr>
            <w:tcW w:w="289" w:type="pct"/>
            <w:tcBorders>
              <w:tl2br w:val="nil"/>
              <w:tr2bl w:val="nil"/>
            </w:tcBorders>
            <w:noWrap/>
            <w:vAlign w:val="center"/>
          </w:tcPr>
          <w:p w14:paraId="7A0BC1C3">
            <w:pPr>
              <w:pStyle w:val="45"/>
              <w:bidi w:val="0"/>
              <w:rPr>
                <w:rFonts w:hint="eastAsia"/>
                <w:b w:val="0"/>
                <w:bCs/>
                <w:color w:val="auto"/>
                <w:highlight w:val="none"/>
                <w:lang w:eastAsia="zh-CN"/>
              </w:rPr>
            </w:pPr>
            <w:r>
              <w:rPr>
                <w:rFonts w:hint="default"/>
                <w:b w:val="0"/>
                <w:bCs/>
                <w:color w:val="auto"/>
                <w:highlight w:val="none"/>
                <w:lang w:val="en-US" w:eastAsia="zh-CN"/>
              </w:rPr>
              <w:t xml:space="preserve">1.09 </w:t>
            </w:r>
          </w:p>
        </w:tc>
        <w:tc>
          <w:tcPr>
            <w:tcW w:w="276" w:type="pct"/>
            <w:tcBorders>
              <w:tl2br w:val="nil"/>
              <w:tr2bl w:val="nil"/>
            </w:tcBorders>
            <w:noWrap/>
            <w:vAlign w:val="center"/>
          </w:tcPr>
          <w:p w14:paraId="23817FFF">
            <w:pPr>
              <w:pStyle w:val="45"/>
              <w:bidi w:val="0"/>
              <w:rPr>
                <w:b w:val="0"/>
                <w:bCs/>
                <w:color w:val="auto"/>
                <w:highlight w:val="none"/>
              </w:rPr>
            </w:pPr>
          </w:p>
        </w:tc>
        <w:tc>
          <w:tcPr>
            <w:tcW w:w="259" w:type="pct"/>
            <w:tcBorders>
              <w:tl2br w:val="nil"/>
              <w:tr2bl w:val="nil"/>
            </w:tcBorders>
            <w:noWrap/>
            <w:vAlign w:val="center"/>
          </w:tcPr>
          <w:p w14:paraId="584DD30D">
            <w:pPr>
              <w:pStyle w:val="45"/>
              <w:bidi w:val="0"/>
              <w:rPr>
                <w:b w:val="0"/>
                <w:bCs/>
                <w:color w:val="auto"/>
                <w:highlight w:val="none"/>
              </w:rPr>
            </w:pPr>
          </w:p>
        </w:tc>
        <w:tc>
          <w:tcPr>
            <w:tcW w:w="346" w:type="pct"/>
            <w:tcBorders>
              <w:tl2br w:val="nil"/>
              <w:tr2bl w:val="nil"/>
            </w:tcBorders>
            <w:noWrap/>
            <w:vAlign w:val="center"/>
          </w:tcPr>
          <w:p w14:paraId="3D72959E">
            <w:pPr>
              <w:pStyle w:val="45"/>
              <w:bidi w:val="0"/>
              <w:rPr>
                <w:b w:val="0"/>
                <w:bCs/>
                <w:color w:val="auto"/>
                <w:highlight w:val="none"/>
              </w:rPr>
            </w:pPr>
          </w:p>
        </w:tc>
        <w:tc>
          <w:tcPr>
            <w:tcW w:w="589" w:type="pct"/>
            <w:tcBorders>
              <w:tl2br w:val="nil"/>
              <w:tr2bl w:val="nil"/>
            </w:tcBorders>
            <w:noWrap/>
            <w:vAlign w:val="center"/>
          </w:tcPr>
          <w:p w14:paraId="174D0B80">
            <w:pPr>
              <w:pStyle w:val="45"/>
              <w:bidi w:val="0"/>
              <w:rPr>
                <w:rFonts w:hint="default"/>
                <w:b w:val="0"/>
                <w:bCs/>
                <w:color w:val="auto"/>
                <w:highlight w:val="none"/>
              </w:rPr>
            </w:pPr>
          </w:p>
        </w:tc>
      </w:tr>
      <w:tr w14:paraId="424392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246" w:type="pct"/>
            <w:gridSpan w:val="2"/>
            <w:tcBorders>
              <w:tl2br w:val="nil"/>
              <w:tr2bl w:val="nil"/>
            </w:tcBorders>
            <w:noWrap/>
            <w:vAlign w:val="center"/>
          </w:tcPr>
          <w:p w14:paraId="29FDB9E9">
            <w:pPr>
              <w:pStyle w:val="45"/>
              <w:bidi w:val="0"/>
              <w:rPr>
                <w:b w:val="0"/>
                <w:bCs/>
                <w:color w:val="auto"/>
                <w:highlight w:val="none"/>
              </w:rPr>
            </w:pPr>
            <w:r>
              <w:rPr>
                <w:rFonts w:hint="default"/>
                <w:b w:val="0"/>
                <w:bCs/>
                <w:color w:val="auto"/>
                <w:highlight w:val="none"/>
              </w:rPr>
              <w:t>总计</w:t>
            </w:r>
          </w:p>
        </w:tc>
        <w:tc>
          <w:tcPr>
            <w:tcW w:w="293" w:type="pct"/>
            <w:tcBorders>
              <w:tl2br w:val="nil"/>
              <w:tr2bl w:val="nil"/>
            </w:tcBorders>
            <w:noWrap/>
            <w:vAlign w:val="center"/>
          </w:tcPr>
          <w:p w14:paraId="12CC7178">
            <w:pPr>
              <w:pStyle w:val="45"/>
              <w:bidi w:val="0"/>
              <w:rPr>
                <w:rFonts w:hint="default"/>
                <w:b w:val="0"/>
                <w:bCs/>
                <w:color w:val="auto"/>
                <w:highlight w:val="none"/>
              </w:rPr>
            </w:pPr>
            <w:r>
              <w:rPr>
                <w:rFonts w:hint="default"/>
                <w:b w:val="0"/>
                <w:bCs/>
                <w:color w:val="auto"/>
                <w:highlight w:val="none"/>
                <w:lang w:val="en-US" w:eastAsia="zh-CN"/>
              </w:rPr>
              <w:t xml:space="preserve">118.84 </w:t>
            </w:r>
          </w:p>
        </w:tc>
        <w:tc>
          <w:tcPr>
            <w:tcW w:w="331" w:type="pct"/>
            <w:tcBorders>
              <w:tl2br w:val="nil"/>
              <w:tr2bl w:val="nil"/>
            </w:tcBorders>
            <w:noWrap/>
            <w:vAlign w:val="center"/>
          </w:tcPr>
          <w:p w14:paraId="07A97E38">
            <w:pPr>
              <w:pStyle w:val="45"/>
              <w:bidi w:val="0"/>
              <w:rPr>
                <w:b w:val="0"/>
                <w:bCs/>
                <w:color w:val="auto"/>
                <w:highlight w:val="none"/>
              </w:rPr>
            </w:pPr>
            <w:r>
              <w:rPr>
                <w:rFonts w:hint="default"/>
                <w:b w:val="0"/>
                <w:bCs/>
                <w:color w:val="auto"/>
                <w:highlight w:val="none"/>
                <w:lang w:val="en-US" w:eastAsia="zh-CN"/>
              </w:rPr>
              <w:t xml:space="preserve">113.15 </w:t>
            </w:r>
          </w:p>
        </w:tc>
        <w:tc>
          <w:tcPr>
            <w:tcW w:w="250" w:type="pct"/>
            <w:tcBorders>
              <w:tl2br w:val="nil"/>
              <w:tr2bl w:val="nil"/>
            </w:tcBorders>
            <w:noWrap/>
            <w:vAlign w:val="center"/>
          </w:tcPr>
          <w:p w14:paraId="6D77BED2">
            <w:pPr>
              <w:pStyle w:val="45"/>
              <w:bidi w:val="0"/>
              <w:rPr>
                <w:b w:val="0"/>
                <w:bCs/>
                <w:color w:val="auto"/>
                <w:highlight w:val="none"/>
              </w:rPr>
            </w:pPr>
            <w:r>
              <w:rPr>
                <w:rFonts w:hint="default"/>
                <w:b w:val="0"/>
                <w:bCs/>
                <w:color w:val="auto"/>
                <w:highlight w:val="none"/>
                <w:lang w:val="en-US" w:eastAsia="zh-CN"/>
              </w:rPr>
              <w:t xml:space="preserve">5.69 </w:t>
            </w:r>
          </w:p>
        </w:tc>
        <w:tc>
          <w:tcPr>
            <w:tcW w:w="274" w:type="pct"/>
            <w:tcBorders>
              <w:tl2br w:val="nil"/>
              <w:tr2bl w:val="nil"/>
            </w:tcBorders>
            <w:noWrap/>
            <w:vAlign w:val="center"/>
          </w:tcPr>
          <w:p w14:paraId="23195984">
            <w:pPr>
              <w:pStyle w:val="45"/>
              <w:bidi w:val="0"/>
              <w:rPr>
                <w:b w:val="0"/>
                <w:bCs/>
                <w:color w:val="auto"/>
                <w:highlight w:val="none"/>
              </w:rPr>
            </w:pPr>
            <w:r>
              <w:rPr>
                <w:rFonts w:hint="default"/>
                <w:b w:val="0"/>
                <w:bCs/>
                <w:color w:val="auto"/>
                <w:highlight w:val="none"/>
                <w:lang w:val="en-US" w:eastAsia="zh-CN"/>
              </w:rPr>
              <w:t xml:space="preserve">69.13 </w:t>
            </w:r>
          </w:p>
        </w:tc>
        <w:tc>
          <w:tcPr>
            <w:tcW w:w="371" w:type="pct"/>
            <w:tcBorders>
              <w:tl2br w:val="nil"/>
              <w:tr2bl w:val="nil"/>
            </w:tcBorders>
            <w:noWrap/>
            <w:vAlign w:val="center"/>
          </w:tcPr>
          <w:p w14:paraId="63382EDA">
            <w:pPr>
              <w:pStyle w:val="45"/>
              <w:bidi w:val="0"/>
              <w:rPr>
                <w:b w:val="0"/>
                <w:bCs/>
                <w:color w:val="auto"/>
                <w:highlight w:val="none"/>
              </w:rPr>
            </w:pPr>
            <w:r>
              <w:rPr>
                <w:rFonts w:hint="default"/>
                <w:b w:val="0"/>
                <w:bCs/>
                <w:color w:val="auto"/>
                <w:highlight w:val="none"/>
                <w:lang w:val="en-US" w:eastAsia="zh-CN"/>
              </w:rPr>
              <w:t xml:space="preserve">63.44 </w:t>
            </w:r>
          </w:p>
        </w:tc>
        <w:tc>
          <w:tcPr>
            <w:tcW w:w="289" w:type="pct"/>
            <w:tcBorders>
              <w:tl2br w:val="nil"/>
              <w:tr2bl w:val="nil"/>
            </w:tcBorders>
            <w:noWrap/>
            <w:vAlign w:val="center"/>
          </w:tcPr>
          <w:p w14:paraId="363854BE">
            <w:pPr>
              <w:pStyle w:val="45"/>
              <w:bidi w:val="0"/>
              <w:rPr>
                <w:b w:val="0"/>
                <w:bCs/>
                <w:color w:val="auto"/>
                <w:highlight w:val="none"/>
              </w:rPr>
            </w:pPr>
            <w:r>
              <w:rPr>
                <w:rFonts w:hint="default"/>
                <w:b w:val="0"/>
                <w:bCs/>
                <w:color w:val="auto"/>
                <w:highlight w:val="none"/>
                <w:lang w:val="en-US" w:eastAsia="zh-CN"/>
              </w:rPr>
              <w:t xml:space="preserve">5.69 </w:t>
            </w:r>
          </w:p>
        </w:tc>
        <w:tc>
          <w:tcPr>
            <w:tcW w:w="276" w:type="pct"/>
            <w:tcBorders>
              <w:tl2br w:val="nil"/>
              <w:tr2bl w:val="nil"/>
            </w:tcBorders>
            <w:noWrap/>
            <w:vAlign w:val="center"/>
          </w:tcPr>
          <w:p w14:paraId="3C91C8EC">
            <w:pPr>
              <w:pStyle w:val="45"/>
              <w:bidi w:val="0"/>
              <w:rPr>
                <w:b w:val="0"/>
                <w:bCs/>
                <w:color w:val="auto"/>
                <w:highlight w:val="none"/>
              </w:rPr>
            </w:pPr>
          </w:p>
        </w:tc>
        <w:tc>
          <w:tcPr>
            <w:tcW w:w="259" w:type="pct"/>
            <w:tcBorders>
              <w:tl2br w:val="nil"/>
              <w:tr2bl w:val="nil"/>
            </w:tcBorders>
            <w:noWrap/>
            <w:vAlign w:val="center"/>
          </w:tcPr>
          <w:p w14:paraId="1559AE32">
            <w:pPr>
              <w:pStyle w:val="45"/>
              <w:bidi w:val="0"/>
              <w:rPr>
                <w:b w:val="0"/>
                <w:bCs/>
                <w:color w:val="auto"/>
                <w:highlight w:val="none"/>
              </w:rPr>
            </w:pPr>
          </w:p>
        </w:tc>
        <w:tc>
          <w:tcPr>
            <w:tcW w:w="346" w:type="pct"/>
            <w:tcBorders>
              <w:tl2br w:val="nil"/>
              <w:tr2bl w:val="nil"/>
            </w:tcBorders>
            <w:noWrap/>
            <w:vAlign w:val="center"/>
          </w:tcPr>
          <w:p w14:paraId="19E3EBFB">
            <w:pPr>
              <w:pStyle w:val="45"/>
              <w:bidi w:val="0"/>
              <w:rPr>
                <w:b w:val="0"/>
                <w:bCs/>
                <w:color w:val="auto"/>
                <w:highlight w:val="none"/>
              </w:rPr>
            </w:pPr>
            <w:r>
              <w:rPr>
                <w:rFonts w:hint="default"/>
                <w:b w:val="0"/>
                <w:bCs/>
                <w:color w:val="auto"/>
                <w:highlight w:val="none"/>
                <w:lang w:val="en-US" w:eastAsia="zh-CN"/>
              </w:rPr>
              <w:t xml:space="preserve">49.71 </w:t>
            </w:r>
          </w:p>
        </w:tc>
        <w:tc>
          <w:tcPr>
            <w:tcW w:w="589" w:type="pct"/>
            <w:tcBorders>
              <w:tl2br w:val="nil"/>
              <w:tr2bl w:val="nil"/>
            </w:tcBorders>
            <w:noWrap/>
            <w:vAlign w:val="center"/>
          </w:tcPr>
          <w:p w14:paraId="29274650">
            <w:pPr>
              <w:pStyle w:val="45"/>
              <w:bidi w:val="0"/>
              <w:rPr>
                <w:b w:val="0"/>
                <w:bCs/>
                <w:color w:val="auto"/>
                <w:highlight w:val="none"/>
              </w:rPr>
            </w:pPr>
          </w:p>
        </w:tc>
      </w:tr>
    </w:tbl>
    <w:p w14:paraId="775D98D1">
      <w:pPr>
        <w:pStyle w:val="2"/>
        <w:ind w:left="0" w:leftChars="0" w:firstLine="0" w:firstLineChars="0"/>
        <w:jc w:val="center"/>
        <w:rPr>
          <w:rFonts w:hint="eastAsia"/>
          <w:color w:val="auto"/>
          <w:highlight w:val="none"/>
          <w:lang w:val="en-US" w:eastAsia="zh-CN"/>
        </w:rPr>
      </w:pPr>
    </w:p>
    <w:p w14:paraId="22CDC5CA">
      <w:pPr>
        <w:pStyle w:val="2"/>
        <w:rPr>
          <w:rFonts w:hint="eastAsia"/>
          <w:color w:val="auto"/>
          <w:highlight w:val="none"/>
          <w:lang w:val="en-US" w:eastAsia="zh-CN"/>
        </w:rPr>
      </w:pPr>
    </w:p>
    <w:p w14:paraId="3CCF2E1C">
      <w:pPr>
        <w:pStyle w:val="2"/>
        <w:rPr>
          <w:rFonts w:hint="eastAsia"/>
          <w:color w:val="auto"/>
          <w:highlight w:val="none"/>
          <w:lang w:val="en-US" w:eastAsia="zh-CN"/>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25F6A78B">
      <w:pPr>
        <w:ind w:firstLine="0" w:firstLineChars="0"/>
        <w:jc w:val="center"/>
        <w:rPr>
          <w:rFonts w:hint="default"/>
          <w:lang w:val="en-US" w:eastAsia="zh-CN"/>
        </w:rPr>
        <w:sectPr>
          <w:pgSz w:w="11906" w:h="16838"/>
          <w:pgMar w:top="720" w:right="720" w:bottom="720" w:left="72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lang w:val="en-US" w:eastAsia="zh-CN"/>
        </w:rPr>
        <w:object>
          <v:shape id="_x0000_i1026" o:spt="75" type="#_x0000_t75" style="height:610.35pt;width:522.75pt;" o:ole="t" filled="f" o:preferrelative="t" stroked="t" coordsize="21600,21600">
            <v:path/>
            <v:fill on="f" focussize="0,0"/>
            <v:stroke color="#000000"/>
            <v:imagedata r:id="rId17" o:title=""/>
            <o:lock v:ext="edit" aspectratio="f"/>
            <w10:wrap type="none"/>
            <w10:anchorlock/>
          </v:shape>
          <o:OLEObject Type="Embed" ProgID="Visio.Drawing.11" ShapeID="_x0000_i1026" DrawAspect="Content" ObjectID="_1468075726" r:id="rId16">
            <o:LockedField>false</o:LockedField>
          </o:OLEObject>
        </w:object>
      </w:r>
      <w:r>
        <w:rPr>
          <w:rFonts w:hint="eastAsia"/>
          <w:b/>
          <w:bCs/>
          <w:lang w:val="en-US" w:eastAsia="zh-CN"/>
        </w:rPr>
        <w:t>图4.4-1  本工程土石方流向图</w:t>
      </w:r>
    </w:p>
    <w:p w14:paraId="53817961">
      <w:pPr>
        <w:pStyle w:val="5"/>
        <w:rPr>
          <w:rFonts w:hint="default" w:ascii="Times New Roman" w:hAnsi="Times New Roman" w:cs="Times New Roman"/>
          <w:color w:val="auto"/>
          <w:highlight w:val="none"/>
        </w:rPr>
      </w:pPr>
      <w:r>
        <w:rPr>
          <w:rFonts w:hint="eastAsia" w:cs="Times New Roman"/>
          <w:color w:val="auto"/>
          <w:highlight w:val="none"/>
          <w:lang w:eastAsia="zh-CN"/>
        </w:rPr>
        <w:t>工程总体布置</w:t>
      </w:r>
    </w:p>
    <w:p w14:paraId="3A4916EE">
      <w:pPr>
        <w:bidi w:val="0"/>
        <w:rPr>
          <w:rFonts w:hint="eastAsia"/>
          <w:color w:val="auto"/>
          <w:highlight w:val="none"/>
          <w:lang w:val="en-US" w:eastAsia="zh-CN"/>
        </w:rPr>
      </w:pPr>
      <w:r>
        <w:rPr>
          <w:rFonts w:hint="eastAsia"/>
          <w:color w:val="auto"/>
          <w:highlight w:val="none"/>
          <w:lang w:val="en-US" w:eastAsia="zh-CN"/>
        </w:rPr>
        <w:t>综合考虑工程规模、施工方案及工期、造价等因素，按照因地制宜、因时制宜、有利生产、方便生活、易于管理、安全可靠、尽量不占耕地的原则，在满足环境保护与水土保持要求的条件下布置风电机组、集电线路工程、道路工程、施工临建设施区、表土堆场和弃渣场等。</w:t>
      </w:r>
    </w:p>
    <w:p w14:paraId="7E1AFFFB">
      <w:pPr>
        <w:bidi w:val="0"/>
        <w:rPr>
          <w:rFonts w:hint="eastAsia"/>
          <w:color w:val="auto"/>
          <w:highlight w:val="none"/>
          <w:lang w:val="en-US" w:eastAsia="zh-CN"/>
        </w:rPr>
      </w:pPr>
      <w:r>
        <w:rPr>
          <w:rFonts w:hint="eastAsia"/>
          <w:color w:val="auto"/>
          <w:highlight w:val="none"/>
          <w:lang w:val="en-US" w:eastAsia="zh-CN"/>
        </w:rPr>
        <w:t>1、风电机组：风电机组布置于山顶(脊)上，区内山高坡陡，场区山脉走向大致呈北西向展布。项目选址风力资源满足风电场建设要求，所处区域地质稳定，无外力破坏其原有稳定结构，不易发生地质灾害。</w:t>
      </w:r>
    </w:p>
    <w:p w14:paraId="6DA70509">
      <w:pPr>
        <w:bidi w:val="0"/>
        <w:rPr>
          <w:rFonts w:hint="eastAsia"/>
          <w:color w:val="auto"/>
          <w:highlight w:val="none"/>
          <w:lang w:val="en-US" w:eastAsia="zh-CN"/>
        </w:rPr>
      </w:pPr>
      <w:r>
        <w:rPr>
          <w:rFonts w:hint="eastAsia"/>
          <w:color w:val="auto"/>
          <w:highlight w:val="none"/>
          <w:lang w:val="en-US" w:eastAsia="zh-CN"/>
        </w:rPr>
        <w:t>2、升压站：本风电场接入已建大马风电场110kV升压站，升压站内综合楼、设备楼、附属用房等建筑物已满足生产生活需要，不需要扩建。仅需对升压站内主变基础、无功补偿基础、构架等变配电设备基础进行扩建。</w:t>
      </w:r>
    </w:p>
    <w:p w14:paraId="281FA403">
      <w:pPr>
        <w:bidi w:val="0"/>
        <w:rPr>
          <w:rFonts w:hint="eastAsia"/>
          <w:color w:val="auto"/>
          <w:highlight w:val="none"/>
          <w:lang w:val="en-US" w:eastAsia="zh-CN"/>
        </w:rPr>
      </w:pPr>
      <w:r>
        <w:rPr>
          <w:rFonts w:hint="eastAsia"/>
          <w:color w:val="auto"/>
          <w:highlight w:val="none"/>
          <w:lang w:val="en-US" w:eastAsia="zh-CN"/>
        </w:rPr>
        <w:t>3、道路工程：根据项目施工总平面图以及现场查勘，进场道路部分为改造道路，部分利用现有道路，在通往各风机安装场地道路全部为新建道路。</w:t>
      </w:r>
    </w:p>
    <w:p w14:paraId="625E0681">
      <w:pPr>
        <w:bidi w:val="0"/>
        <w:rPr>
          <w:rFonts w:hint="eastAsia"/>
          <w:color w:val="auto"/>
          <w:highlight w:val="none"/>
          <w:lang w:val="en-US" w:eastAsia="zh-CN"/>
        </w:rPr>
      </w:pPr>
      <w:r>
        <w:rPr>
          <w:rFonts w:hint="eastAsia"/>
          <w:color w:val="auto"/>
          <w:highlight w:val="none"/>
          <w:lang w:val="en-US" w:eastAsia="zh-CN"/>
        </w:rPr>
        <w:t>4、集电线路：集电线路全部采用直埋电缆的形式，全部结合本工程场内道路布置，有利于电缆敷设施工，有效控制了施工扰动范围，减少了植被破坏面积。</w:t>
      </w:r>
    </w:p>
    <w:p w14:paraId="732BD3B7">
      <w:pPr>
        <w:bidi w:val="0"/>
        <w:rPr>
          <w:rFonts w:hint="eastAsia"/>
          <w:color w:val="auto"/>
          <w:highlight w:val="none"/>
          <w:lang w:val="en-US" w:eastAsia="zh-CN"/>
        </w:rPr>
      </w:pPr>
      <w:r>
        <w:rPr>
          <w:rFonts w:hint="eastAsia"/>
          <w:color w:val="auto"/>
          <w:highlight w:val="none"/>
          <w:lang w:val="en-US" w:eastAsia="zh-CN"/>
        </w:rPr>
        <w:t>5、施工临建设施区：</w:t>
      </w:r>
      <w:r>
        <w:rPr>
          <w:rFonts w:hint="default"/>
          <w:color w:val="auto"/>
          <w:highlight w:val="none"/>
        </w:rPr>
        <w:t>施工临建区</w:t>
      </w:r>
      <w:r>
        <w:rPr>
          <w:rFonts w:hint="eastAsia"/>
          <w:color w:val="auto"/>
          <w:highlight w:val="none"/>
          <w:lang w:eastAsia="zh-CN"/>
        </w:rPr>
        <w:t>利用现有升压站及新建的风机安装平台，施工人员住宿租用山脚下民房，不新增占地</w:t>
      </w:r>
      <w:r>
        <w:rPr>
          <w:rFonts w:hint="eastAsia"/>
          <w:color w:val="auto"/>
          <w:highlight w:val="none"/>
          <w:lang w:val="en-US" w:eastAsia="zh-CN"/>
        </w:rPr>
        <w:t>。</w:t>
      </w:r>
    </w:p>
    <w:p w14:paraId="1F510B06">
      <w:pPr>
        <w:bidi w:val="0"/>
        <w:rPr>
          <w:rFonts w:hint="eastAsia"/>
          <w:color w:val="auto"/>
          <w:highlight w:val="none"/>
          <w:lang w:val="en-US" w:eastAsia="zh-CN"/>
        </w:rPr>
      </w:pPr>
      <w:r>
        <w:rPr>
          <w:rFonts w:hint="eastAsia"/>
          <w:color w:val="auto"/>
          <w:highlight w:val="none"/>
          <w:lang w:val="en-US" w:eastAsia="zh-CN"/>
        </w:rPr>
        <w:t>6、表土堆场和弃渣场：</w:t>
      </w:r>
    </w:p>
    <w:p w14:paraId="259B0C75">
      <w:pPr>
        <w:bidi w:val="0"/>
        <w:rPr>
          <w:rFonts w:hint="eastAsia"/>
          <w:color w:val="auto"/>
          <w:highlight w:val="none"/>
          <w:lang w:val="en-US" w:eastAsia="zh-CN"/>
        </w:rPr>
      </w:pPr>
      <w:r>
        <w:rPr>
          <w:rFonts w:hint="eastAsia"/>
          <w:color w:val="auto"/>
          <w:highlight w:val="none"/>
          <w:lang w:val="en-US" w:eastAsia="zh-CN"/>
        </w:rPr>
        <w:t>①表土堆场布置：风机机组区剥离表土集中堆置于风机安装场地一角，不新增临时占地；交通道路区根据施工时序，就近堆置于道路一侧或弯道平台区域，待路基成型后及时回覆于道路绿化区域；弃渣场区表土剥离后在弃渣场范围内隔离出一小块区域堆放。集电线路中直埋线路剥离表土堆放于电缆沟一侧。</w:t>
      </w:r>
    </w:p>
    <w:p w14:paraId="5A850A2B">
      <w:pPr>
        <w:bidi w:val="0"/>
        <w:rPr>
          <w:color w:val="auto"/>
          <w:highlight w:val="none"/>
        </w:rPr>
      </w:pPr>
      <w:r>
        <w:rPr>
          <w:rFonts w:hint="eastAsia"/>
          <w:color w:val="auto"/>
          <w:highlight w:val="none"/>
          <w:lang w:val="en-US" w:eastAsia="zh-CN"/>
        </w:rPr>
        <w:t>②弃渣场布置：本工程弃渣场按照“分散弃渣、相对集中、安全稳定、便于运弃”的原则，沿场内道路共布设12个弃渣场，分别位于1#风机、2#风机、3#风机、4#风机、6#风机、10#风机、11#风机、12#风机、14#风机、15#风机、16#风机、18#风机进场道路旁，弃渣场周边范围内均无居民、生态保护红线、公共设施和重要基础设施等。</w:t>
      </w:r>
    </w:p>
    <w:p w14:paraId="7854BEE7">
      <w:pPr>
        <w:pStyle w:val="5"/>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施工总体布置</w:t>
      </w:r>
    </w:p>
    <w:p w14:paraId="23FAF73F">
      <w:pPr>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olor w:val="auto"/>
          <w:sz w:val="24"/>
          <w:szCs w:val="24"/>
          <w:highlight w:val="none"/>
          <w:u w:val="none"/>
          <w:lang w:val="en-US" w:eastAsia="zh-CN"/>
        </w:rPr>
      </w:pPr>
      <w:r>
        <w:rPr>
          <w:rFonts w:hint="default" w:ascii="Times New Roman" w:hAnsi="Times New Roman"/>
          <w:color w:val="auto"/>
          <w:sz w:val="24"/>
          <w:szCs w:val="24"/>
          <w:highlight w:val="none"/>
          <w:u w:val="none"/>
          <w:lang w:val="en-US" w:eastAsia="zh-CN"/>
        </w:rPr>
        <w:t>施工总布置应综合考虑工程规模、施工方案及工期、造价等因素，按照因地制宜、因时制宜、有利生产、方便生活、易于管理、安全可靠、节约用地的原则，在满足环保与水保要求的条件下布置生产生活区、施工仓库、供电供水、堆场等。</w:t>
      </w:r>
    </w:p>
    <w:p w14:paraId="48BAC556">
      <w:pPr>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b/>
          <w:bCs/>
          <w:color w:val="auto"/>
          <w:sz w:val="24"/>
          <w:szCs w:val="24"/>
          <w:highlight w:val="none"/>
          <w:u w:val="none"/>
          <w:lang w:val="en-US" w:eastAsia="zh-CN"/>
        </w:rPr>
      </w:pPr>
      <w:r>
        <w:rPr>
          <w:rFonts w:hint="default" w:ascii="Times New Roman" w:hAnsi="Times New Roman"/>
          <w:b/>
          <w:bCs/>
          <w:color w:val="auto"/>
          <w:sz w:val="24"/>
          <w:szCs w:val="24"/>
          <w:highlight w:val="none"/>
          <w:u w:val="none"/>
          <w:lang w:val="en-US" w:eastAsia="zh-CN"/>
        </w:rPr>
        <w:t>1、施工管理及生活区</w:t>
      </w:r>
    </w:p>
    <w:p w14:paraId="4B7A45C4">
      <w:pPr>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olor w:val="auto"/>
          <w:sz w:val="24"/>
          <w:szCs w:val="24"/>
          <w:highlight w:val="none"/>
          <w:u w:val="none"/>
          <w:lang w:val="en-US" w:eastAsia="zh-CN"/>
        </w:rPr>
      </w:pPr>
      <w:r>
        <w:rPr>
          <w:rFonts w:hint="default" w:ascii="Times New Roman" w:hAnsi="Times New Roman"/>
          <w:color w:val="auto"/>
          <w:sz w:val="24"/>
          <w:szCs w:val="24"/>
          <w:highlight w:val="none"/>
          <w:u w:val="none"/>
          <w:lang w:val="en-US" w:eastAsia="zh-CN"/>
        </w:rPr>
        <w:t>根据施工总进度安排，本工程施工高峰</w:t>
      </w:r>
      <w:r>
        <w:rPr>
          <w:rFonts w:hint="eastAsia" w:ascii="Times New Roman" w:hAnsi="Times New Roman"/>
          <w:color w:val="auto"/>
          <w:sz w:val="24"/>
          <w:szCs w:val="24"/>
          <w:highlight w:val="none"/>
          <w:u w:val="none"/>
          <w:lang w:val="en-US" w:eastAsia="zh-CN"/>
        </w:rPr>
        <w:t>期</w:t>
      </w:r>
      <w:r>
        <w:rPr>
          <w:rFonts w:hint="default" w:ascii="Times New Roman" w:hAnsi="Times New Roman"/>
          <w:color w:val="auto"/>
          <w:sz w:val="24"/>
          <w:szCs w:val="24"/>
          <w:highlight w:val="none"/>
          <w:u w:val="none"/>
          <w:lang w:val="en-US" w:eastAsia="zh-CN"/>
        </w:rPr>
        <w:t>人数为</w:t>
      </w:r>
      <w:r>
        <w:rPr>
          <w:rFonts w:hint="eastAsia" w:ascii="Times New Roman" w:hAnsi="Times New Roman"/>
          <w:color w:val="auto"/>
          <w:sz w:val="24"/>
          <w:szCs w:val="24"/>
          <w:highlight w:val="none"/>
          <w:u w:val="none"/>
          <w:lang w:val="en-US" w:eastAsia="zh-CN"/>
        </w:rPr>
        <w:t>100</w:t>
      </w:r>
      <w:r>
        <w:rPr>
          <w:rFonts w:hint="default" w:ascii="Times New Roman" w:hAnsi="Times New Roman"/>
          <w:color w:val="auto"/>
          <w:sz w:val="24"/>
          <w:szCs w:val="24"/>
          <w:highlight w:val="none"/>
          <w:u w:val="none"/>
          <w:lang w:val="en-US" w:eastAsia="zh-CN"/>
        </w:rPr>
        <w:t>人</w:t>
      </w:r>
      <w:r>
        <w:rPr>
          <w:rFonts w:hint="eastAsia" w:ascii="Times New Roman" w:hAnsi="Times New Roman"/>
          <w:color w:val="auto"/>
          <w:sz w:val="24"/>
          <w:szCs w:val="24"/>
          <w:highlight w:val="none"/>
          <w:u w:val="none"/>
          <w:lang w:val="en-US" w:eastAsia="zh-CN"/>
        </w:rPr>
        <w:t>，均为当地民工</w:t>
      </w:r>
      <w:r>
        <w:rPr>
          <w:rFonts w:hint="default" w:ascii="Times New Roman" w:hAnsi="Times New Roman"/>
          <w:color w:val="auto"/>
          <w:sz w:val="24"/>
          <w:szCs w:val="24"/>
          <w:highlight w:val="none"/>
          <w:u w:val="none"/>
          <w:lang w:val="en-US" w:eastAsia="zh-CN"/>
        </w:rPr>
        <w:t>。施工临时生活办公区</w:t>
      </w:r>
      <w:r>
        <w:rPr>
          <w:rFonts w:hint="eastAsia" w:ascii="Times New Roman" w:hAnsi="Times New Roman"/>
          <w:color w:val="auto"/>
          <w:sz w:val="24"/>
          <w:szCs w:val="24"/>
          <w:highlight w:val="none"/>
          <w:u w:val="none"/>
          <w:lang w:val="en-US" w:eastAsia="zh-CN"/>
        </w:rPr>
        <w:t>租用山脚下民房</w:t>
      </w:r>
      <w:r>
        <w:rPr>
          <w:rFonts w:hint="default" w:ascii="Times New Roman" w:hAnsi="Times New Roman"/>
          <w:color w:val="auto"/>
          <w:sz w:val="24"/>
          <w:szCs w:val="24"/>
          <w:highlight w:val="none"/>
          <w:u w:val="none"/>
          <w:lang w:val="en-US" w:eastAsia="zh-CN"/>
        </w:rPr>
        <w:t>。</w:t>
      </w:r>
    </w:p>
    <w:p w14:paraId="58FF7629">
      <w:pPr>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b/>
          <w:bCs/>
          <w:color w:val="auto"/>
          <w:sz w:val="24"/>
          <w:szCs w:val="24"/>
          <w:highlight w:val="none"/>
          <w:u w:val="none"/>
          <w:lang w:val="en-US" w:eastAsia="zh-CN"/>
        </w:rPr>
      </w:pPr>
      <w:r>
        <w:rPr>
          <w:rFonts w:hint="default" w:ascii="Times New Roman" w:hAnsi="Times New Roman"/>
          <w:b/>
          <w:bCs/>
          <w:color w:val="auto"/>
          <w:sz w:val="24"/>
          <w:szCs w:val="24"/>
          <w:highlight w:val="none"/>
          <w:u w:val="none"/>
          <w:lang w:val="en-US" w:eastAsia="zh-CN"/>
        </w:rPr>
        <w:t>2、施工工厂、仓库布置</w:t>
      </w:r>
    </w:p>
    <w:p w14:paraId="651EFA2F">
      <w:pPr>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olor w:val="auto"/>
          <w:sz w:val="24"/>
          <w:szCs w:val="24"/>
          <w:highlight w:val="none"/>
          <w:u w:val="none"/>
          <w:lang w:val="en-US" w:eastAsia="zh-CN"/>
        </w:rPr>
      </w:pPr>
      <w:r>
        <w:rPr>
          <w:rFonts w:hint="default" w:ascii="Times New Roman" w:hAnsi="Times New Roman"/>
          <w:color w:val="auto"/>
          <w:sz w:val="24"/>
          <w:szCs w:val="24"/>
          <w:highlight w:val="none"/>
          <w:u w:val="none"/>
          <w:lang w:val="en-US" w:eastAsia="zh-CN"/>
        </w:rPr>
        <w:t>根据风电场场址附近的地势条件，初步考虑按集中与分散相结合的原则，把施工</w:t>
      </w:r>
      <w:r>
        <w:rPr>
          <w:rFonts w:hint="eastAsia" w:ascii="Times New Roman" w:hAnsi="Times New Roman"/>
          <w:color w:val="auto"/>
          <w:sz w:val="24"/>
          <w:szCs w:val="24"/>
          <w:highlight w:val="none"/>
          <w:u w:val="none"/>
          <w:lang w:val="en-US" w:eastAsia="zh-CN"/>
        </w:rPr>
        <w:t>材料加工厂设置在升压站空地内，砂石料堆场均布置在风机平台内，不新增占地</w:t>
      </w:r>
      <w:r>
        <w:rPr>
          <w:rFonts w:hint="default" w:ascii="Times New Roman" w:hAnsi="Times New Roman"/>
          <w:color w:val="auto"/>
          <w:sz w:val="24"/>
          <w:szCs w:val="24"/>
          <w:highlight w:val="none"/>
          <w:u w:val="none"/>
          <w:lang w:val="en-US" w:eastAsia="zh-CN"/>
        </w:rPr>
        <w:t>。</w:t>
      </w:r>
    </w:p>
    <w:p w14:paraId="0AE8A538">
      <w:pPr>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olor w:val="auto"/>
          <w:sz w:val="24"/>
          <w:szCs w:val="24"/>
          <w:highlight w:val="none"/>
          <w:u w:val="none"/>
          <w:lang w:val="en-US" w:eastAsia="zh-CN"/>
        </w:rPr>
      </w:pPr>
      <w:r>
        <w:rPr>
          <w:rFonts w:hint="default" w:ascii="Times New Roman" w:hAnsi="Times New Roman"/>
          <w:color w:val="auto"/>
          <w:sz w:val="24"/>
          <w:szCs w:val="24"/>
          <w:highlight w:val="none"/>
          <w:u w:val="none"/>
          <w:lang w:val="en-US" w:eastAsia="zh-CN"/>
        </w:rPr>
        <w:t>1)混凝土</w:t>
      </w:r>
    </w:p>
    <w:p w14:paraId="30E37F2C">
      <w:pPr>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olor w:val="auto"/>
          <w:sz w:val="24"/>
          <w:szCs w:val="24"/>
          <w:highlight w:val="none"/>
          <w:u w:val="none"/>
          <w:lang w:val="en-US" w:eastAsia="zh-CN"/>
        </w:rPr>
      </w:pPr>
      <w:r>
        <w:rPr>
          <w:rFonts w:hint="default" w:ascii="Times New Roman" w:hAnsi="Times New Roman"/>
          <w:color w:val="auto"/>
          <w:sz w:val="24"/>
          <w:szCs w:val="24"/>
          <w:highlight w:val="none"/>
          <w:u w:val="none"/>
          <w:lang w:val="en-US" w:eastAsia="zh-CN"/>
        </w:rPr>
        <w:t>本工程混凝土系统的生产能力受控于风机基础混凝土浇筑的仓面面积，并考虑混凝土初凝时间的影响，单台风机基础混凝土在12小时内一次连续浇筑完成，经计算，混凝土平均浇筑强度为72.61m</w:t>
      </w:r>
      <w:r>
        <w:rPr>
          <w:rFonts w:hint="default" w:ascii="Times New Roman" w:hAnsi="Times New Roman"/>
          <w:color w:val="auto"/>
          <w:sz w:val="24"/>
          <w:szCs w:val="24"/>
          <w:highlight w:val="none"/>
          <w:u w:val="none"/>
          <w:vertAlign w:val="superscript"/>
          <w:lang w:val="en-US" w:eastAsia="zh-CN"/>
        </w:rPr>
        <w:t>3</w:t>
      </w:r>
      <w:r>
        <w:rPr>
          <w:rFonts w:hint="default" w:ascii="Times New Roman" w:hAnsi="Times New Roman"/>
          <w:color w:val="auto"/>
          <w:sz w:val="24"/>
          <w:szCs w:val="24"/>
          <w:highlight w:val="none"/>
          <w:u w:val="none"/>
          <w:lang w:val="en-US" w:eastAsia="zh-CN"/>
        </w:rPr>
        <w:t>/h。本项目距离祁东县约20km，采用商品混凝土。</w:t>
      </w:r>
    </w:p>
    <w:p w14:paraId="43DBA83D">
      <w:pPr>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olor w:val="auto"/>
          <w:sz w:val="24"/>
          <w:szCs w:val="24"/>
          <w:highlight w:val="none"/>
          <w:u w:val="none"/>
          <w:lang w:val="en-US" w:eastAsia="zh-CN"/>
        </w:rPr>
      </w:pPr>
      <w:r>
        <w:rPr>
          <w:rFonts w:hint="default" w:ascii="Times New Roman" w:hAnsi="Times New Roman"/>
          <w:color w:val="auto"/>
          <w:sz w:val="24"/>
          <w:szCs w:val="24"/>
          <w:highlight w:val="none"/>
          <w:u w:val="none"/>
          <w:lang w:val="en-US" w:eastAsia="zh-CN"/>
        </w:rPr>
        <w:t>2)砂石料堆场</w:t>
      </w:r>
    </w:p>
    <w:p w14:paraId="577B2BEA">
      <w:pPr>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olor w:val="auto"/>
          <w:sz w:val="24"/>
          <w:szCs w:val="24"/>
          <w:highlight w:val="none"/>
          <w:u w:val="none"/>
          <w:lang w:val="en-US" w:eastAsia="zh-CN"/>
        </w:rPr>
      </w:pPr>
      <w:r>
        <w:rPr>
          <w:rFonts w:hint="default" w:ascii="Times New Roman" w:hAnsi="Times New Roman"/>
          <w:color w:val="auto"/>
          <w:sz w:val="24"/>
          <w:szCs w:val="24"/>
          <w:highlight w:val="none"/>
          <w:u w:val="none"/>
          <w:lang w:val="en-US" w:eastAsia="zh-CN"/>
        </w:rPr>
        <w:t>本工程不设砂石料加工系统，只设砂石料堆场，砂石料按水泥砂浆和零星自拌混凝土量高峰期5天砂石骨料用量堆存。砂石料堆场场地浇筑厚度为100mm的C20混凝土，下设100mm厚碎石垫层</w:t>
      </w:r>
      <w:r>
        <w:rPr>
          <w:rFonts w:hint="eastAsia" w:ascii="Times New Roman" w:hAnsi="Times New Roman"/>
          <w:color w:val="auto"/>
          <w:sz w:val="24"/>
          <w:szCs w:val="24"/>
          <w:highlight w:val="none"/>
          <w:u w:val="none"/>
          <w:lang w:val="en-US" w:eastAsia="zh-CN"/>
        </w:rPr>
        <w:t>，砂石料堆场均布置在风机平台内，不新增占地</w:t>
      </w:r>
      <w:r>
        <w:rPr>
          <w:rFonts w:hint="default" w:ascii="Times New Roman" w:hAnsi="Times New Roman"/>
          <w:color w:val="auto"/>
          <w:sz w:val="24"/>
          <w:szCs w:val="24"/>
          <w:highlight w:val="none"/>
          <w:u w:val="none"/>
          <w:lang w:val="en-US" w:eastAsia="zh-CN"/>
        </w:rPr>
        <w:t>。</w:t>
      </w:r>
    </w:p>
    <w:p w14:paraId="04AE3329">
      <w:pPr>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olor w:val="auto"/>
          <w:sz w:val="24"/>
          <w:szCs w:val="24"/>
          <w:highlight w:val="none"/>
          <w:u w:val="none"/>
          <w:lang w:val="en-US" w:eastAsia="zh-CN"/>
        </w:rPr>
      </w:pPr>
      <w:r>
        <w:rPr>
          <w:rFonts w:hint="default" w:ascii="Times New Roman" w:hAnsi="Times New Roman"/>
          <w:color w:val="auto"/>
          <w:sz w:val="24"/>
          <w:szCs w:val="24"/>
          <w:highlight w:val="none"/>
          <w:u w:val="none"/>
          <w:lang w:val="en-US" w:eastAsia="zh-CN"/>
        </w:rPr>
        <w:t>3)机械修配及综合加工厂</w:t>
      </w:r>
    </w:p>
    <w:p w14:paraId="606AF6A0">
      <w:pPr>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olor w:val="auto"/>
          <w:sz w:val="24"/>
          <w:szCs w:val="24"/>
          <w:highlight w:val="none"/>
          <w:u w:val="none"/>
          <w:lang w:val="en-US" w:eastAsia="zh-CN"/>
        </w:rPr>
      </w:pPr>
      <w:r>
        <w:rPr>
          <w:rFonts w:hint="default" w:ascii="Times New Roman" w:hAnsi="Times New Roman"/>
          <w:color w:val="auto"/>
          <w:sz w:val="24"/>
          <w:szCs w:val="24"/>
          <w:highlight w:val="none"/>
          <w:u w:val="none"/>
          <w:lang w:val="en-US" w:eastAsia="zh-CN"/>
        </w:rPr>
        <w:t>本工程距城区较近，混凝土预制件采取在当地采购的方式，现场不再另外设置混凝土预制件厂</w:t>
      </w:r>
      <w:r>
        <w:rPr>
          <w:rFonts w:hint="eastAsia" w:ascii="Times New Roman" w:hAnsi="Times New Roman"/>
          <w:color w:val="auto"/>
          <w:sz w:val="24"/>
          <w:szCs w:val="24"/>
          <w:highlight w:val="none"/>
          <w:u w:val="none"/>
          <w:lang w:val="en-US" w:eastAsia="zh-CN"/>
        </w:rPr>
        <w:t>，</w:t>
      </w:r>
      <w:r>
        <w:rPr>
          <w:rFonts w:hint="default" w:ascii="Times New Roman" w:hAnsi="Times New Roman"/>
          <w:color w:val="auto"/>
          <w:sz w:val="24"/>
          <w:szCs w:val="24"/>
          <w:highlight w:val="none"/>
          <w:u w:val="none"/>
          <w:lang w:val="en-US" w:eastAsia="zh-CN"/>
        </w:rPr>
        <w:t>仅设置机械修配厂及综合加工系统(包括钢筋加工厂、木材加工厂)。为了便于管理，综合加工厂集中布置在</w:t>
      </w:r>
      <w:r>
        <w:rPr>
          <w:rFonts w:hint="eastAsia" w:ascii="Times New Roman" w:hAnsi="Times New Roman"/>
          <w:color w:val="auto"/>
          <w:sz w:val="24"/>
          <w:szCs w:val="24"/>
          <w:highlight w:val="none"/>
          <w:u w:val="none"/>
          <w:lang w:val="en-US" w:eastAsia="zh-CN"/>
        </w:rPr>
        <w:t>升压站内，不新增占地</w:t>
      </w:r>
      <w:r>
        <w:rPr>
          <w:rFonts w:hint="default" w:ascii="Times New Roman" w:hAnsi="Times New Roman"/>
          <w:color w:val="auto"/>
          <w:sz w:val="24"/>
          <w:szCs w:val="24"/>
          <w:highlight w:val="none"/>
          <w:u w:val="none"/>
          <w:lang w:val="en-US" w:eastAsia="zh-CN"/>
        </w:rPr>
        <w:t>。</w:t>
      </w:r>
    </w:p>
    <w:p w14:paraId="02ED7D36">
      <w:pPr>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b/>
          <w:bCs/>
          <w:color w:val="auto"/>
          <w:sz w:val="24"/>
          <w:szCs w:val="24"/>
          <w:highlight w:val="none"/>
          <w:u w:val="none"/>
          <w:lang w:val="en-US" w:eastAsia="zh-CN"/>
        </w:rPr>
      </w:pPr>
      <w:r>
        <w:rPr>
          <w:rFonts w:hint="eastAsia" w:ascii="Times New Roman" w:hAnsi="Times New Roman"/>
          <w:b/>
          <w:bCs/>
          <w:color w:val="auto"/>
          <w:sz w:val="24"/>
          <w:szCs w:val="24"/>
          <w:highlight w:val="none"/>
          <w:u w:val="none"/>
          <w:lang w:val="en-US" w:eastAsia="zh-CN"/>
        </w:rPr>
        <w:t>3</w:t>
      </w:r>
      <w:r>
        <w:rPr>
          <w:rFonts w:hint="default" w:ascii="Times New Roman" w:hAnsi="Times New Roman"/>
          <w:b/>
          <w:bCs/>
          <w:color w:val="auto"/>
          <w:sz w:val="24"/>
          <w:szCs w:val="24"/>
          <w:highlight w:val="none"/>
          <w:u w:val="none"/>
          <w:lang w:val="en-US" w:eastAsia="zh-CN"/>
        </w:rPr>
        <w:t>、</w:t>
      </w:r>
      <w:r>
        <w:rPr>
          <w:rFonts w:hint="eastAsia" w:ascii="Times New Roman" w:hAnsi="Times New Roman"/>
          <w:b/>
          <w:bCs/>
          <w:color w:val="auto"/>
          <w:sz w:val="24"/>
          <w:szCs w:val="24"/>
          <w:highlight w:val="none"/>
          <w:u w:val="none"/>
          <w:lang w:val="en-US" w:eastAsia="zh-CN"/>
        </w:rPr>
        <w:t>交通运输及施工道路</w:t>
      </w:r>
    </w:p>
    <w:p w14:paraId="1C3BA28E">
      <w:pPr>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olor w:val="auto"/>
          <w:sz w:val="24"/>
          <w:szCs w:val="24"/>
          <w:highlight w:val="none"/>
          <w:u w:val="none"/>
          <w:lang w:val="en-US" w:eastAsia="zh-CN"/>
        </w:rPr>
      </w:pPr>
      <w:r>
        <w:rPr>
          <w:rFonts w:hint="eastAsia" w:ascii="Times New Roman" w:hAnsi="Times New Roman"/>
          <w:color w:val="auto"/>
          <w:sz w:val="24"/>
          <w:szCs w:val="24"/>
          <w:highlight w:val="none"/>
          <w:u w:val="none"/>
          <w:lang w:val="en-US" w:eastAsia="zh-CN"/>
        </w:rPr>
        <w:t>1）</w:t>
      </w:r>
      <w:r>
        <w:rPr>
          <w:rFonts w:hint="default" w:ascii="Times New Roman" w:hAnsi="Times New Roman"/>
          <w:color w:val="auto"/>
          <w:sz w:val="24"/>
          <w:szCs w:val="24"/>
          <w:highlight w:val="none"/>
          <w:u w:val="none"/>
          <w:lang w:val="en-US" w:eastAsia="zh-CN"/>
        </w:rPr>
        <w:t>进场道路</w:t>
      </w:r>
    </w:p>
    <w:p w14:paraId="6429886F">
      <w:pPr>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olor w:val="auto"/>
          <w:sz w:val="24"/>
          <w:szCs w:val="24"/>
          <w:highlight w:val="none"/>
          <w:u w:val="none"/>
          <w:lang w:val="en-US" w:eastAsia="zh-CN"/>
        </w:rPr>
      </w:pPr>
      <w:r>
        <w:rPr>
          <w:rFonts w:hint="default" w:ascii="Times New Roman" w:hAnsi="Times New Roman"/>
          <w:color w:val="auto"/>
          <w:sz w:val="24"/>
          <w:szCs w:val="24"/>
          <w:highlight w:val="none"/>
          <w:u w:val="none"/>
          <w:lang w:val="en-US" w:eastAsia="zh-CN"/>
        </w:rPr>
        <w:t>风机厂家→G72泉南高速归阳收费站→G234国道抵达祁东县→G322国道到达白地市镇→S317省道至黄土铺镇附近→石黄线、S226省道→新建道路至机位点。</w:t>
      </w:r>
    </w:p>
    <w:p w14:paraId="555A38F9">
      <w:pPr>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olor w:val="auto"/>
          <w:sz w:val="24"/>
          <w:szCs w:val="24"/>
          <w:highlight w:val="none"/>
          <w:u w:val="none"/>
          <w:lang w:val="en-US" w:eastAsia="zh-CN"/>
        </w:rPr>
      </w:pPr>
      <w:r>
        <w:rPr>
          <w:rFonts w:hint="default" w:ascii="Times New Roman" w:hAnsi="Times New Roman"/>
          <w:color w:val="auto"/>
          <w:sz w:val="24"/>
          <w:szCs w:val="24"/>
          <w:highlight w:val="none"/>
          <w:u w:val="none"/>
          <w:lang w:val="en-US" w:eastAsia="zh-CN"/>
        </w:rPr>
        <w:t>2</w:t>
      </w:r>
      <w:r>
        <w:rPr>
          <w:rFonts w:hint="eastAsia" w:ascii="Times New Roman" w:hAnsi="Times New Roman"/>
          <w:color w:val="auto"/>
          <w:sz w:val="24"/>
          <w:szCs w:val="24"/>
          <w:highlight w:val="none"/>
          <w:u w:val="none"/>
          <w:lang w:val="en-US" w:eastAsia="zh-CN"/>
        </w:rPr>
        <w:t>）</w:t>
      </w:r>
      <w:r>
        <w:rPr>
          <w:rFonts w:hint="default" w:ascii="Times New Roman" w:hAnsi="Times New Roman"/>
          <w:color w:val="auto"/>
          <w:sz w:val="24"/>
          <w:szCs w:val="24"/>
          <w:highlight w:val="none"/>
          <w:u w:val="none"/>
          <w:lang w:val="en-US" w:eastAsia="zh-CN"/>
        </w:rPr>
        <w:t>场内临时施工检修道路</w:t>
      </w:r>
    </w:p>
    <w:p w14:paraId="011DA4DB">
      <w:pPr>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olor w:val="auto"/>
          <w:sz w:val="24"/>
          <w:szCs w:val="24"/>
          <w:highlight w:val="none"/>
          <w:u w:val="none"/>
          <w:lang w:val="en-US" w:eastAsia="zh-CN"/>
        </w:rPr>
      </w:pPr>
      <w:r>
        <w:rPr>
          <w:rFonts w:hint="default" w:ascii="Times New Roman" w:hAnsi="Times New Roman"/>
          <w:color w:val="auto"/>
          <w:sz w:val="24"/>
          <w:szCs w:val="24"/>
          <w:highlight w:val="none"/>
          <w:u w:val="none"/>
          <w:lang w:val="en-US" w:eastAsia="zh-CN"/>
        </w:rPr>
        <w:t>风电场场内</w:t>
      </w:r>
      <w:r>
        <w:rPr>
          <w:rFonts w:hint="eastAsia"/>
          <w:color w:val="auto"/>
          <w:sz w:val="24"/>
          <w:szCs w:val="24"/>
          <w:highlight w:val="none"/>
          <w:u w:val="none"/>
          <w:lang w:val="en-US" w:eastAsia="zh-CN"/>
        </w:rPr>
        <w:t>施工检修道</w:t>
      </w:r>
      <w:r>
        <w:rPr>
          <w:rFonts w:hint="default" w:ascii="Times New Roman" w:hAnsi="Times New Roman"/>
          <w:color w:val="auto"/>
          <w:sz w:val="24"/>
          <w:szCs w:val="24"/>
          <w:highlight w:val="none"/>
          <w:u w:val="none"/>
          <w:lang w:val="en-US" w:eastAsia="zh-CN"/>
        </w:rPr>
        <w:t>路设计考虑永临结合，施工期间为满足施工及设备运输要求，运输方式采用特种车辆运输，运行期满足检修维护的需要，场内道路设计标准：</w:t>
      </w:r>
    </w:p>
    <w:p w14:paraId="36A13B08">
      <w:pPr>
        <w:bidi w:val="0"/>
        <w:rPr>
          <w:color w:val="auto"/>
          <w:highlight w:val="none"/>
        </w:rPr>
      </w:pPr>
      <w:r>
        <w:rPr>
          <w:rFonts w:hint="default" w:ascii="Times New Roman" w:hAnsi="Times New Roman"/>
          <w:color w:val="auto"/>
          <w:sz w:val="24"/>
          <w:szCs w:val="24"/>
          <w:highlight w:val="none"/>
          <w:u w:val="none"/>
          <w:lang w:val="en-US" w:eastAsia="zh-CN"/>
        </w:rPr>
        <w:t>道路路基宽6m，路面宽5m，采用20cm厚山皮石路面结构。本风电场采用特种运输，平曲线和最小转弯半径应满足风电机长叶片运输要求，本阶段考虑最小转弯半径为25m，对应宽度为9.0m；压实度达到94%。纵坡最大控制在14%以内。最小竖曲线半径为200m。场内道路施工要求做好道路两侧的排水设施及挡墙、护坡工程，防止山体滑坡等地质灾害。</w:t>
      </w:r>
    </w:p>
    <w:p w14:paraId="08385FE7">
      <w:pPr>
        <w:pStyle w:val="5"/>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施工工艺</w:t>
      </w:r>
    </w:p>
    <w:p w14:paraId="21FB277F">
      <w:pPr>
        <w:bidi w:val="0"/>
        <w:rPr>
          <w:rFonts w:hint="eastAsia"/>
          <w:color w:val="auto"/>
          <w:highlight w:val="none"/>
          <w:lang w:val="en-US" w:eastAsia="zh-CN"/>
        </w:rPr>
      </w:pPr>
      <w:r>
        <w:rPr>
          <w:rFonts w:hint="eastAsia"/>
          <w:color w:val="auto"/>
          <w:highlight w:val="none"/>
          <w:lang w:val="en-US" w:eastAsia="zh-CN"/>
        </w:rPr>
        <w:t>风电场施工工艺：修建道路、平整场地，然后进行施工建设的主体部分——风电机组安装，此外，项目还包括临时性工程。施工期主要流程及污染物产生节点见图4.4-2。</w:t>
      </w:r>
    </w:p>
    <w:p w14:paraId="42633D6F">
      <w:pPr>
        <w:bidi w:val="0"/>
        <w:rPr>
          <w:rFonts w:hint="eastAsia"/>
          <w:color w:val="auto"/>
          <w:highlight w:val="none"/>
          <w:lang w:val="en-US" w:eastAsia="zh-CN"/>
        </w:rPr>
      </w:pPr>
      <w:r>
        <w:rPr>
          <w:rFonts w:hint="eastAsia" w:ascii="Times New Roman" w:hAnsi="Times New Roman" w:eastAsia="宋体" w:cs="Times New Roman"/>
          <w:b/>
          <w:bCs/>
          <w:color w:val="auto"/>
          <w:kern w:val="0"/>
          <w:szCs w:val="24"/>
          <w:highlight w:val="none"/>
          <w:lang w:val="en-US" w:eastAsia="zh-CN" w:bidi="ar"/>
        </w:rPr>
        <w:object>
          <v:shape id="_x0000_i1027" o:spt="75" type="#_x0000_t75" style="height:260.25pt;width:372pt;" o:ole="t" filled="f" o:preferrelative="t" stroked="f" coordsize="21600,21600">
            <v:path/>
            <v:fill on="f" focussize="0,0"/>
            <v:stroke on="f"/>
            <v:imagedata r:id="rId19" o:title=""/>
            <o:lock v:ext="edit" aspectratio="f"/>
            <w10:wrap type="none"/>
            <w10:anchorlock/>
          </v:shape>
          <o:OLEObject Type="Embed" ProgID="Visio.Drawing.11" ShapeID="_x0000_i1027" DrawAspect="Content" ObjectID="_1468075727" r:id="rId18">
            <o:LockedField>false</o:LockedField>
          </o:OLEObject>
        </w:object>
      </w:r>
    </w:p>
    <w:p w14:paraId="72A50BC7">
      <w:pPr>
        <w:bidi w:val="0"/>
        <w:ind w:left="0" w:leftChars="0" w:firstLine="0" w:firstLineChars="0"/>
        <w:jc w:val="center"/>
        <w:rPr>
          <w:b/>
          <w:bCs/>
          <w:color w:val="auto"/>
          <w:highlight w:val="none"/>
        </w:rPr>
      </w:pPr>
      <w:r>
        <w:rPr>
          <w:rFonts w:hint="eastAsia"/>
          <w:b/>
          <w:bCs/>
          <w:color w:val="auto"/>
          <w:highlight w:val="none"/>
          <w:lang w:val="en-US" w:eastAsia="zh-CN"/>
        </w:rPr>
        <w:t>图4.4-2  施工期主要工序及产污示意图</w:t>
      </w:r>
    </w:p>
    <w:p w14:paraId="6BF8EA48">
      <w:pPr>
        <w:bidi w:val="0"/>
        <w:rPr>
          <w:rFonts w:hint="eastAsia"/>
          <w:color w:val="auto"/>
          <w:highlight w:val="none"/>
          <w:lang w:val="en-US" w:eastAsia="zh-CN"/>
        </w:rPr>
      </w:pPr>
      <w:r>
        <w:rPr>
          <w:rFonts w:hint="eastAsia"/>
          <w:color w:val="auto"/>
          <w:highlight w:val="none"/>
          <w:lang w:val="en-US" w:eastAsia="zh-CN"/>
        </w:rPr>
        <w:t>1、道路施工</w:t>
      </w:r>
    </w:p>
    <w:p w14:paraId="1447B1CE">
      <w:pPr>
        <w:bidi w:val="0"/>
        <w:rPr>
          <w:rFonts w:hint="eastAsia"/>
          <w:color w:val="auto"/>
          <w:highlight w:val="none"/>
          <w:lang w:val="en-US" w:eastAsia="zh-CN"/>
        </w:rPr>
      </w:pPr>
      <w:r>
        <w:rPr>
          <w:rFonts w:hint="eastAsia"/>
          <w:color w:val="auto"/>
          <w:highlight w:val="none"/>
          <w:lang w:val="en-US" w:eastAsia="zh-CN"/>
        </w:rPr>
        <w:t>道路土方采用挖掘机开挖，石方采用手风钻钻孔爆破，推土机集料，装载机配自卸汽车运至道路填方部位或相应的弃渣场，并根据现场开挖后的地质条件，在需要路段砌筑挡墙。土石方填筑采用自卸汽车卸料，推土机推平，按设计要求振动、分层碾压至设计密实度。</w:t>
      </w:r>
    </w:p>
    <w:p w14:paraId="670D2CC2">
      <w:pPr>
        <w:bidi w:val="0"/>
        <w:rPr>
          <w:rFonts w:hint="eastAsia"/>
          <w:color w:val="auto"/>
          <w:highlight w:val="none"/>
          <w:lang w:val="en-US" w:eastAsia="zh-CN"/>
        </w:rPr>
      </w:pPr>
      <w:r>
        <w:rPr>
          <w:rFonts w:hint="eastAsia"/>
          <w:color w:val="auto"/>
          <w:highlight w:val="none"/>
          <w:lang w:val="en-US" w:eastAsia="zh-CN"/>
        </w:rPr>
        <w:t>2、风力发电机组基础工程施工</w:t>
      </w:r>
    </w:p>
    <w:p w14:paraId="5CD6AF0A">
      <w:pPr>
        <w:bidi w:val="0"/>
        <w:rPr>
          <w:rFonts w:hint="eastAsia"/>
          <w:color w:val="auto"/>
          <w:highlight w:val="none"/>
          <w:lang w:val="en-US" w:eastAsia="zh-CN"/>
        </w:rPr>
      </w:pPr>
      <w:r>
        <w:rPr>
          <w:rFonts w:hint="eastAsia"/>
          <w:color w:val="auto"/>
          <w:highlight w:val="none"/>
          <w:lang w:val="en-US" w:eastAsia="zh-CN"/>
        </w:rPr>
        <w:t>基础开挖前，按照图纸要求进行测量、放线，准确定位后进行土石方开挖。基础土石方开挖采用推土机或反铲分层剥离，尽量避免基底土方扰动，基坑底部留30cm保护层，采用人工开挖。基坑开挖以钢筋混凝土结构尺寸每边各加宽1.0m，为防止脱落土石滑下影响施工，开挖按1：1放坡，风机基础混凝土强度C40。开挖出底面后经人工清理验收完成后，再浇筑厚度100mm的C20混凝土垫层。在其上进行基础混凝土施工，施工需架设模板、绑扎钢筋并浇筑混凝土，其尺寸和钢筋的布置严格按照设计图纸要求进行。混凝土必须一次浇筑完成，不允许有施工接缝。混凝土施工中应用测量仪器经常测量，以保证基础埋筒的上法兰平整度为±2mm的精度要求。施工结束后混凝土表面必须遮盖养护，防止表面出现裂缝。回填土石料要求密度大于1.8t/m3，填至风机基础顶面下4cm，并设置1%的排水坡度。</w:t>
      </w:r>
    </w:p>
    <w:p w14:paraId="05EEAD7E">
      <w:pPr>
        <w:bidi w:val="0"/>
        <w:rPr>
          <w:rFonts w:hint="eastAsia"/>
          <w:color w:val="auto"/>
          <w:highlight w:val="none"/>
          <w:lang w:val="en-US" w:eastAsia="zh-CN"/>
        </w:rPr>
      </w:pPr>
      <w:r>
        <w:rPr>
          <w:rFonts w:hint="eastAsia"/>
          <w:color w:val="auto"/>
          <w:highlight w:val="none"/>
          <w:lang w:val="en-US" w:eastAsia="zh-CN"/>
        </w:rPr>
        <w:t>3、箱式变电站基础工程施工</w:t>
      </w:r>
    </w:p>
    <w:p w14:paraId="5EE1CB9E">
      <w:pPr>
        <w:bidi w:val="0"/>
        <w:rPr>
          <w:rFonts w:hint="eastAsia"/>
          <w:color w:val="auto"/>
          <w:highlight w:val="none"/>
          <w:lang w:val="en-US" w:eastAsia="zh-CN"/>
        </w:rPr>
      </w:pPr>
      <w:r>
        <w:rPr>
          <w:rFonts w:hint="eastAsia"/>
          <w:color w:val="auto"/>
          <w:highlight w:val="none"/>
          <w:lang w:val="en-US" w:eastAsia="zh-CN"/>
        </w:rPr>
        <w:t>箱式变电站的基础采用混凝土基础。首先用小型挖掘机进行基础开挖，并辅以人工修正基坑边坡，基础开挖完工后，应将基坑清理干净，进行验收。基坑验收完毕后，根据地质情况对基础做出处理。浇筑基础混凝土时，先浇筑</w:t>
      </w:r>
      <w:r>
        <w:rPr>
          <w:rFonts w:hint="default"/>
          <w:color w:val="auto"/>
          <w:highlight w:val="none"/>
          <w:lang w:val="en-US" w:eastAsia="zh-CN"/>
        </w:rPr>
        <w:t>100mm</w:t>
      </w:r>
      <w:r>
        <w:rPr>
          <w:rFonts w:hint="eastAsia"/>
          <w:color w:val="auto"/>
          <w:highlight w:val="none"/>
          <w:lang w:val="en-US" w:eastAsia="zh-CN"/>
        </w:rPr>
        <w:t>厚度的</w:t>
      </w:r>
      <w:r>
        <w:rPr>
          <w:rFonts w:hint="default"/>
          <w:color w:val="auto"/>
          <w:highlight w:val="none"/>
          <w:lang w:val="en-US" w:eastAsia="zh-CN"/>
        </w:rPr>
        <w:t>C20</w:t>
      </w:r>
      <w:r>
        <w:rPr>
          <w:rFonts w:hint="eastAsia"/>
          <w:color w:val="auto"/>
          <w:highlight w:val="none"/>
          <w:lang w:val="en-US" w:eastAsia="zh-CN"/>
        </w:rPr>
        <w:t>混凝土垫层，待混凝土达到设计强度后，再进行绑扎钢筋、架设模板，浇筑</w:t>
      </w:r>
      <w:r>
        <w:rPr>
          <w:rFonts w:hint="default"/>
          <w:color w:val="auto"/>
          <w:highlight w:val="none"/>
          <w:lang w:val="en-US" w:eastAsia="zh-CN"/>
        </w:rPr>
        <w:t>C30</w:t>
      </w:r>
      <w:r>
        <w:rPr>
          <w:rFonts w:hint="eastAsia"/>
          <w:color w:val="auto"/>
          <w:highlight w:val="none"/>
          <w:lang w:val="en-US" w:eastAsia="zh-CN"/>
        </w:rPr>
        <w:t>基础混凝土。</w:t>
      </w:r>
    </w:p>
    <w:p w14:paraId="5517C4D5">
      <w:pPr>
        <w:bidi w:val="0"/>
        <w:rPr>
          <w:rFonts w:hint="eastAsia"/>
          <w:color w:val="auto"/>
          <w:highlight w:val="none"/>
          <w:lang w:val="en-US" w:eastAsia="zh-CN"/>
        </w:rPr>
      </w:pPr>
      <w:r>
        <w:rPr>
          <w:rFonts w:hint="eastAsia"/>
          <w:color w:val="auto"/>
          <w:highlight w:val="none"/>
          <w:lang w:val="en-US" w:eastAsia="zh-CN"/>
        </w:rPr>
        <w:t>4、风力发电机机组的安装</w:t>
      </w:r>
    </w:p>
    <w:p w14:paraId="5C44893D">
      <w:pPr>
        <w:bidi w:val="0"/>
        <w:rPr>
          <w:rFonts w:hint="eastAsia"/>
          <w:color w:val="auto"/>
          <w:highlight w:val="none"/>
          <w:lang w:val="en-US" w:eastAsia="zh-CN"/>
        </w:rPr>
      </w:pPr>
      <w:r>
        <w:rPr>
          <w:rFonts w:hint="eastAsia"/>
          <w:color w:val="auto"/>
          <w:highlight w:val="none"/>
          <w:lang w:val="en-US" w:eastAsia="zh-CN"/>
        </w:rPr>
        <w:t>本风电场共安装20台单机容量5.0MW风力发电机组，采用钢塔筒，塔筒与基础采用预应力锚栓连接。机型轮毂中心高度为115m，叶轮直径为200m，最长件风机叶片为97.5m，安装起吊的最大高度约120m，最大起吊重量约130t。</w:t>
      </w:r>
    </w:p>
    <w:p w14:paraId="49382996">
      <w:pPr>
        <w:bidi w:val="0"/>
        <w:rPr>
          <w:rFonts w:hint="eastAsia"/>
          <w:color w:val="auto"/>
          <w:highlight w:val="none"/>
          <w:lang w:val="en-US" w:eastAsia="zh-CN"/>
        </w:rPr>
      </w:pPr>
      <w:r>
        <w:rPr>
          <w:rFonts w:hint="eastAsia"/>
          <w:color w:val="auto"/>
          <w:highlight w:val="none"/>
          <w:lang w:val="en-US" w:eastAsia="zh-CN"/>
        </w:rPr>
        <w:t>根据已建风电工程风机吊装经验及总进度安排，采用两套起吊设备进行安装。主吊设备采用1200t履带式起重机，辅吊采用150t汽车式起重机。</w:t>
      </w:r>
    </w:p>
    <w:p w14:paraId="18EDBE4B">
      <w:pPr>
        <w:bidi w:val="0"/>
        <w:rPr>
          <w:rFonts w:hint="eastAsia"/>
          <w:color w:val="auto"/>
          <w:highlight w:val="none"/>
          <w:lang w:val="en-US" w:eastAsia="zh-CN"/>
        </w:rPr>
      </w:pPr>
      <w:r>
        <w:rPr>
          <w:rFonts w:hint="eastAsia"/>
          <w:color w:val="auto"/>
          <w:highlight w:val="none"/>
          <w:lang w:val="en-US" w:eastAsia="zh-CN"/>
        </w:rPr>
        <w:t>a）塔筒安装</w:t>
      </w:r>
    </w:p>
    <w:p w14:paraId="6AE5AE68">
      <w:pPr>
        <w:bidi w:val="0"/>
        <w:rPr>
          <w:rFonts w:hint="eastAsia"/>
          <w:color w:val="auto"/>
          <w:highlight w:val="none"/>
          <w:lang w:val="en-US" w:eastAsia="zh-CN"/>
        </w:rPr>
      </w:pPr>
      <w:r>
        <w:rPr>
          <w:rFonts w:hint="eastAsia"/>
          <w:color w:val="auto"/>
          <w:highlight w:val="none"/>
          <w:lang w:val="en-US" w:eastAsia="zh-CN"/>
        </w:rPr>
        <w:t>塔筒安装前，要掌握安装期间工程区气象条件，以确保安装作业安全。安装时，先利用汽车式（履带式）起重机提升下塔筒，慢慢将塔筒竖立，使塔筒的下端准确座落在基础法兰钢管上，按设计要求连接法兰盘，做到牢固可靠。中塔筒、上塔筒的安装方法与下塔筒相同。</w:t>
      </w:r>
    </w:p>
    <w:p w14:paraId="6CDE5D0D">
      <w:pPr>
        <w:bidi w:val="0"/>
        <w:rPr>
          <w:rFonts w:hint="eastAsia"/>
          <w:color w:val="auto"/>
          <w:highlight w:val="none"/>
          <w:lang w:val="en-US" w:eastAsia="zh-CN"/>
        </w:rPr>
      </w:pPr>
      <w:r>
        <w:rPr>
          <w:rFonts w:hint="eastAsia"/>
          <w:color w:val="auto"/>
          <w:highlight w:val="none"/>
          <w:lang w:val="en-US" w:eastAsia="zh-CN"/>
        </w:rPr>
        <w:t>b）风力发电机组安装</w:t>
      </w:r>
    </w:p>
    <w:p w14:paraId="0B37620B">
      <w:pPr>
        <w:bidi w:val="0"/>
        <w:rPr>
          <w:rFonts w:hint="eastAsia"/>
          <w:color w:val="auto"/>
          <w:highlight w:val="none"/>
          <w:lang w:val="en-US" w:eastAsia="zh-CN"/>
        </w:rPr>
      </w:pPr>
      <w:r>
        <w:rPr>
          <w:rFonts w:hint="eastAsia"/>
          <w:color w:val="auto"/>
          <w:highlight w:val="none"/>
          <w:lang w:val="en-US" w:eastAsia="zh-CN"/>
        </w:rPr>
        <w:t>风速是影响风力发电机组安装的主要因素之一，当风速超12m/s时，不安装风力发电机。在与当地气象部门密切联系的同时，现场设置风力观测站，以便现场施工人员做出可靠判断，确保风力发电机组安装顺利进行。</w:t>
      </w:r>
    </w:p>
    <w:p w14:paraId="04AA5E89">
      <w:pPr>
        <w:bidi w:val="0"/>
        <w:rPr>
          <w:rFonts w:hint="eastAsia"/>
          <w:color w:val="auto"/>
          <w:highlight w:val="none"/>
          <w:lang w:val="en-US" w:eastAsia="zh-CN"/>
        </w:rPr>
      </w:pPr>
      <w:r>
        <w:rPr>
          <w:rFonts w:hint="eastAsia"/>
          <w:color w:val="auto"/>
          <w:highlight w:val="none"/>
          <w:lang w:val="en-US" w:eastAsia="zh-CN"/>
        </w:rPr>
        <w:t>机舱安装时，施工人员站在塔架平台上，利用主吊提升机舱，机舱提起至安装高度后，再慢慢下落，机舱应完全坐在塔架法兰盘上，按设计要求连结法兰盘。转子叶片和轮毂在地面组装好后，利用主吊整体提升，轮毂法兰和机舱法兰按设计要求联结。上述作业完成并经验收合格后，移去施工设施，进行风力发电机组调试，完毕后投入运行。</w:t>
      </w:r>
    </w:p>
    <w:p w14:paraId="0D2A03DC">
      <w:pPr>
        <w:bidi w:val="0"/>
        <w:rPr>
          <w:rFonts w:hint="eastAsia"/>
          <w:color w:val="auto"/>
          <w:highlight w:val="none"/>
          <w:lang w:val="en-US" w:eastAsia="zh-CN"/>
        </w:rPr>
      </w:pPr>
      <w:r>
        <w:rPr>
          <w:rFonts w:hint="eastAsia"/>
          <w:color w:val="auto"/>
          <w:highlight w:val="none"/>
          <w:lang w:val="en-US" w:eastAsia="zh-CN"/>
        </w:rPr>
        <w:t>5、箱变安装</w:t>
      </w:r>
    </w:p>
    <w:p w14:paraId="5AF88A8B">
      <w:pPr>
        <w:bidi w:val="0"/>
        <w:rPr>
          <w:rFonts w:hint="eastAsia"/>
          <w:color w:val="auto"/>
          <w:highlight w:val="none"/>
          <w:lang w:val="en-US" w:eastAsia="zh-CN"/>
        </w:rPr>
      </w:pPr>
      <w:r>
        <w:rPr>
          <w:rFonts w:hint="eastAsia"/>
          <w:color w:val="auto"/>
          <w:highlight w:val="none"/>
          <w:lang w:val="en-US" w:eastAsia="zh-CN"/>
        </w:rPr>
        <w:t>a）安装前的准备：电缆应在箱式变电站就位前敷设好，并且经过检验是无电的。开箱验收检查产品是否有损伤、变形和断裂。按装箱清单检查附件和专用工具是否齐全，在确认无误后方可按安装要求进行安装。</w:t>
      </w:r>
    </w:p>
    <w:p w14:paraId="7610A532">
      <w:pPr>
        <w:bidi w:val="0"/>
        <w:rPr>
          <w:rFonts w:hint="eastAsia" w:ascii="Times New Roman" w:hAnsi="Times New Roman"/>
          <w:b w:val="0"/>
          <w:bCs w:val="0"/>
          <w:color w:val="auto"/>
          <w:szCs w:val="24"/>
          <w:highlight w:val="none"/>
          <w:u w:val="none"/>
          <w:lang w:val="en-US" w:eastAsia="zh-CN"/>
        </w:rPr>
      </w:pPr>
      <w:r>
        <w:rPr>
          <w:rFonts w:hint="eastAsia"/>
          <w:color w:val="auto"/>
          <w:highlight w:val="none"/>
          <w:lang w:val="en-US" w:eastAsia="zh-CN"/>
        </w:rPr>
        <w:t>b）安装时靠近箱体顶部有用于装卸的吊钩，起吊钢缆拉伸时与垂直线间的角度不能超过30°，如有必要，应用横杆支撑钢缆，以免造成箱变结构或起吊钩的变形。箱变大部分重量集中在装有铁心、绕组和绝缘油的王箱体中的变压器，高低压终端箱内大部分是空的，重量相对较轻，使用吊钩或起重机不当可能造成箱变或其附件的损坏，或引起人员伤害。在安装完毕后，接上试验电缆插头，按国家有关试验规程进行试验。</w:t>
      </w:r>
    </w:p>
    <w:p w14:paraId="6C4158FC">
      <w:pPr>
        <w:pStyle w:val="5"/>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建设周期</w:t>
      </w:r>
    </w:p>
    <w:p w14:paraId="34FD5C81">
      <w:pPr>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color w:val="auto"/>
          <w:sz w:val="24"/>
          <w:szCs w:val="24"/>
          <w:highlight w:val="none"/>
          <w:u w:val="none"/>
          <w:lang w:val="en-US" w:eastAsia="zh-CN"/>
        </w:rPr>
      </w:pPr>
      <w:r>
        <w:rPr>
          <w:rFonts w:hint="eastAsia" w:ascii="Times New Roman" w:hAnsi="Times New Roman"/>
          <w:color w:val="auto"/>
          <w:sz w:val="24"/>
          <w:szCs w:val="24"/>
          <w:highlight w:val="none"/>
          <w:u w:val="none"/>
          <w:lang w:val="en-US" w:eastAsia="zh-CN"/>
        </w:rPr>
        <w:t>工程建设工期为1</w:t>
      </w:r>
      <w:r>
        <w:rPr>
          <w:rFonts w:hint="eastAsia"/>
          <w:color w:val="auto"/>
          <w:sz w:val="24"/>
          <w:szCs w:val="24"/>
          <w:highlight w:val="none"/>
          <w:u w:val="none"/>
          <w:lang w:val="en-US" w:eastAsia="zh-CN"/>
        </w:rPr>
        <w:t>2</w:t>
      </w:r>
      <w:r>
        <w:rPr>
          <w:rFonts w:hint="eastAsia" w:ascii="Times New Roman" w:hAnsi="Times New Roman"/>
          <w:color w:val="auto"/>
          <w:sz w:val="24"/>
          <w:szCs w:val="24"/>
          <w:highlight w:val="none"/>
          <w:u w:val="none"/>
          <w:lang w:val="en-US" w:eastAsia="zh-CN"/>
        </w:rPr>
        <w:t>个月</w:t>
      </w:r>
      <w:r>
        <w:rPr>
          <w:rFonts w:hint="eastAsia"/>
          <w:color w:val="auto"/>
          <w:sz w:val="24"/>
          <w:szCs w:val="24"/>
          <w:highlight w:val="none"/>
          <w:u w:val="none"/>
          <w:lang w:val="en-US" w:eastAsia="zh-CN"/>
        </w:rPr>
        <w:t>，施工开始时间以取得环评批复后为基准。</w:t>
      </w:r>
      <w:r>
        <w:rPr>
          <w:rFonts w:hint="eastAsia" w:ascii="Times New Roman" w:hAnsi="Times New Roman"/>
          <w:color w:val="auto"/>
          <w:sz w:val="24"/>
          <w:szCs w:val="24"/>
          <w:highlight w:val="none"/>
          <w:u w:val="none"/>
          <w:lang w:val="en-US" w:eastAsia="zh-CN"/>
        </w:rPr>
        <w:t>具体工程进度如下：</w:t>
      </w:r>
    </w:p>
    <w:p w14:paraId="3B5A0374">
      <w:pPr>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color w:val="auto"/>
          <w:sz w:val="24"/>
          <w:szCs w:val="24"/>
          <w:highlight w:val="none"/>
          <w:u w:val="none"/>
          <w:lang w:val="en-US" w:eastAsia="zh-CN"/>
        </w:rPr>
      </w:pPr>
      <w:r>
        <w:rPr>
          <w:rFonts w:hint="eastAsia" w:ascii="Times New Roman" w:hAnsi="Times New Roman"/>
          <w:color w:val="auto"/>
          <w:sz w:val="24"/>
          <w:szCs w:val="24"/>
          <w:highlight w:val="none"/>
          <w:u w:val="none"/>
          <w:lang w:val="en-US" w:eastAsia="zh-CN"/>
        </w:rPr>
        <w:t>1、施工准备期</w:t>
      </w:r>
      <w:r>
        <w:rPr>
          <w:rFonts w:hint="eastAsia"/>
          <w:color w:val="auto"/>
          <w:sz w:val="24"/>
          <w:szCs w:val="24"/>
          <w:highlight w:val="none"/>
          <w:u w:val="none"/>
          <w:lang w:val="en-US" w:eastAsia="zh-CN"/>
        </w:rPr>
        <w:t>为取得环评批复后的2个月</w:t>
      </w:r>
      <w:r>
        <w:rPr>
          <w:rFonts w:hint="eastAsia" w:ascii="Times New Roman" w:hAnsi="Times New Roman"/>
          <w:color w:val="auto"/>
          <w:sz w:val="24"/>
          <w:szCs w:val="24"/>
          <w:highlight w:val="none"/>
          <w:u w:val="none"/>
          <w:lang w:val="en-US" w:eastAsia="zh-CN"/>
        </w:rPr>
        <w:t>。准备工程完成后，进行有关各项分项工程施工。</w:t>
      </w:r>
    </w:p>
    <w:p w14:paraId="6487443B">
      <w:pPr>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color w:val="auto"/>
          <w:sz w:val="24"/>
          <w:szCs w:val="24"/>
          <w:highlight w:val="none"/>
          <w:u w:val="none"/>
          <w:lang w:val="en-US" w:eastAsia="zh-CN"/>
        </w:rPr>
      </w:pPr>
      <w:r>
        <w:rPr>
          <w:rFonts w:hint="eastAsia" w:ascii="Times New Roman" w:hAnsi="Times New Roman"/>
          <w:color w:val="auto"/>
          <w:sz w:val="24"/>
          <w:szCs w:val="24"/>
          <w:highlight w:val="none"/>
          <w:u w:val="none"/>
          <w:lang w:val="en-US" w:eastAsia="zh-CN"/>
        </w:rPr>
        <w:t>2、新建场内施工道路从</w:t>
      </w:r>
      <w:r>
        <w:rPr>
          <w:rFonts w:hint="eastAsia"/>
          <w:color w:val="auto"/>
          <w:sz w:val="24"/>
          <w:szCs w:val="24"/>
          <w:highlight w:val="none"/>
          <w:u w:val="none"/>
          <w:lang w:val="en-US" w:eastAsia="zh-CN"/>
        </w:rPr>
        <w:t>取得环评批复后</w:t>
      </w:r>
      <w:r>
        <w:rPr>
          <w:rFonts w:hint="eastAsia" w:ascii="Times New Roman" w:hAnsi="Times New Roman"/>
          <w:color w:val="auto"/>
          <w:sz w:val="24"/>
          <w:szCs w:val="24"/>
          <w:highlight w:val="none"/>
          <w:u w:val="none"/>
          <w:lang w:val="en-US" w:eastAsia="zh-CN"/>
        </w:rPr>
        <w:t>开始，至第</w:t>
      </w:r>
      <w:r>
        <w:rPr>
          <w:rFonts w:hint="eastAsia"/>
          <w:color w:val="auto"/>
          <w:sz w:val="24"/>
          <w:szCs w:val="24"/>
          <w:highlight w:val="none"/>
          <w:u w:val="none"/>
          <w:lang w:val="en-US" w:eastAsia="zh-CN"/>
        </w:rPr>
        <w:t>7个</w:t>
      </w:r>
      <w:r>
        <w:rPr>
          <w:rFonts w:hint="eastAsia" w:ascii="Times New Roman" w:hAnsi="Times New Roman"/>
          <w:color w:val="auto"/>
          <w:sz w:val="24"/>
          <w:szCs w:val="24"/>
          <w:highlight w:val="none"/>
          <w:u w:val="none"/>
          <w:lang w:val="en-US" w:eastAsia="zh-CN"/>
        </w:rPr>
        <w:t>月底全部结束。</w:t>
      </w:r>
    </w:p>
    <w:p w14:paraId="6D7B75A4">
      <w:pPr>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color w:val="auto"/>
          <w:sz w:val="24"/>
          <w:szCs w:val="24"/>
          <w:highlight w:val="none"/>
          <w:u w:val="none"/>
          <w:lang w:val="en-US" w:eastAsia="zh-CN"/>
        </w:rPr>
      </w:pPr>
      <w:r>
        <w:rPr>
          <w:rFonts w:hint="eastAsia" w:ascii="Times New Roman" w:hAnsi="Times New Roman"/>
          <w:color w:val="auto"/>
          <w:sz w:val="24"/>
          <w:szCs w:val="24"/>
          <w:highlight w:val="none"/>
          <w:u w:val="none"/>
          <w:lang w:val="en-US" w:eastAsia="zh-CN"/>
        </w:rPr>
        <w:t>3、风电机组基础施工从</w:t>
      </w:r>
      <w:r>
        <w:rPr>
          <w:rFonts w:hint="eastAsia"/>
          <w:color w:val="auto"/>
          <w:sz w:val="24"/>
          <w:szCs w:val="24"/>
          <w:highlight w:val="none"/>
          <w:u w:val="none"/>
          <w:lang w:val="en-US" w:eastAsia="zh-CN"/>
        </w:rPr>
        <w:t>取得环评批复后第6个</w:t>
      </w:r>
      <w:r>
        <w:rPr>
          <w:rFonts w:hint="eastAsia" w:ascii="Times New Roman" w:hAnsi="Times New Roman"/>
          <w:color w:val="auto"/>
          <w:sz w:val="24"/>
          <w:szCs w:val="24"/>
          <w:highlight w:val="none"/>
          <w:u w:val="none"/>
          <w:lang w:val="en-US" w:eastAsia="zh-CN"/>
        </w:rPr>
        <w:t>月初开始，</w:t>
      </w:r>
      <w:r>
        <w:rPr>
          <w:rFonts w:hint="eastAsia"/>
          <w:color w:val="auto"/>
          <w:sz w:val="24"/>
          <w:szCs w:val="24"/>
          <w:highlight w:val="none"/>
          <w:u w:val="none"/>
          <w:lang w:val="en-US" w:eastAsia="zh-CN"/>
        </w:rPr>
        <w:t>第7个</w:t>
      </w:r>
      <w:r>
        <w:rPr>
          <w:rFonts w:hint="eastAsia" w:ascii="Times New Roman" w:hAnsi="Times New Roman"/>
          <w:color w:val="auto"/>
          <w:sz w:val="24"/>
          <w:szCs w:val="24"/>
          <w:highlight w:val="none"/>
          <w:u w:val="none"/>
          <w:lang w:val="en-US" w:eastAsia="zh-CN"/>
        </w:rPr>
        <w:t>月底结束。电力电缆、通信电缆的敷设从</w:t>
      </w:r>
      <w:r>
        <w:rPr>
          <w:rFonts w:hint="eastAsia"/>
          <w:color w:val="auto"/>
          <w:sz w:val="24"/>
          <w:szCs w:val="24"/>
          <w:highlight w:val="none"/>
          <w:u w:val="none"/>
          <w:lang w:val="en-US" w:eastAsia="zh-CN"/>
        </w:rPr>
        <w:t>取得环评批复后第8个</w:t>
      </w:r>
      <w:r>
        <w:rPr>
          <w:rFonts w:hint="eastAsia" w:ascii="Times New Roman" w:hAnsi="Times New Roman"/>
          <w:color w:val="auto"/>
          <w:sz w:val="24"/>
          <w:szCs w:val="24"/>
          <w:highlight w:val="none"/>
          <w:u w:val="none"/>
          <w:lang w:val="en-US" w:eastAsia="zh-CN"/>
        </w:rPr>
        <w:t>月初开始，</w:t>
      </w:r>
      <w:r>
        <w:rPr>
          <w:rFonts w:hint="eastAsia"/>
          <w:color w:val="auto"/>
          <w:sz w:val="24"/>
          <w:szCs w:val="24"/>
          <w:highlight w:val="none"/>
          <w:u w:val="none"/>
          <w:lang w:val="en-US" w:eastAsia="zh-CN"/>
        </w:rPr>
        <w:t>第9个</w:t>
      </w:r>
      <w:r>
        <w:rPr>
          <w:rFonts w:hint="eastAsia" w:ascii="Times New Roman" w:hAnsi="Times New Roman"/>
          <w:color w:val="auto"/>
          <w:sz w:val="24"/>
          <w:szCs w:val="24"/>
          <w:highlight w:val="none"/>
          <w:u w:val="none"/>
          <w:lang w:val="en-US" w:eastAsia="zh-CN"/>
        </w:rPr>
        <w:t>月底结束。</w:t>
      </w:r>
    </w:p>
    <w:p w14:paraId="5EEAF9C6">
      <w:pPr>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color w:val="auto"/>
          <w:sz w:val="24"/>
          <w:szCs w:val="24"/>
          <w:highlight w:val="none"/>
          <w:u w:val="none"/>
          <w:lang w:val="en-US" w:eastAsia="zh-CN"/>
        </w:rPr>
      </w:pPr>
      <w:r>
        <w:rPr>
          <w:rFonts w:hint="eastAsia" w:ascii="Times New Roman" w:hAnsi="Times New Roman"/>
          <w:color w:val="auto"/>
          <w:sz w:val="24"/>
          <w:szCs w:val="24"/>
          <w:highlight w:val="none"/>
          <w:u w:val="none"/>
          <w:lang w:val="en-US" w:eastAsia="zh-CN"/>
        </w:rPr>
        <w:t>4、</w:t>
      </w:r>
      <w:r>
        <w:rPr>
          <w:rFonts w:hint="eastAsia"/>
          <w:color w:val="auto"/>
          <w:sz w:val="24"/>
          <w:szCs w:val="24"/>
          <w:highlight w:val="none"/>
          <w:u w:val="none"/>
          <w:lang w:val="en-US" w:eastAsia="zh-CN"/>
        </w:rPr>
        <w:t>取得环评批复后第10个</w:t>
      </w:r>
      <w:r>
        <w:rPr>
          <w:rFonts w:hint="eastAsia" w:ascii="Times New Roman" w:hAnsi="Times New Roman"/>
          <w:color w:val="auto"/>
          <w:sz w:val="24"/>
          <w:szCs w:val="24"/>
          <w:highlight w:val="none"/>
          <w:u w:val="none"/>
          <w:lang w:val="en-US" w:eastAsia="zh-CN"/>
        </w:rPr>
        <w:t>月起进行风力发电机组的吊装，</w:t>
      </w:r>
      <w:r>
        <w:rPr>
          <w:rFonts w:hint="eastAsia"/>
          <w:color w:val="auto"/>
          <w:sz w:val="24"/>
          <w:szCs w:val="24"/>
          <w:highlight w:val="none"/>
          <w:u w:val="none"/>
          <w:lang w:val="en-US" w:eastAsia="zh-CN"/>
        </w:rPr>
        <w:t>第11个</w:t>
      </w:r>
      <w:r>
        <w:rPr>
          <w:rFonts w:hint="eastAsia" w:ascii="Times New Roman" w:hAnsi="Times New Roman"/>
          <w:color w:val="auto"/>
          <w:sz w:val="24"/>
          <w:szCs w:val="24"/>
          <w:highlight w:val="none"/>
          <w:u w:val="none"/>
          <w:lang w:val="en-US" w:eastAsia="zh-CN"/>
        </w:rPr>
        <w:t>月底首批风电机组发电，</w:t>
      </w:r>
      <w:r>
        <w:rPr>
          <w:rFonts w:hint="eastAsia"/>
          <w:color w:val="auto"/>
          <w:sz w:val="24"/>
          <w:szCs w:val="24"/>
          <w:highlight w:val="none"/>
          <w:u w:val="none"/>
          <w:lang w:val="en-US" w:eastAsia="zh-CN"/>
        </w:rPr>
        <w:t>第12个</w:t>
      </w:r>
      <w:r>
        <w:rPr>
          <w:rFonts w:hint="eastAsia" w:ascii="Times New Roman" w:hAnsi="Times New Roman"/>
          <w:color w:val="auto"/>
          <w:sz w:val="24"/>
          <w:szCs w:val="24"/>
          <w:highlight w:val="none"/>
          <w:u w:val="none"/>
          <w:lang w:val="en-US" w:eastAsia="zh-CN"/>
        </w:rPr>
        <w:t>月底全部机组投产发电。具体工程进度详见下表。</w:t>
      </w:r>
    </w:p>
    <w:p w14:paraId="59034C6A">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eastAsia" w:ascii="Times New Roman" w:hAnsi="Times New Roman" w:eastAsia="宋体" w:cs="Times New Roman"/>
          <w:b/>
          <w:bCs/>
          <w:color w:val="auto"/>
          <w:sz w:val="24"/>
          <w:szCs w:val="24"/>
          <w:highlight w:val="none"/>
          <w:u w:val="none"/>
          <w:lang w:val="en-US" w:eastAsia="zh-CN"/>
        </w:rPr>
      </w:pPr>
      <w:r>
        <w:rPr>
          <w:rFonts w:hint="eastAsia" w:ascii="Times New Roman" w:hAnsi="Times New Roman" w:eastAsia="宋体" w:cs="Times New Roman"/>
          <w:b/>
          <w:bCs/>
          <w:color w:val="auto"/>
          <w:sz w:val="24"/>
          <w:szCs w:val="24"/>
          <w:highlight w:val="none"/>
          <w:u w:val="none"/>
          <w:lang w:val="en-US" w:eastAsia="zh-CN"/>
        </w:rPr>
        <w:t>4.</w:t>
      </w:r>
      <w:r>
        <w:rPr>
          <w:rFonts w:hint="eastAsia" w:cs="Times New Roman"/>
          <w:b/>
          <w:bCs/>
          <w:color w:val="auto"/>
          <w:sz w:val="24"/>
          <w:szCs w:val="24"/>
          <w:highlight w:val="none"/>
          <w:u w:val="none"/>
          <w:lang w:val="en-US" w:eastAsia="zh-CN"/>
        </w:rPr>
        <w:t>4</w:t>
      </w:r>
      <w:r>
        <w:rPr>
          <w:rFonts w:hint="eastAsia" w:ascii="Times New Roman" w:hAnsi="Times New Roman" w:eastAsia="宋体" w:cs="Times New Roman"/>
          <w:b/>
          <w:bCs/>
          <w:color w:val="auto"/>
          <w:sz w:val="24"/>
          <w:szCs w:val="24"/>
          <w:highlight w:val="none"/>
          <w:u w:val="none"/>
          <w:lang w:val="en-US" w:eastAsia="zh-CN"/>
        </w:rPr>
        <w:t>-8  施工进度表</w:t>
      </w:r>
    </w:p>
    <w:tbl>
      <w:tblPr>
        <w:tblStyle w:val="20"/>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42"/>
        <w:gridCol w:w="1240"/>
        <w:gridCol w:w="571"/>
        <w:gridCol w:w="584"/>
        <w:gridCol w:w="556"/>
        <w:gridCol w:w="497"/>
        <w:gridCol w:w="579"/>
        <w:gridCol w:w="579"/>
        <w:gridCol w:w="579"/>
        <w:gridCol w:w="579"/>
        <w:gridCol w:w="579"/>
        <w:gridCol w:w="579"/>
        <w:gridCol w:w="579"/>
        <w:gridCol w:w="579"/>
      </w:tblGrid>
      <w:tr w14:paraId="37CC479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42" w:type="dxa"/>
            <w:vMerge w:val="restart"/>
            <w:tcBorders>
              <w:tl2br w:val="nil"/>
              <w:tr2bl w:val="nil"/>
            </w:tcBorders>
            <w:noWrap w:val="0"/>
            <w:vAlign w:val="center"/>
          </w:tcPr>
          <w:p w14:paraId="4E340065">
            <w:pPr>
              <w:pStyle w:val="45"/>
              <w:bidi w:val="0"/>
              <w:rPr>
                <w:rFonts w:hint="eastAsia"/>
                <w:b w:val="0"/>
                <w:bCs/>
                <w:color w:val="auto"/>
                <w:sz w:val="21"/>
                <w:szCs w:val="21"/>
                <w:highlight w:val="none"/>
                <w:lang w:eastAsia="zh-CN"/>
              </w:rPr>
            </w:pPr>
            <w:r>
              <w:rPr>
                <w:rFonts w:hint="eastAsia"/>
                <w:b w:val="0"/>
                <w:bCs/>
                <w:color w:val="auto"/>
                <w:sz w:val="21"/>
                <w:szCs w:val="21"/>
                <w:highlight w:val="none"/>
                <w:lang w:eastAsia="zh-CN"/>
              </w:rPr>
              <w:t>序号</w:t>
            </w:r>
          </w:p>
        </w:tc>
        <w:tc>
          <w:tcPr>
            <w:tcW w:w="1240" w:type="dxa"/>
            <w:vMerge w:val="restart"/>
            <w:tcBorders>
              <w:tl2br w:val="nil"/>
              <w:tr2bl w:val="nil"/>
            </w:tcBorders>
            <w:noWrap w:val="0"/>
            <w:vAlign w:val="center"/>
          </w:tcPr>
          <w:p w14:paraId="63D52806">
            <w:pPr>
              <w:pStyle w:val="45"/>
              <w:bidi w:val="0"/>
              <w:rPr>
                <w:rFonts w:hint="eastAsia"/>
                <w:b w:val="0"/>
                <w:bCs/>
                <w:color w:val="auto"/>
                <w:sz w:val="21"/>
                <w:szCs w:val="21"/>
                <w:highlight w:val="none"/>
                <w:lang w:eastAsia="zh-CN"/>
              </w:rPr>
            </w:pPr>
            <w:r>
              <w:rPr>
                <w:rFonts w:hint="eastAsia"/>
                <w:b w:val="0"/>
                <w:bCs/>
                <w:color w:val="auto"/>
                <w:sz w:val="21"/>
                <w:szCs w:val="21"/>
                <w:highlight w:val="none"/>
                <w:lang w:eastAsia="zh-CN"/>
              </w:rPr>
              <w:t>项目内容</w:t>
            </w:r>
          </w:p>
        </w:tc>
        <w:tc>
          <w:tcPr>
            <w:tcW w:w="6840" w:type="dxa"/>
            <w:gridSpan w:val="12"/>
            <w:tcBorders>
              <w:tl2br w:val="nil"/>
              <w:tr2bl w:val="nil"/>
            </w:tcBorders>
            <w:noWrap w:val="0"/>
            <w:vAlign w:val="center"/>
          </w:tcPr>
          <w:p w14:paraId="5097BA34">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月</w:t>
            </w:r>
          </w:p>
        </w:tc>
      </w:tr>
      <w:tr w14:paraId="536DD9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42" w:type="dxa"/>
            <w:vMerge w:val="continue"/>
            <w:tcBorders>
              <w:tl2br w:val="nil"/>
              <w:tr2bl w:val="nil"/>
            </w:tcBorders>
            <w:noWrap w:val="0"/>
            <w:vAlign w:val="center"/>
          </w:tcPr>
          <w:p w14:paraId="3D289AC1">
            <w:pPr>
              <w:pStyle w:val="45"/>
              <w:bidi w:val="0"/>
              <w:rPr>
                <w:b w:val="0"/>
                <w:bCs/>
                <w:color w:val="auto"/>
                <w:sz w:val="21"/>
                <w:szCs w:val="21"/>
                <w:highlight w:val="none"/>
              </w:rPr>
            </w:pPr>
          </w:p>
        </w:tc>
        <w:tc>
          <w:tcPr>
            <w:tcW w:w="1240" w:type="dxa"/>
            <w:vMerge w:val="continue"/>
            <w:tcBorders>
              <w:tl2br w:val="nil"/>
              <w:tr2bl w:val="nil"/>
            </w:tcBorders>
            <w:noWrap w:val="0"/>
            <w:vAlign w:val="center"/>
          </w:tcPr>
          <w:p w14:paraId="2C6700C8">
            <w:pPr>
              <w:pStyle w:val="45"/>
              <w:bidi w:val="0"/>
              <w:rPr>
                <w:b w:val="0"/>
                <w:bCs/>
                <w:color w:val="auto"/>
                <w:sz w:val="21"/>
                <w:szCs w:val="21"/>
                <w:highlight w:val="none"/>
              </w:rPr>
            </w:pPr>
          </w:p>
        </w:tc>
        <w:tc>
          <w:tcPr>
            <w:tcW w:w="571" w:type="dxa"/>
            <w:tcBorders>
              <w:tl2br w:val="nil"/>
              <w:tr2bl w:val="nil"/>
            </w:tcBorders>
            <w:noWrap w:val="0"/>
            <w:vAlign w:val="center"/>
          </w:tcPr>
          <w:p w14:paraId="399017A0">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w:t>
            </w:r>
          </w:p>
        </w:tc>
        <w:tc>
          <w:tcPr>
            <w:tcW w:w="584" w:type="dxa"/>
            <w:tcBorders>
              <w:tl2br w:val="nil"/>
              <w:tr2bl w:val="nil"/>
            </w:tcBorders>
            <w:noWrap w:val="0"/>
            <w:vAlign w:val="center"/>
          </w:tcPr>
          <w:p w14:paraId="408662F4">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2</w:t>
            </w:r>
          </w:p>
        </w:tc>
        <w:tc>
          <w:tcPr>
            <w:tcW w:w="556" w:type="dxa"/>
            <w:tcBorders>
              <w:tl2br w:val="nil"/>
              <w:tr2bl w:val="nil"/>
            </w:tcBorders>
            <w:noWrap w:val="0"/>
            <w:vAlign w:val="center"/>
          </w:tcPr>
          <w:p w14:paraId="4B30A6EE">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3</w:t>
            </w:r>
          </w:p>
        </w:tc>
        <w:tc>
          <w:tcPr>
            <w:tcW w:w="497" w:type="dxa"/>
            <w:tcBorders>
              <w:tl2br w:val="nil"/>
              <w:tr2bl w:val="nil"/>
            </w:tcBorders>
            <w:noWrap w:val="0"/>
            <w:vAlign w:val="center"/>
          </w:tcPr>
          <w:p w14:paraId="4C9BF9C6">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4</w:t>
            </w:r>
          </w:p>
        </w:tc>
        <w:tc>
          <w:tcPr>
            <w:tcW w:w="579" w:type="dxa"/>
            <w:tcBorders>
              <w:tl2br w:val="nil"/>
              <w:tr2bl w:val="nil"/>
            </w:tcBorders>
            <w:noWrap w:val="0"/>
            <w:vAlign w:val="center"/>
          </w:tcPr>
          <w:p w14:paraId="10A7FB50">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5</w:t>
            </w:r>
          </w:p>
        </w:tc>
        <w:tc>
          <w:tcPr>
            <w:tcW w:w="579" w:type="dxa"/>
            <w:tcBorders>
              <w:tl2br w:val="nil"/>
              <w:tr2bl w:val="nil"/>
            </w:tcBorders>
            <w:noWrap w:val="0"/>
            <w:vAlign w:val="center"/>
          </w:tcPr>
          <w:p w14:paraId="097FC03B">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6</w:t>
            </w:r>
          </w:p>
        </w:tc>
        <w:tc>
          <w:tcPr>
            <w:tcW w:w="579" w:type="dxa"/>
            <w:tcBorders>
              <w:tl2br w:val="nil"/>
              <w:tr2bl w:val="nil"/>
            </w:tcBorders>
            <w:noWrap w:val="0"/>
            <w:vAlign w:val="center"/>
          </w:tcPr>
          <w:p w14:paraId="08E8FBA9">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7</w:t>
            </w:r>
          </w:p>
        </w:tc>
        <w:tc>
          <w:tcPr>
            <w:tcW w:w="579" w:type="dxa"/>
            <w:tcBorders>
              <w:tl2br w:val="nil"/>
              <w:tr2bl w:val="nil"/>
            </w:tcBorders>
            <w:noWrap w:val="0"/>
            <w:vAlign w:val="center"/>
          </w:tcPr>
          <w:p w14:paraId="215C1344">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8</w:t>
            </w:r>
          </w:p>
        </w:tc>
        <w:tc>
          <w:tcPr>
            <w:tcW w:w="579" w:type="dxa"/>
            <w:tcBorders>
              <w:tl2br w:val="nil"/>
              <w:tr2bl w:val="nil"/>
            </w:tcBorders>
            <w:noWrap w:val="0"/>
            <w:vAlign w:val="center"/>
          </w:tcPr>
          <w:p w14:paraId="306B87D1">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9</w:t>
            </w:r>
          </w:p>
        </w:tc>
        <w:tc>
          <w:tcPr>
            <w:tcW w:w="579" w:type="dxa"/>
            <w:tcBorders>
              <w:tl2br w:val="nil"/>
              <w:tr2bl w:val="nil"/>
            </w:tcBorders>
            <w:noWrap w:val="0"/>
            <w:vAlign w:val="center"/>
          </w:tcPr>
          <w:p w14:paraId="10396C8E">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10</w:t>
            </w:r>
          </w:p>
        </w:tc>
        <w:tc>
          <w:tcPr>
            <w:tcW w:w="579" w:type="dxa"/>
            <w:tcBorders>
              <w:tl2br w:val="nil"/>
              <w:tr2bl w:val="nil"/>
            </w:tcBorders>
            <w:noWrap w:val="0"/>
            <w:vAlign w:val="center"/>
          </w:tcPr>
          <w:p w14:paraId="6B316EA7">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11</w:t>
            </w:r>
          </w:p>
        </w:tc>
        <w:tc>
          <w:tcPr>
            <w:tcW w:w="579" w:type="dxa"/>
            <w:tcBorders>
              <w:tl2br w:val="nil"/>
              <w:tr2bl w:val="nil"/>
            </w:tcBorders>
            <w:noWrap w:val="0"/>
            <w:vAlign w:val="center"/>
          </w:tcPr>
          <w:p w14:paraId="7555F705">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12</w:t>
            </w:r>
          </w:p>
        </w:tc>
      </w:tr>
      <w:tr w14:paraId="57E03A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42" w:type="dxa"/>
            <w:tcBorders>
              <w:tl2br w:val="nil"/>
              <w:tr2bl w:val="nil"/>
            </w:tcBorders>
            <w:noWrap w:val="0"/>
            <w:vAlign w:val="center"/>
          </w:tcPr>
          <w:p w14:paraId="2F411793">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1</w:t>
            </w:r>
          </w:p>
        </w:tc>
        <w:tc>
          <w:tcPr>
            <w:tcW w:w="1240" w:type="dxa"/>
            <w:tcBorders>
              <w:tl2br w:val="nil"/>
              <w:tr2bl w:val="nil"/>
            </w:tcBorders>
            <w:noWrap w:val="0"/>
            <w:vAlign w:val="center"/>
          </w:tcPr>
          <w:p w14:paraId="6309AAA3">
            <w:pPr>
              <w:pStyle w:val="45"/>
              <w:bidi w:val="0"/>
              <w:rPr>
                <w:rFonts w:hint="eastAsia"/>
                <w:b w:val="0"/>
                <w:bCs/>
                <w:color w:val="auto"/>
                <w:sz w:val="21"/>
                <w:szCs w:val="21"/>
                <w:highlight w:val="none"/>
                <w:lang w:eastAsia="zh-CN"/>
              </w:rPr>
            </w:pPr>
            <w:r>
              <w:rPr>
                <w:rFonts w:hint="eastAsia"/>
                <w:b w:val="0"/>
                <w:bCs/>
                <w:color w:val="auto"/>
                <w:sz w:val="21"/>
                <w:szCs w:val="21"/>
                <w:highlight w:val="none"/>
                <w:lang w:eastAsia="zh-CN"/>
              </w:rPr>
              <w:t>施工准备</w:t>
            </w:r>
          </w:p>
        </w:tc>
        <w:tc>
          <w:tcPr>
            <w:tcW w:w="571" w:type="dxa"/>
            <w:tcBorders>
              <w:tl2br w:val="nil"/>
              <w:tr2bl w:val="nil"/>
            </w:tcBorders>
            <w:noWrap w:val="0"/>
            <w:vAlign w:val="center"/>
          </w:tcPr>
          <w:p w14:paraId="12C832F8">
            <w:pPr>
              <w:pStyle w:val="45"/>
              <w:bidi w:val="0"/>
              <w:rPr>
                <w:b w:val="0"/>
                <w:bCs/>
                <w:color w:val="auto"/>
                <w:sz w:val="21"/>
                <w:szCs w:val="21"/>
                <w:highlight w:val="none"/>
              </w:rPr>
            </w:pPr>
            <w:r>
              <w:rPr>
                <w:b w:val="0"/>
                <w:bCs/>
                <w:color w:val="auto"/>
                <w:sz w:val="21"/>
                <w:szCs w:val="21"/>
                <w:highlight w:val="none"/>
              </w:rPr>
              <mc:AlternateContent>
                <mc:Choice Requires="wps">
                  <w:drawing>
                    <wp:anchor distT="0" distB="0" distL="114300" distR="114300" simplePos="0" relativeHeight="251664384" behindDoc="0" locked="0" layoutInCell="1" allowOverlap="1">
                      <wp:simplePos x="0" y="0"/>
                      <wp:positionH relativeFrom="column">
                        <wp:posOffset>-37465</wp:posOffset>
                      </wp:positionH>
                      <wp:positionV relativeFrom="paragraph">
                        <wp:posOffset>104140</wp:posOffset>
                      </wp:positionV>
                      <wp:extent cx="640715" cy="635"/>
                      <wp:effectExtent l="0" t="28575" r="6985" b="46990"/>
                      <wp:wrapNone/>
                      <wp:docPr id="9" name="直接连接符 9"/>
                      <wp:cNvGraphicFramePr/>
                      <a:graphic xmlns:a="http://schemas.openxmlformats.org/drawingml/2006/main">
                        <a:graphicData uri="http://schemas.microsoft.com/office/word/2010/wordprocessingShape">
                          <wps:wsp>
                            <wps:cNvCnPr/>
                            <wps:spPr>
                              <a:xfrm>
                                <a:off x="0" y="0"/>
                                <a:ext cx="640715" cy="635"/>
                              </a:xfrm>
                              <a:prstGeom prst="line">
                                <a:avLst/>
                              </a:prstGeom>
                              <a:ln w="57150"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95pt;margin-top:8.2pt;height:0.05pt;width:50.45pt;z-index:251664384;mso-width-relative:page;mso-height-relative:page;" filled="f" stroked="t" coordsize="21600,21600" o:gfxdata="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hHVzF1wAAAAcBAAAPAAAAAAAAAAEAIAAAACIAAABkcnMvZG93bnJldi54bWxQSwEC&#10;FAAUAAAACACHTuJAq2jMLvUBAADmAwAADgAAAAAAAAABACAAAAAmAQAAZHJzL2Uyb0RvYy54bWxQ&#10;SwUGAAAAAAYABgBZAQAAjQUAAAAA&#10;">
                      <v:fill on="f" focussize="0,0"/>
                      <v:stroke weight="4.5pt" color="#000000" joinstyle="round"/>
                      <v:imagedata o:title=""/>
                      <o:lock v:ext="edit" aspectratio="f"/>
                    </v:line>
                  </w:pict>
                </mc:Fallback>
              </mc:AlternateContent>
            </w:r>
          </w:p>
        </w:tc>
        <w:tc>
          <w:tcPr>
            <w:tcW w:w="584" w:type="dxa"/>
            <w:tcBorders>
              <w:tl2br w:val="nil"/>
              <w:tr2bl w:val="nil"/>
            </w:tcBorders>
            <w:noWrap w:val="0"/>
            <w:vAlign w:val="center"/>
          </w:tcPr>
          <w:p w14:paraId="729FFA0C">
            <w:pPr>
              <w:pStyle w:val="45"/>
              <w:bidi w:val="0"/>
              <w:rPr>
                <w:b w:val="0"/>
                <w:bCs/>
                <w:color w:val="auto"/>
                <w:sz w:val="21"/>
                <w:szCs w:val="21"/>
                <w:highlight w:val="none"/>
              </w:rPr>
            </w:pPr>
          </w:p>
        </w:tc>
        <w:tc>
          <w:tcPr>
            <w:tcW w:w="556" w:type="dxa"/>
            <w:tcBorders>
              <w:tl2br w:val="nil"/>
              <w:tr2bl w:val="nil"/>
            </w:tcBorders>
            <w:noWrap w:val="0"/>
            <w:vAlign w:val="center"/>
          </w:tcPr>
          <w:p w14:paraId="5F52B8A6">
            <w:pPr>
              <w:pStyle w:val="45"/>
              <w:bidi w:val="0"/>
              <w:rPr>
                <w:b w:val="0"/>
                <w:bCs/>
                <w:color w:val="auto"/>
                <w:sz w:val="21"/>
                <w:szCs w:val="21"/>
                <w:highlight w:val="none"/>
              </w:rPr>
            </w:pPr>
          </w:p>
        </w:tc>
        <w:tc>
          <w:tcPr>
            <w:tcW w:w="497" w:type="dxa"/>
            <w:tcBorders>
              <w:tl2br w:val="nil"/>
              <w:tr2bl w:val="nil"/>
            </w:tcBorders>
            <w:noWrap w:val="0"/>
            <w:vAlign w:val="center"/>
          </w:tcPr>
          <w:p w14:paraId="2C90689F">
            <w:pPr>
              <w:pStyle w:val="45"/>
              <w:bidi w:val="0"/>
              <w:rPr>
                <w:b w:val="0"/>
                <w:bCs/>
                <w:color w:val="auto"/>
                <w:sz w:val="21"/>
                <w:szCs w:val="21"/>
                <w:highlight w:val="none"/>
              </w:rPr>
            </w:pPr>
          </w:p>
        </w:tc>
        <w:tc>
          <w:tcPr>
            <w:tcW w:w="579" w:type="dxa"/>
            <w:tcBorders>
              <w:tl2br w:val="nil"/>
              <w:tr2bl w:val="nil"/>
            </w:tcBorders>
            <w:noWrap w:val="0"/>
            <w:vAlign w:val="center"/>
          </w:tcPr>
          <w:p w14:paraId="32A12067">
            <w:pPr>
              <w:pStyle w:val="45"/>
              <w:bidi w:val="0"/>
              <w:rPr>
                <w:b w:val="0"/>
                <w:bCs/>
                <w:color w:val="auto"/>
                <w:sz w:val="21"/>
                <w:szCs w:val="21"/>
                <w:highlight w:val="none"/>
              </w:rPr>
            </w:pPr>
          </w:p>
        </w:tc>
        <w:tc>
          <w:tcPr>
            <w:tcW w:w="579" w:type="dxa"/>
            <w:tcBorders>
              <w:tl2br w:val="nil"/>
              <w:tr2bl w:val="nil"/>
            </w:tcBorders>
            <w:noWrap w:val="0"/>
            <w:vAlign w:val="center"/>
          </w:tcPr>
          <w:p w14:paraId="13A0ACEE">
            <w:pPr>
              <w:pStyle w:val="45"/>
              <w:bidi w:val="0"/>
              <w:rPr>
                <w:b w:val="0"/>
                <w:bCs/>
                <w:color w:val="auto"/>
                <w:sz w:val="21"/>
                <w:szCs w:val="21"/>
                <w:highlight w:val="none"/>
              </w:rPr>
            </w:pPr>
          </w:p>
        </w:tc>
        <w:tc>
          <w:tcPr>
            <w:tcW w:w="579" w:type="dxa"/>
            <w:tcBorders>
              <w:tl2br w:val="nil"/>
              <w:tr2bl w:val="nil"/>
            </w:tcBorders>
            <w:noWrap w:val="0"/>
            <w:vAlign w:val="center"/>
          </w:tcPr>
          <w:p w14:paraId="11E72B53">
            <w:pPr>
              <w:pStyle w:val="45"/>
              <w:bidi w:val="0"/>
              <w:rPr>
                <w:b w:val="0"/>
                <w:bCs/>
                <w:color w:val="auto"/>
                <w:sz w:val="21"/>
                <w:szCs w:val="21"/>
                <w:highlight w:val="none"/>
              </w:rPr>
            </w:pPr>
          </w:p>
        </w:tc>
        <w:tc>
          <w:tcPr>
            <w:tcW w:w="579" w:type="dxa"/>
            <w:tcBorders>
              <w:tl2br w:val="nil"/>
              <w:tr2bl w:val="nil"/>
            </w:tcBorders>
            <w:noWrap w:val="0"/>
            <w:vAlign w:val="center"/>
          </w:tcPr>
          <w:p w14:paraId="3EA5D24E">
            <w:pPr>
              <w:pStyle w:val="45"/>
              <w:bidi w:val="0"/>
              <w:rPr>
                <w:b w:val="0"/>
                <w:bCs/>
                <w:color w:val="auto"/>
                <w:sz w:val="21"/>
                <w:szCs w:val="21"/>
                <w:highlight w:val="none"/>
              </w:rPr>
            </w:pPr>
          </w:p>
        </w:tc>
        <w:tc>
          <w:tcPr>
            <w:tcW w:w="579" w:type="dxa"/>
            <w:tcBorders>
              <w:tl2br w:val="nil"/>
              <w:tr2bl w:val="nil"/>
            </w:tcBorders>
            <w:noWrap w:val="0"/>
            <w:vAlign w:val="center"/>
          </w:tcPr>
          <w:p w14:paraId="569658D6">
            <w:pPr>
              <w:pStyle w:val="45"/>
              <w:bidi w:val="0"/>
              <w:rPr>
                <w:b w:val="0"/>
                <w:bCs/>
                <w:color w:val="auto"/>
                <w:sz w:val="21"/>
                <w:szCs w:val="21"/>
                <w:highlight w:val="none"/>
              </w:rPr>
            </w:pPr>
          </w:p>
        </w:tc>
        <w:tc>
          <w:tcPr>
            <w:tcW w:w="579" w:type="dxa"/>
            <w:tcBorders>
              <w:tl2br w:val="nil"/>
              <w:tr2bl w:val="nil"/>
            </w:tcBorders>
            <w:noWrap w:val="0"/>
            <w:vAlign w:val="center"/>
          </w:tcPr>
          <w:p w14:paraId="4EE29441">
            <w:pPr>
              <w:pStyle w:val="45"/>
              <w:bidi w:val="0"/>
              <w:rPr>
                <w:b w:val="0"/>
                <w:bCs/>
                <w:color w:val="auto"/>
                <w:sz w:val="21"/>
                <w:szCs w:val="21"/>
                <w:highlight w:val="none"/>
              </w:rPr>
            </w:pPr>
          </w:p>
        </w:tc>
        <w:tc>
          <w:tcPr>
            <w:tcW w:w="579" w:type="dxa"/>
            <w:tcBorders>
              <w:tl2br w:val="nil"/>
              <w:tr2bl w:val="nil"/>
            </w:tcBorders>
            <w:noWrap w:val="0"/>
            <w:vAlign w:val="center"/>
          </w:tcPr>
          <w:p w14:paraId="539919D4">
            <w:pPr>
              <w:pStyle w:val="45"/>
              <w:bidi w:val="0"/>
              <w:rPr>
                <w:b w:val="0"/>
                <w:bCs/>
                <w:color w:val="auto"/>
                <w:sz w:val="21"/>
                <w:szCs w:val="21"/>
                <w:highlight w:val="none"/>
              </w:rPr>
            </w:pPr>
          </w:p>
        </w:tc>
        <w:tc>
          <w:tcPr>
            <w:tcW w:w="579" w:type="dxa"/>
            <w:tcBorders>
              <w:tl2br w:val="nil"/>
              <w:tr2bl w:val="nil"/>
            </w:tcBorders>
            <w:noWrap w:val="0"/>
            <w:vAlign w:val="center"/>
          </w:tcPr>
          <w:p w14:paraId="63FEEA92">
            <w:pPr>
              <w:pStyle w:val="45"/>
              <w:bidi w:val="0"/>
              <w:rPr>
                <w:b w:val="0"/>
                <w:bCs/>
                <w:color w:val="auto"/>
                <w:sz w:val="21"/>
                <w:szCs w:val="21"/>
                <w:highlight w:val="none"/>
              </w:rPr>
            </w:pPr>
          </w:p>
        </w:tc>
      </w:tr>
      <w:tr w14:paraId="5910B35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42" w:type="dxa"/>
            <w:tcBorders>
              <w:tl2br w:val="nil"/>
              <w:tr2bl w:val="nil"/>
            </w:tcBorders>
            <w:noWrap w:val="0"/>
            <w:vAlign w:val="center"/>
          </w:tcPr>
          <w:p w14:paraId="388A31CB">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2</w:t>
            </w:r>
          </w:p>
        </w:tc>
        <w:tc>
          <w:tcPr>
            <w:tcW w:w="1240" w:type="dxa"/>
            <w:tcBorders>
              <w:tl2br w:val="nil"/>
              <w:tr2bl w:val="nil"/>
            </w:tcBorders>
            <w:noWrap w:val="0"/>
            <w:vAlign w:val="center"/>
          </w:tcPr>
          <w:p w14:paraId="34E49485">
            <w:pPr>
              <w:pStyle w:val="45"/>
              <w:bidi w:val="0"/>
              <w:rPr>
                <w:rFonts w:hint="eastAsia"/>
                <w:b w:val="0"/>
                <w:bCs/>
                <w:color w:val="auto"/>
                <w:sz w:val="21"/>
                <w:szCs w:val="21"/>
                <w:highlight w:val="none"/>
                <w:lang w:eastAsia="zh-CN"/>
              </w:rPr>
            </w:pPr>
            <w:r>
              <w:rPr>
                <w:rFonts w:hint="eastAsia"/>
                <w:b w:val="0"/>
                <w:bCs/>
                <w:color w:val="auto"/>
                <w:sz w:val="21"/>
                <w:szCs w:val="21"/>
                <w:highlight w:val="none"/>
                <w:lang w:eastAsia="zh-CN"/>
              </w:rPr>
              <w:t>施工道路</w:t>
            </w:r>
          </w:p>
        </w:tc>
        <w:tc>
          <w:tcPr>
            <w:tcW w:w="571" w:type="dxa"/>
            <w:tcBorders>
              <w:tl2br w:val="nil"/>
              <w:tr2bl w:val="nil"/>
            </w:tcBorders>
            <w:noWrap w:val="0"/>
            <w:vAlign w:val="center"/>
          </w:tcPr>
          <w:p w14:paraId="303C57BD">
            <w:pPr>
              <w:pStyle w:val="45"/>
              <w:bidi w:val="0"/>
              <w:rPr>
                <w:b w:val="0"/>
                <w:bCs/>
                <w:color w:val="auto"/>
                <w:sz w:val="21"/>
                <w:szCs w:val="21"/>
                <w:highlight w:val="none"/>
              </w:rPr>
            </w:pPr>
            <w:r>
              <w:rPr>
                <w:b w:val="0"/>
                <w:bCs/>
                <w:color w:val="auto"/>
                <w:sz w:val="21"/>
                <w:szCs w:val="21"/>
                <w:highlight w:val="none"/>
              </w:rPr>
              <mc:AlternateContent>
                <mc:Choice Requires="wps">
                  <w:drawing>
                    <wp:anchor distT="0" distB="0" distL="114300" distR="114300" simplePos="0" relativeHeight="251665408" behindDoc="0" locked="0" layoutInCell="1" allowOverlap="1">
                      <wp:simplePos x="0" y="0"/>
                      <wp:positionH relativeFrom="column">
                        <wp:posOffset>-41275</wp:posOffset>
                      </wp:positionH>
                      <wp:positionV relativeFrom="paragraph">
                        <wp:posOffset>116840</wp:posOffset>
                      </wp:positionV>
                      <wp:extent cx="2329180" cy="635"/>
                      <wp:effectExtent l="0" t="28575" r="13970" b="46990"/>
                      <wp:wrapNone/>
                      <wp:docPr id="11" name="直接连接符 11"/>
                      <wp:cNvGraphicFramePr/>
                      <a:graphic xmlns:a="http://schemas.openxmlformats.org/drawingml/2006/main">
                        <a:graphicData uri="http://schemas.microsoft.com/office/word/2010/wordprocessingShape">
                          <wps:wsp>
                            <wps:cNvCnPr/>
                            <wps:spPr>
                              <a:xfrm>
                                <a:off x="0" y="0"/>
                                <a:ext cx="2329180" cy="635"/>
                              </a:xfrm>
                              <a:prstGeom prst="line">
                                <a:avLst/>
                              </a:prstGeom>
                              <a:ln w="57150"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5pt;margin-top:9.2pt;height:0.05pt;width:183.4pt;z-index:251665408;mso-width-relative:page;mso-height-relative:page;" filled="f" stroked="t" coordsize="21600,21600" o:gfxdata="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6eFGb2QAAAAgBAAAPAAAAAAAAAAEAIAAAACIAAABkcnMvZG93bnJldi54bWxQ&#10;SwECFAAUAAAACACHTuJAsVlvs/YBAADpAwAADgAAAAAAAAABACAAAAAoAQAAZHJzL2Uyb0RvYy54&#10;bWxQSwUGAAAAAAYABgBZAQAAkAUAAAAA&#10;">
                      <v:fill on="f" focussize="0,0"/>
                      <v:stroke weight="4.5pt" color="#000000" joinstyle="round"/>
                      <v:imagedata o:title=""/>
                      <o:lock v:ext="edit" aspectratio="f"/>
                    </v:line>
                  </w:pict>
                </mc:Fallback>
              </mc:AlternateContent>
            </w:r>
          </w:p>
        </w:tc>
        <w:tc>
          <w:tcPr>
            <w:tcW w:w="584" w:type="dxa"/>
            <w:tcBorders>
              <w:tl2br w:val="nil"/>
              <w:tr2bl w:val="nil"/>
            </w:tcBorders>
            <w:noWrap w:val="0"/>
            <w:vAlign w:val="center"/>
          </w:tcPr>
          <w:p w14:paraId="4F30ADA1">
            <w:pPr>
              <w:pStyle w:val="45"/>
              <w:bidi w:val="0"/>
              <w:rPr>
                <w:b w:val="0"/>
                <w:bCs/>
                <w:color w:val="auto"/>
                <w:sz w:val="21"/>
                <w:szCs w:val="21"/>
                <w:highlight w:val="none"/>
              </w:rPr>
            </w:pPr>
          </w:p>
        </w:tc>
        <w:tc>
          <w:tcPr>
            <w:tcW w:w="556" w:type="dxa"/>
            <w:tcBorders>
              <w:tl2br w:val="nil"/>
              <w:tr2bl w:val="nil"/>
            </w:tcBorders>
            <w:noWrap w:val="0"/>
            <w:vAlign w:val="center"/>
          </w:tcPr>
          <w:p w14:paraId="0916C27E">
            <w:pPr>
              <w:pStyle w:val="45"/>
              <w:bidi w:val="0"/>
              <w:rPr>
                <w:b w:val="0"/>
                <w:bCs/>
                <w:color w:val="auto"/>
                <w:sz w:val="21"/>
                <w:szCs w:val="21"/>
                <w:highlight w:val="none"/>
              </w:rPr>
            </w:pPr>
          </w:p>
        </w:tc>
        <w:tc>
          <w:tcPr>
            <w:tcW w:w="497" w:type="dxa"/>
            <w:tcBorders>
              <w:tl2br w:val="nil"/>
              <w:tr2bl w:val="nil"/>
            </w:tcBorders>
            <w:noWrap w:val="0"/>
            <w:vAlign w:val="center"/>
          </w:tcPr>
          <w:p w14:paraId="512130E5">
            <w:pPr>
              <w:pStyle w:val="45"/>
              <w:bidi w:val="0"/>
              <w:rPr>
                <w:b w:val="0"/>
                <w:bCs/>
                <w:color w:val="auto"/>
                <w:sz w:val="21"/>
                <w:szCs w:val="21"/>
                <w:highlight w:val="none"/>
              </w:rPr>
            </w:pPr>
          </w:p>
        </w:tc>
        <w:tc>
          <w:tcPr>
            <w:tcW w:w="579" w:type="dxa"/>
            <w:tcBorders>
              <w:tl2br w:val="nil"/>
              <w:tr2bl w:val="nil"/>
            </w:tcBorders>
            <w:noWrap w:val="0"/>
            <w:vAlign w:val="center"/>
          </w:tcPr>
          <w:p w14:paraId="35553F6F">
            <w:pPr>
              <w:pStyle w:val="45"/>
              <w:bidi w:val="0"/>
              <w:rPr>
                <w:b w:val="0"/>
                <w:bCs/>
                <w:color w:val="auto"/>
                <w:sz w:val="21"/>
                <w:szCs w:val="21"/>
                <w:highlight w:val="none"/>
              </w:rPr>
            </w:pPr>
          </w:p>
        </w:tc>
        <w:tc>
          <w:tcPr>
            <w:tcW w:w="579" w:type="dxa"/>
            <w:tcBorders>
              <w:tl2br w:val="nil"/>
              <w:tr2bl w:val="nil"/>
            </w:tcBorders>
            <w:noWrap w:val="0"/>
            <w:vAlign w:val="center"/>
          </w:tcPr>
          <w:p w14:paraId="3DE248AB">
            <w:pPr>
              <w:pStyle w:val="45"/>
              <w:bidi w:val="0"/>
              <w:rPr>
                <w:b w:val="0"/>
                <w:bCs/>
                <w:color w:val="auto"/>
                <w:sz w:val="21"/>
                <w:szCs w:val="21"/>
                <w:highlight w:val="none"/>
              </w:rPr>
            </w:pPr>
          </w:p>
        </w:tc>
        <w:tc>
          <w:tcPr>
            <w:tcW w:w="579" w:type="dxa"/>
            <w:tcBorders>
              <w:tl2br w:val="nil"/>
              <w:tr2bl w:val="nil"/>
            </w:tcBorders>
            <w:noWrap w:val="0"/>
            <w:vAlign w:val="center"/>
          </w:tcPr>
          <w:p w14:paraId="1605E355">
            <w:pPr>
              <w:pStyle w:val="45"/>
              <w:bidi w:val="0"/>
              <w:rPr>
                <w:b w:val="0"/>
                <w:bCs/>
                <w:color w:val="auto"/>
                <w:sz w:val="21"/>
                <w:szCs w:val="21"/>
                <w:highlight w:val="none"/>
              </w:rPr>
            </w:pPr>
          </w:p>
        </w:tc>
        <w:tc>
          <w:tcPr>
            <w:tcW w:w="579" w:type="dxa"/>
            <w:tcBorders>
              <w:tl2br w:val="nil"/>
              <w:tr2bl w:val="nil"/>
            </w:tcBorders>
            <w:noWrap w:val="0"/>
            <w:vAlign w:val="center"/>
          </w:tcPr>
          <w:p w14:paraId="6B121028">
            <w:pPr>
              <w:pStyle w:val="45"/>
              <w:bidi w:val="0"/>
              <w:rPr>
                <w:b w:val="0"/>
                <w:bCs/>
                <w:color w:val="auto"/>
                <w:sz w:val="21"/>
                <w:szCs w:val="21"/>
                <w:highlight w:val="none"/>
              </w:rPr>
            </w:pPr>
          </w:p>
        </w:tc>
        <w:tc>
          <w:tcPr>
            <w:tcW w:w="579" w:type="dxa"/>
            <w:tcBorders>
              <w:tl2br w:val="nil"/>
              <w:tr2bl w:val="nil"/>
            </w:tcBorders>
            <w:noWrap w:val="0"/>
            <w:vAlign w:val="center"/>
          </w:tcPr>
          <w:p w14:paraId="076497BE">
            <w:pPr>
              <w:pStyle w:val="45"/>
              <w:bidi w:val="0"/>
              <w:rPr>
                <w:b w:val="0"/>
                <w:bCs/>
                <w:color w:val="auto"/>
                <w:sz w:val="21"/>
                <w:szCs w:val="21"/>
                <w:highlight w:val="none"/>
              </w:rPr>
            </w:pPr>
          </w:p>
        </w:tc>
        <w:tc>
          <w:tcPr>
            <w:tcW w:w="579" w:type="dxa"/>
            <w:tcBorders>
              <w:tl2br w:val="nil"/>
              <w:tr2bl w:val="nil"/>
            </w:tcBorders>
            <w:noWrap w:val="0"/>
            <w:vAlign w:val="center"/>
          </w:tcPr>
          <w:p w14:paraId="67F83D3F">
            <w:pPr>
              <w:pStyle w:val="45"/>
              <w:bidi w:val="0"/>
              <w:rPr>
                <w:b w:val="0"/>
                <w:bCs/>
                <w:color w:val="auto"/>
                <w:sz w:val="21"/>
                <w:szCs w:val="21"/>
                <w:highlight w:val="none"/>
              </w:rPr>
            </w:pPr>
          </w:p>
        </w:tc>
        <w:tc>
          <w:tcPr>
            <w:tcW w:w="579" w:type="dxa"/>
            <w:tcBorders>
              <w:tl2br w:val="nil"/>
              <w:tr2bl w:val="nil"/>
            </w:tcBorders>
            <w:noWrap w:val="0"/>
            <w:vAlign w:val="center"/>
          </w:tcPr>
          <w:p w14:paraId="684CF4A3">
            <w:pPr>
              <w:pStyle w:val="45"/>
              <w:bidi w:val="0"/>
              <w:rPr>
                <w:b w:val="0"/>
                <w:bCs/>
                <w:color w:val="auto"/>
                <w:sz w:val="21"/>
                <w:szCs w:val="21"/>
                <w:highlight w:val="none"/>
              </w:rPr>
            </w:pPr>
          </w:p>
        </w:tc>
        <w:tc>
          <w:tcPr>
            <w:tcW w:w="579" w:type="dxa"/>
            <w:tcBorders>
              <w:tl2br w:val="nil"/>
              <w:tr2bl w:val="nil"/>
            </w:tcBorders>
            <w:noWrap w:val="0"/>
            <w:vAlign w:val="center"/>
          </w:tcPr>
          <w:p w14:paraId="28A52873">
            <w:pPr>
              <w:pStyle w:val="45"/>
              <w:bidi w:val="0"/>
              <w:rPr>
                <w:b w:val="0"/>
                <w:bCs/>
                <w:color w:val="auto"/>
                <w:sz w:val="21"/>
                <w:szCs w:val="21"/>
                <w:highlight w:val="none"/>
              </w:rPr>
            </w:pPr>
          </w:p>
        </w:tc>
      </w:tr>
      <w:tr w14:paraId="56971B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42" w:type="dxa"/>
            <w:tcBorders>
              <w:tl2br w:val="nil"/>
              <w:tr2bl w:val="nil"/>
            </w:tcBorders>
            <w:noWrap w:val="0"/>
            <w:vAlign w:val="center"/>
          </w:tcPr>
          <w:p w14:paraId="4C29E552">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3</w:t>
            </w:r>
          </w:p>
        </w:tc>
        <w:tc>
          <w:tcPr>
            <w:tcW w:w="1240" w:type="dxa"/>
            <w:tcBorders>
              <w:tl2br w:val="nil"/>
              <w:tr2bl w:val="nil"/>
            </w:tcBorders>
            <w:noWrap w:val="0"/>
            <w:vAlign w:val="center"/>
          </w:tcPr>
          <w:p w14:paraId="0BA9D8CE">
            <w:pPr>
              <w:pStyle w:val="45"/>
              <w:bidi w:val="0"/>
              <w:rPr>
                <w:rFonts w:hint="eastAsia"/>
                <w:b w:val="0"/>
                <w:bCs/>
                <w:color w:val="auto"/>
                <w:sz w:val="21"/>
                <w:szCs w:val="21"/>
                <w:highlight w:val="none"/>
                <w:lang w:eastAsia="zh-CN"/>
              </w:rPr>
            </w:pPr>
            <w:r>
              <w:rPr>
                <w:rFonts w:hint="eastAsia"/>
                <w:b w:val="0"/>
                <w:bCs/>
                <w:color w:val="auto"/>
                <w:sz w:val="21"/>
                <w:szCs w:val="21"/>
                <w:highlight w:val="none"/>
                <w:lang w:eastAsia="zh-CN"/>
              </w:rPr>
              <w:t>风电机组基础</w:t>
            </w:r>
          </w:p>
        </w:tc>
        <w:tc>
          <w:tcPr>
            <w:tcW w:w="571" w:type="dxa"/>
            <w:tcBorders>
              <w:tl2br w:val="nil"/>
              <w:tr2bl w:val="nil"/>
            </w:tcBorders>
            <w:noWrap w:val="0"/>
            <w:vAlign w:val="center"/>
          </w:tcPr>
          <w:p w14:paraId="5C6BCB9B">
            <w:pPr>
              <w:pStyle w:val="45"/>
              <w:bidi w:val="0"/>
              <w:rPr>
                <w:b w:val="0"/>
                <w:bCs/>
                <w:color w:val="auto"/>
                <w:sz w:val="21"/>
                <w:szCs w:val="21"/>
                <w:highlight w:val="none"/>
              </w:rPr>
            </w:pPr>
          </w:p>
        </w:tc>
        <w:tc>
          <w:tcPr>
            <w:tcW w:w="584" w:type="dxa"/>
            <w:tcBorders>
              <w:tl2br w:val="nil"/>
              <w:tr2bl w:val="nil"/>
            </w:tcBorders>
            <w:noWrap w:val="0"/>
            <w:vAlign w:val="center"/>
          </w:tcPr>
          <w:p w14:paraId="6C9DD60C">
            <w:pPr>
              <w:pStyle w:val="45"/>
              <w:bidi w:val="0"/>
              <w:rPr>
                <w:b w:val="0"/>
                <w:bCs/>
                <w:color w:val="auto"/>
                <w:sz w:val="21"/>
                <w:szCs w:val="21"/>
                <w:highlight w:val="none"/>
              </w:rPr>
            </w:pPr>
          </w:p>
        </w:tc>
        <w:tc>
          <w:tcPr>
            <w:tcW w:w="556" w:type="dxa"/>
            <w:tcBorders>
              <w:tl2br w:val="nil"/>
              <w:tr2bl w:val="nil"/>
            </w:tcBorders>
            <w:noWrap w:val="0"/>
            <w:vAlign w:val="center"/>
          </w:tcPr>
          <w:p w14:paraId="26F30477">
            <w:pPr>
              <w:pStyle w:val="45"/>
              <w:bidi w:val="0"/>
              <w:rPr>
                <w:b w:val="0"/>
                <w:bCs/>
                <w:color w:val="auto"/>
                <w:sz w:val="21"/>
                <w:szCs w:val="21"/>
                <w:highlight w:val="none"/>
              </w:rPr>
            </w:pPr>
          </w:p>
        </w:tc>
        <w:tc>
          <w:tcPr>
            <w:tcW w:w="497" w:type="dxa"/>
            <w:tcBorders>
              <w:tl2br w:val="nil"/>
              <w:tr2bl w:val="nil"/>
            </w:tcBorders>
            <w:noWrap w:val="0"/>
            <w:vAlign w:val="center"/>
          </w:tcPr>
          <w:p w14:paraId="268CC924">
            <w:pPr>
              <w:pStyle w:val="45"/>
              <w:bidi w:val="0"/>
              <w:rPr>
                <w:b w:val="0"/>
                <w:bCs/>
                <w:color w:val="auto"/>
                <w:sz w:val="21"/>
                <w:szCs w:val="21"/>
                <w:highlight w:val="none"/>
              </w:rPr>
            </w:pPr>
          </w:p>
        </w:tc>
        <w:tc>
          <w:tcPr>
            <w:tcW w:w="579" w:type="dxa"/>
            <w:tcBorders>
              <w:tl2br w:val="nil"/>
              <w:tr2bl w:val="nil"/>
            </w:tcBorders>
            <w:noWrap w:val="0"/>
            <w:vAlign w:val="center"/>
          </w:tcPr>
          <w:p w14:paraId="592FA5E5">
            <w:pPr>
              <w:pStyle w:val="45"/>
              <w:bidi w:val="0"/>
              <w:rPr>
                <w:b w:val="0"/>
                <w:bCs/>
                <w:color w:val="auto"/>
                <w:sz w:val="21"/>
                <w:szCs w:val="21"/>
                <w:highlight w:val="none"/>
              </w:rPr>
            </w:pPr>
          </w:p>
        </w:tc>
        <w:tc>
          <w:tcPr>
            <w:tcW w:w="579" w:type="dxa"/>
            <w:tcBorders>
              <w:tl2br w:val="nil"/>
              <w:tr2bl w:val="nil"/>
            </w:tcBorders>
            <w:noWrap w:val="0"/>
            <w:vAlign w:val="center"/>
          </w:tcPr>
          <w:p w14:paraId="248506B2">
            <w:pPr>
              <w:pStyle w:val="45"/>
              <w:bidi w:val="0"/>
              <w:rPr>
                <w:b w:val="0"/>
                <w:bCs/>
                <w:color w:val="auto"/>
                <w:sz w:val="21"/>
                <w:szCs w:val="21"/>
                <w:highlight w:val="none"/>
              </w:rPr>
            </w:pPr>
            <w:r>
              <w:rPr>
                <w:b w:val="0"/>
                <w:bCs/>
                <w:color w:val="auto"/>
                <w:sz w:val="21"/>
                <w:szCs w:val="21"/>
                <w:highlight w:val="none"/>
              </w:rPr>
              <mc:AlternateContent>
                <mc:Choice Requires="wps">
                  <w:drawing>
                    <wp:anchor distT="0" distB="0" distL="114300" distR="114300" simplePos="0" relativeHeight="251666432" behindDoc="0" locked="0" layoutInCell="1" allowOverlap="1">
                      <wp:simplePos x="0" y="0"/>
                      <wp:positionH relativeFrom="column">
                        <wp:posOffset>-33655</wp:posOffset>
                      </wp:positionH>
                      <wp:positionV relativeFrom="paragraph">
                        <wp:posOffset>184150</wp:posOffset>
                      </wp:positionV>
                      <wp:extent cx="640715" cy="635"/>
                      <wp:effectExtent l="0" t="28575" r="6985" b="46990"/>
                      <wp:wrapNone/>
                      <wp:docPr id="12" name="直接连接符 12"/>
                      <wp:cNvGraphicFramePr/>
                      <a:graphic xmlns:a="http://schemas.openxmlformats.org/drawingml/2006/main">
                        <a:graphicData uri="http://schemas.microsoft.com/office/word/2010/wordprocessingShape">
                          <wps:wsp>
                            <wps:cNvCnPr/>
                            <wps:spPr>
                              <a:xfrm>
                                <a:off x="0" y="0"/>
                                <a:ext cx="640715" cy="635"/>
                              </a:xfrm>
                              <a:prstGeom prst="line">
                                <a:avLst/>
                              </a:prstGeom>
                              <a:ln w="57150"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65pt;margin-top:14.5pt;height:0.05pt;width:50.45pt;z-index:251666432;mso-width-relative:page;mso-height-relative:page;" filled="f" stroked="t" coordsize="21600,21600" o:gfxdata="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4RLLLYAAAABwEAAA8AAAAAAAAAAQAgAAAAIgAAAGRycy9kb3ducmV2LnhtbFBL&#10;AQIUABQAAAAIAIdO4kBkVjhl9gEAAOgDAAAOAAAAAAAAAAEAIAAAACcBAABkcnMvZTJvRG9jLnht&#10;bFBLBQYAAAAABgAGAFkBAACPBQAAAAA=&#10;">
                      <v:fill on="f" focussize="0,0"/>
                      <v:stroke weight="4.5pt" color="#000000" joinstyle="round"/>
                      <v:imagedata o:title=""/>
                      <o:lock v:ext="edit" aspectratio="f"/>
                    </v:line>
                  </w:pict>
                </mc:Fallback>
              </mc:AlternateContent>
            </w:r>
          </w:p>
        </w:tc>
        <w:tc>
          <w:tcPr>
            <w:tcW w:w="579" w:type="dxa"/>
            <w:tcBorders>
              <w:tl2br w:val="nil"/>
              <w:tr2bl w:val="nil"/>
            </w:tcBorders>
            <w:noWrap w:val="0"/>
            <w:vAlign w:val="center"/>
          </w:tcPr>
          <w:p w14:paraId="50C46B7B">
            <w:pPr>
              <w:pStyle w:val="45"/>
              <w:bidi w:val="0"/>
              <w:rPr>
                <w:b w:val="0"/>
                <w:bCs/>
                <w:color w:val="auto"/>
                <w:sz w:val="21"/>
                <w:szCs w:val="21"/>
                <w:highlight w:val="none"/>
              </w:rPr>
            </w:pPr>
          </w:p>
        </w:tc>
        <w:tc>
          <w:tcPr>
            <w:tcW w:w="579" w:type="dxa"/>
            <w:tcBorders>
              <w:tl2br w:val="nil"/>
              <w:tr2bl w:val="nil"/>
            </w:tcBorders>
            <w:noWrap w:val="0"/>
            <w:vAlign w:val="center"/>
          </w:tcPr>
          <w:p w14:paraId="681D4012">
            <w:pPr>
              <w:pStyle w:val="45"/>
              <w:bidi w:val="0"/>
              <w:rPr>
                <w:b w:val="0"/>
                <w:bCs/>
                <w:color w:val="auto"/>
                <w:sz w:val="21"/>
                <w:szCs w:val="21"/>
                <w:highlight w:val="none"/>
              </w:rPr>
            </w:pPr>
          </w:p>
        </w:tc>
        <w:tc>
          <w:tcPr>
            <w:tcW w:w="579" w:type="dxa"/>
            <w:tcBorders>
              <w:tl2br w:val="nil"/>
              <w:tr2bl w:val="nil"/>
            </w:tcBorders>
            <w:noWrap w:val="0"/>
            <w:vAlign w:val="center"/>
          </w:tcPr>
          <w:p w14:paraId="45E74D3B">
            <w:pPr>
              <w:pStyle w:val="45"/>
              <w:bidi w:val="0"/>
              <w:rPr>
                <w:b w:val="0"/>
                <w:bCs/>
                <w:color w:val="auto"/>
                <w:sz w:val="21"/>
                <w:szCs w:val="21"/>
                <w:highlight w:val="none"/>
              </w:rPr>
            </w:pPr>
          </w:p>
        </w:tc>
        <w:tc>
          <w:tcPr>
            <w:tcW w:w="579" w:type="dxa"/>
            <w:tcBorders>
              <w:tl2br w:val="nil"/>
              <w:tr2bl w:val="nil"/>
            </w:tcBorders>
            <w:noWrap w:val="0"/>
            <w:vAlign w:val="center"/>
          </w:tcPr>
          <w:p w14:paraId="0C0CF69F">
            <w:pPr>
              <w:pStyle w:val="45"/>
              <w:bidi w:val="0"/>
              <w:rPr>
                <w:b w:val="0"/>
                <w:bCs/>
                <w:color w:val="auto"/>
                <w:sz w:val="21"/>
                <w:szCs w:val="21"/>
                <w:highlight w:val="none"/>
              </w:rPr>
            </w:pPr>
          </w:p>
        </w:tc>
        <w:tc>
          <w:tcPr>
            <w:tcW w:w="579" w:type="dxa"/>
            <w:tcBorders>
              <w:tl2br w:val="nil"/>
              <w:tr2bl w:val="nil"/>
            </w:tcBorders>
            <w:noWrap w:val="0"/>
            <w:vAlign w:val="center"/>
          </w:tcPr>
          <w:p w14:paraId="38FE18A9">
            <w:pPr>
              <w:pStyle w:val="45"/>
              <w:bidi w:val="0"/>
              <w:rPr>
                <w:b w:val="0"/>
                <w:bCs/>
                <w:color w:val="auto"/>
                <w:sz w:val="21"/>
                <w:szCs w:val="21"/>
                <w:highlight w:val="none"/>
              </w:rPr>
            </w:pPr>
          </w:p>
        </w:tc>
        <w:tc>
          <w:tcPr>
            <w:tcW w:w="579" w:type="dxa"/>
            <w:tcBorders>
              <w:tl2br w:val="nil"/>
              <w:tr2bl w:val="nil"/>
            </w:tcBorders>
            <w:noWrap w:val="0"/>
            <w:vAlign w:val="center"/>
          </w:tcPr>
          <w:p w14:paraId="77448D76">
            <w:pPr>
              <w:pStyle w:val="45"/>
              <w:bidi w:val="0"/>
              <w:rPr>
                <w:b w:val="0"/>
                <w:bCs/>
                <w:color w:val="auto"/>
                <w:sz w:val="21"/>
                <w:szCs w:val="21"/>
                <w:highlight w:val="none"/>
              </w:rPr>
            </w:pPr>
          </w:p>
        </w:tc>
      </w:tr>
      <w:tr w14:paraId="7B9CBB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42" w:type="dxa"/>
            <w:tcBorders>
              <w:tl2br w:val="nil"/>
              <w:tr2bl w:val="nil"/>
            </w:tcBorders>
            <w:noWrap w:val="0"/>
            <w:vAlign w:val="center"/>
          </w:tcPr>
          <w:p w14:paraId="28714384">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4</w:t>
            </w:r>
          </w:p>
        </w:tc>
        <w:tc>
          <w:tcPr>
            <w:tcW w:w="1240" w:type="dxa"/>
            <w:tcBorders>
              <w:tl2br w:val="nil"/>
              <w:tr2bl w:val="nil"/>
            </w:tcBorders>
            <w:noWrap w:val="0"/>
            <w:vAlign w:val="center"/>
          </w:tcPr>
          <w:p w14:paraId="2E700F9A">
            <w:pPr>
              <w:pStyle w:val="45"/>
              <w:bidi w:val="0"/>
              <w:rPr>
                <w:rFonts w:hint="eastAsia"/>
                <w:b w:val="0"/>
                <w:bCs/>
                <w:color w:val="auto"/>
                <w:sz w:val="21"/>
                <w:szCs w:val="21"/>
                <w:highlight w:val="none"/>
                <w:lang w:eastAsia="zh-CN"/>
              </w:rPr>
            </w:pPr>
            <w:r>
              <w:rPr>
                <w:rFonts w:hint="eastAsia"/>
                <w:b w:val="0"/>
                <w:bCs/>
                <w:color w:val="auto"/>
                <w:sz w:val="21"/>
                <w:szCs w:val="21"/>
                <w:highlight w:val="none"/>
                <w:lang w:eastAsia="zh-CN"/>
              </w:rPr>
              <w:t>电力、通信</w:t>
            </w:r>
          </w:p>
        </w:tc>
        <w:tc>
          <w:tcPr>
            <w:tcW w:w="571" w:type="dxa"/>
            <w:tcBorders>
              <w:tl2br w:val="nil"/>
              <w:tr2bl w:val="nil"/>
            </w:tcBorders>
            <w:noWrap w:val="0"/>
            <w:vAlign w:val="center"/>
          </w:tcPr>
          <w:p w14:paraId="0A0B58D3">
            <w:pPr>
              <w:pStyle w:val="45"/>
              <w:bidi w:val="0"/>
              <w:rPr>
                <w:b w:val="0"/>
                <w:bCs/>
                <w:color w:val="auto"/>
                <w:sz w:val="21"/>
                <w:szCs w:val="21"/>
                <w:highlight w:val="none"/>
              </w:rPr>
            </w:pPr>
          </w:p>
        </w:tc>
        <w:tc>
          <w:tcPr>
            <w:tcW w:w="584" w:type="dxa"/>
            <w:tcBorders>
              <w:tl2br w:val="nil"/>
              <w:tr2bl w:val="nil"/>
            </w:tcBorders>
            <w:noWrap w:val="0"/>
            <w:vAlign w:val="center"/>
          </w:tcPr>
          <w:p w14:paraId="19C27199">
            <w:pPr>
              <w:pStyle w:val="45"/>
              <w:bidi w:val="0"/>
              <w:rPr>
                <w:b w:val="0"/>
                <w:bCs/>
                <w:color w:val="auto"/>
                <w:sz w:val="21"/>
                <w:szCs w:val="21"/>
                <w:highlight w:val="none"/>
              </w:rPr>
            </w:pPr>
          </w:p>
        </w:tc>
        <w:tc>
          <w:tcPr>
            <w:tcW w:w="556" w:type="dxa"/>
            <w:tcBorders>
              <w:tl2br w:val="nil"/>
              <w:tr2bl w:val="nil"/>
            </w:tcBorders>
            <w:noWrap w:val="0"/>
            <w:vAlign w:val="center"/>
          </w:tcPr>
          <w:p w14:paraId="05FA8EE4">
            <w:pPr>
              <w:pStyle w:val="45"/>
              <w:bidi w:val="0"/>
              <w:rPr>
                <w:b w:val="0"/>
                <w:bCs/>
                <w:color w:val="auto"/>
                <w:sz w:val="21"/>
                <w:szCs w:val="21"/>
                <w:highlight w:val="none"/>
              </w:rPr>
            </w:pPr>
          </w:p>
        </w:tc>
        <w:tc>
          <w:tcPr>
            <w:tcW w:w="497" w:type="dxa"/>
            <w:tcBorders>
              <w:tl2br w:val="nil"/>
              <w:tr2bl w:val="nil"/>
            </w:tcBorders>
            <w:noWrap w:val="0"/>
            <w:vAlign w:val="center"/>
          </w:tcPr>
          <w:p w14:paraId="3959C1F8">
            <w:pPr>
              <w:pStyle w:val="45"/>
              <w:bidi w:val="0"/>
              <w:rPr>
                <w:b w:val="0"/>
                <w:bCs/>
                <w:color w:val="auto"/>
                <w:sz w:val="21"/>
                <w:szCs w:val="21"/>
                <w:highlight w:val="none"/>
              </w:rPr>
            </w:pPr>
          </w:p>
        </w:tc>
        <w:tc>
          <w:tcPr>
            <w:tcW w:w="579" w:type="dxa"/>
            <w:tcBorders>
              <w:tl2br w:val="nil"/>
              <w:tr2bl w:val="nil"/>
            </w:tcBorders>
            <w:noWrap w:val="0"/>
            <w:vAlign w:val="center"/>
          </w:tcPr>
          <w:p w14:paraId="44667553">
            <w:pPr>
              <w:pStyle w:val="45"/>
              <w:bidi w:val="0"/>
              <w:rPr>
                <w:b w:val="0"/>
                <w:bCs/>
                <w:color w:val="auto"/>
                <w:sz w:val="21"/>
                <w:szCs w:val="21"/>
                <w:highlight w:val="none"/>
              </w:rPr>
            </w:pPr>
          </w:p>
        </w:tc>
        <w:tc>
          <w:tcPr>
            <w:tcW w:w="579" w:type="dxa"/>
            <w:tcBorders>
              <w:tl2br w:val="nil"/>
              <w:tr2bl w:val="nil"/>
            </w:tcBorders>
            <w:noWrap w:val="0"/>
            <w:vAlign w:val="center"/>
          </w:tcPr>
          <w:p w14:paraId="3E9E37BE">
            <w:pPr>
              <w:pStyle w:val="45"/>
              <w:bidi w:val="0"/>
              <w:rPr>
                <w:b w:val="0"/>
                <w:bCs/>
                <w:color w:val="auto"/>
                <w:sz w:val="21"/>
                <w:szCs w:val="21"/>
                <w:highlight w:val="none"/>
              </w:rPr>
            </w:pPr>
          </w:p>
        </w:tc>
        <w:tc>
          <w:tcPr>
            <w:tcW w:w="579" w:type="dxa"/>
            <w:tcBorders>
              <w:tl2br w:val="nil"/>
              <w:tr2bl w:val="nil"/>
            </w:tcBorders>
            <w:noWrap w:val="0"/>
            <w:vAlign w:val="center"/>
          </w:tcPr>
          <w:p w14:paraId="10F2E089">
            <w:pPr>
              <w:pStyle w:val="45"/>
              <w:bidi w:val="0"/>
              <w:rPr>
                <w:b w:val="0"/>
                <w:bCs/>
                <w:color w:val="auto"/>
                <w:sz w:val="21"/>
                <w:szCs w:val="21"/>
                <w:highlight w:val="none"/>
              </w:rPr>
            </w:pPr>
          </w:p>
        </w:tc>
        <w:tc>
          <w:tcPr>
            <w:tcW w:w="579" w:type="dxa"/>
            <w:tcBorders>
              <w:tl2br w:val="nil"/>
              <w:tr2bl w:val="nil"/>
            </w:tcBorders>
            <w:noWrap w:val="0"/>
            <w:vAlign w:val="center"/>
          </w:tcPr>
          <w:p w14:paraId="5413204F">
            <w:pPr>
              <w:pStyle w:val="45"/>
              <w:bidi w:val="0"/>
              <w:rPr>
                <w:b w:val="0"/>
                <w:bCs/>
                <w:color w:val="auto"/>
                <w:sz w:val="21"/>
                <w:szCs w:val="21"/>
                <w:highlight w:val="none"/>
              </w:rPr>
            </w:pPr>
            <w:r>
              <w:rPr>
                <w:b w:val="0"/>
                <w:bCs/>
                <w:color w:val="auto"/>
                <w:sz w:val="21"/>
                <w:szCs w:val="21"/>
                <w:highlight w:val="none"/>
              </w:rPr>
              <mc:AlternateContent>
                <mc:Choice Requires="wps">
                  <w:drawing>
                    <wp:anchor distT="0" distB="0" distL="114300" distR="114300" simplePos="0" relativeHeight="251669504" behindDoc="0" locked="0" layoutInCell="1" allowOverlap="1">
                      <wp:simplePos x="0" y="0"/>
                      <wp:positionH relativeFrom="column">
                        <wp:posOffset>-31115</wp:posOffset>
                      </wp:positionH>
                      <wp:positionV relativeFrom="paragraph">
                        <wp:posOffset>113030</wp:posOffset>
                      </wp:positionV>
                      <wp:extent cx="640715" cy="635"/>
                      <wp:effectExtent l="0" t="28575" r="6985" b="46990"/>
                      <wp:wrapNone/>
                      <wp:docPr id="7" name="直接连接符 7"/>
                      <wp:cNvGraphicFramePr/>
                      <a:graphic xmlns:a="http://schemas.openxmlformats.org/drawingml/2006/main">
                        <a:graphicData uri="http://schemas.microsoft.com/office/word/2010/wordprocessingShape">
                          <wps:wsp>
                            <wps:cNvCnPr/>
                            <wps:spPr>
                              <a:xfrm>
                                <a:off x="0" y="0"/>
                                <a:ext cx="640715" cy="635"/>
                              </a:xfrm>
                              <a:prstGeom prst="line">
                                <a:avLst/>
                              </a:prstGeom>
                              <a:ln w="57150"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45pt;margin-top:8.9pt;height:0.05pt;width:50.45pt;z-index:251669504;mso-width-relative:page;mso-height-relative:page;" filled="f" stroked="t" coordsize="21600,21600" o:gfxdata="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3L6u/1wAAAAcBAAAPAAAAAAAAAAEAIAAAACIAAABkcnMvZG93bnJldi54bWxQSwEC&#10;FAAUAAAACACHTuJAV/NTO/UBAADmAwAADgAAAAAAAAABACAAAAAmAQAAZHJzL2Uyb0RvYy54bWxQ&#10;SwUGAAAAAAYABgBZAQAAjQUAAAAA&#10;">
                      <v:fill on="f" focussize="0,0"/>
                      <v:stroke weight="4.5pt" color="#000000" joinstyle="round"/>
                      <v:imagedata o:title=""/>
                      <o:lock v:ext="edit" aspectratio="f"/>
                    </v:line>
                  </w:pict>
                </mc:Fallback>
              </mc:AlternateContent>
            </w:r>
          </w:p>
        </w:tc>
        <w:tc>
          <w:tcPr>
            <w:tcW w:w="579" w:type="dxa"/>
            <w:tcBorders>
              <w:tl2br w:val="nil"/>
              <w:tr2bl w:val="nil"/>
            </w:tcBorders>
            <w:noWrap w:val="0"/>
            <w:vAlign w:val="center"/>
          </w:tcPr>
          <w:p w14:paraId="25B3670D">
            <w:pPr>
              <w:pStyle w:val="45"/>
              <w:bidi w:val="0"/>
              <w:rPr>
                <w:b w:val="0"/>
                <w:bCs/>
                <w:color w:val="auto"/>
                <w:sz w:val="21"/>
                <w:szCs w:val="21"/>
                <w:highlight w:val="none"/>
              </w:rPr>
            </w:pPr>
          </w:p>
        </w:tc>
        <w:tc>
          <w:tcPr>
            <w:tcW w:w="579" w:type="dxa"/>
            <w:tcBorders>
              <w:tl2br w:val="nil"/>
              <w:tr2bl w:val="nil"/>
            </w:tcBorders>
            <w:noWrap w:val="0"/>
            <w:vAlign w:val="center"/>
          </w:tcPr>
          <w:p w14:paraId="3AE27192">
            <w:pPr>
              <w:pStyle w:val="45"/>
              <w:bidi w:val="0"/>
              <w:rPr>
                <w:b w:val="0"/>
                <w:bCs/>
                <w:color w:val="auto"/>
                <w:sz w:val="21"/>
                <w:szCs w:val="21"/>
                <w:highlight w:val="none"/>
              </w:rPr>
            </w:pPr>
          </w:p>
        </w:tc>
        <w:tc>
          <w:tcPr>
            <w:tcW w:w="579" w:type="dxa"/>
            <w:tcBorders>
              <w:tl2br w:val="nil"/>
              <w:tr2bl w:val="nil"/>
            </w:tcBorders>
            <w:noWrap w:val="0"/>
            <w:vAlign w:val="center"/>
          </w:tcPr>
          <w:p w14:paraId="077F6A49">
            <w:pPr>
              <w:pStyle w:val="45"/>
              <w:bidi w:val="0"/>
              <w:rPr>
                <w:b w:val="0"/>
                <w:bCs/>
                <w:color w:val="auto"/>
                <w:sz w:val="21"/>
                <w:szCs w:val="21"/>
                <w:highlight w:val="none"/>
              </w:rPr>
            </w:pPr>
          </w:p>
        </w:tc>
        <w:tc>
          <w:tcPr>
            <w:tcW w:w="579" w:type="dxa"/>
            <w:tcBorders>
              <w:tl2br w:val="nil"/>
              <w:tr2bl w:val="nil"/>
            </w:tcBorders>
            <w:noWrap w:val="0"/>
            <w:vAlign w:val="center"/>
          </w:tcPr>
          <w:p w14:paraId="66201EEB">
            <w:pPr>
              <w:pStyle w:val="45"/>
              <w:bidi w:val="0"/>
              <w:rPr>
                <w:b w:val="0"/>
                <w:bCs/>
                <w:color w:val="auto"/>
                <w:sz w:val="21"/>
                <w:szCs w:val="21"/>
                <w:highlight w:val="none"/>
              </w:rPr>
            </w:pPr>
          </w:p>
        </w:tc>
      </w:tr>
      <w:tr w14:paraId="1D6C48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42" w:type="dxa"/>
            <w:tcBorders>
              <w:tl2br w:val="nil"/>
              <w:tr2bl w:val="nil"/>
            </w:tcBorders>
            <w:noWrap w:val="0"/>
            <w:vAlign w:val="center"/>
          </w:tcPr>
          <w:p w14:paraId="663D18C1">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5</w:t>
            </w:r>
          </w:p>
        </w:tc>
        <w:tc>
          <w:tcPr>
            <w:tcW w:w="1240" w:type="dxa"/>
            <w:tcBorders>
              <w:tl2br w:val="nil"/>
              <w:tr2bl w:val="nil"/>
            </w:tcBorders>
            <w:noWrap w:val="0"/>
            <w:vAlign w:val="center"/>
          </w:tcPr>
          <w:p w14:paraId="3841B635">
            <w:pPr>
              <w:pStyle w:val="45"/>
              <w:bidi w:val="0"/>
              <w:rPr>
                <w:rFonts w:hint="eastAsia"/>
                <w:b w:val="0"/>
                <w:bCs/>
                <w:color w:val="auto"/>
                <w:sz w:val="21"/>
                <w:szCs w:val="21"/>
                <w:highlight w:val="none"/>
                <w:lang w:eastAsia="zh-CN"/>
              </w:rPr>
            </w:pPr>
            <w:r>
              <w:rPr>
                <w:rFonts w:hint="eastAsia"/>
                <w:b w:val="0"/>
                <w:bCs/>
                <w:color w:val="auto"/>
                <w:sz w:val="21"/>
                <w:szCs w:val="21"/>
                <w:highlight w:val="none"/>
                <w:lang w:eastAsia="zh-CN"/>
              </w:rPr>
              <w:t>吊装阶段</w:t>
            </w:r>
          </w:p>
        </w:tc>
        <w:tc>
          <w:tcPr>
            <w:tcW w:w="571" w:type="dxa"/>
            <w:tcBorders>
              <w:tl2br w:val="nil"/>
              <w:tr2bl w:val="nil"/>
            </w:tcBorders>
            <w:noWrap w:val="0"/>
            <w:vAlign w:val="center"/>
          </w:tcPr>
          <w:p w14:paraId="0DC63068">
            <w:pPr>
              <w:pStyle w:val="45"/>
              <w:bidi w:val="0"/>
              <w:rPr>
                <w:b w:val="0"/>
                <w:bCs/>
                <w:color w:val="auto"/>
                <w:sz w:val="21"/>
                <w:szCs w:val="21"/>
                <w:highlight w:val="none"/>
              </w:rPr>
            </w:pPr>
          </w:p>
        </w:tc>
        <w:tc>
          <w:tcPr>
            <w:tcW w:w="584" w:type="dxa"/>
            <w:tcBorders>
              <w:tl2br w:val="nil"/>
              <w:tr2bl w:val="nil"/>
            </w:tcBorders>
            <w:noWrap w:val="0"/>
            <w:vAlign w:val="center"/>
          </w:tcPr>
          <w:p w14:paraId="0F9FFF8E">
            <w:pPr>
              <w:pStyle w:val="45"/>
              <w:bidi w:val="0"/>
              <w:rPr>
                <w:b w:val="0"/>
                <w:bCs/>
                <w:color w:val="auto"/>
                <w:sz w:val="21"/>
                <w:szCs w:val="21"/>
                <w:highlight w:val="none"/>
              </w:rPr>
            </w:pPr>
          </w:p>
        </w:tc>
        <w:tc>
          <w:tcPr>
            <w:tcW w:w="556" w:type="dxa"/>
            <w:tcBorders>
              <w:tl2br w:val="nil"/>
              <w:tr2bl w:val="nil"/>
            </w:tcBorders>
            <w:noWrap w:val="0"/>
            <w:vAlign w:val="center"/>
          </w:tcPr>
          <w:p w14:paraId="1C70FDF1">
            <w:pPr>
              <w:pStyle w:val="45"/>
              <w:bidi w:val="0"/>
              <w:rPr>
                <w:b w:val="0"/>
                <w:bCs/>
                <w:color w:val="auto"/>
                <w:sz w:val="21"/>
                <w:szCs w:val="21"/>
                <w:highlight w:val="none"/>
              </w:rPr>
            </w:pPr>
          </w:p>
        </w:tc>
        <w:tc>
          <w:tcPr>
            <w:tcW w:w="497" w:type="dxa"/>
            <w:tcBorders>
              <w:tl2br w:val="nil"/>
              <w:tr2bl w:val="nil"/>
            </w:tcBorders>
            <w:noWrap w:val="0"/>
            <w:vAlign w:val="center"/>
          </w:tcPr>
          <w:p w14:paraId="10D446A8">
            <w:pPr>
              <w:pStyle w:val="45"/>
              <w:bidi w:val="0"/>
              <w:rPr>
                <w:b w:val="0"/>
                <w:bCs/>
                <w:color w:val="auto"/>
                <w:sz w:val="21"/>
                <w:szCs w:val="21"/>
                <w:highlight w:val="none"/>
              </w:rPr>
            </w:pPr>
          </w:p>
        </w:tc>
        <w:tc>
          <w:tcPr>
            <w:tcW w:w="579" w:type="dxa"/>
            <w:tcBorders>
              <w:tl2br w:val="nil"/>
              <w:tr2bl w:val="nil"/>
            </w:tcBorders>
            <w:noWrap w:val="0"/>
            <w:vAlign w:val="center"/>
          </w:tcPr>
          <w:p w14:paraId="52D05949">
            <w:pPr>
              <w:pStyle w:val="45"/>
              <w:bidi w:val="0"/>
              <w:rPr>
                <w:b w:val="0"/>
                <w:bCs/>
                <w:color w:val="auto"/>
                <w:sz w:val="21"/>
                <w:szCs w:val="21"/>
                <w:highlight w:val="none"/>
              </w:rPr>
            </w:pPr>
          </w:p>
        </w:tc>
        <w:tc>
          <w:tcPr>
            <w:tcW w:w="579" w:type="dxa"/>
            <w:tcBorders>
              <w:tl2br w:val="nil"/>
              <w:tr2bl w:val="nil"/>
            </w:tcBorders>
            <w:noWrap w:val="0"/>
            <w:vAlign w:val="center"/>
          </w:tcPr>
          <w:p w14:paraId="143FCFEA">
            <w:pPr>
              <w:pStyle w:val="45"/>
              <w:bidi w:val="0"/>
              <w:rPr>
                <w:b w:val="0"/>
                <w:bCs/>
                <w:color w:val="auto"/>
                <w:sz w:val="21"/>
                <w:szCs w:val="21"/>
                <w:highlight w:val="none"/>
              </w:rPr>
            </w:pPr>
          </w:p>
        </w:tc>
        <w:tc>
          <w:tcPr>
            <w:tcW w:w="579" w:type="dxa"/>
            <w:tcBorders>
              <w:tl2br w:val="nil"/>
              <w:tr2bl w:val="nil"/>
            </w:tcBorders>
            <w:noWrap w:val="0"/>
            <w:vAlign w:val="center"/>
          </w:tcPr>
          <w:p w14:paraId="27A4D2CD">
            <w:pPr>
              <w:pStyle w:val="45"/>
              <w:bidi w:val="0"/>
              <w:rPr>
                <w:b w:val="0"/>
                <w:bCs/>
                <w:color w:val="auto"/>
                <w:sz w:val="21"/>
                <w:szCs w:val="21"/>
                <w:highlight w:val="none"/>
              </w:rPr>
            </w:pPr>
          </w:p>
        </w:tc>
        <w:tc>
          <w:tcPr>
            <w:tcW w:w="579" w:type="dxa"/>
            <w:tcBorders>
              <w:tl2br w:val="nil"/>
              <w:tr2bl w:val="nil"/>
            </w:tcBorders>
            <w:noWrap w:val="0"/>
            <w:vAlign w:val="center"/>
          </w:tcPr>
          <w:p w14:paraId="1D1C0AEF">
            <w:pPr>
              <w:pStyle w:val="45"/>
              <w:bidi w:val="0"/>
              <w:rPr>
                <w:b w:val="0"/>
                <w:bCs/>
                <w:color w:val="auto"/>
                <w:sz w:val="21"/>
                <w:szCs w:val="21"/>
                <w:highlight w:val="none"/>
              </w:rPr>
            </w:pPr>
          </w:p>
        </w:tc>
        <w:tc>
          <w:tcPr>
            <w:tcW w:w="579" w:type="dxa"/>
            <w:tcBorders>
              <w:tl2br w:val="nil"/>
              <w:tr2bl w:val="nil"/>
            </w:tcBorders>
            <w:noWrap w:val="0"/>
            <w:vAlign w:val="center"/>
          </w:tcPr>
          <w:p w14:paraId="43E61C2D">
            <w:pPr>
              <w:pStyle w:val="45"/>
              <w:bidi w:val="0"/>
              <w:rPr>
                <w:b w:val="0"/>
                <w:bCs/>
                <w:color w:val="auto"/>
                <w:sz w:val="21"/>
                <w:szCs w:val="21"/>
                <w:highlight w:val="none"/>
              </w:rPr>
            </w:pPr>
          </w:p>
        </w:tc>
        <w:tc>
          <w:tcPr>
            <w:tcW w:w="579" w:type="dxa"/>
            <w:tcBorders>
              <w:tl2br w:val="nil"/>
              <w:tr2bl w:val="nil"/>
            </w:tcBorders>
            <w:noWrap w:val="0"/>
            <w:vAlign w:val="center"/>
          </w:tcPr>
          <w:p w14:paraId="5F9076EC">
            <w:pPr>
              <w:pStyle w:val="45"/>
              <w:bidi w:val="0"/>
              <w:rPr>
                <w:b w:val="0"/>
                <w:bCs/>
                <w:color w:val="auto"/>
                <w:sz w:val="21"/>
                <w:szCs w:val="21"/>
                <w:highlight w:val="none"/>
              </w:rPr>
            </w:pPr>
            <w:r>
              <w:rPr>
                <w:b w:val="0"/>
                <w:bCs/>
                <w:color w:val="auto"/>
                <w:sz w:val="21"/>
                <w:szCs w:val="21"/>
                <w:highlight w:val="none"/>
              </w:rPr>
              <mc:AlternateContent>
                <mc:Choice Requires="wps">
                  <w:drawing>
                    <wp:anchor distT="0" distB="0" distL="114300" distR="114300" simplePos="0" relativeHeight="251667456" behindDoc="0" locked="0" layoutInCell="1" allowOverlap="1">
                      <wp:simplePos x="0" y="0"/>
                      <wp:positionH relativeFrom="column">
                        <wp:posOffset>-25400</wp:posOffset>
                      </wp:positionH>
                      <wp:positionV relativeFrom="paragraph">
                        <wp:posOffset>108585</wp:posOffset>
                      </wp:positionV>
                      <wp:extent cx="640715" cy="635"/>
                      <wp:effectExtent l="0" t="28575" r="6985" b="46990"/>
                      <wp:wrapNone/>
                      <wp:docPr id="10" name="直接连接符 10"/>
                      <wp:cNvGraphicFramePr/>
                      <a:graphic xmlns:a="http://schemas.openxmlformats.org/drawingml/2006/main">
                        <a:graphicData uri="http://schemas.microsoft.com/office/word/2010/wordprocessingShape">
                          <wps:wsp>
                            <wps:cNvCnPr/>
                            <wps:spPr>
                              <a:xfrm>
                                <a:off x="0" y="0"/>
                                <a:ext cx="640715" cy="635"/>
                              </a:xfrm>
                              <a:prstGeom prst="line">
                                <a:avLst/>
                              </a:prstGeom>
                              <a:ln w="57150"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pt;margin-top:8.55pt;height:0.05pt;width:50.45pt;z-index:251667456;mso-width-relative:page;mso-height-relative:page;" filled="f" stroked="t" coordsize="21600,21600" o:gfxdata="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YSWrtgAAAAHAQAADwAAAAAAAAABACAAAAAiAAAAZHJzL2Rvd25yZXYueG1sUEsB&#10;AhQAFAAAAAgAh07iQLP686z1AQAA6AMAAA4AAAAAAAAAAQAgAAAAJwEAAGRycy9lMm9Eb2MueG1s&#10;UEsFBgAAAAAGAAYAWQEAAI4FAAAAAA==&#10;">
                      <v:fill on="f" focussize="0,0"/>
                      <v:stroke weight="4.5pt" color="#000000" joinstyle="round"/>
                      <v:imagedata o:title=""/>
                      <o:lock v:ext="edit" aspectratio="f"/>
                    </v:line>
                  </w:pict>
                </mc:Fallback>
              </mc:AlternateContent>
            </w:r>
          </w:p>
        </w:tc>
        <w:tc>
          <w:tcPr>
            <w:tcW w:w="579" w:type="dxa"/>
            <w:tcBorders>
              <w:tl2br w:val="nil"/>
              <w:tr2bl w:val="nil"/>
            </w:tcBorders>
            <w:noWrap w:val="0"/>
            <w:vAlign w:val="center"/>
          </w:tcPr>
          <w:p w14:paraId="3EAF0DDF">
            <w:pPr>
              <w:pStyle w:val="45"/>
              <w:bidi w:val="0"/>
              <w:rPr>
                <w:b w:val="0"/>
                <w:bCs/>
                <w:color w:val="auto"/>
                <w:sz w:val="21"/>
                <w:szCs w:val="21"/>
                <w:highlight w:val="none"/>
              </w:rPr>
            </w:pPr>
          </w:p>
        </w:tc>
        <w:tc>
          <w:tcPr>
            <w:tcW w:w="579" w:type="dxa"/>
            <w:tcBorders>
              <w:tl2br w:val="nil"/>
              <w:tr2bl w:val="nil"/>
            </w:tcBorders>
            <w:noWrap w:val="0"/>
            <w:vAlign w:val="center"/>
          </w:tcPr>
          <w:p w14:paraId="50579EB1">
            <w:pPr>
              <w:pStyle w:val="45"/>
              <w:bidi w:val="0"/>
              <w:rPr>
                <w:b w:val="0"/>
                <w:bCs/>
                <w:color w:val="auto"/>
                <w:sz w:val="21"/>
                <w:szCs w:val="21"/>
                <w:highlight w:val="none"/>
              </w:rPr>
            </w:pPr>
          </w:p>
        </w:tc>
      </w:tr>
      <w:tr w14:paraId="4BE6120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42" w:type="dxa"/>
            <w:tcBorders>
              <w:tl2br w:val="nil"/>
              <w:tr2bl w:val="nil"/>
            </w:tcBorders>
            <w:noWrap w:val="0"/>
            <w:vAlign w:val="center"/>
          </w:tcPr>
          <w:p w14:paraId="4E5EAB52">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6</w:t>
            </w:r>
          </w:p>
        </w:tc>
        <w:tc>
          <w:tcPr>
            <w:tcW w:w="1240" w:type="dxa"/>
            <w:tcBorders>
              <w:tl2br w:val="nil"/>
              <w:tr2bl w:val="nil"/>
            </w:tcBorders>
            <w:noWrap w:val="0"/>
            <w:vAlign w:val="center"/>
          </w:tcPr>
          <w:p w14:paraId="535C1498">
            <w:pPr>
              <w:pStyle w:val="45"/>
              <w:bidi w:val="0"/>
              <w:rPr>
                <w:rFonts w:hint="eastAsia"/>
                <w:b w:val="0"/>
                <w:bCs/>
                <w:color w:val="auto"/>
                <w:sz w:val="21"/>
                <w:szCs w:val="21"/>
                <w:highlight w:val="none"/>
                <w:lang w:eastAsia="zh-CN"/>
              </w:rPr>
            </w:pPr>
            <w:r>
              <w:rPr>
                <w:rFonts w:hint="eastAsia"/>
                <w:b w:val="0"/>
                <w:bCs/>
                <w:color w:val="auto"/>
                <w:sz w:val="21"/>
                <w:szCs w:val="21"/>
                <w:highlight w:val="none"/>
                <w:lang w:eastAsia="zh-CN"/>
              </w:rPr>
              <w:t>调试运行</w:t>
            </w:r>
          </w:p>
        </w:tc>
        <w:tc>
          <w:tcPr>
            <w:tcW w:w="571" w:type="dxa"/>
            <w:tcBorders>
              <w:tl2br w:val="nil"/>
              <w:tr2bl w:val="nil"/>
            </w:tcBorders>
            <w:noWrap w:val="0"/>
            <w:vAlign w:val="center"/>
          </w:tcPr>
          <w:p w14:paraId="1BB2028C">
            <w:pPr>
              <w:pStyle w:val="45"/>
              <w:bidi w:val="0"/>
              <w:rPr>
                <w:b w:val="0"/>
                <w:bCs/>
                <w:color w:val="auto"/>
                <w:sz w:val="21"/>
                <w:szCs w:val="21"/>
                <w:highlight w:val="none"/>
              </w:rPr>
            </w:pPr>
          </w:p>
        </w:tc>
        <w:tc>
          <w:tcPr>
            <w:tcW w:w="584" w:type="dxa"/>
            <w:tcBorders>
              <w:tl2br w:val="nil"/>
              <w:tr2bl w:val="nil"/>
            </w:tcBorders>
            <w:noWrap w:val="0"/>
            <w:vAlign w:val="center"/>
          </w:tcPr>
          <w:p w14:paraId="2F30DDA2">
            <w:pPr>
              <w:pStyle w:val="45"/>
              <w:bidi w:val="0"/>
              <w:rPr>
                <w:b w:val="0"/>
                <w:bCs/>
                <w:color w:val="auto"/>
                <w:sz w:val="21"/>
                <w:szCs w:val="21"/>
                <w:highlight w:val="none"/>
              </w:rPr>
            </w:pPr>
          </w:p>
        </w:tc>
        <w:tc>
          <w:tcPr>
            <w:tcW w:w="556" w:type="dxa"/>
            <w:tcBorders>
              <w:tl2br w:val="nil"/>
              <w:tr2bl w:val="nil"/>
            </w:tcBorders>
            <w:noWrap w:val="0"/>
            <w:vAlign w:val="center"/>
          </w:tcPr>
          <w:p w14:paraId="094D53B0">
            <w:pPr>
              <w:pStyle w:val="45"/>
              <w:bidi w:val="0"/>
              <w:rPr>
                <w:b w:val="0"/>
                <w:bCs/>
                <w:color w:val="auto"/>
                <w:sz w:val="21"/>
                <w:szCs w:val="21"/>
                <w:highlight w:val="none"/>
              </w:rPr>
            </w:pPr>
          </w:p>
        </w:tc>
        <w:tc>
          <w:tcPr>
            <w:tcW w:w="497" w:type="dxa"/>
            <w:tcBorders>
              <w:tl2br w:val="nil"/>
              <w:tr2bl w:val="nil"/>
            </w:tcBorders>
            <w:noWrap w:val="0"/>
            <w:vAlign w:val="center"/>
          </w:tcPr>
          <w:p w14:paraId="60504FD6">
            <w:pPr>
              <w:pStyle w:val="45"/>
              <w:bidi w:val="0"/>
              <w:rPr>
                <w:b w:val="0"/>
                <w:bCs/>
                <w:color w:val="auto"/>
                <w:sz w:val="21"/>
                <w:szCs w:val="21"/>
                <w:highlight w:val="none"/>
              </w:rPr>
            </w:pPr>
          </w:p>
        </w:tc>
        <w:tc>
          <w:tcPr>
            <w:tcW w:w="579" w:type="dxa"/>
            <w:tcBorders>
              <w:tl2br w:val="nil"/>
              <w:tr2bl w:val="nil"/>
            </w:tcBorders>
            <w:noWrap w:val="0"/>
            <w:vAlign w:val="center"/>
          </w:tcPr>
          <w:p w14:paraId="14A7B3B6">
            <w:pPr>
              <w:pStyle w:val="45"/>
              <w:bidi w:val="0"/>
              <w:rPr>
                <w:b w:val="0"/>
                <w:bCs/>
                <w:color w:val="auto"/>
                <w:sz w:val="21"/>
                <w:szCs w:val="21"/>
                <w:highlight w:val="none"/>
              </w:rPr>
            </w:pPr>
          </w:p>
        </w:tc>
        <w:tc>
          <w:tcPr>
            <w:tcW w:w="579" w:type="dxa"/>
            <w:tcBorders>
              <w:tl2br w:val="nil"/>
              <w:tr2bl w:val="nil"/>
            </w:tcBorders>
            <w:noWrap w:val="0"/>
            <w:vAlign w:val="center"/>
          </w:tcPr>
          <w:p w14:paraId="54870CA2">
            <w:pPr>
              <w:pStyle w:val="45"/>
              <w:bidi w:val="0"/>
              <w:rPr>
                <w:b w:val="0"/>
                <w:bCs/>
                <w:color w:val="auto"/>
                <w:sz w:val="21"/>
                <w:szCs w:val="21"/>
                <w:highlight w:val="none"/>
              </w:rPr>
            </w:pPr>
          </w:p>
        </w:tc>
        <w:tc>
          <w:tcPr>
            <w:tcW w:w="579" w:type="dxa"/>
            <w:tcBorders>
              <w:tl2br w:val="nil"/>
              <w:tr2bl w:val="nil"/>
            </w:tcBorders>
            <w:noWrap w:val="0"/>
            <w:vAlign w:val="center"/>
          </w:tcPr>
          <w:p w14:paraId="3B87EF43">
            <w:pPr>
              <w:pStyle w:val="45"/>
              <w:bidi w:val="0"/>
              <w:rPr>
                <w:b w:val="0"/>
                <w:bCs/>
                <w:color w:val="auto"/>
                <w:sz w:val="21"/>
                <w:szCs w:val="21"/>
                <w:highlight w:val="none"/>
              </w:rPr>
            </w:pPr>
          </w:p>
        </w:tc>
        <w:tc>
          <w:tcPr>
            <w:tcW w:w="579" w:type="dxa"/>
            <w:tcBorders>
              <w:tl2br w:val="nil"/>
              <w:tr2bl w:val="nil"/>
            </w:tcBorders>
            <w:noWrap w:val="0"/>
            <w:vAlign w:val="center"/>
          </w:tcPr>
          <w:p w14:paraId="2C4FBAF7">
            <w:pPr>
              <w:pStyle w:val="45"/>
              <w:bidi w:val="0"/>
              <w:rPr>
                <w:b w:val="0"/>
                <w:bCs/>
                <w:color w:val="auto"/>
                <w:sz w:val="21"/>
                <w:szCs w:val="21"/>
                <w:highlight w:val="none"/>
              </w:rPr>
            </w:pPr>
          </w:p>
        </w:tc>
        <w:tc>
          <w:tcPr>
            <w:tcW w:w="579" w:type="dxa"/>
            <w:tcBorders>
              <w:tl2br w:val="nil"/>
              <w:tr2bl w:val="nil"/>
            </w:tcBorders>
            <w:noWrap w:val="0"/>
            <w:vAlign w:val="center"/>
          </w:tcPr>
          <w:p w14:paraId="26A95D5A">
            <w:pPr>
              <w:pStyle w:val="45"/>
              <w:bidi w:val="0"/>
              <w:rPr>
                <w:b w:val="0"/>
                <w:bCs/>
                <w:color w:val="auto"/>
                <w:sz w:val="21"/>
                <w:szCs w:val="21"/>
                <w:highlight w:val="none"/>
              </w:rPr>
            </w:pPr>
          </w:p>
        </w:tc>
        <w:tc>
          <w:tcPr>
            <w:tcW w:w="579" w:type="dxa"/>
            <w:tcBorders>
              <w:tl2br w:val="nil"/>
              <w:tr2bl w:val="nil"/>
            </w:tcBorders>
            <w:noWrap w:val="0"/>
            <w:vAlign w:val="center"/>
          </w:tcPr>
          <w:p w14:paraId="3D83103C">
            <w:pPr>
              <w:pStyle w:val="45"/>
              <w:bidi w:val="0"/>
              <w:rPr>
                <w:b w:val="0"/>
                <w:bCs/>
                <w:color w:val="auto"/>
                <w:sz w:val="21"/>
                <w:szCs w:val="21"/>
                <w:highlight w:val="none"/>
              </w:rPr>
            </w:pPr>
          </w:p>
        </w:tc>
        <w:tc>
          <w:tcPr>
            <w:tcW w:w="579" w:type="dxa"/>
            <w:tcBorders>
              <w:tl2br w:val="nil"/>
              <w:tr2bl w:val="nil"/>
            </w:tcBorders>
            <w:noWrap w:val="0"/>
            <w:vAlign w:val="center"/>
          </w:tcPr>
          <w:p w14:paraId="20DE5C0C">
            <w:pPr>
              <w:pStyle w:val="45"/>
              <w:bidi w:val="0"/>
              <w:rPr>
                <w:b w:val="0"/>
                <w:bCs/>
                <w:color w:val="auto"/>
                <w:sz w:val="21"/>
                <w:szCs w:val="21"/>
                <w:highlight w:val="none"/>
              </w:rPr>
            </w:pPr>
          </w:p>
        </w:tc>
        <w:tc>
          <w:tcPr>
            <w:tcW w:w="579" w:type="dxa"/>
            <w:tcBorders>
              <w:tl2br w:val="nil"/>
              <w:tr2bl w:val="nil"/>
            </w:tcBorders>
            <w:noWrap w:val="0"/>
            <w:vAlign w:val="center"/>
          </w:tcPr>
          <w:p w14:paraId="352108E2">
            <w:pPr>
              <w:pStyle w:val="45"/>
              <w:bidi w:val="0"/>
              <w:rPr>
                <w:b w:val="0"/>
                <w:bCs/>
                <w:color w:val="auto"/>
                <w:sz w:val="21"/>
                <w:szCs w:val="21"/>
                <w:highlight w:val="none"/>
              </w:rPr>
            </w:pPr>
            <w:r>
              <w:rPr>
                <w:b w:val="0"/>
                <w:bCs/>
                <w:color w:val="auto"/>
                <w:sz w:val="21"/>
                <w:szCs w:val="21"/>
                <w:highlight w:val="none"/>
              </w:rPr>
              <mc:AlternateContent>
                <mc:Choice Requires="wps">
                  <w:drawing>
                    <wp:anchor distT="0" distB="0" distL="114300" distR="114300" simplePos="0" relativeHeight="251668480" behindDoc="0" locked="0" layoutInCell="1" allowOverlap="1">
                      <wp:simplePos x="0" y="0"/>
                      <wp:positionH relativeFrom="column">
                        <wp:posOffset>13970</wp:posOffset>
                      </wp:positionH>
                      <wp:positionV relativeFrom="paragraph">
                        <wp:posOffset>91440</wp:posOffset>
                      </wp:positionV>
                      <wp:extent cx="234315" cy="635"/>
                      <wp:effectExtent l="0" t="28575" r="13335" b="46990"/>
                      <wp:wrapNone/>
                      <wp:docPr id="8" name="直接连接符 8"/>
                      <wp:cNvGraphicFramePr/>
                      <a:graphic xmlns:a="http://schemas.openxmlformats.org/drawingml/2006/main">
                        <a:graphicData uri="http://schemas.microsoft.com/office/word/2010/wordprocessingShape">
                          <wps:wsp>
                            <wps:cNvCnPr/>
                            <wps:spPr>
                              <a:xfrm>
                                <a:off x="0" y="0"/>
                                <a:ext cx="234315" cy="635"/>
                              </a:xfrm>
                              <a:prstGeom prst="line">
                                <a:avLst/>
                              </a:prstGeom>
                              <a:ln w="57150"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pt;margin-top:7.2pt;height:0.05pt;width:18.45pt;z-index:251668480;mso-width-relative:page;mso-height-relative:page;" filled="f" stroked="t" coordsize="21600,21600" o:gfxdata="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0ksTxtYAAAAGAQAADwAAAAAAAAABACAAAAAiAAAAZHJzL2Rvd25yZXYueG1sUEsB&#10;AhQAFAAAAAgAh07iQM/qY573AQAA5gMAAA4AAAAAAAAAAQAgAAAAJQEAAGRycy9lMm9Eb2MueG1s&#10;UEsFBgAAAAAGAAYAWQEAAI4FAAAAAA==&#10;">
                      <v:fill on="f" focussize="0,0"/>
                      <v:stroke weight="4.5pt" color="#000000" joinstyle="round"/>
                      <v:imagedata o:title=""/>
                      <o:lock v:ext="edit" aspectratio="f"/>
                    </v:line>
                  </w:pict>
                </mc:Fallback>
              </mc:AlternateContent>
            </w:r>
          </w:p>
        </w:tc>
      </w:tr>
    </w:tbl>
    <w:p w14:paraId="6C900615">
      <w:pPr>
        <w:pStyle w:val="5"/>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营运期</w:t>
      </w:r>
      <w:r>
        <w:rPr>
          <w:rFonts w:hint="eastAsia" w:ascii="Times New Roman" w:hAnsi="Times New Roman" w:cs="Times New Roman"/>
          <w:color w:val="auto"/>
          <w:highlight w:val="none"/>
          <w:lang w:val="en-US" w:eastAsia="zh-CN"/>
        </w:rPr>
        <w:t>工艺流程及产污节点</w:t>
      </w:r>
    </w:p>
    <w:p w14:paraId="392209E5">
      <w:pPr>
        <w:rPr>
          <w:rFonts w:hint="eastAsia" w:ascii="Times New Roman" w:hAnsi="Times New Roman" w:eastAsia="宋体" w:cs="Times New Roman"/>
          <w:b/>
          <w:bCs/>
          <w:color w:val="auto"/>
          <w:sz w:val="24"/>
          <w:szCs w:val="24"/>
          <w:highlight w:val="none"/>
          <w:u w:val="none"/>
          <w:lang w:val="en-US" w:eastAsia="zh-CN"/>
        </w:rPr>
      </w:pPr>
      <w:r>
        <w:rPr>
          <w:rFonts w:hint="default" w:ascii="Times New Roman" w:hAnsi="Times New Roman" w:cs="Times New Roman"/>
          <w:b w:val="0"/>
          <w:bCs w:val="0"/>
          <w:color w:val="auto"/>
          <w:sz w:val="24"/>
          <w:szCs w:val="24"/>
          <w:highlight w:val="none"/>
          <w:lang w:val="en-US" w:eastAsia="zh-CN"/>
        </w:rPr>
        <w:t>风电场运营期工艺流程为：风机叶片在风力带动下将风能转化成机械能，在齿轮箱和发电机作用下机械能转变成电能。发电机出口电能经箱式变电站升压至35kV电压等级后由风电场集电线路送入110kV升压站。风电场工艺流程示意图见图</w:t>
      </w:r>
      <w:r>
        <w:rPr>
          <w:rFonts w:hint="eastAsia" w:cs="Times New Roman"/>
          <w:b w:val="0"/>
          <w:bCs w:val="0"/>
          <w:color w:val="auto"/>
          <w:sz w:val="24"/>
          <w:szCs w:val="24"/>
          <w:highlight w:val="none"/>
          <w:lang w:val="en-US" w:eastAsia="zh-CN"/>
        </w:rPr>
        <w:t>4.4</w:t>
      </w:r>
      <w:r>
        <w:rPr>
          <w:rFonts w:hint="eastAsia" w:ascii="Times New Roman" w:hAnsi="Times New Roman" w:cs="Times New Roman"/>
          <w:b w:val="0"/>
          <w:bCs w:val="0"/>
          <w:color w:val="auto"/>
          <w:sz w:val="24"/>
          <w:szCs w:val="24"/>
          <w:highlight w:val="none"/>
          <w:lang w:val="en-US" w:eastAsia="zh-CN"/>
        </w:rPr>
        <w:t>-</w:t>
      </w:r>
      <w:r>
        <w:rPr>
          <w:rFonts w:hint="eastAsia" w:cs="Times New Roman"/>
          <w:b w:val="0"/>
          <w:bCs w:val="0"/>
          <w:color w:val="auto"/>
          <w:sz w:val="24"/>
          <w:szCs w:val="24"/>
          <w:highlight w:val="none"/>
          <w:lang w:val="en-US" w:eastAsia="zh-CN"/>
        </w:rPr>
        <w:t>3</w:t>
      </w:r>
      <w:r>
        <w:rPr>
          <w:rFonts w:hint="default" w:ascii="Times New Roman" w:hAnsi="Times New Roman" w:cs="Times New Roman"/>
          <w:b w:val="0"/>
          <w:bCs w:val="0"/>
          <w:color w:val="auto"/>
          <w:sz w:val="24"/>
          <w:szCs w:val="24"/>
          <w:highlight w:val="none"/>
          <w:lang w:val="en-US" w:eastAsia="zh-CN"/>
        </w:rPr>
        <w:t>（图中虚线部分不属于本此环境影响评价范畴）</w:t>
      </w:r>
      <w:r>
        <w:rPr>
          <w:rFonts w:hint="eastAsia" w:ascii="Times New Roman" w:hAnsi="Times New Roman" w:cs="Times New Roman"/>
          <w:b w:val="0"/>
          <w:bCs w:val="0"/>
          <w:color w:val="auto"/>
          <w:sz w:val="24"/>
          <w:szCs w:val="24"/>
          <w:highlight w:val="none"/>
          <w:lang w:val="en-US" w:eastAsia="zh-CN"/>
        </w:rPr>
        <w:t>。</w:t>
      </w:r>
    </w:p>
    <w:p w14:paraId="222EA71D">
      <w:pPr>
        <w:bidi w:val="0"/>
        <w:ind w:left="0" w:leftChars="0" w:firstLine="0" w:firstLineChars="0"/>
        <w:jc w:val="center"/>
        <w:rPr>
          <w:highlight w:val="none"/>
        </w:rPr>
      </w:pPr>
      <w:r>
        <w:rPr>
          <w:highlight w:val="none"/>
        </w:rPr>
        <w:drawing>
          <wp:inline distT="0" distB="0" distL="114300" distR="114300">
            <wp:extent cx="5169535" cy="2664460"/>
            <wp:effectExtent l="0" t="0" r="12065" b="254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20"/>
                    <a:stretch>
                      <a:fillRect/>
                    </a:stretch>
                  </pic:blipFill>
                  <pic:spPr>
                    <a:xfrm>
                      <a:off x="0" y="0"/>
                      <a:ext cx="5169535" cy="2664460"/>
                    </a:xfrm>
                    <a:prstGeom prst="rect">
                      <a:avLst/>
                    </a:prstGeom>
                    <a:noFill/>
                    <a:ln>
                      <a:noFill/>
                    </a:ln>
                  </pic:spPr>
                </pic:pic>
              </a:graphicData>
            </a:graphic>
          </wp:inline>
        </w:drawing>
      </w:r>
    </w:p>
    <w:p w14:paraId="74A02187">
      <w:pPr>
        <w:ind w:left="0" w:leftChars="0" w:firstLine="0" w:firstLineChars="0"/>
        <w:jc w:val="center"/>
        <w:rPr>
          <w:rFonts w:hint="eastAsia"/>
          <w:b/>
          <w:bCs/>
          <w:highlight w:val="none"/>
          <w:lang w:val="en-US" w:eastAsia="zh-CN"/>
        </w:rPr>
      </w:pPr>
      <w:r>
        <w:rPr>
          <w:rFonts w:hint="eastAsia" w:ascii="Times New Roman" w:hAnsi="Times New Roman" w:cs="Times New Roman"/>
          <w:b/>
          <w:bCs/>
          <w:color w:val="auto"/>
          <w:sz w:val="24"/>
          <w:szCs w:val="24"/>
          <w:highlight w:val="none"/>
          <w:lang w:val="en-US" w:eastAsia="zh-CN"/>
        </w:rPr>
        <w:t>图4.</w:t>
      </w:r>
      <w:r>
        <w:rPr>
          <w:rFonts w:hint="eastAsia" w:cs="Times New Roman"/>
          <w:b/>
          <w:bCs/>
          <w:color w:val="auto"/>
          <w:sz w:val="24"/>
          <w:szCs w:val="24"/>
          <w:highlight w:val="none"/>
          <w:lang w:val="en-US" w:eastAsia="zh-CN"/>
        </w:rPr>
        <w:t>4</w:t>
      </w:r>
      <w:r>
        <w:rPr>
          <w:rFonts w:hint="eastAsia" w:ascii="Times New Roman" w:hAnsi="Times New Roman" w:cs="Times New Roman"/>
          <w:b/>
          <w:bCs/>
          <w:color w:val="auto"/>
          <w:sz w:val="24"/>
          <w:szCs w:val="24"/>
          <w:highlight w:val="none"/>
          <w:lang w:val="en-US" w:eastAsia="zh-CN"/>
        </w:rPr>
        <w:t>-</w:t>
      </w:r>
      <w:r>
        <w:rPr>
          <w:rFonts w:hint="eastAsia" w:cs="Times New Roman"/>
          <w:b/>
          <w:bCs/>
          <w:color w:val="auto"/>
          <w:sz w:val="24"/>
          <w:szCs w:val="24"/>
          <w:highlight w:val="none"/>
          <w:lang w:val="en-US" w:eastAsia="zh-CN"/>
        </w:rPr>
        <w:t>3</w:t>
      </w:r>
      <w:r>
        <w:rPr>
          <w:rFonts w:hint="eastAsia" w:ascii="Times New Roman" w:hAnsi="Times New Roman" w:cs="Times New Roman"/>
          <w:b/>
          <w:bCs/>
          <w:color w:val="auto"/>
          <w:sz w:val="24"/>
          <w:szCs w:val="24"/>
          <w:highlight w:val="none"/>
          <w:lang w:val="en-US" w:eastAsia="zh-CN"/>
        </w:rPr>
        <w:t xml:space="preserve">  拟建风电场工艺流程及产污环节示意图</w:t>
      </w:r>
    </w:p>
    <w:p w14:paraId="21EA96AC">
      <w:pPr>
        <w:bidi w:val="0"/>
        <w:rPr>
          <w:rFonts w:hint="default"/>
          <w:lang w:val="en-US" w:eastAsia="zh-CN"/>
        </w:rPr>
      </w:pPr>
      <w:r>
        <w:rPr>
          <w:rFonts w:hint="default"/>
          <w:lang w:val="en-US" w:eastAsia="zh-CN"/>
        </w:rPr>
        <w:t>风通过风力发电机组将风能转化为电能，然后通过电缆将电量先送到安装在机组附近的箱式变压器，升压后再通过电力电缆输送到与风电场配套的变电所，再次升压后通过高压线路把电送到当地的电力系统。工艺如下：</w:t>
      </w:r>
    </w:p>
    <w:p w14:paraId="353B6006">
      <w:pPr>
        <w:bidi w:val="0"/>
        <w:rPr>
          <w:rFonts w:hint="default"/>
          <w:lang w:val="en-US" w:eastAsia="zh-CN"/>
        </w:rPr>
      </w:pPr>
      <w:r>
        <w:rPr>
          <w:rFonts w:hint="default"/>
          <w:lang w:val="en-US" w:eastAsia="zh-CN"/>
        </w:rPr>
        <w:t>风→风力发电机→箱式变压器→变电所→高压线路→电力系统。工程排污流程见图</w:t>
      </w:r>
      <w:r>
        <w:rPr>
          <w:rFonts w:hint="eastAsia"/>
          <w:lang w:val="en-US" w:eastAsia="zh-CN"/>
        </w:rPr>
        <w:t>4</w:t>
      </w:r>
      <w:r>
        <w:rPr>
          <w:rFonts w:hint="default"/>
          <w:lang w:val="en-US" w:eastAsia="zh-CN"/>
        </w:rPr>
        <w:t>.</w:t>
      </w:r>
      <w:r>
        <w:rPr>
          <w:rFonts w:hint="eastAsia"/>
          <w:lang w:val="en-US" w:eastAsia="zh-CN"/>
        </w:rPr>
        <w:t>4</w:t>
      </w:r>
      <w:r>
        <w:rPr>
          <w:rFonts w:hint="default"/>
          <w:lang w:val="en-US" w:eastAsia="zh-CN"/>
        </w:rPr>
        <w:t>-</w:t>
      </w:r>
      <w:r>
        <w:rPr>
          <w:rFonts w:hint="eastAsia"/>
          <w:lang w:val="en-US" w:eastAsia="zh-CN"/>
        </w:rPr>
        <w:t>4</w:t>
      </w:r>
      <w:r>
        <w:rPr>
          <w:rFonts w:hint="default"/>
          <w:lang w:val="en-US" w:eastAsia="zh-CN"/>
        </w:rPr>
        <w:t>（图中虚线部分不属于本此环境影响评价范畴）。</w:t>
      </w:r>
    </w:p>
    <w:p w14:paraId="1CCFE7AE">
      <w:pPr>
        <w:bidi w:val="0"/>
        <w:ind w:left="0" w:leftChars="0" w:firstLine="0" w:firstLineChars="0"/>
        <w:jc w:val="center"/>
        <w:rPr>
          <w:rFonts w:hint="default"/>
          <w:lang w:val="en-US" w:eastAsia="zh-CN"/>
        </w:rPr>
      </w:pPr>
      <w:r>
        <w:rPr>
          <w:highlight w:val="none"/>
        </w:rPr>
        <w:drawing>
          <wp:inline distT="0" distB="0" distL="114300" distR="114300">
            <wp:extent cx="5170805" cy="2212340"/>
            <wp:effectExtent l="0" t="0" r="10795" b="1651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21"/>
                    <a:stretch>
                      <a:fillRect/>
                    </a:stretch>
                  </pic:blipFill>
                  <pic:spPr>
                    <a:xfrm>
                      <a:off x="0" y="0"/>
                      <a:ext cx="5170805" cy="2212340"/>
                    </a:xfrm>
                    <a:prstGeom prst="rect">
                      <a:avLst/>
                    </a:prstGeom>
                    <a:noFill/>
                    <a:ln>
                      <a:noFill/>
                    </a:ln>
                  </pic:spPr>
                </pic:pic>
              </a:graphicData>
            </a:graphic>
          </wp:inline>
        </w:drawing>
      </w:r>
    </w:p>
    <w:p w14:paraId="746E3496">
      <w:pPr>
        <w:bidi w:val="0"/>
        <w:ind w:left="0" w:leftChars="0" w:firstLine="0" w:firstLineChars="0"/>
        <w:jc w:val="center"/>
        <w:rPr>
          <w:rFonts w:hint="default"/>
          <w:lang w:val="en-US" w:eastAsia="zh-CN"/>
        </w:rPr>
      </w:pPr>
      <w:r>
        <w:rPr>
          <w:rFonts w:hint="eastAsia" w:ascii="Times New Roman" w:hAnsi="Times New Roman" w:cs="Times New Roman"/>
          <w:b/>
          <w:bCs/>
          <w:color w:val="auto"/>
          <w:sz w:val="24"/>
          <w:szCs w:val="24"/>
          <w:highlight w:val="none"/>
          <w:lang w:val="en-US" w:eastAsia="zh-CN"/>
        </w:rPr>
        <w:t>图4.</w:t>
      </w:r>
      <w:r>
        <w:rPr>
          <w:rFonts w:hint="eastAsia" w:cs="Times New Roman"/>
          <w:b/>
          <w:bCs/>
          <w:color w:val="auto"/>
          <w:sz w:val="24"/>
          <w:szCs w:val="24"/>
          <w:highlight w:val="none"/>
          <w:lang w:val="en-US" w:eastAsia="zh-CN"/>
        </w:rPr>
        <w:t>4-4</w:t>
      </w:r>
      <w:r>
        <w:rPr>
          <w:rFonts w:hint="eastAsia" w:ascii="Times New Roman" w:hAnsi="Times New Roman" w:cs="Times New Roman"/>
          <w:b/>
          <w:bCs/>
          <w:color w:val="auto"/>
          <w:sz w:val="24"/>
          <w:szCs w:val="24"/>
          <w:highlight w:val="none"/>
          <w:lang w:val="en-US" w:eastAsia="zh-CN"/>
        </w:rPr>
        <w:t xml:space="preserve">  </w:t>
      </w:r>
      <w:r>
        <w:rPr>
          <w:rFonts w:hint="eastAsia" w:cs="Times New Roman"/>
          <w:b/>
          <w:bCs/>
          <w:color w:val="auto"/>
          <w:sz w:val="24"/>
          <w:szCs w:val="24"/>
          <w:highlight w:val="none"/>
          <w:lang w:val="en-US" w:eastAsia="zh-CN"/>
        </w:rPr>
        <w:t>风力发电</w:t>
      </w:r>
      <w:r>
        <w:rPr>
          <w:rFonts w:hint="eastAsia" w:ascii="Times New Roman" w:hAnsi="Times New Roman" w:cs="Times New Roman"/>
          <w:b/>
          <w:bCs/>
          <w:color w:val="auto"/>
          <w:sz w:val="24"/>
          <w:szCs w:val="24"/>
          <w:highlight w:val="none"/>
          <w:lang w:val="en-US" w:eastAsia="zh-CN"/>
        </w:rPr>
        <w:t>产污环节流程图</w:t>
      </w:r>
    </w:p>
    <w:p w14:paraId="44B83C38">
      <w:pPr>
        <w:pStyle w:val="61"/>
        <w:bidi w:val="0"/>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本风电场集电线路共分5组，经35kV直埋电缆接入风电场110kV升压站35kV开关柜。</w:t>
      </w:r>
    </w:p>
    <w:p w14:paraId="1FA9F3FA">
      <w:pPr>
        <w:pStyle w:val="61"/>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110kV升压站运行过程中只是存在电压的变化和电流的传输现象，没有其他生产活动存在，整个过程中无原材料、中间产品、副产品、产品存在，也不存在产品的生产过程。电荷或者带电导体周围存在着电场，有规则地运动的电荷或者流过电流的导体周围存在着磁场，因此本工程在运营期由于电能的存在将会产生工频电场、工频磁场以及电磁性和机械性噪声。</w:t>
      </w:r>
    </w:p>
    <w:p w14:paraId="4DB3030B">
      <w:pPr>
        <w:bidi w:val="0"/>
        <w:ind w:left="0" w:leftChars="0" w:firstLine="0" w:firstLineChars="0"/>
        <w:rPr>
          <w:rFonts w:hint="default" w:ascii="Times New Roman" w:hAnsi="Times New Roman" w:cs="Times New Roman"/>
          <w:color w:val="auto"/>
          <w:highlight w:val="none"/>
        </w:rPr>
      </w:pPr>
      <w:r>
        <w:rPr>
          <w:rFonts w:hint="default" w:ascii="Times New Roman" w:hAnsi="Times New Roman" w:cs="Times New Roman"/>
          <w:color w:val="auto"/>
          <w:highlight w:val="none"/>
        </w:rPr>
        <w:drawing>
          <wp:inline distT="0" distB="0" distL="114300" distR="114300">
            <wp:extent cx="5236845" cy="1676400"/>
            <wp:effectExtent l="0" t="0" r="190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2"/>
                    <a:srcRect t="9185"/>
                    <a:stretch>
                      <a:fillRect/>
                    </a:stretch>
                  </pic:blipFill>
                  <pic:spPr>
                    <a:xfrm>
                      <a:off x="0" y="0"/>
                      <a:ext cx="5236845" cy="1676400"/>
                    </a:xfrm>
                    <a:prstGeom prst="rect">
                      <a:avLst/>
                    </a:prstGeom>
                    <a:noFill/>
                    <a:ln>
                      <a:noFill/>
                    </a:ln>
                  </pic:spPr>
                </pic:pic>
              </a:graphicData>
            </a:graphic>
          </wp:inline>
        </w:drawing>
      </w:r>
    </w:p>
    <w:p w14:paraId="5F2332E8">
      <w:pPr>
        <w:ind w:left="0" w:leftChars="0" w:firstLine="0" w:firstLineChars="0"/>
        <w:jc w:val="center"/>
        <w:rPr>
          <w:rFonts w:hint="eastAsia" w:ascii="Times New Roman" w:hAnsi="Times New Roman" w:eastAsia="宋体" w:cs="Times New Roman"/>
          <w:b/>
          <w:bCs/>
          <w:color w:val="auto"/>
          <w:sz w:val="24"/>
          <w:szCs w:val="24"/>
          <w:highlight w:val="none"/>
          <w:lang w:val="en-US" w:eastAsia="zh-CN"/>
        </w:rPr>
      </w:pPr>
      <w:r>
        <w:rPr>
          <w:rFonts w:hint="default" w:ascii="Times New Roman" w:hAnsi="Times New Roman" w:eastAsia="宋体" w:cs="Times New Roman"/>
          <w:b/>
          <w:bCs/>
          <w:color w:val="auto"/>
          <w:sz w:val="24"/>
          <w:szCs w:val="24"/>
          <w:highlight w:val="none"/>
          <w:lang w:val="en-US" w:eastAsia="zh-CN"/>
        </w:rPr>
        <w:t>图</w:t>
      </w:r>
      <w:r>
        <w:rPr>
          <w:rFonts w:hint="eastAsia" w:ascii="Times New Roman" w:hAnsi="Times New Roman" w:eastAsia="宋体" w:cs="Times New Roman"/>
          <w:b/>
          <w:bCs/>
          <w:color w:val="auto"/>
          <w:sz w:val="24"/>
          <w:szCs w:val="24"/>
          <w:highlight w:val="none"/>
          <w:lang w:val="en-US" w:eastAsia="zh-CN"/>
        </w:rPr>
        <w:t>4.</w:t>
      </w:r>
      <w:r>
        <w:rPr>
          <w:rFonts w:hint="eastAsia" w:cs="Times New Roman"/>
          <w:b/>
          <w:bCs/>
          <w:color w:val="auto"/>
          <w:sz w:val="24"/>
          <w:szCs w:val="24"/>
          <w:highlight w:val="none"/>
          <w:lang w:val="en-US" w:eastAsia="zh-CN"/>
        </w:rPr>
        <w:t>4-5</w:t>
      </w:r>
      <w:r>
        <w:rPr>
          <w:rFonts w:hint="default" w:ascii="Times New Roman" w:hAnsi="Times New Roman" w:eastAsia="宋体" w:cs="Times New Roman"/>
          <w:b/>
          <w:bCs/>
          <w:color w:val="auto"/>
          <w:sz w:val="24"/>
          <w:szCs w:val="24"/>
          <w:highlight w:val="none"/>
          <w:lang w:val="en-US" w:eastAsia="zh-CN"/>
        </w:rPr>
        <w:t xml:space="preserve">  110kV升压站运营期工艺流程图</w:t>
      </w:r>
    </w:p>
    <w:p w14:paraId="17292AA2">
      <w:pPr>
        <w:pStyle w:val="4"/>
        <w:bidi w:val="0"/>
        <w:rPr>
          <w:rFonts w:hint="default" w:ascii="Times New Roman" w:hAnsi="Times New Roman" w:cs="Times New Roman"/>
          <w:color w:val="auto"/>
          <w:highlight w:val="none"/>
        </w:rPr>
      </w:pPr>
      <w:bookmarkStart w:id="67" w:name="_Toc2777"/>
      <w:r>
        <w:rPr>
          <w:rFonts w:hint="eastAsia" w:ascii="Times New Roman" w:hAnsi="Times New Roman" w:cs="Times New Roman"/>
          <w:color w:val="auto"/>
          <w:highlight w:val="none"/>
          <w:lang w:val="en-US" w:eastAsia="zh-CN"/>
        </w:rPr>
        <w:t>工程环境影响</w:t>
      </w:r>
      <w:r>
        <w:rPr>
          <w:rFonts w:hint="eastAsia" w:cs="Times New Roman"/>
          <w:color w:val="auto"/>
          <w:highlight w:val="none"/>
          <w:lang w:val="en-US" w:eastAsia="zh-CN"/>
        </w:rPr>
        <w:t>及污染源强</w:t>
      </w:r>
      <w:r>
        <w:rPr>
          <w:rFonts w:hint="eastAsia" w:ascii="Times New Roman" w:hAnsi="Times New Roman" w:cs="Times New Roman"/>
          <w:color w:val="auto"/>
          <w:highlight w:val="none"/>
          <w:lang w:val="en-US" w:eastAsia="zh-CN"/>
        </w:rPr>
        <w:t>分析</w:t>
      </w:r>
      <w:bookmarkEnd w:id="67"/>
    </w:p>
    <w:p w14:paraId="402119E6">
      <w:pPr>
        <w:pStyle w:val="5"/>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施工期</w:t>
      </w:r>
    </w:p>
    <w:p w14:paraId="6E6ADD4C">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施工期</w:t>
      </w:r>
      <w:r>
        <w:rPr>
          <w:rFonts w:hint="eastAsia"/>
          <w:b/>
          <w:bCs/>
          <w:color w:val="auto"/>
          <w:sz w:val="24"/>
          <w:szCs w:val="24"/>
          <w:highlight w:val="none"/>
          <w:u w:val="none"/>
          <w:lang w:val="en-US" w:eastAsia="zh-CN"/>
        </w:rPr>
        <w:t>噪声污染源强</w:t>
      </w:r>
      <w:r>
        <w:rPr>
          <w:rFonts w:hint="eastAsia" w:ascii="Times New Roman" w:hAnsi="Times New Roman"/>
          <w:b/>
          <w:bCs/>
          <w:color w:val="auto"/>
          <w:sz w:val="24"/>
          <w:szCs w:val="24"/>
          <w:highlight w:val="none"/>
          <w:u w:val="none"/>
          <w:lang w:val="en-US" w:eastAsia="zh-CN"/>
        </w:rPr>
        <w:t>分析</w:t>
      </w:r>
    </w:p>
    <w:p w14:paraId="7E0DE608">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
          <w:bCs w:val="0"/>
          <w:color w:val="auto"/>
          <w:sz w:val="24"/>
          <w:szCs w:val="24"/>
          <w:highlight w:val="none"/>
          <w:lang w:val="en-US" w:eastAsia="zh-CN"/>
        </w:rPr>
      </w:pPr>
      <w:r>
        <w:rPr>
          <w:rFonts w:hint="eastAsia" w:ascii="Times New Roman" w:hAnsi="Times New Roman" w:cs="Times New Roman"/>
          <w:b w:val="0"/>
          <w:bCs/>
          <w:color w:val="auto"/>
          <w:sz w:val="24"/>
          <w:szCs w:val="24"/>
          <w:highlight w:val="none"/>
          <w:lang w:val="en-US" w:eastAsia="zh-CN"/>
        </w:rPr>
        <w:t>（1）</w:t>
      </w:r>
      <w:r>
        <w:rPr>
          <w:rFonts w:hint="default" w:ascii="Times New Roman" w:hAnsi="Times New Roman" w:cs="Times New Roman"/>
          <w:b w:val="0"/>
          <w:bCs/>
          <w:color w:val="auto"/>
          <w:sz w:val="24"/>
          <w:szCs w:val="24"/>
          <w:highlight w:val="none"/>
          <w:lang w:val="en-US" w:eastAsia="zh-CN"/>
        </w:rPr>
        <w:t>施工机械噪声</w:t>
      </w:r>
    </w:p>
    <w:p w14:paraId="26CC7314">
      <w:pPr>
        <w:bidi w:val="0"/>
        <w:rPr>
          <w:rFonts w:hint="default"/>
          <w:color w:val="auto"/>
          <w:highlight w:val="none"/>
          <w:lang w:val="en-US" w:eastAsia="zh-CN"/>
        </w:rPr>
      </w:pPr>
      <w:r>
        <w:rPr>
          <w:rFonts w:hint="default"/>
          <w:color w:val="auto"/>
          <w:highlight w:val="none"/>
          <w:lang w:val="en-US" w:eastAsia="zh-CN"/>
        </w:rPr>
        <w:t>本工程风机基础建设及安装施工作业均安排在昼间，机械设备在作业过程中产生噪声声级约在82～102dB(A)范围内。以噪声源强较大的手风钻为例，手风钻在露天作业时为噪声级约90～102dB(A)。此外，工程施工使用的自卸汽车等运输工具产生的噪声源，属于流动噪声源，其声级范围为75～92dB(A)，比手风钻机噪声要小。</w:t>
      </w:r>
    </w:p>
    <w:p w14:paraId="5331159B">
      <w:pPr>
        <w:bidi w:val="0"/>
        <w:rPr>
          <w:rFonts w:hint="default"/>
          <w:color w:val="auto"/>
          <w:highlight w:val="none"/>
          <w:lang w:val="en-US" w:eastAsia="zh-CN"/>
        </w:rPr>
      </w:pPr>
      <w:r>
        <w:rPr>
          <w:rFonts w:hint="eastAsia"/>
          <w:color w:val="auto"/>
          <w:highlight w:val="none"/>
          <w:lang w:val="en-US" w:eastAsia="zh-CN"/>
        </w:rPr>
        <w:t>（2）</w:t>
      </w:r>
      <w:r>
        <w:rPr>
          <w:rFonts w:hint="default"/>
          <w:color w:val="auto"/>
          <w:highlight w:val="none"/>
          <w:lang w:val="en-US" w:eastAsia="zh-CN"/>
        </w:rPr>
        <w:t>施工期交通运输噪声</w:t>
      </w:r>
    </w:p>
    <w:p w14:paraId="5259044B">
      <w:pPr>
        <w:bidi w:val="0"/>
        <w:rPr>
          <w:rFonts w:hint="default"/>
          <w:color w:val="auto"/>
          <w:highlight w:val="none"/>
          <w:lang w:val="en-US" w:eastAsia="zh-CN"/>
        </w:rPr>
      </w:pPr>
      <w:r>
        <w:rPr>
          <w:rFonts w:hint="default"/>
          <w:color w:val="auto"/>
          <w:highlight w:val="none"/>
          <w:lang w:val="en-US" w:eastAsia="zh-CN"/>
        </w:rPr>
        <w:t>施工期车辆运输及通行将对道路两侧居民声环境造成一定影响。车辆一般载重较重，在居民聚集区行驶时速度一般低于20km/h</w:t>
      </w:r>
      <w:r>
        <w:rPr>
          <w:rFonts w:hint="eastAsia"/>
          <w:color w:val="auto"/>
          <w:highlight w:val="none"/>
          <w:lang w:val="en-US" w:eastAsia="zh-CN"/>
        </w:rPr>
        <w:t>，运输噪声约为80dB（A）</w:t>
      </w:r>
      <w:r>
        <w:rPr>
          <w:rFonts w:hint="default"/>
          <w:color w:val="auto"/>
          <w:highlight w:val="none"/>
          <w:lang w:val="en-US" w:eastAsia="zh-CN"/>
        </w:rPr>
        <w:t>。</w:t>
      </w:r>
    </w:p>
    <w:p w14:paraId="3A5EF909">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施工期大气环境影响分析</w:t>
      </w:r>
    </w:p>
    <w:p w14:paraId="72CD903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本项目废气主要来源为施工扬尘、施工机械运行产生的无组织排放废气，其中以施工扬尘对空气环境质量的影响最大。</w:t>
      </w:r>
    </w:p>
    <w:p w14:paraId="56647B84">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cs="Times New Roman"/>
          <w:b/>
          <w:bCs w:val="0"/>
          <w:color w:val="auto"/>
          <w:sz w:val="24"/>
          <w:szCs w:val="24"/>
          <w:highlight w:val="none"/>
          <w:lang w:val="en-US" w:eastAsia="zh-CN"/>
        </w:rPr>
      </w:pPr>
      <w:r>
        <w:rPr>
          <w:rFonts w:hint="eastAsia" w:ascii="Times New Roman" w:hAnsi="Times New Roman" w:cs="Times New Roman"/>
          <w:b/>
          <w:bCs w:val="0"/>
          <w:color w:val="auto"/>
          <w:sz w:val="24"/>
          <w:szCs w:val="24"/>
          <w:highlight w:val="none"/>
          <w:lang w:val="en-US" w:eastAsia="zh-CN"/>
        </w:rPr>
        <w:t>（1）施工扬尘</w:t>
      </w:r>
    </w:p>
    <w:p w14:paraId="4DB913C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根据北京环境科学研究院对建筑工程施工工地的扬尘测定结果，在风速为2.4m/s时，建筑施工扬尘的影响范围为其下风向150m之内，被影响地区的TSP浓度日平均值为0.491mg/m</w:t>
      </w:r>
      <w:r>
        <w:rPr>
          <w:rFonts w:hint="default" w:ascii="Times New Roman" w:hAnsi="Times New Roman" w:cs="Times New Roman"/>
          <w:bCs/>
          <w:color w:val="auto"/>
          <w:sz w:val="24"/>
          <w:szCs w:val="24"/>
          <w:highlight w:val="none"/>
          <w:vertAlign w:val="superscript"/>
          <w:lang w:val="en-US" w:eastAsia="zh-CN"/>
        </w:rPr>
        <w:t>3</w:t>
      </w:r>
      <w:r>
        <w:rPr>
          <w:rFonts w:hint="default" w:ascii="Times New Roman" w:hAnsi="Times New Roman" w:cs="Times New Roman"/>
          <w:bCs/>
          <w:color w:val="auto"/>
          <w:sz w:val="24"/>
          <w:szCs w:val="24"/>
          <w:highlight w:val="none"/>
          <w:lang w:val="en-US" w:eastAsia="zh-CN"/>
        </w:rPr>
        <w:t>，为上风向对照点的1.5倍，相当于环境空气二级标准的1.6倍。在干燥和风速较大的天气情况下，施工现场近地面粉尘浓度超过环境空气二级标准中日平均值0.3mg/m</w:t>
      </w:r>
      <w:r>
        <w:rPr>
          <w:rFonts w:hint="default" w:ascii="Times New Roman" w:hAnsi="Times New Roman" w:cs="Times New Roman"/>
          <w:bCs/>
          <w:color w:val="auto"/>
          <w:sz w:val="24"/>
          <w:szCs w:val="24"/>
          <w:highlight w:val="none"/>
          <w:vertAlign w:val="superscript"/>
          <w:lang w:val="en-US" w:eastAsia="zh-CN"/>
        </w:rPr>
        <w:t>3</w:t>
      </w:r>
      <w:r>
        <w:rPr>
          <w:rFonts w:hint="default" w:ascii="Times New Roman" w:hAnsi="Times New Roman" w:cs="Times New Roman"/>
          <w:bCs/>
          <w:color w:val="auto"/>
          <w:sz w:val="24"/>
          <w:szCs w:val="24"/>
          <w:highlight w:val="none"/>
          <w:lang w:val="en-US" w:eastAsia="zh-CN"/>
        </w:rPr>
        <w:t>的1～40倍。工程所在地场区内</w:t>
      </w:r>
      <w:r>
        <w:rPr>
          <w:rFonts w:hint="eastAsia" w:ascii="Times New Roman" w:hAnsi="Times New Roman" w:cs="Times New Roman"/>
          <w:bCs/>
          <w:color w:val="auto"/>
          <w:sz w:val="24"/>
          <w:szCs w:val="24"/>
          <w:highlight w:val="none"/>
          <w:lang w:val="en-US" w:eastAsia="zh-CN"/>
        </w:rPr>
        <w:t>80</w:t>
      </w:r>
      <w:r>
        <w:rPr>
          <w:rFonts w:hint="default" w:ascii="Times New Roman" w:hAnsi="Times New Roman" w:cs="Times New Roman"/>
          <w:bCs/>
          <w:color w:val="auto"/>
          <w:sz w:val="24"/>
          <w:szCs w:val="24"/>
          <w:highlight w:val="none"/>
          <w:lang w:val="en-US" w:eastAsia="zh-CN"/>
        </w:rPr>
        <w:t>m高度平均风速为</w:t>
      </w:r>
      <w:r>
        <w:rPr>
          <w:rFonts w:hint="eastAsia" w:ascii="Times New Roman" w:hAnsi="Times New Roman" w:cs="Times New Roman"/>
          <w:bCs/>
          <w:color w:val="auto"/>
          <w:sz w:val="24"/>
          <w:szCs w:val="24"/>
          <w:highlight w:val="none"/>
          <w:lang w:val="en-US" w:eastAsia="zh-CN"/>
        </w:rPr>
        <w:t>3.86~6.12</w:t>
      </w:r>
      <w:r>
        <w:rPr>
          <w:rFonts w:hint="default" w:ascii="Times New Roman" w:hAnsi="Times New Roman" w:cs="Times New Roman"/>
          <w:bCs/>
          <w:color w:val="auto"/>
          <w:sz w:val="24"/>
          <w:szCs w:val="24"/>
          <w:highlight w:val="none"/>
          <w:lang w:val="en-US" w:eastAsia="zh-CN"/>
        </w:rPr>
        <w:t>m/s，风速较大，有利于扬尘的扩散。此外，区内植被覆盖率较高，扬尘经长距离自然沉降和沿途茂密植被的阻滞及施工场地洒水降尘等措施后，工程对场区环境空气影响较小。</w:t>
      </w:r>
    </w:p>
    <w:p w14:paraId="11AFE727">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cs="Times New Roman"/>
          <w:b/>
          <w:bCs w:val="0"/>
          <w:color w:val="auto"/>
          <w:sz w:val="24"/>
          <w:szCs w:val="24"/>
          <w:highlight w:val="none"/>
          <w:lang w:val="en-US" w:eastAsia="zh-CN"/>
        </w:rPr>
      </w:pPr>
      <w:r>
        <w:rPr>
          <w:rFonts w:hint="eastAsia" w:ascii="Times New Roman" w:hAnsi="Times New Roman" w:cs="Times New Roman"/>
          <w:b/>
          <w:bCs w:val="0"/>
          <w:color w:val="auto"/>
          <w:sz w:val="24"/>
          <w:szCs w:val="24"/>
          <w:highlight w:val="none"/>
          <w:lang w:val="en-US" w:eastAsia="zh-CN"/>
        </w:rPr>
        <w:t>（2）道路施工扬尘</w:t>
      </w:r>
    </w:p>
    <w:p w14:paraId="773525C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施工期间交通运输将产生扬尘，汽车产生的道路扬尘量与车速、车型、车流量、风速、道路表面积尘量、尘土湿度等因素有关。根据</w:t>
      </w:r>
      <w:bookmarkStart w:id="133" w:name="_GoBack"/>
      <w:bookmarkEnd w:id="133"/>
      <w:r>
        <w:rPr>
          <w:rFonts w:hint="eastAsia" w:cs="Times New Roman"/>
          <w:bCs/>
          <w:color w:val="auto"/>
          <w:sz w:val="24"/>
          <w:szCs w:val="24"/>
          <w:highlight w:val="none"/>
          <w:lang w:val="en-US" w:eastAsia="zh-CN"/>
        </w:rPr>
        <w:t>交通运输部</w:t>
      </w:r>
      <w:r>
        <w:rPr>
          <w:rFonts w:hint="default" w:ascii="Times New Roman" w:hAnsi="Times New Roman" w:cs="Times New Roman"/>
          <w:bCs/>
          <w:color w:val="auto"/>
          <w:sz w:val="24"/>
          <w:szCs w:val="24"/>
          <w:highlight w:val="none"/>
          <w:lang w:val="en-US" w:eastAsia="zh-CN"/>
        </w:rPr>
        <w:t>公路研究所对施工现场车辆扬尘监测结果，下风向150m处的扬尘瞬时浓度可达到3.49mg/m</w:t>
      </w:r>
      <w:r>
        <w:rPr>
          <w:rFonts w:hint="default" w:ascii="Times New Roman" w:hAnsi="Times New Roman" w:cs="Times New Roman"/>
          <w:bCs/>
          <w:color w:val="auto"/>
          <w:sz w:val="24"/>
          <w:szCs w:val="24"/>
          <w:highlight w:val="none"/>
          <w:vertAlign w:val="superscript"/>
          <w:lang w:val="en-US" w:eastAsia="zh-CN"/>
        </w:rPr>
        <w:t>3</w:t>
      </w:r>
      <w:r>
        <w:rPr>
          <w:rFonts w:hint="default" w:ascii="Times New Roman" w:hAnsi="Times New Roman" w:cs="Times New Roman"/>
          <w:bCs/>
          <w:color w:val="auto"/>
          <w:sz w:val="24"/>
          <w:szCs w:val="24"/>
          <w:highlight w:val="none"/>
          <w:lang w:val="en-US" w:eastAsia="zh-CN"/>
        </w:rPr>
        <w:t>。此外物料拉运或堆放过程中，因遮盖不严密而产生粉尘污染。施工期扬尘影响是暂时的，随着施工的完成，水土保持和生态恢复工程的实施，这些影响也将消失，不会对周围环境产生较大的影响。</w:t>
      </w:r>
    </w:p>
    <w:p w14:paraId="02AC7EE2">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cs="Times New Roman"/>
          <w:b/>
          <w:bCs w:val="0"/>
          <w:color w:val="auto"/>
          <w:sz w:val="24"/>
          <w:szCs w:val="24"/>
          <w:highlight w:val="none"/>
          <w:lang w:val="en-US" w:eastAsia="zh-CN"/>
        </w:rPr>
      </w:pPr>
      <w:r>
        <w:rPr>
          <w:rFonts w:hint="eastAsia" w:ascii="Times New Roman" w:hAnsi="Times New Roman" w:cs="Times New Roman"/>
          <w:b/>
          <w:bCs w:val="0"/>
          <w:color w:val="auto"/>
          <w:sz w:val="24"/>
          <w:szCs w:val="24"/>
          <w:highlight w:val="none"/>
          <w:lang w:val="en-US" w:eastAsia="zh-CN"/>
        </w:rPr>
        <w:t>（3）柴油发电机废气影响分析</w:t>
      </w:r>
    </w:p>
    <w:p w14:paraId="49CC7B9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施工期采用2台50kW的柴油发电机作为临时供电。根据资料分析，发电机采用0#柴油作为燃料，主要污染物为烟尘、CO</w:t>
      </w:r>
      <w:r>
        <w:rPr>
          <w:rFonts w:hint="default" w:ascii="Times New Roman" w:hAnsi="Times New Roman" w:cs="Times New Roman"/>
          <w:bCs/>
          <w:color w:val="auto"/>
          <w:sz w:val="24"/>
          <w:szCs w:val="24"/>
          <w:highlight w:val="none"/>
          <w:vertAlign w:val="subscript"/>
          <w:lang w:val="en-US" w:eastAsia="zh-CN"/>
        </w:rPr>
        <w:t>2</w:t>
      </w:r>
      <w:r>
        <w:rPr>
          <w:rFonts w:hint="default" w:ascii="Times New Roman" w:hAnsi="Times New Roman" w:cs="Times New Roman"/>
          <w:bCs/>
          <w:color w:val="auto"/>
          <w:sz w:val="24"/>
          <w:szCs w:val="24"/>
          <w:highlight w:val="none"/>
          <w:lang w:val="en-US" w:eastAsia="zh-CN"/>
        </w:rPr>
        <w:t>、CO、HC、NOx、SO</w:t>
      </w:r>
      <w:r>
        <w:rPr>
          <w:rFonts w:hint="default" w:ascii="Times New Roman" w:hAnsi="Times New Roman" w:cs="Times New Roman"/>
          <w:bCs/>
          <w:color w:val="auto"/>
          <w:sz w:val="24"/>
          <w:szCs w:val="24"/>
          <w:highlight w:val="none"/>
          <w:vertAlign w:val="subscript"/>
          <w:lang w:val="en-US" w:eastAsia="zh-CN"/>
        </w:rPr>
        <w:t>2</w:t>
      </w:r>
      <w:r>
        <w:rPr>
          <w:rFonts w:hint="default" w:ascii="Times New Roman" w:hAnsi="Times New Roman" w:cs="Times New Roman"/>
          <w:bCs/>
          <w:color w:val="auto"/>
          <w:sz w:val="24"/>
          <w:szCs w:val="24"/>
          <w:highlight w:val="none"/>
          <w:lang w:val="en-US" w:eastAsia="zh-CN"/>
        </w:rPr>
        <w:t>等。废气产生量较少，并且项目位于山区，空气流动性较强，发电机运行时产生的少量废气对周围环境影响不大。</w:t>
      </w:r>
    </w:p>
    <w:p w14:paraId="60F2A95D">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施工期</w:t>
      </w:r>
      <w:r>
        <w:rPr>
          <w:rFonts w:hint="eastAsia"/>
          <w:b/>
          <w:bCs/>
          <w:color w:val="auto"/>
          <w:sz w:val="24"/>
          <w:szCs w:val="24"/>
          <w:highlight w:val="none"/>
          <w:u w:val="none"/>
          <w:lang w:val="en-US" w:eastAsia="zh-CN"/>
        </w:rPr>
        <w:t>水污染源强</w:t>
      </w:r>
      <w:r>
        <w:rPr>
          <w:rFonts w:hint="eastAsia" w:ascii="Times New Roman" w:hAnsi="Times New Roman"/>
          <w:b/>
          <w:bCs/>
          <w:color w:val="auto"/>
          <w:sz w:val="24"/>
          <w:szCs w:val="24"/>
          <w:highlight w:val="none"/>
          <w:u w:val="none"/>
          <w:lang w:val="en-US" w:eastAsia="zh-CN"/>
        </w:rPr>
        <w:t>分析</w:t>
      </w:r>
    </w:p>
    <w:p w14:paraId="69E73CCA">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cs="Times New Roman"/>
          <w:b/>
          <w:bCs w:val="0"/>
          <w:color w:val="auto"/>
          <w:sz w:val="24"/>
          <w:szCs w:val="24"/>
          <w:highlight w:val="none"/>
          <w:lang w:val="en-US" w:eastAsia="zh-CN"/>
        </w:rPr>
      </w:pPr>
      <w:r>
        <w:rPr>
          <w:rFonts w:hint="default" w:ascii="Times New Roman" w:hAnsi="Times New Roman" w:cs="Times New Roman"/>
          <w:b/>
          <w:bCs w:val="0"/>
          <w:color w:val="auto"/>
          <w:sz w:val="24"/>
          <w:szCs w:val="24"/>
          <w:highlight w:val="none"/>
          <w:lang w:val="en-US" w:eastAsia="zh-CN"/>
        </w:rPr>
        <w:t>（1）</w:t>
      </w:r>
      <w:r>
        <w:rPr>
          <w:rFonts w:hint="eastAsia" w:ascii="Times New Roman" w:hAnsi="Times New Roman" w:cs="Times New Roman"/>
          <w:b/>
          <w:bCs w:val="0"/>
          <w:color w:val="auto"/>
          <w:sz w:val="24"/>
          <w:szCs w:val="24"/>
          <w:highlight w:val="none"/>
          <w:lang w:val="en-US" w:eastAsia="zh-CN"/>
        </w:rPr>
        <w:t>施工废水</w:t>
      </w:r>
    </w:p>
    <w:p w14:paraId="5F75D19B">
      <w:pPr>
        <w:bidi w:val="0"/>
        <w:rPr>
          <w:rFonts w:hint="eastAsia"/>
          <w:highlight w:val="none"/>
          <w:lang w:val="en-US" w:eastAsia="zh-CN"/>
        </w:rPr>
      </w:pPr>
      <w:r>
        <w:rPr>
          <w:rFonts w:hint="eastAsia"/>
          <w:highlight w:val="none"/>
          <w:lang w:val="en-US" w:eastAsia="zh-CN"/>
        </w:rPr>
        <w:t>施工生产废水主要是施工运输车辆的清洗废水等，其主要污染物有SS。工程建设区生产废水排放量不大且排放点分散，为减小不利影响，要求车辆的清洗废水必须集中收集后进入沉淀池，经处理后回用于道路洒水和场区绿化。本工程施工期较短，生产废水不外排。因此，施工期生产废水对区域内水环境影响较小。</w:t>
      </w:r>
    </w:p>
    <w:p w14:paraId="37CE7C2E">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cs="Times New Roman"/>
          <w:b/>
          <w:bCs w:val="0"/>
          <w:color w:val="auto"/>
          <w:sz w:val="24"/>
          <w:szCs w:val="24"/>
          <w:highlight w:val="none"/>
          <w:lang w:val="en-US" w:eastAsia="zh-CN"/>
        </w:rPr>
      </w:pPr>
      <w:r>
        <w:rPr>
          <w:rFonts w:hint="default" w:ascii="Times New Roman" w:hAnsi="Times New Roman" w:cs="Times New Roman"/>
          <w:b/>
          <w:bCs w:val="0"/>
          <w:color w:val="auto"/>
          <w:sz w:val="24"/>
          <w:szCs w:val="24"/>
          <w:highlight w:val="none"/>
          <w:lang w:val="en-US" w:eastAsia="zh-CN"/>
        </w:rPr>
        <w:t>（2）</w:t>
      </w:r>
      <w:r>
        <w:rPr>
          <w:rFonts w:hint="eastAsia" w:ascii="Times New Roman" w:hAnsi="Times New Roman" w:cs="Times New Roman"/>
          <w:b/>
          <w:bCs w:val="0"/>
          <w:color w:val="auto"/>
          <w:sz w:val="24"/>
          <w:szCs w:val="24"/>
          <w:highlight w:val="none"/>
          <w:lang w:val="en-US" w:eastAsia="zh-CN"/>
        </w:rPr>
        <w:t>生活污水</w:t>
      </w:r>
    </w:p>
    <w:p w14:paraId="29BA571D">
      <w:pPr>
        <w:adjustRightInd w:val="0"/>
        <w:snapToGrid w:val="0"/>
        <w:spacing w:line="360" w:lineRule="auto"/>
        <w:ind w:firstLine="480" w:firstLineChars="200"/>
        <w:rPr>
          <w:bCs/>
          <w:color w:val="auto"/>
          <w:sz w:val="24"/>
          <w:szCs w:val="24"/>
          <w:highlight w:val="none"/>
          <w:u w:val="none" w:color="auto"/>
        </w:rPr>
      </w:pPr>
      <w:r>
        <w:rPr>
          <w:rFonts w:hint="eastAsia" w:ascii="Times New Roman" w:hAnsi="Times New Roman" w:cs="Times New Roman"/>
          <w:bCs/>
          <w:color w:val="auto"/>
          <w:sz w:val="24"/>
          <w:szCs w:val="24"/>
          <w:highlight w:val="none"/>
          <w:lang w:val="en-US" w:eastAsia="zh-CN"/>
        </w:rPr>
        <w:t>项目施工人员主要为当地民工，</w:t>
      </w:r>
      <w:r>
        <w:rPr>
          <w:rFonts w:hint="eastAsia"/>
          <w:bCs/>
          <w:color w:val="auto"/>
          <w:sz w:val="24"/>
          <w:szCs w:val="24"/>
          <w:highlight w:val="none"/>
          <w:u w:val="none" w:color="auto"/>
          <w:lang w:eastAsia="zh-CN"/>
        </w:rPr>
        <w:t>施工人员租用山脚下当地民房食宿，</w:t>
      </w:r>
      <w:r>
        <w:rPr>
          <w:rFonts w:hint="eastAsia" w:ascii="Times New Roman" w:hAnsi="Times New Roman" w:cs="Times New Roman"/>
          <w:bCs/>
          <w:color w:val="auto"/>
          <w:sz w:val="24"/>
          <w:szCs w:val="24"/>
          <w:highlight w:val="none"/>
          <w:lang w:val="en-US" w:eastAsia="zh-CN"/>
        </w:rPr>
        <w:t>不在施工场地内住宿，</w:t>
      </w:r>
      <w:r>
        <w:rPr>
          <w:rFonts w:hint="eastAsia"/>
          <w:bCs/>
          <w:color w:val="auto"/>
          <w:sz w:val="24"/>
          <w:szCs w:val="24"/>
          <w:highlight w:val="none"/>
          <w:u w:val="none" w:color="auto"/>
        </w:rPr>
        <w:t>根据《湖南省地方标准 用水定额》（DB43/T 388-2020），参照农村居民用水定额（集中式供水），施工人员平均每人每天生活用水量按100L计，污水排放系数取0.9，则按下述公式计算可得每个施工人员每天产生的生活污水量。</w:t>
      </w:r>
    </w:p>
    <w:p w14:paraId="40D4597D">
      <w:pPr>
        <w:adjustRightInd w:val="0"/>
        <w:snapToGrid w:val="0"/>
        <w:spacing w:line="360" w:lineRule="auto"/>
        <w:ind w:firstLine="480" w:firstLineChars="200"/>
        <w:rPr>
          <w:bCs/>
          <w:color w:val="auto"/>
          <w:sz w:val="24"/>
          <w:szCs w:val="24"/>
          <w:highlight w:val="none"/>
          <w:u w:val="none" w:color="auto"/>
        </w:rPr>
      </w:pPr>
      <w:r>
        <w:rPr>
          <w:rFonts w:hint="eastAsia"/>
          <w:bCs/>
          <w:color w:val="auto"/>
          <w:sz w:val="24"/>
          <w:szCs w:val="24"/>
          <w:highlight w:val="none"/>
          <w:u w:val="none" w:color="auto"/>
        </w:rPr>
        <w:t>生活污水量：</w:t>
      </w:r>
    </w:p>
    <w:p w14:paraId="660AFFC5">
      <w:pPr>
        <w:pStyle w:val="31"/>
        <w:bidi w:val="0"/>
        <w:rPr>
          <w:color w:val="auto"/>
          <w:sz w:val="24"/>
          <w:szCs w:val="24"/>
          <w:highlight w:val="none"/>
          <w:u w:val="none" w:color="auto"/>
        </w:rPr>
      </w:pPr>
      <w:r>
        <w:rPr>
          <w:color w:val="auto"/>
          <w:sz w:val="24"/>
          <w:szCs w:val="24"/>
          <w:highlight w:val="none"/>
          <w:u w:val="none" w:color="auto"/>
        </w:rPr>
        <w:drawing>
          <wp:inline distT="0" distB="0" distL="114300" distR="114300">
            <wp:extent cx="655320" cy="210185"/>
            <wp:effectExtent l="0" t="0" r="11430" b="1841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23"/>
                    <a:stretch>
                      <a:fillRect/>
                    </a:stretch>
                  </pic:blipFill>
                  <pic:spPr>
                    <a:xfrm>
                      <a:off x="0" y="0"/>
                      <a:ext cx="655320" cy="210185"/>
                    </a:xfrm>
                    <a:prstGeom prst="rect">
                      <a:avLst/>
                    </a:prstGeom>
                    <a:noFill/>
                    <a:ln>
                      <a:noFill/>
                    </a:ln>
                  </pic:spPr>
                </pic:pic>
              </a:graphicData>
            </a:graphic>
          </wp:inline>
        </w:drawing>
      </w:r>
    </w:p>
    <w:p w14:paraId="1ABC85E8">
      <w:pPr>
        <w:adjustRightInd w:val="0"/>
        <w:snapToGrid w:val="0"/>
        <w:spacing w:line="360" w:lineRule="auto"/>
        <w:ind w:firstLine="480" w:firstLineChars="200"/>
        <w:rPr>
          <w:rFonts w:hint="eastAsia"/>
          <w:bCs/>
          <w:color w:val="auto"/>
          <w:sz w:val="24"/>
          <w:szCs w:val="24"/>
          <w:highlight w:val="none"/>
          <w:u w:val="none" w:color="auto"/>
        </w:rPr>
      </w:pPr>
      <w:r>
        <w:rPr>
          <w:rFonts w:hint="eastAsia"/>
          <w:bCs/>
          <w:color w:val="auto"/>
          <w:sz w:val="24"/>
          <w:szCs w:val="24"/>
          <w:highlight w:val="none"/>
          <w:u w:val="none" w:color="auto"/>
        </w:rPr>
        <w:t>式中：Qs——每人每天生活污水排放量（m</w:t>
      </w:r>
      <w:r>
        <w:rPr>
          <w:rFonts w:hint="eastAsia"/>
          <w:bCs/>
          <w:color w:val="auto"/>
          <w:sz w:val="24"/>
          <w:szCs w:val="24"/>
          <w:highlight w:val="none"/>
          <w:u w:val="none" w:color="auto"/>
          <w:vertAlign w:val="superscript"/>
        </w:rPr>
        <w:t>3</w:t>
      </w:r>
      <w:r>
        <w:rPr>
          <w:rFonts w:hint="eastAsia"/>
          <w:bCs/>
          <w:color w:val="auto"/>
          <w:sz w:val="24"/>
          <w:szCs w:val="24"/>
          <w:highlight w:val="none"/>
          <w:u w:val="none" w:color="auto"/>
        </w:rPr>
        <w:t>/人·d）；</w:t>
      </w:r>
    </w:p>
    <w:p w14:paraId="4FD721A7">
      <w:pPr>
        <w:adjustRightInd w:val="0"/>
        <w:snapToGrid w:val="0"/>
        <w:spacing w:line="360" w:lineRule="auto"/>
        <w:ind w:firstLine="1200" w:firstLineChars="500"/>
        <w:rPr>
          <w:rFonts w:hint="eastAsia"/>
          <w:bCs/>
          <w:color w:val="auto"/>
          <w:sz w:val="24"/>
          <w:szCs w:val="24"/>
          <w:highlight w:val="none"/>
          <w:u w:val="none" w:color="auto"/>
        </w:rPr>
      </w:pPr>
      <w:r>
        <w:rPr>
          <w:rFonts w:hint="eastAsia"/>
          <w:bCs/>
          <w:color w:val="auto"/>
          <w:sz w:val="24"/>
          <w:szCs w:val="24"/>
          <w:highlight w:val="none"/>
          <w:u w:val="none" w:color="auto"/>
        </w:rPr>
        <w:t>k——施工生产生活区污水排放系数（0.6~0.9），取0.9；</w:t>
      </w:r>
    </w:p>
    <w:p w14:paraId="43DC3D00">
      <w:pPr>
        <w:adjustRightInd w:val="0"/>
        <w:snapToGrid w:val="0"/>
        <w:spacing w:line="360" w:lineRule="auto"/>
        <w:ind w:firstLine="1200" w:firstLineChars="500"/>
        <w:rPr>
          <w:rFonts w:hint="eastAsia"/>
          <w:bCs/>
          <w:color w:val="auto"/>
          <w:sz w:val="24"/>
          <w:szCs w:val="24"/>
          <w:highlight w:val="none"/>
          <w:u w:val="none" w:color="auto"/>
        </w:rPr>
      </w:pPr>
      <w:r>
        <w:rPr>
          <w:rFonts w:hint="eastAsia"/>
          <w:bCs/>
          <w:color w:val="auto"/>
          <w:sz w:val="24"/>
          <w:szCs w:val="24"/>
          <w:highlight w:val="none"/>
          <w:u w:val="none" w:color="auto"/>
        </w:rPr>
        <w:t>qi——每人每天生活用水量定额（m</w:t>
      </w:r>
      <w:r>
        <w:rPr>
          <w:rFonts w:hint="eastAsia"/>
          <w:bCs/>
          <w:color w:val="auto"/>
          <w:sz w:val="24"/>
          <w:szCs w:val="24"/>
          <w:highlight w:val="none"/>
          <w:u w:val="none" w:color="auto"/>
          <w:vertAlign w:val="superscript"/>
        </w:rPr>
        <w:t>3</w:t>
      </w:r>
      <w:r>
        <w:rPr>
          <w:rFonts w:hint="eastAsia"/>
          <w:bCs/>
          <w:color w:val="auto"/>
          <w:sz w:val="24"/>
          <w:szCs w:val="24"/>
          <w:highlight w:val="none"/>
          <w:u w:val="none" w:color="auto"/>
        </w:rPr>
        <w:t>/人·d）。</w:t>
      </w:r>
    </w:p>
    <w:p w14:paraId="5229FF26">
      <w:pPr>
        <w:adjustRightInd w:val="0"/>
        <w:snapToGrid w:val="0"/>
        <w:spacing w:line="360" w:lineRule="auto"/>
        <w:ind w:firstLine="480" w:firstLineChars="200"/>
        <w:rPr>
          <w:bCs/>
          <w:color w:val="auto"/>
          <w:sz w:val="24"/>
          <w:szCs w:val="24"/>
          <w:highlight w:val="none"/>
          <w:u w:val="none" w:color="auto"/>
        </w:rPr>
      </w:pPr>
      <w:r>
        <w:rPr>
          <w:rFonts w:hint="eastAsia"/>
          <w:bCs/>
          <w:color w:val="auto"/>
          <w:sz w:val="24"/>
          <w:szCs w:val="24"/>
          <w:highlight w:val="none"/>
          <w:u w:val="none" w:color="auto"/>
        </w:rPr>
        <w:t>根据上式计算得到施工人员每人每天排放的生活污水量为0.09t。本项目拟设置</w:t>
      </w:r>
      <w:r>
        <w:rPr>
          <w:rFonts w:hint="eastAsia"/>
          <w:bCs/>
          <w:color w:val="auto"/>
          <w:sz w:val="24"/>
          <w:szCs w:val="24"/>
          <w:highlight w:val="none"/>
          <w:u w:val="none" w:color="auto"/>
          <w:lang w:val="en-US" w:eastAsia="zh-CN"/>
        </w:rPr>
        <w:t>1</w:t>
      </w:r>
      <w:r>
        <w:rPr>
          <w:rFonts w:hint="eastAsia"/>
          <w:bCs/>
          <w:color w:val="auto"/>
          <w:sz w:val="24"/>
          <w:szCs w:val="24"/>
          <w:highlight w:val="none"/>
          <w:u w:val="none" w:color="auto"/>
        </w:rPr>
        <w:t>处施工营地，</w:t>
      </w:r>
      <w:r>
        <w:rPr>
          <w:rFonts w:hint="eastAsia"/>
          <w:bCs/>
          <w:color w:val="auto"/>
          <w:sz w:val="24"/>
          <w:szCs w:val="24"/>
          <w:highlight w:val="none"/>
          <w:u w:val="none" w:color="auto"/>
          <w:lang w:val="en-US" w:eastAsia="zh-CN"/>
        </w:rPr>
        <w:t>高峰期</w:t>
      </w:r>
      <w:r>
        <w:rPr>
          <w:rFonts w:hint="eastAsia"/>
          <w:bCs/>
          <w:color w:val="auto"/>
          <w:sz w:val="24"/>
          <w:szCs w:val="24"/>
          <w:highlight w:val="none"/>
          <w:u w:val="none" w:color="auto"/>
        </w:rPr>
        <w:t>施工及管理人员按</w:t>
      </w:r>
      <w:r>
        <w:rPr>
          <w:rFonts w:hint="eastAsia"/>
          <w:bCs/>
          <w:color w:val="auto"/>
          <w:sz w:val="24"/>
          <w:szCs w:val="24"/>
          <w:highlight w:val="none"/>
          <w:u w:val="none" w:color="auto"/>
          <w:lang w:val="en-US" w:eastAsia="zh-CN"/>
        </w:rPr>
        <w:t>100</w:t>
      </w:r>
      <w:r>
        <w:rPr>
          <w:rFonts w:hint="eastAsia"/>
          <w:bCs/>
          <w:color w:val="auto"/>
          <w:sz w:val="24"/>
          <w:szCs w:val="24"/>
          <w:highlight w:val="none"/>
          <w:u w:val="none" w:color="auto"/>
        </w:rPr>
        <w:t>人计算，则施工生产生活区施工人员每天产生的生活污水量</w:t>
      </w:r>
      <w:r>
        <w:rPr>
          <w:rFonts w:hint="eastAsia"/>
          <w:bCs/>
          <w:color w:val="auto"/>
          <w:sz w:val="24"/>
          <w:szCs w:val="24"/>
          <w:highlight w:val="none"/>
          <w:u w:val="none" w:color="auto"/>
          <w:lang w:val="en-US" w:eastAsia="zh-CN"/>
        </w:rPr>
        <w:t>9</w:t>
      </w:r>
      <w:r>
        <w:rPr>
          <w:rFonts w:hint="eastAsia"/>
          <w:bCs/>
          <w:color w:val="auto"/>
          <w:sz w:val="24"/>
          <w:szCs w:val="24"/>
          <w:highlight w:val="none"/>
          <w:u w:val="none" w:color="auto"/>
        </w:rPr>
        <w:t>t。施工</w:t>
      </w:r>
      <w:r>
        <w:rPr>
          <w:rFonts w:hint="eastAsia"/>
          <w:bCs/>
          <w:color w:val="auto"/>
          <w:sz w:val="24"/>
          <w:szCs w:val="24"/>
          <w:highlight w:val="none"/>
          <w:u w:val="none" w:color="auto"/>
          <w:lang w:eastAsia="zh-CN"/>
        </w:rPr>
        <w:t>人员</w:t>
      </w:r>
      <w:r>
        <w:rPr>
          <w:rFonts w:hint="eastAsia"/>
          <w:bCs/>
          <w:color w:val="auto"/>
          <w:sz w:val="24"/>
          <w:szCs w:val="24"/>
          <w:highlight w:val="none"/>
          <w:u w:val="none" w:color="auto"/>
        </w:rPr>
        <w:t>生活污水主要是施工人员就餐和洗涤产生的污水及粪便水，主要含动植物油脂、食物残渣、洗涤剂等多种有机物，其成分及其浓度详见表</w:t>
      </w:r>
      <w:r>
        <w:rPr>
          <w:rFonts w:hint="eastAsia"/>
          <w:bCs/>
          <w:color w:val="auto"/>
          <w:sz w:val="24"/>
          <w:szCs w:val="24"/>
          <w:highlight w:val="none"/>
          <w:u w:val="none" w:color="auto"/>
          <w:lang w:val="en-US" w:eastAsia="zh-CN"/>
        </w:rPr>
        <w:t>4.5-1</w:t>
      </w:r>
      <w:r>
        <w:rPr>
          <w:rFonts w:hint="eastAsia"/>
          <w:bCs/>
          <w:color w:val="auto"/>
          <w:sz w:val="24"/>
          <w:szCs w:val="24"/>
          <w:highlight w:val="none"/>
          <w:u w:val="none" w:color="auto"/>
        </w:rPr>
        <w:t>。</w:t>
      </w:r>
    </w:p>
    <w:p w14:paraId="62DC20B5">
      <w:pPr>
        <w:pStyle w:val="46"/>
        <w:bidi w:val="0"/>
        <w:rPr>
          <w:rFonts w:hint="eastAsia"/>
          <w:lang w:val="en-US" w:eastAsia="zh-CN"/>
        </w:rPr>
      </w:pPr>
      <w:r>
        <w:rPr>
          <w:rFonts w:hint="eastAsia"/>
          <w:lang w:val="en-US" w:eastAsia="zh-CN"/>
        </w:rPr>
        <w:t>表4.5-1  施工营地生活污水成分及浓度</w:t>
      </w:r>
    </w:p>
    <w:tbl>
      <w:tblPr>
        <w:tblStyle w:val="20"/>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430"/>
        <w:gridCol w:w="1002"/>
        <w:gridCol w:w="1218"/>
        <w:gridCol w:w="1218"/>
        <w:gridCol w:w="1218"/>
        <w:gridCol w:w="1218"/>
        <w:gridCol w:w="1218"/>
      </w:tblGrid>
      <w:tr w14:paraId="7762CA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68" w:type="dxa"/>
            <w:tcBorders>
              <w:tl2br w:val="nil"/>
              <w:tr2bl w:val="nil"/>
            </w:tcBorders>
            <w:noWrap w:val="0"/>
            <w:vAlign w:val="center"/>
          </w:tcPr>
          <w:p w14:paraId="5ED9272C">
            <w:pPr>
              <w:pStyle w:val="23"/>
              <w:keepNext w:val="0"/>
              <w:keepLines w:val="0"/>
              <w:pageBreakBefore w:val="0"/>
              <w:widowControl/>
              <w:kinsoku/>
              <w:wordWrap/>
              <w:overflowPunct/>
              <w:topLinePunct w:val="0"/>
              <w:autoSpaceDE/>
              <w:autoSpaceDN/>
              <w:bidi w:val="0"/>
              <w:adjustRightInd w:val="0"/>
              <w:snapToGrid w:val="0"/>
              <w:spacing w:before="0" w:after="0"/>
              <w:textAlignment w:val="auto"/>
              <w:rPr>
                <w:rFonts w:hint="default" w:eastAsia="宋体"/>
                <w:color w:val="auto"/>
                <w:highlight w:val="none"/>
                <w:u w:val="none" w:color="auto"/>
                <w:lang w:val="en-US" w:eastAsia="zh-CN"/>
              </w:rPr>
            </w:pPr>
            <w:r>
              <w:rPr>
                <w:rFonts w:hint="eastAsia"/>
                <w:color w:val="auto"/>
                <w:highlight w:val="none"/>
                <w:u w:val="none" w:color="auto"/>
                <w:lang w:val="en-US" w:eastAsia="zh-CN"/>
              </w:rPr>
              <w:t>主要污染物</w:t>
            </w:r>
          </w:p>
        </w:tc>
        <w:tc>
          <w:tcPr>
            <w:tcW w:w="959" w:type="dxa"/>
            <w:tcBorders>
              <w:tl2br w:val="nil"/>
              <w:tr2bl w:val="nil"/>
            </w:tcBorders>
            <w:noWrap w:val="0"/>
            <w:vAlign w:val="center"/>
          </w:tcPr>
          <w:p w14:paraId="37464885">
            <w:pPr>
              <w:pStyle w:val="23"/>
              <w:keepNext w:val="0"/>
              <w:keepLines w:val="0"/>
              <w:pageBreakBefore w:val="0"/>
              <w:widowControl/>
              <w:kinsoku/>
              <w:wordWrap/>
              <w:overflowPunct/>
              <w:topLinePunct w:val="0"/>
              <w:autoSpaceDE/>
              <w:autoSpaceDN/>
              <w:bidi w:val="0"/>
              <w:adjustRightInd w:val="0"/>
              <w:snapToGrid w:val="0"/>
              <w:spacing w:before="0" w:after="0"/>
              <w:textAlignment w:val="auto"/>
              <w:rPr>
                <w:rFonts w:hint="default" w:eastAsia="宋体"/>
                <w:color w:val="auto"/>
                <w:highlight w:val="none"/>
                <w:u w:val="none" w:color="auto"/>
                <w:lang w:val="en-US" w:eastAsia="zh-CN"/>
              </w:rPr>
            </w:pPr>
            <w:r>
              <w:rPr>
                <w:rFonts w:hint="eastAsia"/>
                <w:color w:val="auto"/>
                <w:highlight w:val="none"/>
                <w:u w:val="none" w:color="auto"/>
                <w:lang w:val="en-US" w:eastAsia="zh-CN"/>
              </w:rPr>
              <w:t>BOD</w:t>
            </w:r>
            <w:r>
              <w:rPr>
                <w:rFonts w:hint="eastAsia"/>
                <w:color w:val="auto"/>
                <w:highlight w:val="none"/>
                <w:u w:val="none" w:color="auto"/>
                <w:vertAlign w:val="subscript"/>
                <w:lang w:val="en-US" w:eastAsia="zh-CN"/>
              </w:rPr>
              <w:t>5</w:t>
            </w:r>
          </w:p>
        </w:tc>
        <w:tc>
          <w:tcPr>
            <w:tcW w:w="1164" w:type="dxa"/>
            <w:tcBorders>
              <w:tl2br w:val="nil"/>
              <w:tr2bl w:val="nil"/>
            </w:tcBorders>
            <w:noWrap w:val="0"/>
            <w:vAlign w:val="center"/>
          </w:tcPr>
          <w:p w14:paraId="42640A59">
            <w:pPr>
              <w:pStyle w:val="23"/>
              <w:keepNext w:val="0"/>
              <w:keepLines w:val="0"/>
              <w:pageBreakBefore w:val="0"/>
              <w:widowControl/>
              <w:kinsoku/>
              <w:wordWrap/>
              <w:overflowPunct/>
              <w:topLinePunct w:val="0"/>
              <w:autoSpaceDE/>
              <w:autoSpaceDN/>
              <w:bidi w:val="0"/>
              <w:adjustRightInd w:val="0"/>
              <w:snapToGrid w:val="0"/>
              <w:spacing w:before="0" w:after="0"/>
              <w:textAlignment w:val="auto"/>
              <w:rPr>
                <w:rFonts w:hint="default" w:eastAsia="宋体"/>
                <w:color w:val="auto"/>
                <w:highlight w:val="none"/>
                <w:u w:val="none" w:color="auto"/>
                <w:lang w:val="en-US" w:eastAsia="zh-CN"/>
              </w:rPr>
            </w:pPr>
            <w:r>
              <w:rPr>
                <w:rFonts w:hint="eastAsia"/>
                <w:color w:val="auto"/>
                <w:highlight w:val="none"/>
                <w:u w:val="none" w:color="auto"/>
                <w:lang w:val="en-US" w:eastAsia="zh-CN"/>
              </w:rPr>
              <w:t>COD</w:t>
            </w:r>
          </w:p>
        </w:tc>
        <w:tc>
          <w:tcPr>
            <w:tcW w:w="1164" w:type="dxa"/>
            <w:tcBorders>
              <w:tl2br w:val="nil"/>
              <w:tr2bl w:val="nil"/>
            </w:tcBorders>
            <w:noWrap w:val="0"/>
            <w:vAlign w:val="center"/>
          </w:tcPr>
          <w:p w14:paraId="7F37A1D5">
            <w:pPr>
              <w:pStyle w:val="23"/>
              <w:keepNext w:val="0"/>
              <w:keepLines w:val="0"/>
              <w:pageBreakBefore w:val="0"/>
              <w:widowControl/>
              <w:kinsoku/>
              <w:wordWrap/>
              <w:overflowPunct/>
              <w:topLinePunct w:val="0"/>
              <w:autoSpaceDE/>
              <w:autoSpaceDN/>
              <w:bidi w:val="0"/>
              <w:adjustRightInd w:val="0"/>
              <w:snapToGrid w:val="0"/>
              <w:spacing w:before="0" w:after="0"/>
              <w:textAlignment w:val="auto"/>
              <w:rPr>
                <w:rFonts w:hint="eastAsia" w:eastAsia="宋体"/>
                <w:color w:val="auto"/>
                <w:highlight w:val="none"/>
                <w:u w:val="none" w:color="auto"/>
                <w:lang w:val="en-US" w:eastAsia="zh-CN"/>
              </w:rPr>
            </w:pPr>
            <w:r>
              <w:rPr>
                <w:rFonts w:hint="eastAsia"/>
                <w:color w:val="auto"/>
                <w:highlight w:val="none"/>
                <w:u w:val="none" w:color="auto"/>
                <w:lang w:val="en-US" w:eastAsia="zh-CN"/>
              </w:rPr>
              <w:t>氨氮</w:t>
            </w:r>
          </w:p>
        </w:tc>
        <w:tc>
          <w:tcPr>
            <w:tcW w:w="1164" w:type="dxa"/>
            <w:tcBorders>
              <w:tl2br w:val="nil"/>
              <w:tr2bl w:val="nil"/>
            </w:tcBorders>
            <w:noWrap w:val="0"/>
            <w:vAlign w:val="center"/>
          </w:tcPr>
          <w:p w14:paraId="4404ABE7">
            <w:pPr>
              <w:pStyle w:val="23"/>
              <w:keepNext w:val="0"/>
              <w:keepLines w:val="0"/>
              <w:pageBreakBefore w:val="0"/>
              <w:widowControl/>
              <w:kinsoku/>
              <w:wordWrap/>
              <w:overflowPunct/>
              <w:topLinePunct w:val="0"/>
              <w:autoSpaceDE/>
              <w:autoSpaceDN/>
              <w:bidi w:val="0"/>
              <w:adjustRightInd w:val="0"/>
              <w:snapToGrid w:val="0"/>
              <w:spacing w:before="0" w:after="0"/>
              <w:textAlignment w:val="auto"/>
              <w:rPr>
                <w:rFonts w:hint="default" w:eastAsia="宋体"/>
                <w:color w:val="auto"/>
                <w:highlight w:val="none"/>
                <w:u w:val="none" w:color="auto"/>
                <w:lang w:val="en-US" w:eastAsia="zh-CN"/>
              </w:rPr>
            </w:pPr>
            <w:r>
              <w:rPr>
                <w:rFonts w:hint="eastAsia"/>
                <w:color w:val="auto"/>
                <w:highlight w:val="none"/>
                <w:u w:val="none" w:color="auto"/>
                <w:lang w:val="en-US" w:eastAsia="zh-CN"/>
              </w:rPr>
              <w:t>SS</w:t>
            </w:r>
          </w:p>
        </w:tc>
        <w:tc>
          <w:tcPr>
            <w:tcW w:w="1164" w:type="dxa"/>
            <w:tcBorders>
              <w:tl2br w:val="nil"/>
              <w:tr2bl w:val="nil"/>
            </w:tcBorders>
            <w:noWrap w:val="0"/>
            <w:vAlign w:val="center"/>
          </w:tcPr>
          <w:p w14:paraId="4B30BAA5">
            <w:pPr>
              <w:pStyle w:val="23"/>
              <w:keepNext w:val="0"/>
              <w:keepLines w:val="0"/>
              <w:pageBreakBefore w:val="0"/>
              <w:widowControl/>
              <w:kinsoku/>
              <w:wordWrap/>
              <w:overflowPunct/>
              <w:topLinePunct w:val="0"/>
              <w:autoSpaceDE/>
              <w:autoSpaceDN/>
              <w:bidi w:val="0"/>
              <w:adjustRightInd w:val="0"/>
              <w:snapToGrid w:val="0"/>
              <w:spacing w:before="0" w:after="0"/>
              <w:textAlignment w:val="auto"/>
              <w:rPr>
                <w:rFonts w:hint="eastAsia" w:eastAsia="宋体"/>
                <w:color w:val="auto"/>
                <w:highlight w:val="none"/>
                <w:u w:val="none" w:color="auto"/>
                <w:lang w:val="en-US" w:eastAsia="zh-CN"/>
              </w:rPr>
            </w:pPr>
            <w:r>
              <w:rPr>
                <w:rFonts w:hint="eastAsia"/>
                <w:color w:val="auto"/>
                <w:highlight w:val="none"/>
                <w:u w:val="none" w:color="auto"/>
                <w:lang w:val="en-US" w:eastAsia="zh-CN"/>
              </w:rPr>
              <w:t>石油类</w:t>
            </w:r>
          </w:p>
        </w:tc>
        <w:tc>
          <w:tcPr>
            <w:tcW w:w="1164" w:type="dxa"/>
            <w:tcBorders>
              <w:tl2br w:val="nil"/>
              <w:tr2bl w:val="nil"/>
            </w:tcBorders>
            <w:noWrap w:val="0"/>
            <w:vAlign w:val="center"/>
          </w:tcPr>
          <w:p w14:paraId="493782B0">
            <w:pPr>
              <w:pStyle w:val="23"/>
              <w:keepNext w:val="0"/>
              <w:keepLines w:val="0"/>
              <w:pageBreakBefore w:val="0"/>
              <w:widowControl/>
              <w:kinsoku/>
              <w:wordWrap/>
              <w:overflowPunct/>
              <w:topLinePunct w:val="0"/>
              <w:autoSpaceDE/>
              <w:autoSpaceDN/>
              <w:bidi w:val="0"/>
              <w:adjustRightInd w:val="0"/>
              <w:snapToGrid w:val="0"/>
              <w:spacing w:before="0" w:after="0"/>
              <w:textAlignment w:val="auto"/>
              <w:rPr>
                <w:rFonts w:hint="eastAsia" w:eastAsia="宋体"/>
                <w:color w:val="auto"/>
                <w:highlight w:val="none"/>
                <w:u w:val="none" w:color="auto"/>
                <w:lang w:val="en-US" w:eastAsia="zh-CN"/>
              </w:rPr>
            </w:pPr>
            <w:r>
              <w:rPr>
                <w:rFonts w:hint="eastAsia"/>
                <w:color w:val="auto"/>
                <w:highlight w:val="none"/>
                <w:u w:val="none" w:color="auto"/>
                <w:lang w:val="en-US" w:eastAsia="zh-CN"/>
              </w:rPr>
              <w:t>动植物油</w:t>
            </w:r>
          </w:p>
        </w:tc>
      </w:tr>
      <w:tr w14:paraId="69D594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368" w:type="dxa"/>
            <w:tcBorders>
              <w:tl2br w:val="nil"/>
              <w:tr2bl w:val="nil"/>
            </w:tcBorders>
            <w:noWrap w:val="0"/>
            <w:vAlign w:val="center"/>
          </w:tcPr>
          <w:p w14:paraId="3EC421C3">
            <w:pPr>
              <w:pStyle w:val="23"/>
              <w:keepNext w:val="0"/>
              <w:keepLines w:val="0"/>
              <w:pageBreakBefore w:val="0"/>
              <w:widowControl/>
              <w:kinsoku/>
              <w:wordWrap/>
              <w:overflowPunct/>
              <w:topLinePunct w:val="0"/>
              <w:autoSpaceDE/>
              <w:autoSpaceDN/>
              <w:bidi w:val="0"/>
              <w:adjustRightInd w:val="0"/>
              <w:snapToGrid w:val="0"/>
              <w:spacing w:before="0" w:after="0"/>
              <w:textAlignment w:val="auto"/>
              <w:rPr>
                <w:rFonts w:hint="default" w:eastAsia="宋体"/>
                <w:color w:val="auto"/>
                <w:highlight w:val="none"/>
                <w:u w:val="none" w:color="auto"/>
                <w:lang w:val="en-US" w:eastAsia="zh-CN"/>
              </w:rPr>
            </w:pPr>
            <w:r>
              <w:rPr>
                <w:rFonts w:hint="eastAsia"/>
                <w:color w:val="auto"/>
                <w:highlight w:val="none"/>
                <w:u w:val="none" w:color="auto"/>
                <w:lang w:val="en-US" w:eastAsia="zh-CN"/>
              </w:rPr>
              <w:t>浓度（mg/L）</w:t>
            </w:r>
          </w:p>
        </w:tc>
        <w:tc>
          <w:tcPr>
            <w:tcW w:w="959" w:type="dxa"/>
            <w:tcBorders>
              <w:tl2br w:val="nil"/>
              <w:tr2bl w:val="nil"/>
            </w:tcBorders>
            <w:noWrap w:val="0"/>
            <w:vAlign w:val="center"/>
          </w:tcPr>
          <w:p w14:paraId="0AF9D55A">
            <w:pPr>
              <w:pStyle w:val="23"/>
              <w:keepNext w:val="0"/>
              <w:keepLines w:val="0"/>
              <w:pageBreakBefore w:val="0"/>
              <w:widowControl/>
              <w:kinsoku/>
              <w:wordWrap/>
              <w:overflowPunct/>
              <w:topLinePunct w:val="0"/>
              <w:autoSpaceDE/>
              <w:autoSpaceDN/>
              <w:bidi w:val="0"/>
              <w:adjustRightInd w:val="0"/>
              <w:snapToGrid w:val="0"/>
              <w:spacing w:before="0" w:after="0"/>
              <w:textAlignment w:val="auto"/>
              <w:rPr>
                <w:color w:val="auto"/>
                <w:highlight w:val="none"/>
                <w:u w:val="none" w:color="auto"/>
              </w:rPr>
            </w:pPr>
            <w:r>
              <w:rPr>
                <w:rFonts w:hint="eastAsia"/>
                <w:color w:val="auto"/>
                <w:highlight w:val="none"/>
                <w:u w:val="none" w:color="auto"/>
                <w:lang w:val="en-US" w:eastAsia="zh-CN"/>
              </w:rPr>
              <w:t>200-250</w:t>
            </w:r>
          </w:p>
        </w:tc>
        <w:tc>
          <w:tcPr>
            <w:tcW w:w="1164" w:type="dxa"/>
            <w:tcBorders>
              <w:tl2br w:val="nil"/>
              <w:tr2bl w:val="nil"/>
            </w:tcBorders>
            <w:noWrap w:val="0"/>
            <w:vAlign w:val="center"/>
          </w:tcPr>
          <w:p w14:paraId="7AE5CC86">
            <w:pPr>
              <w:pStyle w:val="23"/>
              <w:keepNext w:val="0"/>
              <w:keepLines w:val="0"/>
              <w:pageBreakBefore w:val="0"/>
              <w:widowControl/>
              <w:kinsoku/>
              <w:wordWrap/>
              <w:overflowPunct/>
              <w:topLinePunct w:val="0"/>
              <w:autoSpaceDE/>
              <w:autoSpaceDN/>
              <w:bidi w:val="0"/>
              <w:adjustRightInd w:val="0"/>
              <w:snapToGrid w:val="0"/>
              <w:spacing w:before="0" w:after="0"/>
              <w:textAlignment w:val="auto"/>
              <w:rPr>
                <w:rFonts w:hint="default" w:eastAsia="宋体"/>
                <w:color w:val="auto"/>
                <w:highlight w:val="none"/>
                <w:u w:val="none" w:color="auto"/>
                <w:lang w:val="en-US" w:eastAsia="zh-CN"/>
              </w:rPr>
            </w:pPr>
            <w:r>
              <w:rPr>
                <w:rFonts w:hint="eastAsia"/>
                <w:color w:val="auto"/>
                <w:highlight w:val="none"/>
                <w:u w:val="none" w:color="auto"/>
                <w:lang w:val="en-US" w:eastAsia="zh-CN"/>
              </w:rPr>
              <w:t>400-500</w:t>
            </w:r>
          </w:p>
        </w:tc>
        <w:tc>
          <w:tcPr>
            <w:tcW w:w="1164" w:type="dxa"/>
            <w:tcBorders>
              <w:tl2br w:val="nil"/>
              <w:tr2bl w:val="nil"/>
            </w:tcBorders>
            <w:noWrap w:val="0"/>
            <w:vAlign w:val="center"/>
          </w:tcPr>
          <w:p w14:paraId="4446E164">
            <w:pPr>
              <w:pStyle w:val="23"/>
              <w:keepNext w:val="0"/>
              <w:keepLines w:val="0"/>
              <w:pageBreakBefore w:val="0"/>
              <w:widowControl/>
              <w:kinsoku/>
              <w:wordWrap/>
              <w:overflowPunct/>
              <w:topLinePunct w:val="0"/>
              <w:autoSpaceDE/>
              <w:autoSpaceDN/>
              <w:bidi w:val="0"/>
              <w:adjustRightInd w:val="0"/>
              <w:snapToGrid w:val="0"/>
              <w:spacing w:before="0" w:after="0"/>
              <w:textAlignment w:val="auto"/>
              <w:rPr>
                <w:rFonts w:hint="default" w:eastAsia="宋体"/>
                <w:color w:val="auto"/>
                <w:highlight w:val="none"/>
                <w:u w:val="none" w:color="auto"/>
                <w:lang w:val="en-US" w:eastAsia="zh-CN"/>
              </w:rPr>
            </w:pPr>
            <w:r>
              <w:rPr>
                <w:rFonts w:hint="eastAsia"/>
                <w:color w:val="auto"/>
                <w:highlight w:val="none"/>
                <w:u w:val="none" w:color="auto"/>
                <w:lang w:val="en-US" w:eastAsia="zh-CN"/>
              </w:rPr>
              <w:t>40-140</w:t>
            </w:r>
          </w:p>
        </w:tc>
        <w:tc>
          <w:tcPr>
            <w:tcW w:w="1164" w:type="dxa"/>
            <w:tcBorders>
              <w:tl2br w:val="nil"/>
              <w:tr2bl w:val="nil"/>
            </w:tcBorders>
            <w:noWrap w:val="0"/>
            <w:vAlign w:val="center"/>
          </w:tcPr>
          <w:p w14:paraId="68C9E14B">
            <w:pPr>
              <w:pStyle w:val="23"/>
              <w:keepNext w:val="0"/>
              <w:keepLines w:val="0"/>
              <w:pageBreakBefore w:val="0"/>
              <w:widowControl/>
              <w:kinsoku/>
              <w:wordWrap/>
              <w:overflowPunct/>
              <w:topLinePunct w:val="0"/>
              <w:autoSpaceDE/>
              <w:autoSpaceDN/>
              <w:bidi w:val="0"/>
              <w:adjustRightInd w:val="0"/>
              <w:snapToGrid w:val="0"/>
              <w:spacing w:before="0" w:after="0"/>
              <w:textAlignment w:val="auto"/>
              <w:rPr>
                <w:rFonts w:hint="default" w:eastAsia="宋体"/>
                <w:color w:val="auto"/>
                <w:highlight w:val="none"/>
                <w:u w:val="none" w:color="auto"/>
                <w:lang w:val="en-US" w:eastAsia="zh-CN"/>
              </w:rPr>
            </w:pPr>
            <w:r>
              <w:rPr>
                <w:rFonts w:hint="eastAsia"/>
                <w:color w:val="auto"/>
                <w:highlight w:val="none"/>
                <w:u w:val="none" w:color="auto"/>
                <w:lang w:val="en-US" w:eastAsia="zh-CN"/>
              </w:rPr>
              <w:t>500-600</w:t>
            </w:r>
          </w:p>
        </w:tc>
        <w:tc>
          <w:tcPr>
            <w:tcW w:w="1164" w:type="dxa"/>
            <w:tcBorders>
              <w:tl2br w:val="nil"/>
              <w:tr2bl w:val="nil"/>
            </w:tcBorders>
            <w:noWrap w:val="0"/>
            <w:vAlign w:val="center"/>
          </w:tcPr>
          <w:p w14:paraId="64201792">
            <w:pPr>
              <w:pStyle w:val="23"/>
              <w:keepNext w:val="0"/>
              <w:keepLines w:val="0"/>
              <w:pageBreakBefore w:val="0"/>
              <w:widowControl/>
              <w:kinsoku/>
              <w:wordWrap/>
              <w:overflowPunct/>
              <w:topLinePunct w:val="0"/>
              <w:autoSpaceDE/>
              <w:autoSpaceDN/>
              <w:bidi w:val="0"/>
              <w:adjustRightInd w:val="0"/>
              <w:snapToGrid w:val="0"/>
              <w:spacing w:before="0" w:after="0"/>
              <w:textAlignment w:val="auto"/>
              <w:rPr>
                <w:rFonts w:hint="default" w:eastAsia="宋体"/>
                <w:color w:val="auto"/>
                <w:highlight w:val="none"/>
                <w:u w:val="none" w:color="auto"/>
                <w:lang w:val="en-US" w:eastAsia="zh-CN"/>
              </w:rPr>
            </w:pPr>
            <w:r>
              <w:rPr>
                <w:rFonts w:hint="eastAsia"/>
                <w:color w:val="auto"/>
                <w:highlight w:val="none"/>
                <w:u w:val="none" w:color="auto"/>
                <w:lang w:val="en-US" w:eastAsia="zh-CN"/>
              </w:rPr>
              <w:t>2-10</w:t>
            </w:r>
          </w:p>
        </w:tc>
        <w:tc>
          <w:tcPr>
            <w:tcW w:w="1164" w:type="dxa"/>
            <w:tcBorders>
              <w:tl2br w:val="nil"/>
              <w:tr2bl w:val="nil"/>
            </w:tcBorders>
            <w:noWrap w:val="0"/>
            <w:vAlign w:val="center"/>
          </w:tcPr>
          <w:p w14:paraId="3E024857">
            <w:pPr>
              <w:pStyle w:val="23"/>
              <w:keepNext w:val="0"/>
              <w:keepLines w:val="0"/>
              <w:pageBreakBefore w:val="0"/>
              <w:widowControl/>
              <w:kinsoku/>
              <w:wordWrap/>
              <w:overflowPunct/>
              <w:topLinePunct w:val="0"/>
              <w:autoSpaceDE/>
              <w:autoSpaceDN/>
              <w:bidi w:val="0"/>
              <w:adjustRightInd w:val="0"/>
              <w:snapToGrid w:val="0"/>
              <w:spacing w:before="0" w:after="0"/>
              <w:textAlignment w:val="auto"/>
              <w:rPr>
                <w:rFonts w:hint="default" w:eastAsia="宋体"/>
                <w:color w:val="auto"/>
                <w:highlight w:val="none"/>
                <w:u w:val="none" w:color="auto"/>
                <w:lang w:val="en-US" w:eastAsia="zh-CN"/>
              </w:rPr>
            </w:pPr>
            <w:r>
              <w:rPr>
                <w:rFonts w:hint="eastAsia"/>
                <w:color w:val="auto"/>
                <w:highlight w:val="none"/>
                <w:u w:val="none" w:color="auto"/>
                <w:lang w:val="en-US" w:eastAsia="zh-CN"/>
              </w:rPr>
              <w:t>15-40</w:t>
            </w:r>
          </w:p>
        </w:tc>
      </w:tr>
    </w:tbl>
    <w:p w14:paraId="6DAE56B5">
      <w:pPr>
        <w:rPr>
          <w:rFonts w:hint="eastAsia" w:ascii="Times New Roman" w:hAnsi="Times New Roman" w:eastAsia="宋体" w:cs="Times New Roman"/>
          <w:b/>
          <w:bCs w:val="0"/>
          <w:color w:val="auto"/>
          <w:kern w:val="0"/>
          <w:sz w:val="24"/>
          <w:szCs w:val="24"/>
          <w:highlight w:val="none"/>
          <w:lang w:val="en-US" w:eastAsia="zh-CN" w:bidi="ar-SA"/>
        </w:rPr>
      </w:pPr>
      <w:r>
        <w:rPr>
          <w:rFonts w:hint="eastAsia"/>
          <w:lang w:val="en-US" w:eastAsia="zh-CN"/>
        </w:rPr>
        <w:t>同时，施工期依托升压站内地埋式一体化污水处理设施，少量施工人员在施工期间产生的粪便水经地埋式一体化污水处理设施处理后，用于绿化带浇灌。</w:t>
      </w:r>
    </w:p>
    <w:p w14:paraId="183F9276">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施工期固废影响分析</w:t>
      </w:r>
    </w:p>
    <w:p w14:paraId="064E63F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工程施工期间产生的固体废弃物主要来自施工场所产生的建筑垃圾（主要指场地平整、开挖、道路修筑、管道敷设、材料运输、基础工程和房屋建筑等工程施工期间产生的大量废弃的建筑材料，如砂石、石灰、木材和土石方等）以及由于施工人员活动产生的生活垃圾等。固体废弃物若处置不当，遇暴雨会被冲刷流失到环境中造成污染。</w:t>
      </w:r>
    </w:p>
    <w:p w14:paraId="2ED1D58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本工程建设产生施工弃渣</w:t>
      </w:r>
      <w:r>
        <w:rPr>
          <w:rFonts w:hint="eastAsia" w:ascii="Times New Roman" w:hAnsi="Times New Roman" w:cs="Times New Roman"/>
          <w:bCs/>
          <w:color w:val="auto"/>
          <w:sz w:val="24"/>
          <w:szCs w:val="24"/>
          <w:highlight w:val="none"/>
          <w:lang w:val="en-US" w:eastAsia="zh-CN"/>
        </w:rPr>
        <w:t>84.63</w:t>
      </w:r>
      <w:r>
        <w:rPr>
          <w:rFonts w:hint="default" w:ascii="Times New Roman" w:hAnsi="Times New Roman" w:cs="Times New Roman"/>
          <w:bCs/>
          <w:color w:val="auto"/>
          <w:sz w:val="24"/>
          <w:szCs w:val="24"/>
          <w:highlight w:val="none"/>
          <w:lang w:val="en-US" w:eastAsia="zh-CN"/>
        </w:rPr>
        <w:t>万m</w:t>
      </w:r>
      <w:r>
        <w:rPr>
          <w:rFonts w:hint="default" w:ascii="Times New Roman" w:hAnsi="Times New Roman" w:cs="Times New Roman"/>
          <w:bCs/>
          <w:color w:val="auto"/>
          <w:sz w:val="24"/>
          <w:szCs w:val="24"/>
          <w:highlight w:val="none"/>
          <w:vertAlign w:val="superscript"/>
          <w:lang w:val="en-US" w:eastAsia="zh-CN"/>
        </w:rPr>
        <w:t>3</w:t>
      </w:r>
      <w:r>
        <w:rPr>
          <w:rFonts w:hint="default" w:ascii="Times New Roman" w:hAnsi="Times New Roman" w:cs="Times New Roman"/>
          <w:bCs/>
          <w:color w:val="auto"/>
          <w:sz w:val="24"/>
          <w:szCs w:val="24"/>
          <w:highlight w:val="none"/>
          <w:lang w:val="en-US" w:eastAsia="zh-CN"/>
        </w:rPr>
        <w:t>，渣料产生区域分散。工程施工产生的弃渣统一堆存于项目规划的</w:t>
      </w:r>
      <w:r>
        <w:rPr>
          <w:rFonts w:hint="eastAsia" w:ascii="Times New Roman" w:hAnsi="Times New Roman" w:cs="Times New Roman"/>
          <w:bCs/>
          <w:color w:val="auto"/>
          <w:sz w:val="24"/>
          <w:szCs w:val="24"/>
          <w:highlight w:val="none"/>
          <w:lang w:val="en-US" w:eastAsia="zh-CN"/>
        </w:rPr>
        <w:t>12</w:t>
      </w:r>
      <w:r>
        <w:rPr>
          <w:rFonts w:hint="default" w:ascii="Times New Roman" w:hAnsi="Times New Roman" w:cs="Times New Roman"/>
          <w:bCs/>
          <w:color w:val="auto"/>
          <w:sz w:val="24"/>
          <w:szCs w:val="24"/>
          <w:highlight w:val="none"/>
          <w:lang w:val="en-US" w:eastAsia="zh-CN"/>
        </w:rPr>
        <w:t>个弃渣场内</w:t>
      </w:r>
      <w:r>
        <w:rPr>
          <w:rFonts w:hint="eastAsia" w:ascii="Times New Roman" w:hAnsi="Times New Roman" w:cs="Times New Roman"/>
          <w:bCs/>
          <w:color w:val="auto"/>
          <w:sz w:val="24"/>
          <w:szCs w:val="24"/>
          <w:highlight w:val="none"/>
          <w:lang w:val="en-US" w:eastAsia="zh-CN"/>
        </w:rPr>
        <w:t>，表土剥离后分区堆置并覆盖。</w:t>
      </w:r>
      <w:r>
        <w:rPr>
          <w:rFonts w:hint="default" w:ascii="Times New Roman" w:hAnsi="Times New Roman" w:cs="Times New Roman"/>
          <w:bCs/>
          <w:color w:val="auto"/>
          <w:sz w:val="24"/>
          <w:szCs w:val="24"/>
          <w:highlight w:val="none"/>
          <w:lang w:val="en-US" w:eastAsia="zh-CN"/>
        </w:rPr>
        <w:t>项目施工期结束后，对弃渣场进行植被恢复绿化。</w:t>
      </w:r>
    </w:p>
    <w:p w14:paraId="51D8866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施工人员生活垃圾75kg/d，</w:t>
      </w:r>
      <w:r>
        <w:rPr>
          <w:rFonts w:hint="eastAsia" w:cs="Times New Roman"/>
          <w:bCs/>
          <w:color w:val="auto"/>
          <w:sz w:val="24"/>
          <w:szCs w:val="24"/>
          <w:highlight w:val="none"/>
          <w:lang w:val="en-US" w:eastAsia="zh-CN"/>
        </w:rPr>
        <w:t>在是施工场地设置垃圾箱，对</w:t>
      </w:r>
      <w:r>
        <w:rPr>
          <w:rFonts w:hint="default" w:ascii="Times New Roman" w:hAnsi="Times New Roman" w:cs="Times New Roman"/>
          <w:bCs/>
          <w:color w:val="auto"/>
          <w:sz w:val="24"/>
          <w:szCs w:val="24"/>
          <w:highlight w:val="none"/>
          <w:lang w:val="en-US" w:eastAsia="zh-CN"/>
        </w:rPr>
        <w:t>生活垃圾分类收集后，交由乡镇环卫部门统一收集处置。</w:t>
      </w:r>
    </w:p>
    <w:p w14:paraId="7E20D4F0">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施工期水土流失影响分析</w:t>
      </w:r>
    </w:p>
    <w:p w14:paraId="3E8910D4">
      <w:pPr>
        <w:spacing w:line="360" w:lineRule="auto"/>
        <w:ind w:firstLine="480" w:firstLineChars="200"/>
        <w:rPr>
          <w:rFonts w:hAnsi="宋体"/>
          <w:color w:val="auto"/>
          <w:sz w:val="24"/>
          <w:highlight w:val="none"/>
          <w:u w:val="none"/>
        </w:rPr>
      </w:pPr>
      <w:r>
        <w:rPr>
          <w:rFonts w:hint="eastAsia" w:ascii="Times New Roman" w:hAnsi="Times New Roman" w:cs="Times New Roman"/>
          <w:b w:val="0"/>
          <w:bCs w:val="0"/>
          <w:color w:val="auto"/>
          <w:kern w:val="0"/>
          <w:sz w:val="24"/>
          <w:szCs w:val="24"/>
          <w:highlight w:val="none"/>
          <w:lang w:val="en-US" w:eastAsia="zh-CN"/>
        </w:rPr>
        <w:t>根据《祁东县南冲风电场（大马二期）工程水土保持方案报告书》，</w:t>
      </w:r>
      <w:r>
        <w:rPr>
          <w:rFonts w:hAnsi="宋体"/>
          <w:color w:val="auto"/>
          <w:sz w:val="24"/>
          <w:highlight w:val="none"/>
          <w:u w:val="none"/>
        </w:rPr>
        <w:t>本工程在建设期可能造成水土流失总量为9231.31t，其中新增水土流失总量为</w:t>
      </w:r>
      <w:r>
        <w:rPr>
          <w:rFonts w:hint="eastAsia" w:hAnsi="宋体"/>
          <w:color w:val="auto"/>
          <w:sz w:val="24"/>
          <w:highlight w:val="none"/>
          <w:u w:val="none"/>
          <w:lang w:val="en-US" w:eastAsia="zh-CN"/>
        </w:rPr>
        <w:t>7916.62</w:t>
      </w:r>
      <w:r>
        <w:rPr>
          <w:rFonts w:hAnsi="宋体"/>
          <w:color w:val="auto"/>
          <w:sz w:val="24"/>
          <w:highlight w:val="none"/>
          <w:u w:val="none"/>
        </w:rPr>
        <w:t>t。</w:t>
      </w:r>
    </w:p>
    <w:p w14:paraId="3594A339">
      <w:pPr>
        <w:spacing w:line="360" w:lineRule="auto"/>
        <w:ind w:firstLine="480" w:firstLineChars="200"/>
        <w:rPr>
          <w:rFonts w:hAnsi="宋体"/>
          <w:color w:val="auto"/>
          <w:sz w:val="24"/>
          <w:highlight w:val="none"/>
          <w:u w:val="none"/>
        </w:rPr>
      </w:pPr>
      <w:r>
        <w:rPr>
          <w:rFonts w:hint="eastAsia" w:ascii="Times New Roman" w:hAnsi="Times New Roman" w:cs="Times New Roman"/>
          <w:b w:val="0"/>
          <w:bCs w:val="0"/>
          <w:color w:val="auto"/>
          <w:kern w:val="0"/>
          <w:sz w:val="24"/>
          <w:szCs w:val="24"/>
          <w:highlight w:val="none"/>
          <w:lang w:val="en-US" w:eastAsia="zh-CN"/>
        </w:rPr>
        <w:t>产生水土流失的重点部位是道路工程区、弃渣场区和风机机组区，因此道路工程区、弃渣场区和风机机组区是水土流失防治的重点区域，产生水土流失的重点时段为施工期</w:t>
      </w:r>
      <w:r>
        <w:rPr>
          <w:rFonts w:hAnsi="宋体"/>
          <w:color w:val="auto"/>
          <w:sz w:val="24"/>
          <w:highlight w:val="none"/>
          <w:u w:val="none"/>
        </w:rPr>
        <w:t>。</w:t>
      </w:r>
    </w:p>
    <w:p w14:paraId="07E6F9A3">
      <w:pPr>
        <w:pStyle w:val="5"/>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营运期</w:t>
      </w:r>
    </w:p>
    <w:p w14:paraId="64EDC2E7">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运营期</w:t>
      </w:r>
      <w:r>
        <w:rPr>
          <w:rFonts w:hint="eastAsia" w:ascii="Times New Roman" w:hAnsi="Times New Roman" w:cs="Times New Roman"/>
          <w:b/>
          <w:bCs/>
          <w:color w:val="auto"/>
          <w:sz w:val="24"/>
          <w:szCs w:val="24"/>
          <w:highlight w:val="none"/>
          <w:lang w:val="en-US" w:eastAsia="zh-CN"/>
        </w:rPr>
        <w:t>噪声</w:t>
      </w:r>
      <w:r>
        <w:rPr>
          <w:rFonts w:hint="eastAsia"/>
          <w:b/>
          <w:bCs/>
          <w:color w:val="auto"/>
          <w:sz w:val="24"/>
          <w:szCs w:val="24"/>
          <w:highlight w:val="none"/>
          <w:u w:val="none"/>
          <w:lang w:val="en-US" w:eastAsia="zh-CN"/>
        </w:rPr>
        <w:t>污染源强</w:t>
      </w:r>
      <w:r>
        <w:rPr>
          <w:rFonts w:hint="eastAsia" w:ascii="Times New Roman" w:hAnsi="Times New Roman"/>
          <w:b/>
          <w:bCs/>
          <w:color w:val="auto"/>
          <w:sz w:val="24"/>
          <w:szCs w:val="24"/>
          <w:highlight w:val="none"/>
          <w:u w:val="none"/>
          <w:lang w:val="en-US" w:eastAsia="zh-CN"/>
        </w:rPr>
        <w:t>分析</w:t>
      </w:r>
    </w:p>
    <w:p w14:paraId="5E905654">
      <w:pPr>
        <w:pageBreakBefore w:val="0"/>
        <w:kinsoku/>
        <w:wordWrap/>
        <w:overflowPunct/>
        <w:topLinePunct w:val="0"/>
        <w:autoSpaceDE/>
        <w:autoSpaceDN/>
        <w:bidi w:val="0"/>
        <w:adjustRightInd w:val="0"/>
        <w:snapToGrid w:val="0"/>
        <w:spacing w:line="360" w:lineRule="auto"/>
        <w:ind w:right="0" w:firstLine="480" w:firstLineChars="200"/>
        <w:textAlignment w:val="auto"/>
        <w:rPr>
          <w:rFonts w:hint="eastAsia" w:ascii="Times New Roman" w:hAnsi="Times New Roman" w:eastAsia="宋体" w:cs="Times New Roman"/>
          <w:color w:val="auto"/>
          <w:sz w:val="24"/>
          <w:szCs w:val="24"/>
          <w:highlight w:val="none"/>
          <w:lang w:eastAsia="zh-CN"/>
        </w:rPr>
      </w:pPr>
      <w:r>
        <w:rPr>
          <w:rFonts w:hint="eastAsia" w:ascii="Times New Roman" w:hAnsi="Times New Roman" w:cs="Times New Roman"/>
          <w:color w:val="auto"/>
          <w:sz w:val="24"/>
          <w:szCs w:val="24"/>
          <w:highlight w:val="none"/>
          <w:lang w:eastAsia="zh-CN"/>
        </w:rPr>
        <w:t>营运期噪声主要为风机噪声和升压站低频噪声。</w:t>
      </w:r>
    </w:p>
    <w:p w14:paraId="302F19AA">
      <w:pPr>
        <w:pageBreakBefore w:val="0"/>
        <w:kinsoku/>
        <w:wordWrap/>
        <w:overflowPunct/>
        <w:topLinePunct w:val="0"/>
        <w:autoSpaceDE/>
        <w:autoSpaceDN/>
        <w:bidi w:val="0"/>
        <w:adjustRightInd w:val="0"/>
        <w:snapToGrid w:val="0"/>
        <w:spacing w:line="360" w:lineRule="auto"/>
        <w:ind w:right="0" w:firstLine="482" w:firstLineChars="200"/>
        <w:textAlignment w:val="auto"/>
        <w:rPr>
          <w:rFonts w:hint="default" w:ascii="Times New Roman" w:hAnsi="Times New Roman" w:cs="Times New Roman"/>
          <w:color w:val="auto"/>
          <w:sz w:val="24"/>
          <w:szCs w:val="24"/>
          <w:highlight w:val="none"/>
        </w:rPr>
      </w:pPr>
      <w:r>
        <w:rPr>
          <w:rFonts w:hint="eastAsia" w:ascii="Times New Roman" w:hAnsi="Times New Roman" w:cs="Times New Roman"/>
          <w:b/>
          <w:bCs/>
          <w:color w:val="auto"/>
          <w:sz w:val="24"/>
          <w:szCs w:val="24"/>
          <w:highlight w:val="none"/>
          <w:lang w:eastAsia="zh-CN"/>
        </w:rPr>
        <w:t>（</w:t>
      </w:r>
      <w:r>
        <w:rPr>
          <w:rFonts w:hint="eastAsia" w:ascii="Times New Roman" w:hAnsi="Times New Roman" w:cs="Times New Roman"/>
          <w:b/>
          <w:bCs/>
          <w:color w:val="auto"/>
          <w:sz w:val="24"/>
          <w:szCs w:val="24"/>
          <w:highlight w:val="none"/>
          <w:lang w:val="en-US" w:eastAsia="zh-CN"/>
        </w:rPr>
        <w:t>1</w:t>
      </w:r>
      <w:r>
        <w:rPr>
          <w:rFonts w:hint="eastAsia" w:ascii="Times New Roman" w:hAnsi="Times New Roman" w:cs="Times New Roman"/>
          <w:b/>
          <w:bCs/>
          <w:color w:val="auto"/>
          <w:sz w:val="24"/>
          <w:szCs w:val="24"/>
          <w:highlight w:val="none"/>
          <w:lang w:eastAsia="zh-CN"/>
        </w:rPr>
        <w:t>）风机噪声</w:t>
      </w:r>
    </w:p>
    <w:p w14:paraId="17CBC2C0">
      <w:pPr>
        <w:pageBreakBefore w:val="0"/>
        <w:kinsoku/>
        <w:wordWrap/>
        <w:overflowPunct/>
        <w:topLinePunct w:val="0"/>
        <w:autoSpaceDE/>
        <w:autoSpaceDN/>
        <w:bidi w:val="0"/>
        <w:adjustRightInd w:val="0"/>
        <w:snapToGrid w:val="0"/>
        <w:spacing w:line="360" w:lineRule="auto"/>
        <w:ind w:right="0" w:firstLine="480" w:firstLineChars="200"/>
        <w:textAlignment w:val="auto"/>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风机运行过程中的噪声来源于风轮叶片旋转时产生的空气动力噪声和齿轮箱和发电机等部件发出的机械噪声，液压及润滑油冷却系统噪声，由于风机叶片扫过面积较大，因此应作为面源处理。</w:t>
      </w:r>
    </w:p>
    <w:p w14:paraId="35CDFF39">
      <w:pPr>
        <w:pageBreakBefore w:val="0"/>
        <w:kinsoku/>
        <w:wordWrap/>
        <w:overflowPunct/>
        <w:topLinePunct w:val="0"/>
        <w:autoSpaceDE/>
        <w:autoSpaceDN/>
        <w:bidi w:val="0"/>
        <w:adjustRightInd w:val="0"/>
        <w:snapToGrid w:val="0"/>
        <w:spacing w:line="360" w:lineRule="auto"/>
        <w:ind w:right="0" w:firstLine="480" w:firstLineChars="200"/>
        <w:textAlignment w:val="auto"/>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风电机组噪声分为机械噪声和空气动力学噪声。机械噪声主要来自齿轮箱、轴承、电机，空气动力学噪声产生于风电机组叶片与空气撞击引起的压力脉动，其中的空气动力学噪声是主要的噪声来源。根据浙江大学《风电机组噪声预测》，当风速为8m/s时，兆瓦级以下的风电机组声功率级在98～104dB(A)之间，其噪声呈现明显的低频特性。</w:t>
      </w:r>
    </w:p>
    <w:p w14:paraId="3B4FE5F6">
      <w:pPr>
        <w:pageBreakBefore w:val="0"/>
        <w:kinsoku/>
        <w:wordWrap/>
        <w:overflowPunct/>
        <w:topLinePunct w:val="0"/>
        <w:autoSpaceDE/>
        <w:autoSpaceDN/>
        <w:bidi w:val="0"/>
        <w:adjustRightInd w:val="0"/>
        <w:snapToGrid w:val="0"/>
        <w:spacing w:line="360" w:lineRule="auto"/>
        <w:ind w:right="0" w:firstLine="480" w:firstLineChars="200"/>
        <w:textAlignment w:val="auto"/>
        <w:rPr>
          <w:rFonts w:hint="default" w:ascii="Times New Roman" w:hAnsi="Times New Roman" w:cs="Times New Roman"/>
          <w:color w:val="auto"/>
          <w:sz w:val="24"/>
          <w:highlight w:val="none"/>
        </w:rPr>
      </w:pPr>
      <w:r>
        <w:rPr>
          <w:rFonts w:hint="default" w:ascii="Times New Roman" w:hAnsi="Times New Roman" w:cs="Times New Roman"/>
          <w:color w:val="auto"/>
          <w:sz w:val="24"/>
          <w:szCs w:val="24"/>
          <w:highlight w:val="none"/>
        </w:rPr>
        <w:t>风电机组的噪声主要来源于空气动力学噪声，即旋转的风机叶片和空气的摩擦声。</w:t>
      </w:r>
      <w:bookmarkStart w:id="68" w:name="_Hlk106009246"/>
      <w:r>
        <w:rPr>
          <w:rFonts w:hint="default" w:ascii="Times New Roman" w:hAnsi="Times New Roman" w:cs="Times New Roman"/>
          <w:color w:val="auto"/>
          <w:sz w:val="24"/>
          <w:highlight w:val="none"/>
        </w:rPr>
        <w:t>本项目风机单机容量为5.0MW，</w:t>
      </w:r>
      <w:r>
        <w:rPr>
          <w:rFonts w:hint="eastAsia" w:ascii="Times New Roman" w:hAnsi="Times New Roman" w:cs="Times New Roman"/>
          <w:color w:val="auto"/>
          <w:sz w:val="24"/>
          <w:highlight w:val="none"/>
          <w:lang w:eastAsia="zh-CN"/>
        </w:rPr>
        <w:t>型号为</w:t>
      </w:r>
      <w:r>
        <w:rPr>
          <w:rFonts w:hint="eastAsia" w:ascii="Times New Roman" w:hAnsi="Times New Roman" w:eastAsia="宋体" w:cs="Times New Roman"/>
          <w:b w:val="0"/>
          <w:bCs w:val="0"/>
          <w:color w:val="auto"/>
          <w:kern w:val="2"/>
          <w:sz w:val="24"/>
          <w:szCs w:val="24"/>
          <w:highlight w:val="none"/>
          <w:u w:val="none"/>
          <w:lang w:val="en-US" w:eastAsia="zh-CN" w:bidi="ar-SA"/>
        </w:rPr>
        <w:t>WTG200-5000</w:t>
      </w:r>
      <w:r>
        <w:rPr>
          <w:rFonts w:hint="eastAsia" w:ascii="Times New Roman" w:hAnsi="Times New Roman" w:cs="Times New Roman"/>
          <w:color w:val="auto"/>
          <w:sz w:val="24"/>
          <w:highlight w:val="none"/>
          <w:lang w:eastAsia="zh-CN"/>
        </w:rPr>
        <w:t>。</w:t>
      </w:r>
      <w:r>
        <w:rPr>
          <w:rFonts w:hint="default" w:ascii="Times New Roman" w:hAnsi="Times New Roman" w:cs="Times New Roman"/>
          <w:color w:val="auto"/>
          <w:sz w:val="24"/>
          <w:highlight w:val="none"/>
        </w:rPr>
        <w:t>根据国内同类</w:t>
      </w:r>
      <w:r>
        <w:rPr>
          <w:rFonts w:hint="eastAsia" w:ascii="Times New Roman" w:hAnsi="Times New Roman" w:cs="Times New Roman"/>
          <w:color w:val="auto"/>
          <w:sz w:val="24"/>
          <w:highlight w:val="none"/>
          <w:lang w:eastAsia="zh-CN"/>
        </w:rPr>
        <w:t>工程</w:t>
      </w:r>
      <w:r>
        <w:rPr>
          <w:rFonts w:hint="default" w:ascii="Times New Roman" w:hAnsi="Times New Roman" w:cs="Times New Roman"/>
          <w:color w:val="auto"/>
          <w:sz w:val="24"/>
          <w:highlight w:val="none"/>
        </w:rPr>
        <w:t>提供的《风能产品噪声测试报告》，5.0MW的风力发电机组（型号SE15650）在测试风速7.5m/s~14.5m/s情况下，噪声测试结果为108.2~109.4dB(A)；根据《WT5000D195风电机组噪声评估报告》（中车株洲电力机车研究所有限公司风电事业部），5.0MW风电机组在风速3m/s~14m/s情况下，风机噪声值为98.2~109.0dB（A）。因此，本项目风机噪声源强取109dB（A）。</w:t>
      </w:r>
    </w:p>
    <w:p w14:paraId="2F54D0A9">
      <w:pPr>
        <w:pageBreakBefore w:val="0"/>
        <w:kinsoku/>
        <w:wordWrap/>
        <w:overflowPunct/>
        <w:topLinePunct w:val="0"/>
        <w:autoSpaceDE/>
        <w:autoSpaceDN/>
        <w:bidi w:val="0"/>
        <w:adjustRightInd w:val="0"/>
        <w:snapToGrid w:val="0"/>
        <w:spacing w:line="360" w:lineRule="auto"/>
        <w:ind w:right="0" w:firstLine="480" w:firstLineChars="200"/>
        <w:textAlignment w:val="auto"/>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highlight w:val="none"/>
        </w:rPr>
        <w:t>液压及润滑油冷却系统噪声值约为78dB(A)；偏航系统刹车偶发噪声值约为120dB(A)</w:t>
      </w:r>
      <w:r>
        <w:rPr>
          <w:rFonts w:hint="eastAsia" w:ascii="Times New Roman" w:hAnsi="Times New Roman" w:cs="Times New Roman"/>
          <w:color w:val="auto"/>
          <w:sz w:val="24"/>
          <w:highlight w:val="none"/>
          <w:lang w:eastAsia="zh-CN"/>
        </w:rPr>
        <w:t>。</w:t>
      </w:r>
      <w:r>
        <w:rPr>
          <w:rFonts w:hint="default" w:ascii="Times New Roman" w:hAnsi="Times New Roman" w:cs="Times New Roman"/>
          <w:color w:val="auto"/>
          <w:sz w:val="24"/>
          <w:highlight w:val="none"/>
        </w:rPr>
        <w:t>风机之间排距超过200m，相互之间影响可以忽略。</w:t>
      </w:r>
      <w:bookmarkEnd w:id="68"/>
    </w:p>
    <w:p w14:paraId="51799E8F">
      <w:pPr>
        <w:pStyle w:val="29"/>
        <w:ind w:firstLine="480"/>
        <w:rPr>
          <w:rFonts w:hAnsi="宋体" w:cs="Times New Roman"/>
          <w:b/>
          <w:bCs/>
          <w:color w:val="auto"/>
          <w:highlight w:val="none"/>
        </w:rPr>
      </w:pPr>
      <w:r>
        <w:rPr>
          <w:rFonts w:hAnsi="宋体" w:cs="Times New Roman"/>
          <w:b/>
          <w:bCs/>
          <w:color w:val="auto"/>
          <w:highlight w:val="none"/>
        </w:rPr>
        <w:t>（</w:t>
      </w:r>
      <w:r>
        <w:rPr>
          <w:rFonts w:hint="eastAsia" w:hAnsi="宋体" w:cs="Times New Roman"/>
          <w:b/>
          <w:bCs/>
          <w:color w:val="auto"/>
          <w:highlight w:val="none"/>
          <w:lang w:val="en-US" w:eastAsia="zh-CN"/>
        </w:rPr>
        <w:t>2</w:t>
      </w:r>
      <w:r>
        <w:rPr>
          <w:rFonts w:hAnsi="宋体" w:cs="Times New Roman"/>
          <w:b/>
          <w:bCs/>
          <w:color w:val="auto"/>
          <w:highlight w:val="none"/>
        </w:rPr>
        <w:t>）升压站</w:t>
      </w:r>
    </w:p>
    <w:p w14:paraId="6A009A8B">
      <w:pPr>
        <w:bidi w:val="0"/>
        <w:rPr>
          <w:color w:val="auto"/>
          <w:highlight w:val="none"/>
        </w:rPr>
      </w:pPr>
      <w:r>
        <w:rPr>
          <w:rFonts w:hint="eastAsia" w:ascii="Times New Roman" w:hAnsi="Times New Roman" w:cs="Times New Roman"/>
          <w:b w:val="0"/>
          <w:bCs w:val="0"/>
          <w:color w:val="auto"/>
          <w:kern w:val="0"/>
          <w:sz w:val="24"/>
          <w:szCs w:val="24"/>
          <w:highlight w:val="none"/>
          <w:u w:val="none"/>
          <w:lang w:val="en-US" w:eastAsia="zh-CN"/>
        </w:rPr>
        <w:t>本工程营运期拟接入已建大马风电场110kV升压站，并对大马风电场升压站进行扩建，增加1台</w:t>
      </w:r>
      <w:r>
        <w:rPr>
          <w:rFonts w:hint="default" w:ascii="Times New Roman" w:hAnsi="Times New Roman" w:cs="Times New Roman"/>
          <w:color w:val="auto"/>
          <w:kern w:val="0"/>
          <w:sz w:val="24"/>
          <w:szCs w:val="24"/>
          <w:highlight w:val="none"/>
          <w:lang w:val="en-US" w:eastAsia="zh-CN"/>
        </w:rPr>
        <w:t>主</w:t>
      </w:r>
      <w:r>
        <w:rPr>
          <w:rFonts w:hint="eastAsia" w:ascii="Times New Roman" w:hAnsi="Times New Roman" w:cs="Times New Roman"/>
          <w:color w:val="auto"/>
          <w:kern w:val="0"/>
          <w:sz w:val="24"/>
          <w:szCs w:val="24"/>
          <w:highlight w:val="none"/>
          <w:lang w:val="en-US" w:eastAsia="zh-CN"/>
        </w:rPr>
        <w:t>变压器</w:t>
      </w:r>
      <w:r>
        <w:rPr>
          <w:rFonts w:hint="eastAsia" w:ascii="Times New Roman" w:hAnsi="Times New Roman" w:cs="Times New Roman"/>
          <w:b w:val="0"/>
          <w:bCs w:val="0"/>
          <w:color w:val="auto"/>
          <w:kern w:val="0"/>
          <w:sz w:val="24"/>
          <w:szCs w:val="24"/>
          <w:highlight w:val="none"/>
          <w:u w:val="none"/>
          <w:lang w:val="en-US" w:eastAsia="zh-CN"/>
        </w:rPr>
        <w:t>。</w:t>
      </w:r>
      <w:r>
        <w:rPr>
          <w:rFonts w:hint="eastAsia"/>
          <w:color w:val="auto"/>
          <w:sz w:val="24"/>
          <w:highlight w:val="none"/>
        </w:rPr>
        <w:t>升压</w:t>
      </w:r>
      <w:r>
        <w:rPr>
          <w:color w:val="auto"/>
          <w:sz w:val="24"/>
          <w:highlight w:val="none"/>
        </w:rPr>
        <w:t>站</w:t>
      </w:r>
      <w:r>
        <w:rPr>
          <w:rFonts w:hint="eastAsia"/>
          <w:color w:val="auto"/>
          <w:sz w:val="24"/>
          <w:highlight w:val="none"/>
          <w:lang w:eastAsia="zh-CN"/>
        </w:rPr>
        <w:t>内现有</w:t>
      </w:r>
      <w:r>
        <w:rPr>
          <w:rFonts w:hint="eastAsia"/>
          <w:color w:val="auto"/>
          <w:sz w:val="24"/>
          <w:highlight w:val="none"/>
          <w:lang w:val="en-US" w:eastAsia="zh-CN"/>
        </w:rPr>
        <w:t>1台主变压器，</w:t>
      </w:r>
      <w:r>
        <w:rPr>
          <w:color w:val="auto"/>
          <w:sz w:val="24"/>
          <w:highlight w:val="none"/>
        </w:rPr>
        <w:t>主变压器噪声源强约65dB(A)</w:t>
      </w:r>
      <w:r>
        <w:rPr>
          <w:rFonts w:hint="eastAsia"/>
          <w:color w:val="auto"/>
          <w:sz w:val="24"/>
          <w:highlight w:val="none"/>
          <w:lang w:eastAsia="zh-CN"/>
        </w:rPr>
        <w:t>，升压站扩建后，两台主变压器的噪声源强为</w:t>
      </w:r>
      <w:r>
        <w:rPr>
          <w:rFonts w:hint="eastAsia"/>
          <w:color w:val="auto"/>
          <w:sz w:val="24"/>
          <w:highlight w:val="none"/>
          <w:lang w:val="en-US" w:eastAsia="zh-CN"/>
        </w:rPr>
        <w:t>68dB（A）</w:t>
      </w:r>
      <w:r>
        <w:rPr>
          <w:rFonts w:eastAsia="宋体"/>
          <w:color w:val="auto"/>
          <w:sz w:val="24"/>
          <w:highlight w:val="none"/>
          <w:u w:val="none"/>
        </w:rPr>
        <w:t>。</w:t>
      </w:r>
    </w:p>
    <w:p w14:paraId="1F1C94B2">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运营期</w:t>
      </w:r>
      <w:r>
        <w:rPr>
          <w:rFonts w:hint="eastAsia"/>
          <w:b/>
          <w:bCs/>
          <w:color w:val="auto"/>
          <w:sz w:val="24"/>
          <w:szCs w:val="24"/>
          <w:highlight w:val="none"/>
          <w:u w:val="none"/>
          <w:lang w:val="en-US" w:eastAsia="zh-CN"/>
        </w:rPr>
        <w:t>水污染源强</w:t>
      </w:r>
      <w:r>
        <w:rPr>
          <w:rFonts w:hint="eastAsia" w:ascii="Times New Roman" w:hAnsi="Times New Roman"/>
          <w:b/>
          <w:bCs/>
          <w:color w:val="auto"/>
          <w:sz w:val="24"/>
          <w:szCs w:val="24"/>
          <w:highlight w:val="none"/>
          <w:u w:val="none"/>
          <w:lang w:val="en-US" w:eastAsia="zh-CN"/>
        </w:rPr>
        <w:t>分析</w:t>
      </w:r>
    </w:p>
    <w:p w14:paraId="27FF91E1">
      <w:pPr>
        <w:bidi w:val="0"/>
        <w:rPr>
          <w:rFonts w:hint="default"/>
          <w:color w:val="auto"/>
          <w:highlight w:val="none"/>
          <w:lang w:val="en-US" w:eastAsia="zh-CN"/>
        </w:rPr>
      </w:pPr>
      <w:r>
        <w:rPr>
          <w:rFonts w:hint="default"/>
          <w:color w:val="auto"/>
          <w:highlight w:val="none"/>
          <w:lang w:val="en-US" w:eastAsia="zh-CN"/>
        </w:rPr>
        <w:t>（1）</w:t>
      </w:r>
      <w:r>
        <w:rPr>
          <w:rFonts w:hint="eastAsia"/>
          <w:color w:val="auto"/>
          <w:highlight w:val="none"/>
          <w:lang w:val="en-US" w:eastAsia="zh-CN"/>
        </w:rPr>
        <w:t>生产废水</w:t>
      </w:r>
    </w:p>
    <w:p w14:paraId="0100C714">
      <w:pPr>
        <w:bidi w:val="0"/>
        <w:rPr>
          <w:rFonts w:hint="default"/>
          <w:color w:val="auto"/>
          <w:highlight w:val="none"/>
          <w:lang w:val="en-US" w:eastAsia="zh-CN"/>
        </w:rPr>
      </w:pPr>
      <w:r>
        <w:rPr>
          <w:rFonts w:hint="default"/>
          <w:color w:val="auto"/>
          <w:highlight w:val="none"/>
          <w:lang w:val="en-US" w:eastAsia="zh-CN"/>
        </w:rPr>
        <w:t>运行期正常情况下无废水</w:t>
      </w:r>
      <w:r>
        <w:rPr>
          <w:rFonts w:hint="eastAsia"/>
          <w:color w:val="auto"/>
          <w:highlight w:val="none"/>
          <w:lang w:val="en-US" w:eastAsia="zh-CN"/>
        </w:rPr>
        <w:t>产生及排放</w:t>
      </w:r>
      <w:r>
        <w:rPr>
          <w:rFonts w:hint="default"/>
          <w:color w:val="auto"/>
          <w:highlight w:val="none"/>
          <w:lang w:val="en-US" w:eastAsia="zh-CN"/>
        </w:rPr>
        <w:t>。</w:t>
      </w:r>
    </w:p>
    <w:p w14:paraId="15A3296A">
      <w:pPr>
        <w:bidi w:val="0"/>
        <w:rPr>
          <w:rFonts w:hint="default"/>
          <w:color w:val="auto"/>
          <w:highlight w:val="none"/>
          <w:lang w:val="en-US" w:eastAsia="zh-CN"/>
        </w:rPr>
      </w:pPr>
      <w:r>
        <w:rPr>
          <w:rFonts w:hint="eastAsia"/>
          <w:color w:val="auto"/>
          <w:highlight w:val="none"/>
          <w:lang w:val="en-US" w:eastAsia="zh-CN"/>
        </w:rPr>
        <w:t>（2）</w:t>
      </w:r>
      <w:r>
        <w:rPr>
          <w:rFonts w:hint="default"/>
          <w:color w:val="auto"/>
          <w:highlight w:val="none"/>
          <w:lang w:val="en-US" w:eastAsia="zh-CN"/>
        </w:rPr>
        <w:t>生活污水</w:t>
      </w:r>
    </w:p>
    <w:p w14:paraId="01965DA2">
      <w:pPr>
        <w:bidi w:val="0"/>
        <w:rPr>
          <w:rFonts w:hint="default"/>
          <w:color w:val="auto"/>
          <w:highlight w:val="none"/>
          <w:lang w:eastAsia="zh-CN"/>
        </w:rPr>
      </w:pPr>
      <w:r>
        <w:rPr>
          <w:rFonts w:hint="default"/>
          <w:color w:val="auto"/>
          <w:highlight w:val="none"/>
        </w:rPr>
        <w:t>风电场营运期污水主要是管理人员的生活污水，包括食堂废水、粪便污水、洗涤污水、淋浴污水等，所含污染物主要为有机物（BOD</w:t>
      </w:r>
      <w:r>
        <w:rPr>
          <w:rFonts w:hint="default"/>
          <w:color w:val="auto"/>
          <w:highlight w:val="none"/>
          <w:vertAlign w:val="subscript"/>
        </w:rPr>
        <w:t>5</w:t>
      </w:r>
      <w:r>
        <w:rPr>
          <w:rFonts w:hint="default"/>
          <w:color w:val="auto"/>
          <w:highlight w:val="none"/>
        </w:rPr>
        <w:t>和COD）和悬浮物</w:t>
      </w:r>
      <w:r>
        <w:rPr>
          <w:rFonts w:hint="eastAsia"/>
          <w:color w:val="auto"/>
          <w:highlight w:val="none"/>
          <w:lang w:eastAsia="zh-CN"/>
        </w:rPr>
        <w:t>。南冲</w:t>
      </w:r>
      <w:r>
        <w:rPr>
          <w:rFonts w:hint="default"/>
          <w:color w:val="auto"/>
          <w:highlight w:val="none"/>
          <w:lang w:eastAsia="zh-CN"/>
        </w:rPr>
        <w:t>风电场将利用</w:t>
      </w:r>
      <w:r>
        <w:rPr>
          <w:rFonts w:hint="eastAsia"/>
          <w:color w:val="auto"/>
          <w:highlight w:val="none"/>
          <w:lang w:eastAsia="zh-CN"/>
        </w:rPr>
        <w:t>大马风电场</w:t>
      </w:r>
      <w:r>
        <w:rPr>
          <w:rFonts w:hint="default"/>
          <w:color w:val="auto"/>
          <w:highlight w:val="none"/>
          <w:lang w:eastAsia="zh-CN"/>
        </w:rPr>
        <w:t>建好的办公生活区，风电场正常运营后巡检人员</w:t>
      </w:r>
      <w:r>
        <w:rPr>
          <w:rFonts w:hint="eastAsia"/>
          <w:color w:val="auto"/>
          <w:highlight w:val="none"/>
          <w:lang w:eastAsia="zh-CN"/>
        </w:rPr>
        <w:t>从大马风电场员工中调配，本次不新增员工</w:t>
      </w:r>
      <w:r>
        <w:rPr>
          <w:rFonts w:hint="default"/>
          <w:color w:val="auto"/>
          <w:highlight w:val="none"/>
          <w:lang w:eastAsia="zh-CN"/>
        </w:rPr>
        <w:t>。</w:t>
      </w:r>
    </w:p>
    <w:p w14:paraId="1C4039A4">
      <w:pPr>
        <w:bidi w:val="0"/>
        <w:rPr>
          <w:rFonts w:hint="default"/>
          <w:color w:val="auto"/>
          <w:highlight w:val="none"/>
        </w:rPr>
      </w:pPr>
      <w:r>
        <w:rPr>
          <w:rFonts w:hint="eastAsia"/>
          <w:color w:val="auto"/>
          <w:highlight w:val="none"/>
          <w:lang w:eastAsia="zh-CN"/>
        </w:rPr>
        <w:t>现有员工生活污水</w:t>
      </w:r>
      <w:r>
        <w:rPr>
          <w:rFonts w:hint="default"/>
          <w:color w:val="auto"/>
          <w:highlight w:val="none"/>
        </w:rPr>
        <w:t>排入升压站</w:t>
      </w:r>
      <w:r>
        <w:rPr>
          <w:rFonts w:hint="eastAsia"/>
          <w:color w:val="auto"/>
          <w:highlight w:val="none"/>
          <w:lang w:eastAsia="zh-CN"/>
        </w:rPr>
        <w:t>已建</w:t>
      </w:r>
      <w:r>
        <w:rPr>
          <w:rFonts w:hint="default"/>
          <w:color w:val="auto"/>
          <w:highlight w:val="none"/>
        </w:rPr>
        <w:t>的生活污水一体化处理</w:t>
      </w:r>
      <w:r>
        <w:rPr>
          <w:rFonts w:hint="eastAsia"/>
          <w:color w:val="auto"/>
          <w:highlight w:val="none"/>
          <w:lang w:eastAsia="zh-CN"/>
        </w:rPr>
        <w:t>设施</w:t>
      </w:r>
      <w:r>
        <w:rPr>
          <w:rFonts w:hint="default"/>
          <w:color w:val="auto"/>
          <w:highlight w:val="none"/>
        </w:rPr>
        <w:t>处理后回用于项目区绿化施肥浇灌，不外排</w:t>
      </w:r>
      <w:r>
        <w:rPr>
          <w:rFonts w:hint="default"/>
          <w:color w:val="auto"/>
          <w:highlight w:val="none"/>
          <w:lang w:eastAsia="zh-CN"/>
        </w:rPr>
        <w:t>。</w:t>
      </w:r>
    </w:p>
    <w:p w14:paraId="11CCA559">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运营期废气影响分析</w:t>
      </w:r>
    </w:p>
    <w:p w14:paraId="1877AA6E">
      <w:pPr>
        <w:bidi w:val="0"/>
        <w:rPr>
          <w:rFonts w:hint="default" w:ascii="Times New Roman" w:hAnsi="Times New Roman" w:cs="Times New Roman"/>
          <w:color w:val="auto"/>
          <w:sz w:val="24"/>
          <w:szCs w:val="24"/>
          <w:highlight w:val="none"/>
          <w:lang w:eastAsia="zh-CN"/>
        </w:rPr>
      </w:pPr>
      <w:r>
        <w:rPr>
          <w:rFonts w:hint="default" w:ascii="Times New Roman" w:hAnsi="Times New Roman" w:cs="Times New Roman"/>
          <w:color w:val="auto"/>
          <w:sz w:val="24"/>
          <w:szCs w:val="24"/>
          <w:highlight w:val="none"/>
        </w:rPr>
        <w:t>风电为清洁能源，工程营运期无废气污染物排放。</w:t>
      </w:r>
      <w:r>
        <w:rPr>
          <w:rFonts w:hint="eastAsia" w:ascii="Times New Roman" w:hAnsi="Times New Roman" w:cs="Times New Roman"/>
          <w:color w:val="auto"/>
          <w:sz w:val="24"/>
          <w:szCs w:val="24"/>
          <w:highlight w:val="none"/>
          <w:lang w:eastAsia="zh-CN"/>
        </w:rPr>
        <w:t>同时，</w:t>
      </w:r>
      <w:r>
        <w:rPr>
          <w:rFonts w:hint="default" w:ascii="Times New Roman" w:hAnsi="Times New Roman" w:cs="Times New Roman"/>
          <w:color w:val="auto"/>
          <w:sz w:val="24"/>
          <w:szCs w:val="24"/>
          <w:highlight w:val="none"/>
          <w:lang w:eastAsia="zh-CN"/>
        </w:rPr>
        <w:t>本项目对缓解全球化石能源危机及温室气体排放对环境空气造成的不良影响具有正效应。</w:t>
      </w:r>
    </w:p>
    <w:p w14:paraId="30EBC16A">
      <w:pPr>
        <w:bidi w:val="0"/>
        <w:rPr>
          <w:color w:val="auto"/>
          <w:highlight w:val="none"/>
        </w:rPr>
      </w:pPr>
      <w:r>
        <w:rPr>
          <w:rFonts w:hint="default" w:ascii="Times New Roman" w:hAnsi="Times New Roman" w:cs="Times New Roman"/>
          <w:color w:val="auto"/>
          <w:sz w:val="24"/>
          <w:szCs w:val="24"/>
          <w:highlight w:val="none"/>
          <w:lang w:eastAsia="zh-CN"/>
        </w:rPr>
        <w:t>营运期不新增员工，因此不新增食堂油烟。</w:t>
      </w:r>
      <w:r>
        <w:rPr>
          <w:rFonts w:hint="default" w:ascii="Times New Roman" w:hAnsi="Times New Roman" w:cs="Times New Roman"/>
          <w:color w:val="auto"/>
          <w:sz w:val="24"/>
          <w:szCs w:val="24"/>
          <w:highlight w:val="none"/>
          <w:lang w:val="en-US" w:eastAsia="zh-CN"/>
        </w:rPr>
        <w:t>另外巡查道路每天会有少量车辆通行，汽车尾气和道路扬尘产生量少且分散，区内植被覆盖度高，对尾气、扬尘的吸附作用强。因此，运行期对当地环境空气质量影响极小。</w:t>
      </w:r>
    </w:p>
    <w:p w14:paraId="309A3CCC">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运营期固废影响分析</w:t>
      </w:r>
    </w:p>
    <w:p w14:paraId="08179694">
      <w:pPr>
        <w:bidi w:val="0"/>
        <w:rPr>
          <w:rFonts w:hint="default"/>
          <w:color w:val="auto"/>
          <w:highlight w:val="none"/>
          <w:lang w:eastAsia="zh-CN"/>
        </w:rPr>
      </w:pPr>
      <w:r>
        <w:rPr>
          <w:rFonts w:hint="default"/>
          <w:color w:val="auto"/>
          <w:highlight w:val="none"/>
        </w:rPr>
        <w:t>运营期固体废物主要为运行维护人员产生的生活垃圾及风电机组</w:t>
      </w:r>
      <w:r>
        <w:rPr>
          <w:rFonts w:hint="default"/>
          <w:color w:val="auto"/>
          <w:highlight w:val="none"/>
          <w:lang w:eastAsia="zh-CN"/>
        </w:rPr>
        <w:t>运行和维修过程中</w:t>
      </w:r>
      <w:r>
        <w:rPr>
          <w:rFonts w:hint="default"/>
          <w:color w:val="auto"/>
          <w:highlight w:val="none"/>
        </w:rPr>
        <w:t>产生的</w:t>
      </w:r>
      <w:r>
        <w:rPr>
          <w:rFonts w:hint="default"/>
          <w:color w:val="auto"/>
          <w:highlight w:val="none"/>
          <w:lang w:eastAsia="zh-CN"/>
        </w:rPr>
        <w:t>固废。</w:t>
      </w:r>
    </w:p>
    <w:p w14:paraId="04ED3BD6">
      <w:pPr>
        <w:bidi w:val="0"/>
        <w:rPr>
          <w:rFonts w:hint="default"/>
          <w:b/>
          <w:bCs/>
          <w:color w:val="auto"/>
          <w:highlight w:val="none"/>
          <w:lang w:val="en-US" w:eastAsia="zh-CN"/>
        </w:rPr>
      </w:pPr>
      <w:r>
        <w:rPr>
          <w:rFonts w:hint="default"/>
          <w:b/>
          <w:bCs/>
          <w:color w:val="auto"/>
          <w:highlight w:val="none"/>
          <w:lang w:val="en-US" w:eastAsia="zh-CN"/>
        </w:rPr>
        <w:t>（1）生活垃圾</w:t>
      </w:r>
    </w:p>
    <w:p w14:paraId="6713095E">
      <w:pPr>
        <w:bidi w:val="0"/>
        <w:rPr>
          <w:rFonts w:hint="default"/>
          <w:color w:val="auto"/>
          <w:highlight w:val="none"/>
        </w:rPr>
      </w:pPr>
      <w:r>
        <w:rPr>
          <w:rFonts w:hint="default"/>
          <w:color w:val="auto"/>
          <w:highlight w:val="none"/>
        </w:rPr>
        <w:t>本工程运营期间</w:t>
      </w:r>
      <w:r>
        <w:rPr>
          <w:rFonts w:hint="default"/>
          <w:color w:val="auto"/>
          <w:highlight w:val="none"/>
          <w:lang w:eastAsia="zh-CN"/>
        </w:rPr>
        <w:t>不新增员工，因此不新增生活垃圾。</w:t>
      </w:r>
    </w:p>
    <w:p w14:paraId="2B71AC8D">
      <w:pPr>
        <w:bidi w:val="0"/>
        <w:rPr>
          <w:rFonts w:hint="default"/>
          <w:b/>
          <w:bCs/>
          <w:color w:val="auto"/>
          <w:highlight w:val="none"/>
          <w:lang w:val="en-US" w:eastAsia="zh-CN"/>
        </w:rPr>
      </w:pPr>
      <w:r>
        <w:rPr>
          <w:rFonts w:hint="default"/>
          <w:b/>
          <w:bCs/>
          <w:color w:val="auto"/>
          <w:highlight w:val="none"/>
          <w:lang w:val="en-US" w:eastAsia="zh-CN"/>
        </w:rPr>
        <w:t>（2）废机油</w:t>
      </w:r>
    </w:p>
    <w:p w14:paraId="7850B207">
      <w:pPr>
        <w:bidi w:val="0"/>
        <w:rPr>
          <w:rFonts w:hint="default"/>
          <w:color w:val="auto"/>
          <w:highlight w:val="none"/>
        </w:rPr>
      </w:pPr>
      <w:r>
        <w:rPr>
          <w:rFonts w:hint="default"/>
          <w:color w:val="auto"/>
          <w:highlight w:val="none"/>
        </w:rPr>
        <w:t>废机油在风机故障检修维修时产生，主要为风力发电机润滑油。风力发电机润滑油循环使用，检修过程中仅进行少量的补加工作，废润滑油的产生量约为5kg/a·台，按每年有1台风机因故障需要检修，产生废润滑油油量约5kg，</w:t>
      </w:r>
      <w:r>
        <w:rPr>
          <w:rFonts w:hint="default"/>
          <w:color w:val="auto"/>
          <w:highlight w:val="none"/>
          <w:lang w:val="en-US" w:eastAsia="zh-CN"/>
        </w:rPr>
        <w:t>经对照《国家危险废物名录》（2021年版），属HW08废矿物油与含矿物油废物，危废代码900-218-08。</w:t>
      </w:r>
      <w:r>
        <w:rPr>
          <w:rFonts w:hint="default"/>
          <w:color w:val="auto"/>
          <w:highlight w:val="none"/>
        </w:rPr>
        <w:t>交由具有相应资质的单位进行处置。检修过程中，还会产生少量含油污的棉纱、手套等废弃物。</w:t>
      </w:r>
    </w:p>
    <w:p w14:paraId="66B0E983">
      <w:pPr>
        <w:bidi w:val="0"/>
        <w:rPr>
          <w:rFonts w:hint="default"/>
          <w:color w:val="auto"/>
          <w:highlight w:val="none"/>
          <w:lang w:val="en-US" w:eastAsia="zh-CN"/>
        </w:rPr>
      </w:pPr>
      <w:r>
        <w:rPr>
          <w:rFonts w:hint="default"/>
          <w:b/>
          <w:bCs/>
          <w:color w:val="auto"/>
          <w:highlight w:val="none"/>
          <w:lang w:val="en-US" w:eastAsia="zh-CN"/>
        </w:rPr>
        <w:t>（3）废液压油</w:t>
      </w:r>
    </w:p>
    <w:p w14:paraId="649FCB11">
      <w:pPr>
        <w:bidi w:val="0"/>
        <w:rPr>
          <w:rFonts w:hint="default"/>
          <w:color w:val="auto"/>
          <w:highlight w:val="none"/>
        </w:rPr>
      </w:pPr>
      <w:r>
        <w:rPr>
          <w:rFonts w:hint="default"/>
          <w:color w:val="auto"/>
          <w:highlight w:val="none"/>
        </w:rPr>
        <w:t>本项目风机叶片转动采用液压调节，不采用机械齿轮运转，根据建设单位提供，液压油更换周期较长，一般6~10年更换一次，该废液压油属于危险废物，</w:t>
      </w:r>
      <w:r>
        <w:rPr>
          <w:rFonts w:hint="default"/>
          <w:color w:val="auto"/>
          <w:highlight w:val="none"/>
          <w:lang w:val="en-US" w:eastAsia="zh-CN"/>
        </w:rPr>
        <w:t>经对照《国家危险废物名录》（2021年版），属HW08废矿物油与含矿物油废物，危废代码900-218-08。</w:t>
      </w:r>
      <w:r>
        <w:rPr>
          <w:rFonts w:hint="default"/>
          <w:color w:val="auto"/>
          <w:highlight w:val="none"/>
        </w:rPr>
        <w:t>类比其他风电场项目估算，该油产生量约3t/次，应按《危险废物贮存污染控制标准》（GB18597-2001）及修改清单中的要求进行临时贮存，并定期及时交给有资质的单位进行处理。</w:t>
      </w:r>
    </w:p>
    <w:p w14:paraId="7BCEFD40">
      <w:pPr>
        <w:bidi w:val="0"/>
        <w:rPr>
          <w:rFonts w:hint="default"/>
          <w:b/>
          <w:bCs/>
          <w:color w:val="auto"/>
          <w:highlight w:val="none"/>
          <w:lang w:val="en-US" w:eastAsia="zh-CN"/>
        </w:rPr>
      </w:pPr>
      <w:bookmarkStart w:id="69" w:name="_Toc22312"/>
      <w:r>
        <w:rPr>
          <w:rFonts w:hint="default"/>
          <w:b/>
          <w:bCs/>
          <w:color w:val="auto"/>
          <w:highlight w:val="none"/>
          <w:lang w:val="en-US" w:eastAsia="zh-CN"/>
        </w:rPr>
        <w:t>（</w:t>
      </w:r>
      <w:r>
        <w:rPr>
          <w:rFonts w:hint="eastAsia"/>
          <w:b/>
          <w:bCs/>
          <w:color w:val="auto"/>
          <w:highlight w:val="none"/>
          <w:lang w:val="en-US" w:eastAsia="zh-CN"/>
        </w:rPr>
        <w:t>4</w:t>
      </w:r>
      <w:r>
        <w:rPr>
          <w:rFonts w:hint="default"/>
          <w:b/>
          <w:bCs/>
          <w:color w:val="auto"/>
          <w:highlight w:val="none"/>
          <w:lang w:val="en-US" w:eastAsia="zh-CN"/>
        </w:rPr>
        <w:t>）废旧</w:t>
      </w:r>
      <w:r>
        <w:rPr>
          <w:rFonts w:hint="eastAsia"/>
          <w:b/>
          <w:bCs/>
          <w:color w:val="auto"/>
          <w:highlight w:val="none"/>
          <w:lang w:val="en-US" w:eastAsia="zh-CN"/>
        </w:rPr>
        <w:t>铅蓄电池</w:t>
      </w:r>
    </w:p>
    <w:p w14:paraId="667E01DA">
      <w:pPr>
        <w:bidi w:val="0"/>
        <w:rPr>
          <w:rFonts w:hint="default"/>
          <w:color w:val="auto"/>
          <w:highlight w:val="none"/>
          <w:lang w:val="en-US" w:eastAsia="zh-CN"/>
        </w:rPr>
      </w:pPr>
      <w:r>
        <w:rPr>
          <w:rFonts w:hint="default"/>
          <w:color w:val="auto"/>
          <w:highlight w:val="none"/>
          <w:lang w:val="en-US" w:eastAsia="zh-CN"/>
        </w:rPr>
        <w:t>本项目升压站的</w:t>
      </w:r>
      <w:r>
        <w:rPr>
          <w:rFonts w:hint="eastAsia"/>
          <w:color w:val="auto"/>
          <w:highlight w:val="none"/>
          <w:lang w:val="en-US" w:eastAsia="zh-CN"/>
        </w:rPr>
        <w:t>铅蓄电池</w:t>
      </w:r>
      <w:r>
        <w:rPr>
          <w:rFonts w:hint="default"/>
          <w:color w:val="auto"/>
          <w:highlight w:val="none"/>
          <w:lang w:val="en-US" w:eastAsia="zh-CN"/>
        </w:rPr>
        <w:t>免维护，使用寿命约8年，更换后暂存于危废暂存间内，由厂家回收处置。</w:t>
      </w:r>
    </w:p>
    <w:p w14:paraId="5783C2E2">
      <w:pPr>
        <w:bidi w:val="0"/>
        <w:rPr>
          <w:rFonts w:hint="default"/>
          <w:color w:val="auto"/>
          <w:highlight w:val="none"/>
          <w:lang w:val="en-US" w:eastAsia="zh-CN"/>
        </w:rPr>
      </w:pPr>
      <w:r>
        <w:rPr>
          <w:rFonts w:hint="default"/>
          <w:color w:val="auto"/>
          <w:highlight w:val="none"/>
          <w:lang w:val="en-US" w:eastAsia="zh-CN"/>
        </w:rPr>
        <w:t>根据《国家危险废物名录》（2021年），风力发电机组产生的废旧</w:t>
      </w:r>
      <w:r>
        <w:rPr>
          <w:rFonts w:hint="eastAsia"/>
          <w:color w:val="auto"/>
          <w:highlight w:val="none"/>
          <w:lang w:val="en-US" w:eastAsia="zh-CN"/>
        </w:rPr>
        <w:t>铅蓄电池</w:t>
      </w:r>
      <w:r>
        <w:rPr>
          <w:rFonts w:hint="default"/>
          <w:color w:val="auto"/>
          <w:highlight w:val="none"/>
          <w:lang w:val="en-US" w:eastAsia="zh-CN"/>
        </w:rPr>
        <w:t>属于HW49其他废物类危险废物，废物代码为900-044-49，危险特性为毒性。</w:t>
      </w:r>
    </w:p>
    <w:bookmarkEnd w:id="69"/>
    <w:p w14:paraId="45559C17">
      <w:pPr>
        <w:bidi w:val="0"/>
        <w:rPr>
          <w:color w:val="auto"/>
          <w:highlight w:val="none"/>
        </w:rPr>
      </w:pPr>
      <w:r>
        <w:rPr>
          <w:color w:val="auto"/>
          <w:highlight w:val="none"/>
        </w:rPr>
        <w:t>本项目固体废物产生情况见表</w:t>
      </w:r>
      <w:r>
        <w:rPr>
          <w:rFonts w:hint="eastAsia"/>
          <w:color w:val="auto"/>
          <w:highlight w:val="none"/>
          <w:lang w:val="en-US" w:eastAsia="zh-CN"/>
        </w:rPr>
        <w:t>4.5-2</w:t>
      </w:r>
      <w:r>
        <w:rPr>
          <w:color w:val="auto"/>
          <w:highlight w:val="none"/>
        </w:rPr>
        <w:t>。</w:t>
      </w:r>
    </w:p>
    <w:p w14:paraId="607DF7D0">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b/>
          <w:bCs/>
          <w:color w:val="auto"/>
          <w:szCs w:val="21"/>
          <w:highlight w:val="none"/>
        </w:rPr>
      </w:pPr>
      <w:r>
        <w:rPr>
          <w:b/>
          <w:bCs/>
          <w:color w:val="auto"/>
          <w:szCs w:val="21"/>
          <w:highlight w:val="none"/>
        </w:rPr>
        <w:t>表</w:t>
      </w:r>
      <w:r>
        <w:rPr>
          <w:rFonts w:hint="eastAsia"/>
          <w:b/>
          <w:bCs/>
          <w:color w:val="auto"/>
          <w:szCs w:val="21"/>
          <w:highlight w:val="none"/>
          <w:lang w:val="en-US" w:eastAsia="zh-CN"/>
        </w:rPr>
        <w:t xml:space="preserve">4.5-2  </w:t>
      </w:r>
      <w:r>
        <w:rPr>
          <w:b/>
          <w:bCs/>
          <w:color w:val="auto"/>
          <w:szCs w:val="21"/>
          <w:highlight w:val="none"/>
        </w:rPr>
        <w:t>营运期</w:t>
      </w:r>
      <w:r>
        <w:rPr>
          <w:rFonts w:hint="eastAsia"/>
          <w:b/>
          <w:bCs/>
          <w:color w:val="auto"/>
          <w:szCs w:val="21"/>
          <w:highlight w:val="none"/>
        </w:rPr>
        <w:t>危险</w:t>
      </w:r>
      <w:r>
        <w:rPr>
          <w:b/>
          <w:bCs/>
          <w:color w:val="auto"/>
          <w:szCs w:val="21"/>
          <w:highlight w:val="none"/>
        </w:rPr>
        <w:t>废物产生情况</w:t>
      </w:r>
    </w:p>
    <w:tbl>
      <w:tblPr>
        <w:tblStyle w:val="1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64"/>
        <w:gridCol w:w="2104"/>
        <w:gridCol w:w="1145"/>
        <w:gridCol w:w="1075"/>
        <w:gridCol w:w="1075"/>
        <w:gridCol w:w="463"/>
        <w:gridCol w:w="2007"/>
      </w:tblGrid>
      <w:tr w14:paraId="07BE7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78" w:type="pct"/>
            <w:tcBorders>
              <w:top w:val="single" w:color="auto" w:sz="12" w:space="0"/>
              <w:left w:val="single" w:color="auto" w:sz="12" w:space="0"/>
            </w:tcBorders>
            <w:noWrap w:val="0"/>
            <w:vAlign w:val="center"/>
          </w:tcPr>
          <w:p w14:paraId="68EAD5F3">
            <w:pPr>
              <w:pStyle w:val="45"/>
              <w:bidi w:val="0"/>
              <w:rPr>
                <w:rFonts w:hint="default"/>
                <w:color w:val="auto"/>
                <w:highlight w:val="none"/>
              </w:rPr>
            </w:pPr>
            <w:r>
              <w:rPr>
                <w:rFonts w:hint="default"/>
                <w:color w:val="auto"/>
                <w:highlight w:val="none"/>
              </w:rPr>
              <w:t>序号</w:t>
            </w:r>
          </w:p>
        </w:tc>
        <w:tc>
          <w:tcPr>
            <w:tcW w:w="1261" w:type="pct"/>
            <w:tcBorders>
              <w:top w:val="single" w:color="auto" w:sz="12" w:space="0"/>
            </w:tcBorders>
            <w:noWrap w:val="0"/>
            <w:vAlign w:val="center"/>
          </w:tcPr>
          <w:p w14:paraId="08BB40B7">
            <w:pPr>
              <w:pStyle w:val="45"/>
              <w:bidi w:val="0"/>
              <w:rPr>
                <w:rFonts w:hint="default"/>
                <w:color w:val="auto"/>
                <w:highlight w:val="none"/>
              </w:rPr>
            </w:pPr>
            <w:r>
              <w:rPr>
                <w:rFonts w:hint="default"/>
                <w:color w:val="auto"/>
                <w:highlight w:val="none"/>
              </w:rPr>
              <w:t>名称</w:t>
            </w:r>
          </w:p>
        </w:tc>
        <w:tc>
          <w:tcPr>
            <w:tcW w:w="687" w:type="pct"/>
            <w:tcBorders>
              <w:top w:val="single" w:color="auto" w:sz="12" w:space="0"/>
            </w:tcBorders>
            <w:noWrap w:val="0"/>
            <w:vAlign w:val="center"/>
          </w:tcPr>
          <w:p w14:paraId="311ECF7B">
            <w:pPr>
              <w:pStyle w:val="45"/>
              <w:bidi w:val="0"/>
              <w:rPr>
                <w:rFonts w:hint="default"/>
                <w:color w:val="auto"/>
                <w:highlight w:val="none"/>
              </w:rPr>
            </w:pPr>
            <w:r>
              <w:rPr>
                <w:rFonts w:hint="default"/>
                <w:color w:val="auto"/>
                <w:highlight w:val="none"/>
              </w:rPr>
              <w:t>危废类别</w:t>
            </w:r>
          </w:p>
        </w:tc>
        <w:tc>
          <w:tcPr>
            <w:tcW w:w="645" w:type="pct"/>
            <w:tcBorders>
              <w:top w:val="single" w:color="auto" w:sz="12" w:space="0"/>
            </w:tcBorders>
            <w:noWrap w:val="0"/>
            <w:vAlign w:val="center"/>
          </w:tcPr>
          <w:p w14:paraId="2F9F62B4">
            <w:pPr>
              <w:pStyle w:val="45"/>
              <w:bidi w:val="0"/>
              <w:rPr>
                <w:rFonts w:hint="default"/>
                <w:color w:val="auto"/>
                <w:highlight w:val="none"/>
              </w:rPr>
            </w:pPr>
            <w:r>
              <w:rPr>
                <w:rFonts w:hint="default"/>
                <w:color w:val="auto"/>
                <w:highlight w:val="none"/>
              </w:rPr>
              <w:t>废物代码</w:t>
            </w:r>
          </w:p>
        </w:tc>
        <w:tc>
          <w:tcPr>
            <w:tcW w:w="645" w:type="pct"/>
            <w:tcBorders>
              <w:top w:val="single" w:color="auto" w:sz="12" w:space="0"/>
            </w:tcBorders>
            <w:noWrap w:val="0"/>
            <w:vAlign w:val="center"/>
          </w:tcPr>
          <w:p w14:paraId="6294F1B8">
            <w:pPr>
              <w:pStyle w:val="45"/>
              <w:bidi w:val="0"/>
              <w:rPr>
                <w:rFonts w:hint="default"/>
                <w:color w:val="auto"/>
                <w:highlight w:val="none"/>
              </w:rPr>
            </w:pPr>
            <w:r>
              <w:rPr>
                <w:rFonts w:hint="default"/>
                <w:color w:val="auto"/>
                <w:highlight w:val="none"/>
              </w:rPr>
              <w:t>产生量</w:t>
            </w:r>
          </w:p>
        </w:tc>
        <w:tc>
          <w:tcPr>
            <w:tcW w:w="278" w:type="pct"/>
            <w:tcBorders>
              <w:top w:val="single" w:color="auto" w:sz="12" w:space="0"/>
            </w:tcBorders>
            <w:noWrap w:val="0"/>
            <w:vAlign w:val="center"/>
          </w:tcPr>
          <w:p w14:paraId="346014C2">
            <w:pPr>
              <w:pStyle w:val="45"/>
              <w:bidi w:val="0"/>
              <w:rPr>
                <w:rFonts w:hint="default"/>
                <w:color w:val="auto"/>
                <w:highlight w:val="none"/>
              </w:rPr>
            </w:pPr>
            <w:r>
              <w:rPr>
                <w:rFonts w:hint="default"/>
                <w:color w:val="auto"/>
                <w:highlight w:val="none"/>
              </w:rPr>
              <w:t>性状</w:t>
            </w:r>
          </w:p>
        </w:tc>
        <w:tc>
          <w:tcPr>
            <w:tcW w:w="1204" w:type="pct"/>
            <w:tcBorders>
              <w:top w:val="single" w:color="auto" w:sz="12" w:space="0"/>
              <w:right w:val="single" w:color="auto" w:sz="12" w:space="0"/>
            </w:tcBorders>
            <w:noWrap w:val="0"/>
            <w:vAlign w:val="center"/>
          </w:tcPr>
          <w:p w14:paraId="169972D3">
            <w:pPr>
              <w:pStyle w:val="45"/>
              <w:bidi w:val="0"/>
              <w:rPr>
                <w:rFonts w:hint="default"/>
                <w:color w:val="auto"/>
                <w:highlight w:val="none"/>
              </w:rPr>
            </w:pPr>
            <w:r>
              <w:rPr>
                <w:rFonts w:hint="default"/>
                <w:color w:val="auto"/>
                <w:highlight w:val="none"/>
              </w:rPr>
              <w:t>处置方式</w:t>
            </w:r>
          </w:p>
        </w:tc>
      </w:tr>
      <w:tr w14:paraId="2501A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6" w:hRule="atLeast"/>
          <w:jc w:val="center"/>
        </w:trPr>
        <w:tc>
          <w:tcPr>
            <w:tcW w:w="278" w:type="pct"/>
            <w:tcBorders>
              <w:left w:val="single" w:color="auto" w:sz="12" w:space="0"/>
            </w:tcBorders>
            <w:noWrap w:val="0"/>
            <w:vAlign w:val="center"/>
          </w:tcPr>
          <w:p w14:paraId="348FACA5">
            <w:pPr>
              <w:pStyle w:val="45"/>
              <w:bidi w:val="0"/>
              <w:rPr>
                <w:rFonts w:hint="default"/>
                <w:b w:val="0"/>
                <w:bCs/>
                <w:color w:val="auto"/>
                <w:highlight w:val="none"/>
              </w:rPr>
            </w:pPr>
            <w:r>
              <w:rPr>
                <w:rFonts w:hint="default"/>
                <w:b w:val="0"/>
                <w:bCs/>
                <w:color w:val="auto"/>
                <w:highlight w:val="none"/>
              </w:rPr>
              <w:t>1</w:t>
            </w:r>
          </w:p>
        </w:tc>
        <w:tc>
          <w:tcPr>
            <w:tcW w:w="1261" w:type="pct"/>
            <w:noWrap w:val="0"/>
            <w:vAlign w:val="center"/>
          </w:tcPr>
          <w:p w14:paraId="51DE20B9">
            <w:pPr>
              <w:pStyle w:val="45"/>
              <w:bidi w:val="0"/>
              <w:rPr>
                <w:rFonts w:hint="eastAsia" w:eastAsia="宋体"/>
                <w:b w:val="0"/>
                <w:bCs/>
                <w:color w:val="auto"/>
                <w:highlight w:val="none"/>
                <w:lang w:eastAsia="zh-CN"/>
              </w:rPr>
            </w:pPr>
            <w:r>
              <w:rPr>
                <w:rFonts w:hint="default"/>
                <w:b w:val="0"/>
                <w:bCs/>
                <w:color w:val="auto"/>
                <w:highlight w:val="none"/>
              </w:rPr>
              <w:t>废</w:t>
            </w:r>
            <w:r>
              <w:rPr>
                <w:rFonts w:hint="eastAsia"/>
                <w:b w:val="0"/>
                <w:bCs/>
                <w:color w:val="auto"/>
                <w:highlight w:val="none"/>
                <w:lang w:eastAsia="zh-CN"/>
              </w:rPr>
              <w:t>铅蓄电池</w:t>
            </w:r>
          </w:p>
        </w:tc>
        <w:tc>
          <w:tcPr>
            <w:tcW w:w="687" w:type="pct"/>
            <w:noWrap w:val="0"/>
            <w:vAlign w:val="center"/>
          </w:tcPr>
          <w:p w14:paraId="7B9893C1">
            <w:pPr>
              <w:pStyle w:val="45"/>
              <w:bidi w:val="0"/>
              <w:rPr>
                <w:rFonts w:hint="default"/>
                <w:b w:val="0"/>
                <w:bCs/>
                <w:color w:val="auto"/>
                <w:highlight w:val="none"/>
              </w:rPr>
            </w:pPr>
            <w:r>
              <w:rPr>
                <w:rFonts w:hint="default"/>
                <w:b w:val="0"/>
                <w:bCs/>
                <w:color w:val="auto"/>
                <w:highlight w:val="none"/>
              </w:rPr>
              <w:t>HW49</w:t>
            </w:r>
          </w:p>
        </w:tc>
        <w:tc>
          <w:tcPr>
            <w:tcW w:w="645" w:type="pct"/>
            <w:noWrap w:val="0"/>
            <w:vAlign w:val="center"/>
          </w:tcPr>
          <w:p w14:paraId="74C582AB">
            <w:pPr>
              <w:pStyle w:val="45"/>
              <w:bidi w:val="0"/>
              <w:rPr>
                <w:rFonts w:hint="default"/>
                <w:b w:val="0"/>
                <w:bCs/>
                <w:color w:val="auto"/>
                <w:highlight w:val="none"/>
              </w:rPr>
            </w:pPr>
            <w:r>
              <w:rPr>
                <w:rFonts w:hint="default"/>
                <w:b w:val="0"/>
                <w:bCs/>
                <w:color w:val="auto"/>
                <w:highlight w:val="none"/>
              </w:rPr>
              <w:t>900-044-49</w:t>
            </w:r>
          </w:p>
        </w:tc>
        <w:tc>
          <w:tcPr>
            <w:tcW w:w="645" w:type="pct"/>
            <w:noWrap w:val="0"/>
            <w:vAlign w:val="center"/>
          </w:tcPr>
          <w:p w14:paraId="65E0B392">
            <w:pPr>
              <w:pStyle w:val="45"/>
              <w:bidi w:val="0"/>
              <w:rPr>
                <w:rFonts w:hint="default"/>
                <w:b w:val="0"/>
                <w:bCs/>
                <w:color w:val="auto"/>
                <w:highlight w:val="none"/>
              </w:rPr>
            </w:pPr>
            <w:r>
              <w:rPr>
                <w:rFonts w:hint="default"/>
                <w:b w:val="0"/>
                <w:bCs/>
                <w:color w:val="auto"/>
                <w:highlight w:val="none"/>
              </w:rPr>
              <w:t>8年更换</w:t>
            </w:r>
          </w:p>
        </w:tc>
        <w:tc>
          <w:tcPr>
            <w:tcW w:w="278" w:type="pct"/>
            <w:noWrap w:val="0"/>
            <w:vAlign w:val="center"/>
          </w:tcPr>
          <w:p w14:paraId="2F8E9082">
            <w:pPr>
              <w:pStyle w:val="45"/>
              <w:bidi w:val="0"/>
              <w:rPr>
                <w:rFonts w:hint="default"/>
                <w:b w:val="0"/>
                <w:bCs/>
                <w:color w:val="auto"/>
                <w:highlight w:val="none"/>
              </w:rPr>
            </w:pPr>
            <w:r>
              <w:rPr>
                <w:rFonts w:hint="default"/>
                <w:b w:val="0"/>
                <w:bCs/>
                <w:color w:val="auto"/>
                <w:highlight w:val="none"/>
              </w:rPr>
              <w:t>固体</w:t>
            </w:r>
          </w:p>
        </w:tc>
        <w:tc>
          <w:tcPr>
            <w:tcW w:w="1204" w:type="pct"/>
            <w:tcBorders>
              <w:right w:val="single" w:color="auto" w:sz="12" w:space="0"/>
            </w:tcBorders>
            <w:noWrap w:val="0"/>
            <w:vAlign w:val="center"/>
          </w:tcPr>
          <w:p w14:paraId="18231047">
            <w:pPr>
              <w:pStyle w:val="45"/>
              <w:bidi w:val="0"/>
              <w:rPr>
                <w:rFonts w:hint="default"/>
                <w:b w:val="0"/>
                <w:bCs/>
                <w:color w:val="auto"/>
                <w:highlight w:val="none"/>
              </w:rPr>
            </w:pPr>
            <w:r>
              <w:rPr>
                <w:rFonts w:hint="default"/>
                <w:b w:val="0"/>
                <w:bCs/>
                <w:color w:val="auto"/>
                <w:highlight w:val="none"/>
              </w:rPr>
              <w:t>由厂家回收处置</w:t>
            </w:r>
          </w:p>
        </w:tc>
      </w:tr>
      <w:tr w14:paraId="6CD7E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78" w:type="pct"/>
            <w:tcBorders>
              <w:left w:val="single" w:color="auto" w:sz="12" w:space="0"/>
            </w:tcBorders>
            <w:noWrap w:val="0"/>
            <w:vAlign w:val="center"/>
          </w:tcPr>
          <w:p w14:paraId="2BEF1732">
            <w:pPr>
              <w:pStyle w:val="45"/>
              <w:bidi w:val="0"/>
              <w:rPr>
                <w:rFonts w:hint="default"/>
                <w:b w:val="0"/>
                <w:bCs/>
                <w:color w:val="auto"/>
                <w:highlight w:val="none"/>
              </w:rPr>
            </w:pPr>
            <w:r>
              <w:rPr>
                <w:rFonts w:hint="default"/>
                <w:b w:val="0"/>
                <w:bCs/>
                <w:color w:val="auto"/>
                <w:highlight w:val="none"/>
              </w:rPr>
              <w:t>2</w:t>
            </w:r>
          </w:p>
        </w:tc>
        <w:tc>
          <w:tcPr>
            <w:tcW w:w="1261" w:type="pct"/>
            <w:noWrap w:val="0"/>
            <w:vAlign w:val="center"/>
          </w:tcPr>
          <w:p w14:paraId="6C1CE907">
            <w:pPr>
              <w:pStyle w:val="45"/>
              <w:bidi w:val="0"/>
              <w:rPr>
                <w:rFonts w:hint="default"/>
                <w:b w:val="0"/>
                <w:bCs/>
                <w:color w:val="auto"/>
                <w:highlight w:val="none"/>
              </w:rPr>
            </w:pPr>
            <w:r>
              <w:rPr>
                <w:rFonts w:hint="default"/>
                <w:b w:val="0"/>
                <w:bCs/>
                <w:color w:val="auto"/>
                <w:highlight w:val="none"/>
              </w:rPr>
              <w:t>废</w:t>
            </w:r>
            <w:r>
              <w:rPr>
                <w:rFonts w:hint="eastAsia"/>
                <w:b w:val="0"/>
                <w:bCs/>
                <w:color w:val="auto"/>
                <w:highlight w:val="none"/>
                <w:lang w:eastAsia="zh-CN"/>
              </w:rPr>
              <w:t>液压</w:t>
            </w:r>
            <w:r>
              <w:rPr>
                <w:rFonts w:hint="default"/>
                <w:b w:val="0"/>
                <w:bCs/>
                <w:color w:val="auto"/>
                <w:highlight w:val="none"/>
              </w:rPr>
              <w:t>油</w:t>
            </w:r>
          </w:p>
        </w:tc>
        <w:tc>
          <w:tcPr>
            <w:tcW w:w="687" w:type="pct"/>
            <w:noWrap w:val="0"/>
            <w:vAlign w:val="center"/>
          </w:tcPr>
          <w:p w14:paraId="3FA93FBA">
            <w:pPr>
              <w:pStyle w:val="45"/>
              <w:bidi w:val="0"/>
              <w:rPr>
                <w:rFonts w:hint="default"/>
                <w:b w:val="0"/>
                <w:bCs/>
                <w:color w:val="auto"/>
                <w:highlight w:val="none"/>
              </w:rPr>
            </w:pPr>
            <w:r>
              <w:rPr>
                <w:rFonts w:hint="default"/>
                <w:b w:val="0"/>
                <w:bCs/>
                <w:color w:val="auto"/>
                <w:highlight w:val="none"/>
              </w:rPr>
              <w:t>HW08</w:t>
            </w:r>
          </w:p>
        </w:tc>
        <w:tc>
          <w:tcPr>
            <w:tcW w:w="645" w:type="pct"/>
            <w:noWrap w:val="0"/>
            <w:vAlign w:val="center"/>
          </w:tcPr>
          <w:p w14:paraId="06140869">
            <w:pPr>
              <w:pStyle w:val="45"/>
              <w:bidi w:val="0"/>
              <w:rPr>
                <w:rFonts w:hint="default"/>
                <w:b w:val="0"/>
                <w:bCs/>
                <w:color w:val="auto"/>
                <w:highlight w:val="none"/>
              </w:rPr>
            </w:pPr>
            <w:r>
              <w:rPr>
                <w:rFonts w:hint="default"/>
                <w:b w:val="0"/>
                <w:bCs/>
                <w:color w:val="auto"/>
                <w:highlight w:val="none"/>
              </w:rPr>
              <w:t>900-220-08</w:t>
            </w:r>
          </w:p>
        </w:tc>
        <w:tc>
          <w:tcPr>
            <w:tcW w:w="645" w:type="pct"/>
            <w:noWrap w:val="0"/>
            <w:vAlign w:val="center"/>
          </w:tcPr>
          <w:p w14:paraId="1FD0CE98">
            <w:pPr>
              <w:pStyle w:val="45"/>
              <w:bidi w:val="0"/>
              <w:rPr>
                <w:rFonts w:hint="default"/>
                <w:b w:val="0"/>
                <w:bCs/>
                <w:color w:val="auto"/>
                <w:highlight w:val="none"/>
              </w:rPr>
            </w:pPr>
            <w:r>
              <w:rPr>
                <w:rFonts w:hint="eastAsia"/>
                <w:b w:val="0"/>
                <w:bCs/>
                <w:color w:val="auto"/>
                <w:highlight w:val="none"/>
                <w:lang w:val="en-US" w:eastAsia="zh-CN"/>
              </w:rPr>
              <w:t>3t</w:t>
            </w:r>
            <w:r>
              <w:rPr>
                <w:rFonts w:hint="default"/>
                <w:b w:val="0"/>
                <w:bCs/>
                <w:color w:val="auto"/>
                <w:highlight w:val="none"/>
              </w:rPr>
              <w:t>/次</w:t>
            </w:r>
          </w:p>
        </w:tc>
        <w:tc>
          <w:tcPr>
            <w:tcW w:w="278" w:type="pct"/>
            <w:noWrap w:val="0"/>
            <w:vAlign w:val="center"/>
          </w:tcPr>
          <w:p w14:paraId="049374B9">
            <w:pPr>
              <w:pStyle w:val="45"/>
              <w:bidi w:val="0"/>
              <w:rPr>
                <w:rFonts w:hint="default"/>
                <w:b w:val="0"/>
                <w:bCs/>
                <w:color w:val="auto"/>
                <w:highlight w:val="none"/>
              </w:rPr>
            </w:pPr>
            <w:r>
              <w:rPr>
                <w:rFonts w:hint="default"/>
                <w:b w:val="0"/>
                <w:bCs/>
                <w:color w:val="auto"/>
                <w:highlight w:val="none"/>
              </w:rPr>
              <w:t>液态</w:t>
            </w:r>
          </w:p>
        </w:tc>
        <w:tc>
          <w:tcPr>
            <w:tcW w:w="1204" w:type="pct"/>
            <w:tcBorders>
              <w:right w:val="single" w:color="auto" w:sz="12" w:space="0"/>
            </w:tcBorders>
            <w:noWrap w:val="0"/>
            <w:vAlign w:val="center"/>
          </w:tcPr>
          <w:p w14:paraId="58F57FC1">
            <w:pPr>
              <w:pStyle w:val="45"/>
              <w:bidi w:val="0"/>
              <w:rPr>
                <w:rFonts w:hint="default"/>
                <w:b w:val="0"/>
                <w:bCs/>
                <w:color w:val="auto"/>
                <w:highlight w:val="none"/>
              </w:rPr>
            </w:pPr>
            <w:r>
              <w:rPr>
                <w:rFonts w:hint="default"/>
                <w:b w:val="0"/>
                <w:bCs/>
                <w:color w:val="auto"/>
                <w:highlight w:val="none"/>
              </w:rPr>
              <w:t>委托有资质单位处理</w:t>
            </w:r>
          </w:p>
        </w:tc>
      </w:tr>
      <w:tr w14:paraId="4D60FA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78" w:type="pct"/>
            <w:tcBorders>
              <w:left w:val="single" w:color="auto" w:sz="12" w:space="0"/>
              <w:bottom w:val="single" w:color="auto" w:sz="12" w:space="0"/>
            </w:tcBorders>
            <w:noWrap w:val="0"/>
            <w:vAlign w:val="center"/>
          </w:tcPr>
          <w:p w14:paraId="20F26818">
            <w:pPr>
              <w:pStyle w:val="45"/>
              <w:bidi w:val="0"/>
              <w:rPr>
                <w:rFonts w:hint="default"/>
                <w:b w:val="0"/>
                <w:bCs/>
                <w:color w:val="auto"/>
                <w:highlight w:val="none"/>
              </w:rPr>
            </w:pPr>
            <w:r>
              <w:rPr>
                <w:rFonts w:hint="default"/>
                <w:b w:val="0"/>
                <w:bCs/>
                <w:color w:val="auto"/>
                <w:highlight w:val="none"/>
              </w:rPr>
              <w:t>3</w:t>
            </w:r>
          </w:p>
        </w:tc>
        <w:tc>
          <w:tcPr>
            <w:tcW w:w="1261" w:type="pct"/>
            <w:tcBorders>
              <w:bottom w:val="single" w:color="auto" w:sz="12" w:space="0"/>
            </w:tcBorders>
            <w:noWrap w:val="0"/>
            <w:vAlign w:val="center"/>
          </w:tcPr>
          <w:p w14:paraId="440E38E0">
            <w:pPr>
              <w:pStyle w:val="45"/>
              <w:bidi w:val="0"/>
              <w:rPr>
                <w:rFonts w:hint="eastAsia"/>
                <w:b w:val="0"/>
                <w:bCs/>
                <w:color w:val="auto"/>
                <w:highlight w:val="none"/>
                <w:lang w:eastAsia="zh-CN"/>
              </w:rPr>
            </w:pPr>
            <w:r>
              <w:rPr>
                <w:rFonts w:hint="default"/>
                <w:b w:val="0"/>
                <w:bCs/>
                <w:color w:val="auto"/>
                <w:highlight w:val="none"/>
              </w:rPr>
              <w:t>废</w:t>
            </w:r>
            <w:r>
              <w:rPr>
                <w:rFonts w:hint="eastAsia"/>
                <w:b w:val="0"/>
                <w:bCs/>
                <w:color w:val="auto"/>
                <w:highlight w:val="none"/>
                <w:lang w:eastAsia="zh-CN"/>
              </w:rPr>
              <w:t>机油</w:t>
            </w:r>
          </w:p>
        </w:tc>
        <w:tc>
          <w:tcPr>
            <w:tcW w:w="687" w:type="pct"/>
            <w:tcBorders>
              <w:bottom w:val="single" w:color="auto" w:sz="12" w:space="0"/>
            </w:tcBorders>
            <w:noWrap w:val="0"/>
            <w:vAlign w:val="center"/>
          </w:tcPr>
          <w:p w14:paraId="4DB7974D">
            <w:pPr>
              <w:pStyle w:val="45"/>
              <w:bidi w:val="0"/>
              <w:rPr>
                <w:rFonts w:hint="default"/>
                <w:b w:val="0"/>
                <w:bCs/>
                <w:color w:val="auto"/>
                <w:highlight w:val="none"/>
              </w:rPr>
            </w:pPr>
            <w:r>
              <w:rPr>
                <w:rFonts w:hint="default"/>
                <w:b w:val="0"/>
                <w:bCs/>
                <w:color w:val="auto"/>
                <w:highlight w:val="none"/>
              </w:rPr>
              <w:t>HW08</w:t>
            </w:r>
          </w:p>
        </w:tc>
        <w:tc>
          <w:tcPr>
            <w:tcW w:w="645" w:type="pct"/>
            <w:tcBorders>
              <w:bottom w:val="single" w:color="auto" w:sz="12" w:space="0"/>
            </w:tcBorders>
            <w:noWrap w:val="0"/>
            <w:vAlign w:val="center"/>
          </w:tcPr>
          <w:p w14:paraId="2CAA1F11">
            <w:pPr>
              <w:pStyle w:val="45"/>
              <w:bidi w:val="0"/>
              <w:rPr>
                <w:rFonts w:hint="default"/>
                <w:b w:val="0"/>
                <w:bCs/>
                <w:color w:val="auto"/>
                <w:highlight w:val="none"/>
              </w:rPr>
            </w:pPr>
            <w:r>
              <w:rPr>
                <w:rFonts w:hint="default"/>
                <w:b w:val="0"/>
                <w:bCs/>
                <w:color w:val="auto"/>
                <w:highlight w:val="none"/>
              </w:rPr>
              <w:t>900-214-08</w:t>
            </w:r>
          </w:p>
        </w:tc>
        <w:tc>
          <w:tcPr>
            <w:tcW w:w="645" w:type="pct"/>
            <w:tcBorders>
              <w:bottom w:val="single" w:color="auto" w:sz="12" w:space="0"/>
            </w:tcBorders>
            <w:noWrap w:val="0"/>
            <w:vAlign w:val="center"/>
          </w:tcPr>
          <w:p w14:paraId="49F07A2D">
            <w:pPr>
              <w:pStyle w:val="45"/>
              <w:bidi w:val="0"/>
              <w:rPr>
                <w:rFonts w:hint="default"/>
                <w:b w:val="0"/>
                <w:bCs/>
                <w:color w:val="auto"/>
                <w:highlight w:val="none"/>
              </w:rPr>
            </w:pPr>
            <w:r>
              <w:rPr>
                <w:rFonts w:hint="default"/>
                <w:b w:val="0"/>
                <w:bCs/>
                <w:color w:val="auto"/>
                <w:highlight w:val="none"/>
              </w:rPr>
              <w:t>0.5</w:t>
            </w:r>
            <w:r>
              <w:rPr>
                <w:rFonts w:hint="eastAsia"/>
                <w:b w:val="0"/>
                <w:bCs/>
                <w:color w:val="auto"/>
                <w:highlight w:val="none"/>
                <w:lang w:val="en-US" w:eastAsia="zh-CN"/>
              </w:rPr>
              <w:t>kg</w:t>
            </w:r>
            <w:r>
              <w:rPr>
                <w:rFonts w:hint="default"/>
                <w:b w:val="0"/>
                <w:bCs/>
                <w:color w:val="auto"/>
                <w:highlight w:val="none"/>
              </w:rPr>
              <w:t>/a</w:t>
            </w:r>
          </w:p>
        </w:tc>
        <w:tc>
          <w:tcPr>
            <w:tcW w:w="278" w:type="pct"/>
            <w:tcBorders>
              <w:bottom w:val="single" w:color="auto" w:sz="12" w:space="0"/>
            </w:tcBorders>
            <w:noWrap w:val="0"/>
            <w:vAlign w:val="center"/>
          </w:tcPr>
          <w:p w14:paraId="3B30F80E">
            <w:pPr>
              <w:pStyle w:val="45"/>
              <w:bidi w:val="0"/>
              <w:rPr>
                <w:rFonts w:hint="default"/>
                <w:b w:val="0"/>
                <w:bCs/>
                <w:color w:val="auto"/>
                <w:highlight w:val="none"/>
              </w:rPr>
            </w:pPr>
            <w:r>
              <w:rPr>
                <w:rFonts w:hint="default"/>
                <w:b w:val="0"/>
                <w:bCs/>
                <w:color w:val="auto"/>
                <w:highlight w:val="none"/>
              </w:rPr>
              <w:t>液态</w:t>
            </w:r>
          </w:p>
        </w:tc>
        <w:tc>
          <w:tcPr>
            <w:tcW w:w="1204" w:type="pct"/>
            <w:tcBorders>
              <w:bottom w:val="single" w:color="auto" w:sz="12" w:space="0"/>
              <w:right w:val="single" w:color="auto" w:sz="12" w:space="0"/>
            </w:tcBorders>
            <w:noWrap w:val="0"/>
            <w:vAlign w:val="center"/>
          </w:tcPr>
          <w:p w14:paraId="225E6EC3">
            <w:pPr>
              <w:pStyle w:val="45"/>
              <w:bidi w:val="0"/>
              <w:rPr>
                <w:rFonts w:hint="default"/>
                <w:b w:val="0"/>
                <w:bCs/>
                <w:color w:val="auto"/>
                <w:highlight w:val="none"/>
              </w:rPr>
            </w:pPr>
            <w:r>
              <w:rPr>
                <w:rFonts w:hint="default"/>
                <w:b w:val="0"/>
                <w:bCs/>
                <w:color w:val="auto"/>
                <w:highlight w:val="none"/>
              </w:rPr>
              <w:t>委托有资质单位处理</w:t>
            </w:r>
          </w:p>
        </w:tc>
      </w:tr>
    </w:tbl>
    <w:p w14:paraId="09E889B3">
      <w:pPr>
        <w:bidi w:val="0"/>
        <w:rPr>
          <w:color w:val="auto"/>
          <w:highlight w:val="none"/>
        </w:rPr>
      </w:pPr>
      <w:r>
        <w:rPr>
          <w:rFonts w:hint="eastAsia"/>
          <w:color w:val="auto"/>
          <w:sz w:val="24"/>
          <w:highlight w:val="none"/>
        </w:rPr>
        <w:t>综上所述，本项目危险废物均得到妥善处置，不会对环境产生不利影响。</w:t>
      </w:r>
    </w:p>
    <w:p w14:paraId="46F111AD">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运营期电磁</w:t>
      </w:r>
      <w:r>
        <w:rPr>
          <w:rFonts w:hint="eastAsia"/>
          <w:b/>
          <w:bCs/>
          <w:color w:val="auto"/>
          <w:sz w:val="24"/>
          <w:szCs w:val="24"/>
          <w:highlight w:val="none"/>
          <w:u w:val="none"/>
          <w:lang w:val="en-US" w:eastAsia="zh-CN"/>
        </w:rPr>
        <w:t>污染源强</w:t>
      </w:r>
      <w:r>
        <w:rPr>
          <w:rFonts w:hint="eastAsia" w:ascii="Times New Roman" w:hAnsi="Times New Roman"/>
          <w:b/>
          <w:bCs/>
          <w:color w:val="auto"/>
          <w:sz w:val="24"/>
          <w:szCs w:val="24"/>
          <w:highlight w:val="none"/>
          <w:u w:val="none"/>
          <w:lang w:val="en-US" w:eastAsia="zh-CN"/>
        </w:rPr>
        <w:t>分析</w:t>
      </w:r>
    </w:p>
    <w:p w14:paraId="4AA39598">
      <w:pPr>
        <w:bidi w:val="0"/>
      </w:pPr>
      <w:r>
        <w:rPr>
          <w:rFonts w:hint="default"/>
        </w:rPr>
        <w:t>电能输送或电压转换过程中，</w:t>
      </w:r>
      <w:r>
        <w:rPr>
          <w:rFonts w:hint="default"/>
          <w:lang w:val="en-US" w:eastAsia="zh-CN"/>
        </w:rPr>
        <w:t>变压器</w:t>
      </w:r>
      <w:r>
        <w:rPr>
          <w:rFonts w:hint="default"/>
        </w:rPr>
        <w:t>等高压配电设备与周围环境存在电位差，形成工频（50Hz）电场；高压输电线路导线内通过较强电流，在其表面形成工频磁感应强度。</w:t>
      </w:r>
      <w:r>
        <w:rPr>
          <w:rFonts w:hint="default"/>
          <w:lang w:val="en-US" w:eastAsia="zh-CN"/>
        </w:rPr>
        <w:t>升压站</w:t>
      </w:r>
      <w:r>
        <w:rPr>
          <w:rFonts w:hint="default"/>
        </w:rPr>
        <w:t>产生的工频电磁场大小与电压等级、运行电流、导线排列及周围环境有关。</w:t>
      </w:r>
    </w:p>
    <w:p w14:paraId="19E9C2B7">
      <w:pPr>
        <w:bidi w:val="0"/>
        <w:rPr>
          <w:rFonts w:hint="eastAsia" w:ascii="Times New Roman" w:hAnsi="Times New Roman" w:cs="Times New Roman"/>
          <w:color w:val="auto"/>
          <w:highlight w:val="none"/>
          <w:lang w:val="en-US" w:eastAsia="zh-CN"/>
        </w:rPr>
      </w:pPr>
      <w:r>
        <w:rPr>
          <w:rFonts w:hint="eastAsia"/>
          <w:lang w:eastAsia="zh-CN"/>
        </w:rPr>
        <w:t>本项目营运期</w:t>
      </w:r>
      <w:r>
        <w:rPr>
          <w:rFonts w:hint="default" w:ascii="Times New Roman" w:hAnsi="Times New Roman" w:cs="Times New Roman"/>
          <w:color w:val="auto"/>
          <w:highlight w:val="none"/>
          <w:lang w:val="en-US" w:eastAsia="zh-CN"/>
        </w:rPr>
        <w:t>工频电场、工频磁场</w:t>
      </w:r>
      <w:r>
        <w:rPr>
          <w:rFonts w:hint="eastAsia" w:ascii="Times New Roman" w:hAnsi="Times New Roman" w:cs="Times New Roman"/>
          <w:color w:val="auto"/>
          <w:highlight w:val="none"/>
          <w:lang w:val="en-US" w:eastAsia="zh-CN"/>
        </w:rPr>
        <w:t>强度主要通过类比同类工程得到</w:t>
      </w:r>
      <w:r>
        <w:rPr>
          <w:rFonts w:hint="eastAsia" w:cs="Times New Roman"/>
          <w:color w:val="auto"/>
          <w:highlight w:val="none"/>
          <w:lang w:val="en-US" w:eastAsia="zh-CN"/>
        </w:rPr>
        <w:t>。</w:t>
      </w:r>
      <w:r>
        <w:rPr>
          <w:rFonts w:hint="default" w:ascii="Times New Roman" w:hAnsi="Times New Roman" w:cs="Times New Roman"/>
          <w:color w:val="auto"/>
          <w:highlight w:val="none"/>
          <w:lang w:val="en-US" w:eastAsia="zh-CN"/>
        </w:rPr>
        <w:t>本项目选择国电电力</w:t>
      </w:r>
      <w:r>
        <w:rPr>
          <w:rFonts w:hint="eastAsia" w:ascii="Times New Roman" w:hAnsi="Times New Roman" w:cs="Times New Roman"/>
          <w:color w:val="auto"/>
          <w:highlight w:val="none"/>
          <w:lang w:val="en-US" w:eastAsia="zh-CN"/>
        </w:rPr>
        <w:t>城步金紫山</w:t>
      </w:r>
      <w:r>
        <w:rPr>
          <w:rFonts w:hint="default" w:ascii="Times New Roman" w:hAnsi="Times New Roman" w:cs="Times New Roman"/>
          <w:color w:val="auto"/>
          <w:highlight w:val="none"/>
          <w:lang w:val="en-US" w:eastAsia="zh-CN"/>
        </w:rPr>
        <w:t>风电场工程110kV升压站作为类比对象，</w:t>
      </w:r>
      <w:r>
        <w:rPr>
          <w:rFonts w:hint="eastAsia" w:ascii="Times New Roman" w:hAnsi="Times New Roman" w:cs="Times New Roman"/>
          <w:color w:val="auto"/>
          <w:highlight w:val="none"/>
          <w:lang w:val="en-US" w:eastAsia="zh-CN"/>
        </w:rPr>
        <w:t>该项目位于</w:t>
      </w:r>
      <w:r>
        <w:rPr>
          <w:rFonts w:hint="eastAsia" w:cs="Times New Roman"/>
          <w:color w:val="auto"/>
          <w:highlight w:val="none"/>
          <w:u w:val="none"/>
          <w:lang w:val="en-US" w:eastAsia="zh-CN"/>
        </w:rPr>
        <w:t>湖南省邵阳市城步县境内，与新宁县黄金瑶族乡接壤</w:t>
      </w:r>
      <w:r>
        <w:rPr>
          <w:rFonts w:hint="eastAsia" w:ascii="Times New Roman" w:hAnsi="Times New Roman" w:cs="Times New Roman"/>
          <w:color w:val="auto"/>
          <w:highlight w:val="none"/>
          <w:lang w:val="en-US" w:eastAsia="zh-CN"/>
        </w:rPr>
        <w:t>，110kV升压站主变</w:t>
      </w:r>
      <w:r>
        <w:rPr>
          <w:rFonts w:hint="eastAsia" w:cs="Times New Roman"/>
          <w:color w:val="auto"/>
          <w:highlight w:val="none"/>
          <w:lang w:val="en-US" w:eastAsia="zh-CN"/>
        </w:rPr>
        <w:t>总</w:t>
      </w:r>
      <w:r>
        <w:rPr>
          <w:rFonts w:hint="eastAsia" w:ascii="Times New Roman" w:hAnsi="Times New Roman" w:cs="Times New Roman"/>
          <w:color w:val="auto"/>
          <w:highlight w:val="none"/>
          <w:lang w:val="en-US" w:eastAsia="zh-CN"/>
        </w:rPr>
        <w:t>容量为150MVA，电压等级为110kV/35kV，出线间隔1个。</w:t>
      </w:r>
      <w:r>
        <w:rPr>
          <w:rFonts w:hint="eastAsia" w:cs="Times New Roman"/>
          <w:color w:val="auto"/>
          <w:highlight w:val="none"/>
          <w:lang w:val="en-US" w:eastAsia="zh-CN"/>
        </w:rPr>
        <w:t>类比的</w:t>
      </w:r>
      <w:r>
        <w:rPr>
          <w:rFonts w:hint="eastAsia" w:ascii="Times New Roman" w:hAnsi="Times New Roman" w:cs="Times New Roman"/>
          <w:color w:val="auto"/>
          <w:highlight w:val="none"/>
          <w:u w:val="none"/>
          <w:lang w:val="en-US" w:eastAsia="zh-CN"/>
        </w:rPr>
        <w:t>升压站</w:t>
      </w:r>
      <w:r>
        <w:rPr>
          <w:rFonts w:hint="default" w:ascii="Times New Roman" w:hAnsi="Times New Roman" w:cs="Times New Roman"/>
          <w:color w:val="auto"/>
          <w:highlight w:val="none"/>
          <w:u w:val="none"/>
          <w:lang w:val="en-US" w:eastAsia="zh-CN"/>
        </w:rPr>
        <w:t>建设规模、电压等级、容量、总平面布置、110kV线路回数与</w:t>
      </w:r>
      <w:r>
        <w:rPr>
          <w:rFonts w:hint="eastAsia" w:cs="Times New Roman"/>
          <w:color w:val="auto"/>
          <w:highlight w:val="none"/>
          <w:u w:val="none"/>
          <w:lang w:val="en-US" w:eastAsia="zh-CN"/>
        </w:rPr>
        <w:t>本扩建工程</w:t>
      </w:r>
      <w:r>
        <w:rPr>
          <w:rFonts w:hint="default" w:ascii="Times New Roman" w:hAnsi="Times New Roman" w:cs="Times New Roman"/>
          <w:color w:val="auto"/>
          <w:highlight w:val="none"/>
          <w:u w:val="none"/>
          <w:lang w:val="en-US" w:eastAsia="zh-CN"/>
        </w:rPr>
        <w:t>110kV升压站一致</w:t>
      </w:r>
      <w:r>
        <w:rPr>
          <w:rFonts w:hint="eastAsia" w:ascii="Times New Roman" w:hAnsi="Times New Roman" w:cs="Times New Roman"/>
          <w:color w:val="auto"/>
          <w:highlight w:val="none"/>
          <w:u w:val="none"/>
          <w:lang w:val="en-US" w:eastAsia="zh-CN"/>
        </w:rPr>
        <w:t>，</w:t>
      </w:r>
      <w:r>
        <w:rPr>
          <w:rFonts w:hint="default" w:ascii="Times New Roman" w:hAnsi="Times New Roman" w:cs="Times New Roman"/>
          <w:color w:val="auto"/>
          <w:highlight w:val="none"/>
          <w:u w:val="none"/>
          <w:lang w:val="en-US" w:eastAsia="zh-CN"/>
        </w:rPr>
        <w:t>占地面积</w:t>
      </w:r>
      <w:r>
        <w:rPr>
          <w:rFonts w:hint="eastAsia" w:cs="Times New Roman"/>
          <w:color w:val="auto"/>
          <w:highlight w:val="none"/>
          <w:u w:val="none"/>
          <w:lang w:val="en-US" w:eastAsia="zh-CN"/>
        </w:rPr>
        <w:t>相当</w:t>
      </w:r>
      <w:r>
        <w:rPr>
          <w:rFonts w:hint="default" w:ascii="Times New Roman" w:hAnsi="Times New Roman" w:cs="Times New Roman"/>
          <w:color w:val="auto"/>
          <w:highlight w:val="none"/>
          <w:u w:val="none"/>
          <w:lang w:val="en-US" w:eastAsia="zh-CN"/>
        </w:rPr>
        <w:t>，因此选用</w:t>
      </w:r>
      <w:r>
        <w:rPr>
          <w:rFonts w:hint="default" w:ascii="Times New Roman" w:hAnsi="Times New Roman" w:cs="Times New Roman"/>
          <w:color w:val="auto"/>
          <w:highlight w:val="none"/>
          <w:lang w:val="en-US" w:eastAsia="zh-CN"/>
        </w:rPr>
        <w:t>国电电力</w:t>
      </w:r>
      <w:r>
        <w:rPr>
          <w:rFonts w:hint="eastAsia" w:ascii="Times New Roman" w:hAnsi="Times New Roman" w:cs="Times New Roman"/>
          <w:color w:val="auto"/>
          <w:highlight w:val="none"/>
          <w:lang w:val="en-US" w:eastAsia="zh-CN"/>
        </w:rPr>
        <w:t>城步金紫山</w:t>
      </w:r>
      <w:r>
        <w:rPr>
          <w:rFonts w:hint="default" w:ascii="Times New Roman" w:hAnsi="Times New Roman" w:cs="Times New Roman"/>
          <w:color w:val="auto"/>
          <w:highlight w:val="none"/>
          <w:lang w:val="en-US" w:eastAsia="zh-CN"/>
        </w:rPr>
        <w:t>风电场</w:t>
      </w:r>
      <w:r>
        <w:rPr>
          <w:rFonts w:hint="eastAsia" w:ascii="Times New Roman" w:hAnsi="Times New Roman" w:cs="Times New Roman"/>
          <w:color w:val="auto"/>
          <w:highlight w:val="none"/>
          <w:lang w:val="en-US" w:eastAsia="zh-CN"/>
        </w:rPr>
        <w:t>工程</w:t>
      </w:r>
      <w:r>
        <w:rPr>
          <w:rFonts w:hint="eastAsia" w:cs="Times New Roman"/>
          <w:color w:val="auto"/>
          <w:highlight w:val="none"/>
          <w:lang w:val="en-US" w:eastAsia="zh-CN"/>
        </w:rPr>
        <w:t>升压站</w:t>
      </w:r>
      <w:r>
        <w:rPr>
          <w:rFonts w:hint="default" w:ascii="Times New Roman" w:hAnsi="Times New Roman" w:cs="Times New Roman"/>
          <w:color w:val="auto"/>
          <w:highlight w:val="none"/>
          <w:u w:val="none"/>
          <w:lang w:val="en-US" w:eastAsia="zh-CN"/>
        </w:rPr>
        <w:t>运营期在围墙外产生的工频电场、工频磁场类比分析本项目110kV升压站建成投运后的电磁水平是</w:t>
      </w:r>
      <w:r>
        <w:rPr>
          <w:rFonts w:hint="eastAsia" w:cs="Times New Roman"/>
          <w:color w:val="auto"/>
          <w:highlight w:val="none"/>
          <w:u w:val="none"/>
          <w:lang w:val="en-US" w:eastAsia="zh-CN"/>
        </w:rPr>
        <w:t>可行</w:t>
      </w:r>
      <w:r>
        <w:rPr>
          <w:rFonts w:hint="default" w:ascii="Times New Roman" w:hAnsi="Times New Roman" w:cs="Times New Roman"/>
          <w:color w:val="auto"/>
          <w:highlight w:val="none"/>
          <w:u w:val="none"/>
          <w:lang w:val="en-US" w:eastAsia="zh-CN"/>
        </w:rPr>
        <w:t>的。</w:t>
      </w:r>
    </w:p>
    <w:p w14:paraId="4D79C5FF">
      <w:pPr>
        <w:bidi w:val="0"/>
        <w:rPr>
          <w:color w:val="auto"/>
          <w:highlight w:val="none"/>
        </w:rPr>
      </w:pPr>
      <w:r>
        <w:rPr>
          <w:rFonts w:hint="eastAsia" w:cs="Times New Roman"/>
          <w:color w:val="auto"/>
          <w:highlight w:val="none"/>
          <w:lang w:val="en-US" w:eastAsia="zh-CN"/>
        </w:rPr>
        <w:t>类比得到</w:t>
      </w:r>
      <w:r>
        <w:rPr>
          <w:rFonts w:hint="default" w:ascii="Times New Roman" w:hAnsi="Times New Roman" w:cs="Times New Roman"/>
          <w:color w:val="auto"/>
          <w:highlight w:val="none"/>
        </w:rPr>
        <w:t>厂界各监测点工频电场强度监测值为</w:t>
      </w:r>
      <w:r>
        <w:rPr>
          <w:rFonts w:hint="default" w:ascii="Times New Roman" w:hAnsi="Times New Roman" w:cs="Times New Roman"/>
          <w:color w:val="auto"/>
          <w:highlight w:val="none"/>
          <w:lang w:val="en-US" w:eastAsia="zh-CN"/>
        </w:rPr>
        <w:t>5.73</w:t>
      </w:r>
      <w:r>
        <w:rPr>
          <w:rFonts w:hint="default" w:ascii="Times New Roman" w:hAnsi="Times New Roman" w:cs="Times New Roman"/>
          <w:color w:val="auto"/>
          <w:highlight w:val="none"/>
        </w:rPr>
        <w:t>V/m~</w:t>
      </w:r>
      <w:r>
        <w:rPr>
          <w:rFonts w:hint="default" w:ascii="Times New Roman" w:hAnsi="Times New Roman" w:cs="Times New Roman"/>
          <w:color w:val="auto"/>
          <w:highlight w:val="none"/>
          <w:lang w:val="en-US" w:eastAsia="zh-CN"/>
        </w:rPr>
        <w:t>608</w:t>
      </w:r>
      <w:r>
        <w:rPr>
          <w:rFonts w:hint="default" w:ascii="Times New Roman" w:hAnsi="Times New Roman" w:cs="Times New Roman"/>
          <w:color w:val="auto"/>
          <w:highlight w:val="none"/>
        </w:rPr>
        <w:t>V/m，工频磁感应强度为</w:t>
      </w:r>
      <w:r>
        <w:rPr>
          <w:rFonts w:hint="default" w:ascii="Times New Roman" w:hAnsi="Times New Roman" w:cs="Times New Roman"/>
          <w:color w:val="auto"/>
          <w:highlight w:val="none"/>
          <w:lang w:val="en-US" w:eastAsia="zh-CN"/>
        </w:rPr>
        <w:t>0.0114</w:t>
      </w:r>
      <w:r>
        <w:rPr>
          <w:rFonts w:hint="default" w:ascii="Times New Roman" w:hAnsi="Times New Roman" w:cs="Times New Roman"/>
          <w:color w:val="auto"/>
          <w:highlight w:val="none"/>
        </w:rPr>
        <w:t>μT~</w:t>
      </w:r>
      <w:r>
        <w:rPr>
          <w:rFonts w:hint="default" w:ascii="Times New Roman" w:hAnsi="Times New Roman" w:cs="Times New Roman"/>
          <w:color w:val="auto"/>
          <w:highlight w:val="none"/>
          <w:lang w:val="en-US" w:eastAsia="zh-CN"/>
        </w:rPr>
        <w:t>0.0689</w:t>
      </w:r>
      <w:r>
        <w:rPr>
          <w:rFonts w:hint="default" w:ascii="Times New Roman" w:hAnsi="Times New Roman" w:cs="Times New Roman"/>
          <w:color w:val="auto"/>
          <w:highlight w:val="none"/>
        </w:rPr>
        <w:t>μT</w:t>
      </w:r>
      <w:r>
        <w:rPr>
          <w:rFonts w:hint="eastAsia" w:cs="Times New Roman"/>
          <w:color w:val="auto"/>
          <w:highlight w:val="none"/>
          <w:lang w:eastAsia="zh-CN"/>
        </w:rPr>
        <w:t>。</w:t>
      </w:r>
    </w:p>
    <w:p w14:paraId="083EC294">
      <w:pPr>
        <w:bidi w:val="0"/>
        <w:rPr>
          <w:color w:val="auto"/>
          <w:highlight w:val="none"/>
        </w:rPr>
      </w:pPr>
    </w:p>
    <w:p w14:paraId="719AD0D5">
      <w:pPr>
        <w:bidi w:val="0"/>
        <w:rPr>
          <w:color w:val="auto"/>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28DD8643">
      <w:pPr>
        <w:pStyle w:val="3"/>
        <w:rPr>
          <w:rFonts w:hint="default" w:ascii="Times New Roman" w:hAnsi="Times New Roman" w:cs="Times New Roman"/>
          <w:color w:val="auto"/>
          <w:highlight w:val="none"/>
        </w:rPr>
      </w:pPr>
      <w:bookmarkStart w:id="70" w:name="_Toc31904"/>
      <w:r>
        <w:rPr>
          <w:rFonts w:hint="eastAsia" w:ascii="Times New Roman" w:hAnsi="Times New Roman" w:cs="Times New Roman"/>
          <w:color w:val="auto"/>
          <w:highlight w:val="none"/>
          <w:lang w:eastAsia="zh-CN"/>
        </w:rPr>
        <w:t>环境现状调查与评价</w:t>
      </w:r>
      <w:bookmarkEnd w:id="70"/>
    </w:p>
    <w:p w14:paraId="7B475337">
      <w:pPr>
        <w:pStyle w:val="4"/>
        <w:bidi w:val="0"/>
        <w:rPr>
          <w:rFonts w:hint="default" w:ascii="Times New Roman" w:hAnsi="Times New Roman" w:cs="Times New Roman"/>
          <w:color w:val="auto"/>
          <w:highlight w:val="none"/>
        </w:rPr>
      </w:pPr>
      <w:bookmarkStart w:id="71" w:name="_Toc12369"/>
      <w:r>
        <w:rPr>
          <w:rFonts w:hint="eastAsia" w:ascii="Times New Roman" w:hAnsi="Times New Roman" w:cs="Times New Roman"/>
          <w:color w:val="auto"/>
          <w:highlight w:val="none"/>
          <w:lang w:val="en-US" w:eastAsia="zh-CN"/>
        </w:rPr>
        <w:t>地理位置</w:t>
      </w:r>
      <w:bookmarkEnd w:id="71"/>
    </w:p>
    <w:p w14:paraId="0FB4B0FE">
      <w:pPr>
        <w:bidi w:val="0"/>
        <w:rPr>
          <w:color w:val="auto"/>
          <w:highlight w:val="none"/>
        </w:rPr>
      </w:pPr>
      <w:r>
        <w:rPr>
          <w:rFonts w:hint="default" w:ascii="Times New Roman" w:hAnsi="Times New Roman" w:cs="Times New Roman"/>
          <w:color w:val="auto"/>
          <w:kern w:val="0"/>
          <w:sz w:val="24"/>
          <w:szCs w:val="24"/>
          <w:highlight w:val="none"/>
        </w:rPr>
        <w:t>祁东县南冲风电场（大马二期）工程</w:t>
      </w:r>
      <w:r>
        <w:rPr>
          <w:rFonts w:hint="eastAsia" w:ascii="Times New Roman" w:hAnsi="Times New Roman" w:cs="Times New Roman"/>
          <w:color w:val="auto"/>
          <w:kern w:val="0"/>
          <w:sz w:val="24"/>
          <w:szCs w:val="24"/>
          <w:highlight w:val="none"/>
          <w:lang w:eastAsia="zh-CN"/>
        </w:rPr>
        <w:t>位于湖南省衡阳市祁东县黄土铺镇和马杜桥乡境内，场址中部</w:t>
      </w:r>
      <w:r>
        <w:rPr>
          <w:rFonts w:hint="eastAsia" w:ascii="Times New Roman" w:hAnsi="Times New Roman" w:cs="Times New Roman"/>
          <w:color w:val="auto"/>
          <w:kern w:val="0"/>
          <w:sz w:val="24"/>
          <w:szCs w:val="24"/>
          <w:highlight w:val="none"/>
          <w:lang w:val="en-US" w:eastAsia="zh-CN"/>
        </w:rPr>
        <w:t>12#机位</w:t>
      </w:r>
      <w:r>
        <w:rPr>
          <w:rFonts w:hint="eastAsia" w:ascii="Times New Roman" w:hAnsi="Times New Roman" w:cs="Times New Roman"/>
          <w:color w:val="auto"/>
          <w:kern w:val="0"/>
          <w:sz w:val="24"/>
          <w:szCs w:val="24"/>
          <w:highlight w:val="none"/>
          <w:lang w:eastAsia="zh-CN"/>
        </w:rPr>
        <w:t>坐标为：</w:t>
      </w:r>
      <w:r>
        <w:rPr>
          <w:rFonts w:hint="eastAsia" w:ascii="Times New Roman" w:hAnsi="Times New Roman" w:cs="Times New Roman"/>
          <w:color w:val="auto"/>
          <w:kern w:val="0"/>
          <w:sz w:val="24"/>
          <w:szCs w:val="24"/>
          <w:highlight w:val="none"/>
          <w:lang w:val="en-US" w:eastAsia="zh-CN"/>
        </w:rPr>
        <w:t>N26°55′01″；E111°57′24″</w:t>
      </w:r>
      <w:r>
        <w:rPr>
          <w:rFonts w:hint="eastAsia" w:ascii="Times New Roman" w:hAnsi="Times New Roman" w:cs="Times New Roman"/>
          <w:color w:val="auto"/>
          <w:kern w:val="0"/>
          <w:sz w:val="24"/>
          <w:szCs w:val="24"/>
          <w:highlight w:val="none"/>
          <w:lang w:eastAsia="zh-CN"/>
        </w:rPr>
        <w:t>。</w:t>
      </w:r>
      <w:r>
        <w:rPr>
          <w:rFonts w:hint="eastAsia" w:ascii="Times New Roman" w:hAnsi="Times New Roman" w:cs="Times New Roman"/>
          <w:color w:val="auto"/>
          <w:kern w:val="0"/>
          <w:sz w:val="24"/>
          <w:szCs w:val="24"/>
          <w:highlight w:val="none"/>
          <w:lang w:val="en-US" w:eastAsia="zh-CN"/>
        </w:rPr>
        <w:t>风电场距祁东县距离约20km，距离衡阳市约60km。风电场场区南侧有国道G322和省道S317经过，中部有省道S226经过，对外交通较为便利。</w:t>
      </w:r>
    </w:p>
    <w:p w14:paraId="7DDE1201">
      <w:pPr>
        <w:pStyle w:val="4"/>
        <w:bidi w:val="0"/>
        <w:rPr>
          <w:rFonts w:hint="default" w:ascii="Times New Roman" w:hAnsi="Times New Roman" w:cs="Times New Roman"/>
          <w:color w:val="auto"/>
          <w:highlight w:val="none"/>
        </w:rPr>
      </w:pPr>
      <w:bookmarkStart w:id="72" w:name="_Toc10656"/>
      <w:r>
        <w:rPr>
          <w:rFonts w:hint="eastAsia" w:ascii="Times New Roman" w:hAnsi="Times New Roman" w:cs="Times New Roman"/>
          <w:color w:val="auto"/>
          <w:highlight w:val="none"/>
          <w:lang w:eastAsia="zh-CN"/>
        </w:rPr>
        <w:t>自然环境概况</w:t>
      </w:r>
      <w:bookmarkEnd w:id="72"/>
    </w:p>
    <w:p w14:paraId="3DB3F152">
      <w:pPr>
        <w:pStyle w:val="5"/>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地形地貌</w:t>
      </w:r>
    </w:p>
    <w:p w14:paraId="69B3633C">
      <w:pPr>
        <w:pStyle w:val="54"/>
        <w:autoSpaceDE w:val="0"/>
        <w:autoSpaceDN w:val="0"/>
        <w:adjustRightInd w:val="0"/>
        <w:snapToGrid/>
        <w:spacing w:line="360" w:lineRule="auto"/>
        <w:ind w:firstLine="480"/>
        <w:jc w:val="left"/>
        <w:rPr>
          <w:rFonts w:hint="eastAsia" w:ascii="Times New Roman" w:hAnsi="Times New Roman" w:eastAsia="宋体" w:cs="Times New Roman"/>
          <w:color w:val="auto"/>
          <w:kern w:val="0"/>
          <w:sz w:val="24"/>
          <w:szCs w:val="24"/>
          <w:highlight w:val="none"/>
          <w:lang w:val="en-US" w:eastAsia="zh-CN" w:bidi="ar-SA"/>
        </w:rPr>
      </w:pPr>
      <w:r>
        <w:rPr>
          <w:rFonts w:hint="eastAsia" w:ascii="Times New Roman" w:hAnsi="Times New Roman" w:eastAsia="宋体" w:cs="Times New Roman"/>
          <w:color w:val="auto"/>
          <w:kern w:val="0"/>
          <w:sz w:val="24"/>
          <w:szCs w:val="24"/>
          <w:highlight w:val="none"/>
          <w:lang w:val="en-US" w:eastAsia="zh-CN" w:bidi="ar-SA"/>
        </w:rPr>
        <w:t xml:space="preserve">场址区内地貌类型为构造剥蚀地貌，山顶高程一般在400m～650m之间，沟谷与山脚高程一般为200m～320m，峰谷间相对高差约200m～300m，为丘陵低山区。 </w:t>
      </w:r>
    </w:p>
    <w:p w14:paraId="1EE3D03D">
      <w:pPr>
        <w:bidi w:val="0"/>
        <w:rPr>
          <w:color w:val="auto"/>
          <w:highlight w:val="none"/>
        </w:rPr>
      </w:pPr>
      <w:r>
        <w:rPr>
          <w:rFonts w:hint="eastAsia" w:ascii="Times New Roman" w:hAnsi="Times New Roman" w:eastAsia="宋体" w:cs="Times New Roman"/>
          <w:color w:val="auto"/>
          <w:kern w:val="0"/>
          <w:sz w:val="24"/>
          <w:szCs w:val="24"/>
          <w:highlight w:val="none"/>
          <w:lang w:val="en-US" w:eastAsia="zh-CN" w:bidi="ar-SA"/>
        </w:rPr>
        <w:t>场区北部风电机组布置于近南北走向的山顶(脊)上，场区南部风电机组布置于近东西走向的山顶(脊)上，山体整体较雄厚，拟建工程部位山坡自然坡度一般10°～35°。</w:t>
      </w:r>
    </w:p>
    <w:p w14:paraId="36FCB1D9">
      <w:pPr>
        <w:bidi w:val="0"/>
        <w:ind w:left="0" w:leftChars="0" w:firstLine="0" w:firstLineChars="0"/>
        <w:jc w:val="center"/>
        <w:rPr>
          <w:color w:val="auto"/>
          <w:highlight w:val="none"/>
        </w:rPr>
      </w:pPr>
      <w:r>
        <w:rPr>
          <w:color w:val="auto"/>
          <w:sz w:val="24"/>
          <w:highlight w:val="none"/>
        </w:rPr>
        <mc:AlternateContent>
          <mc:Choice Requires="wpg">
            <w:drawing>
              <wp:anchor distT="0" distB="0" distL="114300" distR="114300" simplePos="0" relativeHeight="251660288" behindDoc="0" locked="0" layoutInCell="1" allowOverlap="1">
                <wp:simplePos x="0" y="0"/>
                <wp:positionH relativeFrom="column">
                  <wp:posOffset>3117215</wp:posOffset>
                </wp:positionH>
                <wp:positionV relativeFrom="paragraph">
                  <wp:posOffset>5785485</wp:posOffset>
                </wp:positionV>
                <wp:extent cx="1638300" cy="1772285"/>
                <wp:effectExtent l="6350" t="0" r="0" b="19050"/>
                <wp:wrapNone/>
                <wp:docPr id="27" name="组合 27"/>
                <wp:cNvGraphicFramePr/>
                <a:graphic xmlns:a="http://schemas.openxmlformats.org/drawingml/2006/main">
                  <a:graphicData uri="http://schemas.microsoft.com/office/word/2010/wordprocessingGroup">
                    <wpg:wgp>
                      <wpg:cNvGrpSpPr/>
                      <wpg:grpSpPr>
                        <a:xfrm>
                          <a:off x="0" y="0"/>
                          <a:ext cx="1638300" cy="1772285"/>
                          <a:chOff x="6591" y="214846"/>
                          <a:chExt cx="2580" cy="2791"/>
                        </a:xfrm>
                      </wpg:grpSpPr>
                      <wps:wsp>
                        <wps:cNvPr id="22" name="椭圆 22"/>
                        <wps:cNvSpPr/>
                        <wps:spPr>
                          <a:xfrm>
                            <a:off x="6591" y="216439"/>
                            <a:ext cx="1913" cy="1198"/>
                          </a:xfrm>
                          <a:prstGeom prst="ellipse">
                            <a:avLst/>
                          </a:prstGeom>
                          <a:noFill/>
                          <a:ln w="12700" cap="flat" cmpd="sng">
                            <a:solidFill>
                              <a:srgbClr val="FF0000"/>
                            </a:solidFill>
                            <a:prstDash val="solid"/>
                            <a:headEnd type="none" w="med" len="med"/>
                            <a:tailEnd type="none" w="med" len="med"/>
                          </a:ln>
                        </wps:spPr>
                        <wps:bodyPr upright="1"/>
                      </wps:wsp>
                      <wps:wsp>
                        <wps:cNvPr id="23" name="文本框 23"/>
                        <wps:cNvSpPr txBox="1"/>
                        <wps:spPr>
                          <a:xfrm>
                            <a:off x="7063" y="216758"/>
                            <a:ext cx="1438" cy="425"/>
                          </a:xfrm>
                          <a:prstGeom prst="rect">
                            <a:avLst/>
                          </a:prstGeom>
                          <a:noFill/>
                          <a:ln>
                            <a:noFill/>
                          </a:ln>
                        </wps:spPr>
                        <wps:txbx>
                          <w:txbxContent>
                            <w:p w14:paraId="56D044F8">
                              <w:pPr>
                                <w:rPr>
                                  <w:rFonts w:hint="default" w:eastAsia="宋体"/>
                                  <w:b/>
                                  <w:bCs/>
                                  <w:color w:val="FF0000"/>
                                  <w:sz w:val="28"/>
                                  <w:szCs w:val="28"/>
                                  <w:lang w:val="en-US" w:eastAsia="zh-CN"/>
                                </w:rPr>
                              </w:pPr>
                              <w:r>
                                <w:rPr>
                                  <w:rFonts w:hint="eastAsia"/>
                                  <w:b/>
                                  <w:bCs/>
                                  <w:color w:val="FF0000"/>
                                  <w:sz w:val="28"/>
                                  <w:szCs w:val="28"/>
                                  <w:lang w:val="en-US" w:eastAsia="zh-CN"/>
                                </w:rPr>
                                <w:t>NC07</w:t>
                              </w:r>
                            </w:p>
                          </w:txbxContent>
                        </wps:txbx>
                        <wps:bodyPr upright="1"/>
                      </wps:wsp>
                      <wpg:grpSp>
                        <wpg:cNvPr id="26" name="组合 26"/>
                        <wpg:cNvGrpSpPr/>
                        <wpg:grpSpPr>
                          <a:xfrm>
                            <a:off x="8195" y="214846"/>
                            <a:ext cx="976" cy="613"/>
                            <a:chOff x="8195" y="214846"/>
                            <a:chExt cx="976" cy="613"/>
                          </a:xfrm>
                        </wpg:grpSpPr>
                        <wps:wsp>
                          <wps:cNvPr id="24" name="椭圆 24"/>
                          <wps:cNvSpPr/>
                          <wps:spPr>
                            <a:xfrm>
                              <a:off x="8384" y="215185"/>
                              <a:ext cx="401" cy="275"/>
                            </a:xfrm>
                            <a:prstGeom prst="ellipse">
                              <a:avLst/>
                            </a:prstGeom>
                            <a:noFill/>
                            <a:ln w="9525" cap="flat" cmpd="sng">
                              <a:solidFill>
                                <a:srgbClr val="FF0000"/>
                              </a:solidFill>
                              <a:prstDash val="solid"/>
                              <a:headEnd type="none" w="med" len="med"/>
                              <a:tailEnd type="none" w="med" len="med"/>
                            </a:ln>
                          </wps:spPr>
                          <wps:bodyPr upright="1"/>
                        </wps:wsp>
                        <wps:wsp>
                          <wps:cNvPr id="25" name="文本框 25"/>
                          <wps:cNvSpPr txBox="1"/>
                          <wps:spPr>
                            <a:xfrm>
                              <a:off x="8195" y="214846"/>
                              <a:ext cx="976" cy="425"/>
                            </a:xfrm>
                            <a:prstGeom prst="rect">
                              <a:avLst/>
                            </a:prstGeom>
                            <a:noFill/>
                            <a:ln>
                              <a:noFill/>
                            </a:ln>
                          </wps:spPr>
                          <wps:txbx>
                            <w:txbxContent>
                              <w:p w14:paraId="6CDB651D">
                                <w:pPr>
                                  <w:rPr>
                                    <w:rFonts w:hint="default" w:eastAsia="宋体"/>
                                    <w:b/>
                                    <w:bCs/>
                                    <w:color w:val="FF0000"/>
                                    <w:sz w:val="21"/>
                                    <w:szCs w:val="21"/>
                                    <w:lang w:val="en-US" w:eastAsia="zh-CN"/>
                                  </w:rPr>
                                </w:pPr>
                                <w:r>
                                  <w:rPr>
                                    <w:rFonts w:hint="eastAsia"/>
                                    <w:b/>
                                    <w:bCs/>
                                    <w:color w:val="FF0000"/>
                                    <w:sz w:val="21"/>
                                    <w:szCs w:val="21"/>
                                    <w:lang w:val="en-US" w:eastAsia="zh-CN"/>
                                  </w:rPr>
                                  <w:t>NC08</w:t>
                                </w:r>
                              </w:p>
                            </w:txbxContent>
                          </wps:txbx>
                          <wps:bodyPr upright="1"/>
                        </wps:wsp>
                      </wpg:grpSp>
                    </wpg:wgp>
                  </a:graphicData>
                </a:graphic>
              </wp:anchor>
            </w:drawing>
          </mc:Choice>
          <mc:Fallback>
            <w:pict>
              <v:group id="_x0000_s1026" o:spid="_x0000_s1026" o:spt="203" style="position:absolute;left:0pt;margin-left:245.45pt;margin-top:455.55pt;height:139.55pt;width:129pt;z-index:251660288;mso-width-relative:page;mso-height-relative:page;" coordorigin="6591,214846" coordsize="2580,2791" o:gfxdata="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">
                <o:lock v:ext="edit" aspectratio="f"/>
                <v:shape id="_x0000_s1026" o:spid="_x0000_s1026" o:spt="3" type="#_x0000_t3" style="position:absolute;left:6591;top:216439;height:1198;width:1913;" filled="f" stroked="t" coordsize="21600,21600" o:gfxdata="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FjKOvQAA&#10;ANsAAAAPAAAAAAAAAAEAIAAAACIAAABkcnMvZG93bnJldi54bWxQSwECFAAUAAAACACHTuJAMy8F&#10;njsAAAA5AAAAEAAAAAAAAAABACAAAAAMAQAAZHJzL3NoYXBleG1sLnhtbFBLBQYAAAAABgAGAFsB&#10;AAC2AwAAAAA=&#10;">
                  <v:fill on="f" focussize="0,0"/>
                  <v:stroke weight="1pt" color="#FF0000" joinstyle="round"/>
                  <v:imagedata o:title=""/>
                  <o:lock v:ext="edit" aspectratio="f"/>
                </v:shape>
                <v:shape id="_x0000_s1026" o:spid="_x0000_s1026" o:spt="202" type="#_x0000_t202" style="position:absolute;left:7063;top:216758;height:425;width:1438;" filled="f" stroked="f" coordsize="21600,21600" o:gfxdata="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DdI8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56D044F8">
                        <w:pPr>
                          <w:rPr>
                            <w:rFonts w:hint="default" w:eastAsia="宋体"/>
                            <w:b/>
                            <w:bCs/>
                            <w:color w:val="FF0000"/>
                            <w:sz w:val="28"/>
                            <w:szCs w:val="28"/>
                            <w:lang w:val="en-US" w:eastAsia="zh-CN"/>
                          </w:rPr>
                        </w:pPr>
                        <w:r>
                          <w:rPr>
                            <w:rFonts w:hint="eastAsia"/>
                            <w:b/>
                            <w:bCs/>
                            <w:color w:val="FF0000"/>
                            <w:sz w:val="28"/>
                            <w:szCs w:val="28"/>
                            <w:lang w:val="en-US" w:eastAsia="zh-CN"/>
                          </w:rPr>
                          <w:t>NC07</w:t>
                        </w:r>
                      </w:p>
                    </w:txbxContent>
                  </v:textbox>
                </v:shape>
                <v:group id="_x0000_s1026" o:spid="_x0000_s1026" o:spt="203" style="position:absolute;left:8195;top:214846;height:613;width:976;" coordorigin="8195,214846" coordsize="976,613" o:gfxdata="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zHZke+AAAA2wAAAA8AAAAAAAAAAQAgAAAAIgAAAGRycy9kb3ducmV2Lnht&#10;bFBLAQIUABQAAAAIAIdO4kAzLwWeOwAAADkAAAAVAAAAAAAAAAEAIAAAAA0BAABkcnMvZ3JvdXBz&#10;aGFwZXhtbC54bWxQSwUGAAAAAAYABgBgAQAAygMAAAAA&#10;">
                  <o:lock v:ext="edit" aspectratio="f"/>
                  <v:shape id="_x0000_s1026" o:spid="_x0000_s1026" o:spt="3" type="#_x0000_t3" style="position:absolute;left:8384;top:215185;height:275;width:401;" filled="f" stroked="t" coordsize="21600,21600" o:gfxdata="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s6sxvQAA&#10;ANsAAAAPAAAAAAAAAAEAIAAAACIAAABkcnMvZG93bnJldi54bWxQSwECFAAUAAAACACHTuJAMy8F&#10;njsAAAA5AAAAEAAAAAAAAAABACAAAAAMAQAAZHJzL3NoYXBleG1sLnhtbFBLBQYAAAAABgAGAFsB&#10;AAC2AwAAAAA=&#10;">
                    <v:fill on="f" focussize="0,0"/>
                    <v:stroke color="#FF0000" joinstyle="round"/>
                    <v:imagedata o:title=""/>
                    <o:lock v:ext="edit" aspectratio="f"/>
                  </v:shape>
                  <v:shape id="_x0000_s1026" o:spid="_x0000_s1026" o:spt="202" type="#_x0000_t202" style="position:absolute;left:8195;top:214846;height:425;width:976;" filled="f" stroked="f" coordsize="21600,21600" o:gfxdata="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qO/T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6CDB651D">
                          <w:pPr>
                            <w:rPr>
                              <w:rFonts w:hint="default" w:eastAsia="宋体"/>
                              <w:b/>
                              <w:bCs/>
                              <w:color w:val="FF0000"/>
                              <w:sz w:val="21"/>
                              <w:szCs w:val="21"/>
                              <w:lang w:val="en-US" w:eastAsia="zh-CN"/>
                            </w:rPr>
                          </w:pPr>
                          <w:r>
                            <w:rPr>
                              <w:rFonts w:hint="eastAsia"/>
                              <w:b/>
                              <w:bCs/>
                              <w:color w:val="FF0000"/>
                              <w:sz w:val="21"/>
                              <w:szCs w:val="21"/>
                              <w:lang w:val="en-US" w:eastAsia="zh-CN"/>
                            </w:rPr>
                            <w:t>NC08</w:t>
                          </w:r>
                        </w:p>
                      </w:txbxContent>
                    </v:textbox>
                  </v:shape>
                </v:group>
              </v:group>
            </w:pict>
          </mc:Fallback>
        </mc:AlternateContent>
      </w:r>
      <w:r>
        <w:rPr>
          <w:color w:val="auto"/>
          <w:sz w:val="24"/>
          <w:highlight w:val="none"/>
        </w:rPr>
        <mc:AlternateContent>
          <mc:Choice Requires="wpg">
            <w:drawing>
              <wp:anchor distT="0" distB="0" distL="114300" distR="114300" simplePos="0" relativeHeight="251662336" behindDoc="0" locked="0" layoutInCell="1" allowOverlap="1">
                <wp:simplePos x="0" y="0"/>
                <wp:positionH relativeFrom="column">
                  <wp:posOffset>3422015</wp:posOffset>
                </wp:positionH>
                <wp:positionV relativeFrom="paragraph">
                  <wp:posOffset>6090285</wp:posOffset>
                </wp:positionV>
                <wp:extent cx="1638300" cy="1772285"/>
                <wp:effectExtent l="6350" t="0" r="0" b="19050"/>
                <wp:wrapNone/>
                <wp:docPr id="39" name="组合 39"/>
                <wp:cNvGraphicFramePr/>
                <a:graphic xmlns:a="http://schemas.openxmlformats.org/drawingml/2006/main">
                  <a:graphicData uri="http://schemas.microsoft.com/office/word/2010/wordprocessingGroup">
                    <wpg:wgp>
                      <wpg:cNvGrpSpPr/>
                      <wpg:grpSpPr>
                        <a:xfrm>
                          <a:off x="0" y="0"/>
                          <a:ext cx="1638300" cy="1772285"/>
                          <a:chOff x="6591" y="214846"/>
                          <a:chExt cx="2580" cy="2791"/>
                        </a:xfrm>
                      </wpg:grpSpPr>
                      <wps:wsp>
                        <wps:cNvPr id="34" name="椭圆 34"/>
                        <wps:cNvSpPr/>
                        <wps:spPr>
                          <a:xfrm>
                            <a:off x="6591" y="216439"/>
                            <a:ext cx="1913" cy="1198"/>
                          </a:xfrm>
                          <a:prstGeom prst="ellipse">
                            <a:avLst/>
                          </a:prstGeom>
                          <a:noFill/>
                          <a:ln w="12700" cap="flat" cmpd="sng">
                            <a:solidFill>
                              <a:srgbClr val="FF0000"/>
                            </a:solidFill>
                            <a:prstDash val="solid"/>
                            <a:headEnd type="none" w="med" len="med"/>
                            <a:tailEnd type="none" w="med" len="med"/>
                          </a:ln>
                        </wps:spPr>
                        <wps:bodyPr upright="1"/>
                      </wps:wsp>
                      <wps:wsp>
                        <wps:cNvPr id="35" name="文本框 35"/>
                        <wps:cNvSpPr txBox="1"/>
                        <wps:spPr>
                          <a:xfrm>
                            <a:off x="7063" y="216758"/>
                            <a:ext cx="1438" cy="425"/>
                          </a:xfrm>
                          <a:prstGeom prst="rect">
                            <a:avLst/>
                          </a:prstGeom>
                          <a:noFill/>
                          <a:ln>
                            <a:noFill/>
                          </a:ln>
                        </wps:spPr>
                        <wps:txbx>
                          <w:txbxContent>
                            <w:p w14:paraId="159CF421">
                              <w:pPr>
                                <w:rPr>
                                  <w:rFonts w:hint="default" w:eastAsia="宋体"/>
                                  <w:b/>
                                  <w:bCs/>
                                  <w:color w:val="FF0000"/>
                                  <w:sz w:val="28"/>
                                  <w:szCs w:val="28"/>
                                  <w:lang w:val="en-US" w:eastAsia="zh-CN"/>
                                </w:rPr>
                              </w:pPr>
                              <w:r>
                                <w:rPr>
                                  <w:rFonts w:hint="eastAsia"/>
                                  <w:b/>
                                  <w:bCs/>
                                  <w:color w:val="FF0000"/>
                                  <w:sz w:val="28"/>
                                  <w:szCs w:val="28"/>
                                  <w:lang w:val="en-US" w:eastAsia="zh-CN"/>
                                </w:rPr>
                                <w:t>NC07</w:t>
                              </w:r>
                            </w:p>
                          </w:txbxContent>
                        </wps:txbx>
                        <wps:bodyPr upright="1"/>
                      </wps:wsp>
                      <wpg:grpSp>
                        <wpg:cNvPr id="38" name="组合 38"/>
                        <wpg:cNvGrpSpPr/>
                        <wpg:grpSpPr>
                          <a:xfrm>
                            <a:off x="8195" y="214846"/>
                            <a:ext cx="976" cy="613"/>
                            <a:chOff x="8195" y="214846"/>
                            <a:chExt cx="976" cy="613"/>
                          </a:xfrm>
                        </wpg:grpSpPr>
                        <wps:wsp>
                          <wps:cNvPr id="36" name="椭圆 36"/>
                          <wps:cNvSpPr/>
                          <wps:spPr>
                            <a:xfrm>
                              <a:off x="8384" y="215185"/>
                              <a:ext cx="401" cy="275"/>
                            </a:xfrm>
                            <a:prstGeom prst="ellipse">
                              <a:avLst/>
                            </a:prstGeom>
                            <a:noFill/>
                            <a:ln w="9525" cap="flat" cmpd="sng">
                              <a:solidFill>
                                <a:srgbClr val="FF0000"/>
                              </a:solidFill>
                              <a:prstDash val="solid"/>
                              <a:headEnd type="none" w="med" len="med"/>
                              <a:tailEnd type="none" w="med" len="med"/>
                            </a:ln>
                          </wps:spPr>
                          <wps:bodyPr upright="1"/>
                        </wps:wsp>
                        <wps:wsp>
                          <wps:cNvPr id="37" name="文本框 37"/>
                          <wps:cNvSpPr txBox="1"/>
                          <wps:spPr>
                            <a:xfrm>
                              <a:off x="8195" y="214846"/>
                              <a:ext cx="976" cy="425"/>
                            </a:xfrm>
                            <a:prstGeom prst="rect">
                              <a:avLst/>
                            </a:prstGeom>
                            <a:noFill/>
                            <a:ln>
                              <a:noFill/>
                            </a:ln>
                          </wps:spPr>
                          <wps:txbx>
                            <w:txbxContent>
                              <w:p w14:paraId="76B2727E">
                                <w:pPr>
                                  <w:rPr>
                                    <w:rFonts w:hint="default" w:eastAsia="宋体"/>
                                    <w:b/>
                                    <w:bCs/>
                                    <w:color w:val="FF0000"/>
                                    <w:sz w:val="21"/>
                                    <w:szCs w:val="21"/>
                                    <w:lang w:val="en-US" w:eastAsia="zh-CN"/>
                                  </w:rPr>
                                </w:pPr>
                                <w:r>
                                  <w:rPr>
                                    <w:rFonts w:hint="eastAsia"/>
                                    <w:b/>
                                    <w:bCs/>
                                    <w:color w:val="FF0000"/>
                                    <w:sz w:val="21"/>
                                    <w:szCs w:val="21"/>
                                    <w:lang w:val="en-US" w:eastAsia="zh-CN"/>
                                  </w:rPr>
                                  <w:t>NC08</w:t>
                                </w:r>
                              </w:p>
                            </w:txbxContent>
                          </wps:txbx>
                          <wps:bodyPr upright="1"/>
                        </wps:wsp>
                      </wpg:grpSp>
                    </wpg:wgp>
                  </a:graphicData>
                </a:graphic>
              </wp:anchor>
            </w:drawing>
          </mc:Choice>
          <mc:Fallback>
            <w:pict>
              <v:group id="_x0000_s1026" o:spid="_x0000_s1026" o:spt="203" style="position:absolute;left:0pt;margin-left:269.45pt;margin-top:479.55pt;height:139.55pt;width:129pt;z-index:251662336;mso-width-relative:page;mso-height-relative:page;" coordorigin="6591,214846" coordsize="2580,2791" o:gfxdata="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">
                <o:lock v:ext="edit" aspectratio="f"/>
                <v:shape id="_x0000_s1026" o:spid="_x0000_s1026" o:spt="3" type="#_x0000_t3" style="position:absolute;left:6591;top:216439;height:1198;width:1913;" filled="f" stroked="t" coordsize="21600,21600" o:gfxdata="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apm8vQAA&#10;ANsAAAAPAAAAAAAAAAEAIAAAACIAAABkcnMvZG93bnJldi54bWxQSwECFAAUAAAACACHTuJAMy8F&#10;njsAAAA5AAAAEAAAAAAAAAABACAAAAAMAQAAZHJzL3NoYXBleG1sLnhtbFBLBQYAAAAABgAGAFsB&#10;AAC2AwAAAAA=&#10;">
                  <v:fill on="f" focussize="0,0"/>
                  <v:stroke weight="1pt" color="#FF0000" joinstyle="round"/>
                  <v:imagedata o:title=""/>
                  <o:lock v:ext="edit" aspectratio="f"/>
                </v:shape>
                <v:shape id="_x0000_s1026" o:spid="_x0000_s1026" o:spt="202" type="#_x0000_t202" style="position:absolute;left:7063;top:216758;height:425;width:1438;" filled="f" stroked="f" coordsize="21600,21600" o:gfxdata="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cXkO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159CF421">
                        <w:pPr>
                          <w:rPr>
                            <w:rFonts w:hint="default" w:eastAsia="宋体"/>
                            <w:b/>
                            <w:bCs/>
                            <w:color w:val="FF0000"/>
                            <w:sz w:val="28"/>
                            <w:szCs w:val="28"/>
                            <w:lang w:val="en-US" w:eastAsia="zh-CN"/>
                          </w:rPr>
                        </w:pPr>
                        <w:r>
                          <w:rPr>
                            <w:rFonts w:hint="eastAsia"/>
                            <w:b/>
                            <w:bCs/>
                            <w:color w:val="FF0000"/>
                            <w:sz w:val="28"/>
                            <w:szCs w:val="28"/>
                            <w:lang w:val="en-US" w:eastAsia="zh-CN"/>
                          </w:rPr>
                          <w:t>NC07</w:t>
                        </w:r>
                      </w:p>
                    </w:txbxContent>
                  </v:textbox>
                </v:shape>
                <v:group id="_x0000_s1026" o:spid="_x0000_s1026" o:spt="203" style="position:absolute;left:8195;top:214846;height:613;width:976;" coordorigin="8195,214846" coordsize="976,613" o:gfxdata="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R83Bc7oAAADbAAAADwAAAAAAAAABACAAAAAiAAAAZHJzL2Rvd25yZXYueG1sUEsB&#10;AhQAFAAAAAgAh07iQDMvBZ47AAAAOQAAABUAAAAAAAAAAQAgAAAACQEAAGRycy9ncm91cHNoYXBl&#10;eG1sLnhtbFBLBQYAAAAABgAGAGABAADGAwAAAAA=&#10;">
                  <o:lock v:ext="edit" aspectratio="f"/>
                  <v:shape id="_x0000_s1026" o:spid="_x0000_s1026" o:spt="3" type="#_x0000_t3" style="position:absolute;left:8384;top:215185;height:275;width:401;" filled="f" stroked="t" coordsize="21600,21600" o:gfxdata="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D0BgC8AAAA&#10;2wAAAA8AAAAAAAAAAQAgAAAAIgAAAGRycy9kb3ducmV2LnhtbFBLAQIUABQAAAAIAIdO4kAzLwWe&#10;OwAAADkAAAAQAAAAAAAAAAEAIAAAAAsBAABkcnMvc2hhcGV4bWwueG1sUEsFBgAAAAAGAAYAWwEA&#10;ALUDAAAAAA==&#10;">
                    <v:fill on="f" focussize="0,0"/>
                    <v:stroke color="#FF0000" joinstyle="round"/>
                    <v:imagedata o:title=""/>
                    <o:lock v:ext="edit" aspectratio="f"/>
                  </v:shape>
                  <v:shape id="_x0000_s1026" o:spid="_x0000_s1026" o:spt="202" type="#_x0000_t202" style="position:absolute;left:8195;top:214846;height:425;width:976;" filled="f" stroked="f" coordsize="21600,21600" o:gfxdata="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fvQuK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76B2727E">
                          <w:pPr>
                            <w:rPr>
                              <w:rFonts w:hint="default" w:eastAsia="宋体"/>
                              <w:b/>
                              <w:bCs/>
                              <w:color w:val="FF0000"/>
                              <w:sz w:val="21"/>
                              <w:szCs w:val="21"/>
                              <w:lang w:val="en-US" w:eastAsia="zh-CN"/>
                            </w:rPr>
                          </w:pPr>
                          <w:r>
                            <w:rPr>
                              <w:rFonts w:hint="eastAsia"/>
                              <w:b/>
                              <w:bCs/>
                              <w:color w:val="FF0000"/>
                              <w:sz w:val="21"/>
                              <w:szCs w:val="21"/>
                              <w:lang w:val="en-US" w:eastAsia="zh-CN"/>
                            </w:rPr>
                            <w:t>NC08</w:t>
                          </w:r>
                        </w:p>
                      </w:txbxContent>
                    </v:textbox>
                  </v:shape>
                </v:group>
              </v:group>
            </w:pict>
          </mc:Fallback>
        </mc:AlternateContent>
      </w:r>
      <w:r>
        <w:rPr>
          <w:color w:val="auto"/>
          <w:highlight w:val="none"/>
        </w:rPr>
        <w:drawing>
          <wp:inline distT="0" distB="0" distL="114300" distR="114300">
            <wp:extent cx="5064760" cy="3806825"/>
            <wp:effectExtent l="0" t="0" r="2540" b="3175"/>
            <wp:docPr id="4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6"/>
                    <pic:cNvPicPr>
                      <a:picLocks noChangeAspect="1"/>
                    </pic:cNvPicPr>
                  </pic:nvPicPr>
                  <pic:blipFill>
                    <a:blip r:embed="rId24"/>
                    <a:stretch>
                      <a:fillRect/>
                    </a:stretch>
                  </pic:blipFill>
                  <pic:spPr>
                    <a:xfrm>
                      <a:off x="0" y="0"/>
                      <a:ext cx="5064760" cy="3806825"/>
                    </a:xfrm>
                    <a:prstGeom prst="rect">
                      <a:avLst/>
                    </a:prstGeom>
                    <a:noFill/>
                    <a:ln>
                      <a:noFill/>
                    </a:ln>
                  </pic:spPr>
                </pic:pic>
              </a:graphicData>
            </a:graphic>
          </wp:inline>
        </w:drawing>
      </w:r>
    </w:p>
    <w:p w14:paraId="6C0F870F">
      <w:pPr>
        <w:bidi w:val="0"/>
        <w:ind w:left="0" w:leftChars="0" w:firstLine="0" w:firstLineChars="0"/>
        <w:jc w:val="center"/>
        <w:rPr>
          <w:color w:val="auto"/>
          <w:highlight w:val="none"/>
        </w:rPr>
      </w:pPr>
      <w:r>
        <w:rPr>
          <w:rFonts w:hint="eastAsia"/>
          <w:b/>
          <w:bCs/>
          <w:color w:val="auto"/>
          <w:highlight w:val="none"/>
          <w:lang w:val="en-US" w:eastAsia="zh-CN"/>
        </w:rPr>
        <w:t>图5.2-1  7#、8#风机点位附近现状</w:t>
      </w:r>
      <w:r>
        <w:rPr>
          <w:color w:val="auto"/>
          <w:sz w:val="24"/>
          <w:highlight w:val="none"/>
        </w:rPr>
        <mc:AlternateContent>
          <mc:Choice Requires="wpg">
            <w:drawing>
              <wp:anchor distT="0" distB="0" distL="114300" distR="114300" simplePos="0" relativeHeight="251661312" behindDoc="0" locked="0" layoutInCell="1" allowOverlap="1">
                <wp:simplePos x="0" y="0"/>
                <wp:positionH relativeFrom="column">
                  <wp:posOffset>3269615</wp:posOffset>
                </wp:positionH>
                <wp:positionV relativeFrom="paragraph">
                  <wp:posOffset>5937885</wp:posOffset>
                </wp:positionV>
                <wp:extent cx="1638300" cy="1772285"/>
                <wp:effectExtent l="6350" t="0" r="0" b="19050"/>
                <wp:wrapNone/>
                <wp:docPr id="33" name="组合 33"/>
                <wp:cNvGraphicFramePr/>
                <a:graphic xmlns:a="http://schemas.openxmlformats.org/drawingml/2006/main">
                  <a:graphicData uri="http://schemas.microsoft.com/office/word/2010/wordprocessingGroup">
                    <wpg:wgp>
                      <wpg:cNvGrpSpPr/>
                      <wpg:grpSpPr>
                        <a:xfrm>
                          <a:off x="0" y="0"/>
                          <a:ext cx="1638300" cy="1772285"/>
                          <a:chOff x="6591" y="214846"/>
                          <a:chExt cx="2580" cy="2791"/>
                        </a:xfrm>
                      </wpg:grpSpPr>
                      <wps:wsp>
                        <wps:cNvPr id="28" name="椭圆 28"/>
                        <wps:cNvSpPr/>
                        <wps:spPr>
                          <a:xfrm>
                            <a:off x="6591" y="216439"/>
                            <a:ext cx="1913" cy="1198"/>
                          </a:xfrm>
                          <a:prstGeom prst="ellipse">
                            <a:avLst/>
                          </a:prstGeom>
                          <a:noFill/>
                          <a:ln w="12700" cap="flat" cmpd="sng">
                            <a:solidFill>
                              <a:srgbClr val="FF0000"/>
                            </a:solidFill>
                            <a:prstDash val="solid"/>
                            <a:headEnd type="none" w="med" len="med"/>
                            <a:tailEnd type="none" w="med" len="med"/>
                          </a:ln>
                        </wps:spPr>
                        <wps:bodyPr upright="1"/>
                      </wps:wsp>
                      <wps:wsp>
                        <wps:cNvPr id="29" name="文本框 29"/>
                        <wps:cNvSpPr txBox="1"/>
                        <wps:spPr>
                          <a:xfrm>
                            <a:off x="7063" y="216758"/>
                            <a:ext cx="1438" cy="425"/>
                          </a:xfrm>
                          <a:prstGeom prst="rect">
                            <a:avLst/>
                          </a:prstGeom>
                          <a:noFill/>
                          <a:ln>
                            <a:noFill/>
                          </a:ln>
                        </wps:spPr>
                        <wps:txbx>
                          <w:txbxContent>
                            <w:p w14:paraId="7DD2F9D9">
                              <w:pPr>
                                <w:rPr>
                                  <w:rFonts w:hint="default" w:eastAsia="宋体"/>
                                  <w:b/>
                                  <w:bCs/>
                                  <w:color w:val="FF0000"/>
                                  <w:sz w:val="28"/>
                                  <w:szCs w:val="28"/>
                                  <w:lang w:val="en-US" w:eastAsia="zh-CN"/>
                                </w:rPr>
                              </w:pPr>
                              <w:r>
                                <w:rPr>
                                  <w:rFonts w:hint="eastAsia"/>
                                  <w:b/>
                                  <w:bCs/>
                                  <w:color w:val="FF0000"/>
                                  <w:sz w:val="28"/>
                                  <w:szCs w:val="28"/>
                                  <w:lang w:val="en-US" w:eastAsia="zh-CN"/>
                                </w:rPr>
                                <w:t>NC07</w:t>
                              </w:r>
                            </w:p>
                          </w:txbxContent>
                        </wps:txbx>
                        <wps:bodyPr upright="1"/>
                      </wps:wsp>
                      <wpg:grpSp>
                        <wpg:cNvPr id="32" name="组合 32"/>
                        <wpg:cNvGrpSpPr/>
                        <wpg:grpSpPr>
                          <a:xfrm>
                            <a:off x="8195" y="214846"/>
                            <a:ext cx="976" cy="613"/>
                            <a:chOff x="8195" y="214846"/>
                            <a:chExt cx="976" cy="613"/>
                          </a:xfrm>
                        </wpg:grpSpPr>
                        <wps:wsp>
                          <wps:cNvPr id="30" name="椭圆 30"/>
                          <wps:cNvSpPr/>
                          <wps:spPr>
                            <a:xfrm>
                              <a:off x="8384" y="215185"/>
                              <a:ext cx="401" cy="275"/>
                            </a:xfrm>
                            <a:prstGeom prst="ellipse">
                              <a:avLst/>
                            </a:prstGeom>
                            <a:noFill/>
                            <a:ln w="9525" cap="flat" cmpd="sng">
                              <a:solidFill>
                                <a:srgbClr val="FF0000"/>
                              </a:solidFill>
                              <a:prstDash val="solid"/>
                              <a:headEnd type="none" w="med" len="med"/>
                              <a:tailEnd type="none" w="med" len="med"/>
                            </a:ln>
                          </wps:spPr>
                          <wps:bodyPr upright="1"/>
                        </wps:wsp>
                        <wps:wsp>
                          <wps:cNvPr id="31" name="文本框 31"/>
                          <wps:cNvSpPr txBox="1"/>
                          <wps:spPr>
                            <a:xfrm>
                              <a:off x="8195" y="214846"/>
                              <a:ext cx="976" cy="425"/>
                            </a:xfrm>
                            <a:prstGeom prst="rect">
                              <a:avLst/>
                            </a:prstGeom>
                            <a:noFill/>
                            <a:ln>
                              <a:noFill/>
                            </a:ln>
                          </wps:spPr>
                          <wps:txbx>
                            <w:txbxContent>
                              <w:p w14:paraId="711DF8D4">
                                <w:pPr>
                                  <w:rPr>
                                    <w:rFonts w:hint="default" w:eastAsia="宋体"/>
                                    <w:b/>
                                    <w:bCs/>
                                    <w:color w:val="FF0000"/>
                                    <w:sz w:val="21"/>
                                    <w:szCs w:val="21"/>
                                    <w:lang w:val="en-US" w:eastAsia="zh-CN"/>
                                  </w:rPr>
                                </w:pPr>
                                <w:r>
                                  <w:rPr>
                                    <w:rFonts w:hint="eastAsia"/>
                                    <w:b/>
                                    <w:bCs/>
                                    <w:color w:val="FF0000"/>
                                    <w:sz w:val="21"/>
                                    <w:szCs w:val="21"/>
                                    <w:lang w:val="en-US" w:eastAsia="zh-CN"/>
                                  </w:rPr>
                                  <w:t>NC08</w:t>
                                </w:r>
                              </w:p>
                            </w:txbxContent>
                          </wps:txbx>
                          <wps:bodyPr upright="1"/>
                        </wps:wsp>
                      </wpg:grpSp>
                    </wpg:wgp>
                  </a:graphicData>
                </a:graphic>
              </wp:anchor>
            </w:drawing>
          </mc:Choice>
          <mc:Fallback>
            <w:pict>
              <v:group id="_x0000_s1026" o:spid="_x0000_s1026" o:spt="203" style="position:absolute;left:0pt;margin-left:257.45pt;margin-top:467.55pt;height:139.55pt;width:129pt;z-index:251661312;mso-width-relative:page;mso-height-relative:page;" coordorigin="6591,214846" coordsize="2580,2791" o:gfxdata="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">
                <o:lock v:ext="edit" aspectratio="f"/>
                <v:shape id="_x0000_s1026" o:spid="_x0000_s1026" o:spt="3" type="#_x0000_t3" style="position:absolute;left:6591;top:216439;height:1198;width:1913;" filled="f" stroked="t" coordsize="21600,21600" o:gfxdata="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b+BWS5AAAA2wAA&#10;AA8AAAAAAAAAAQAgAAAAIgAAAGRycy9kb3ducmV2LnhtbFBLAQIUABQAAAAIAIdO4kAzLwWeOwAA&#10;ADkAAAAQAAAAAAAAAAEAIAAAAAgBAABkcnMvc2hhcGV4bWwueG1sUEsFBgAAAAAGAAYAWwEAALID&#10;AAAAAA==&#10;">
                  <v:fill on="f" focussize="0,0"/>
                  <v:stroke weight="1pt" color="#FF0000" joinstyle="round"/>
                  <v:imagedata o:title=""/>
                  <o:lock v:ext="edit" aspectratio="f"/>
                </v:shape>
                <v:shape id="_x0000_s1026" o:spid="_x0000_s1026" o:spt="202" type="#_x0000_t202" style="position:absolute;left:7063;top:216758;height:425;width:1438;" filled="f" stroked="f" coordsize="21600,21600" o:gfxdata="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OXl1rsAAADb&#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7DD2F9D9">
                        <w:pPr>
                          <w:rPr>
                            <w:rFonts w:hint="default" w:eastAsia="宋体"/>
                            <w:b/>
                            <w:bCs/>
                            <w:color w:val="FF0000"/>
                            <w:sz w:val="28"/>
                            <w:szCs w:val="28"/>
                            <w:lang w:val="en-US" w:eastAsia="zh-CN"/>
                          </w:rPr>
                        </w:pPr>
                        <w:r>
                          <w:rPr>
                            <w:rFonts w:hint="eastAsia"/>
                            <w:b/>
                            <w:bCs/>
                            <w:color w:val="FF0000"/>
                            <w:sz w:val="28"/>
                            <w:szCs w:val="28"/>
                            <w:lang w:val="en-US" w:eastAsia="zh-CN"/>
                          </w:rPr>
                          <w:t>NC07</w:t>
                        </w:r>
                      </w:p>
                    </w:txbxContent>
                  </v:textbox>
                </v:shape>
                <v:group id="_x0000_s1026" o:spid="_x0000_s1026" o:spt="203" style="position:absolute;left:8195;top:214846;height:613;width:976;" coordorigin="8195,214846" coordsize="976,613" o:gfxdata="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iX2mb0AAADbAAAADwAAAAAAAAABACAAAAAiAAAAZHJzL2Rvd25yZXYueG1s&#10;UEsBAhQAFAAAAAgAh07iQDMvBZ47AAAAOQAAABUAAAAAAAAAAQAgAAAADAEAAGRycy9ncm91cHNo&#10;YXBleG1sLnhtbFBLBQYAAAAABgAGAGABAADJAwAAAAA=&#10;">
                  <o:lock v:ext="edit" aspectratio="f"/>
                  <v:shape id="_x0000_s1026" o:spid="_x0000_s1026" o:spt="3" type="#_x0000_t3" style="position:absolute;left:8384;top:215185;height:275;width:401;" filled="f" stroked="t" coordsize="21600,21600" o:gfxdata="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BRO++5AAAA2wAA&#10;AA8AAAAAAAAAAQAgAAAAIgAAAGRycy9kb3ducmV2LnhtbFBLAQIUABQAAAAIAIdO4kAzLwWeOwAA&#10;ADkAAAAQAAAAAAAAAAEAIAAAAAgBAABkcnMvc2hhcGV4bWwueG1sUEsFBgAAAAAGAAYAWwEAALID&#10;AAAAAA==&#10;">
                    <v:fill on="f" focussize="0,0"/>
                    <v:stroke color="#FF0000" joinstyle="round"/>
                    <v:imagedata o:title=""/>
                    <o:lock v:ext="edit" aspectratio="f"/>
                  </v:shape>
                  <v:shape id="_x0000_s1026" o:spid="_x0000_s1026" o:spt="202" type="#_x0000_t202" style="position:absolute;left:8195;top:214846;height:425;width:976;" filled="f" stroked="f" coordsize="21600,21600" o:gfxdata="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n8N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711DF8D4">
                          <w:pPr>
                            <w:rPr>
                              <w:rFonts w:hint="default" w:eastAsia="宋体"/>
                              <w:b/>
                              <w:bCs/>
                              <w:color w:val="FF0000"/>
                              <w:sz w:val="21"/>
                              <w:szCs w:val="21"/>
                              <w:lang w:val="en-US" w:eastAsia="zh-CN"/>
                            </w:rPr>
                          </w:pPr>
                          <w:r>
                            <w:rPr>
                              <w:rFonts w:hint="eastAsia"/>
                              <w:b/>
                              <w:bCs/>
                              <w:color w:val="FF0000"/>
                              <w:sz w:val="21"/>
                              <w:szCs w:val="21"/>
                              <w:lang w:val="en-US" w:eastAsia="zh-CN"/>
                            </w:rPr>
                            <w:t>NC08</w:t>
                          </w:r>
                        </w:p>
                      </w:txbxContent>
                    </v:textbox>
                  </v:shape>
                </v:group>
              </v:group>
            </w:pict>
          </mc:Fallback>
        </mc:AlternateContent>
      </w:r>
    </w:p>
    <w:p w14:paraId="3585C261">
      <w:pPr>
        <w:pStyle w:val="30"/>
        <w:ind w:left="0" w:leftChars="0" w:firstLine="0" w:firstLineChars="0"/>
        <w:jc w:val="center"/>
        <w:rPr>
          <w:rFonts w:hint="eastAsia"/>
          <w:color w:val="auto"/>
          <w:highlight w:val="none"/>
          <w:lang w:val="en-US" w:eastAsia="zh-CN"/>
        </w:rPr>
      </w:pPr>
      <w:r>
        <w:rPr>
          <w:color w:val="auto"/>
          <w:highlight w:val="none"/>
        </w:rPr>
        <w:drawing>
          <wp:inline distT="0" distB="0" distL="114300" distR="114300">
            <wp:extent cx="5269865" cy="3954145"/>
            <wp:effectExtent l="0" t="0" r="6985" b="8255"/>
            <wp:docPr id="4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7"/>
                    <pic:cNvPicPr>
                      <a:picLocks noChangeAspect="1"/>
                    </pic:cNvPicPr>
                  </pic:nvPicPr>
                  <pic:blipFill>
                    <a:blip r:embed="rId25"/>
                    <a:stretch>
                      <a:fillRect/>
                    </a:stretch>
                  </pic:blipFill>
                  <pic:spPr>
                    <a:xfrm>
                      <a:off x="0" y="0"/>
                      <a:ext cx="5269865" cy="3954145"/>
                    </a:xfrm>
                    <a:prstGeom prst="rect">
                      <a:avLst/>
                    </a:prstGeom>
                    <a:noFill/>
                    <a:ln>
                      <a:noFill/>
                    </a:ln>
                  </pic:spPr>
                </pic:pic>
              </a:graphicData>
            </a:graphic>
          </wp:inline>
        </w:drawing>
      </w:r>
      <w:r>
        <w:rPr>
          <w:rFonts w:hint="eastAsia"/>
          <w:b/>
          <w:bCs/>
          <w:color w:val="auto"/>
          <w:highlight w:val="none"/>
          <w:lang w:val="en-US" w:eastAsia="zh-CN"/>
        </w:rPr>
        <w:t>图5.2-2  16#风机点位附近现状</w:t>
      </w:r>
    </w:p>
    <w:p w14:paraId="3088ED81">
      <w:pPr>
        <w:pStyle w:val="5"/>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地质</w:t>
      </w:r>
    </w:p>
    <w:p w14:paraId="3EF26854">
      <w:pPr>
        <w:pStyle w:val="30"/>
        <w:rPr>
          <w:rFonts w:hint="eastAsia"/>
          <w:color w:val="auto"/>
          <w:highlight w:val="none"/>
          <w:lang w:val="en-US" w:eastAsia="zh-CN"/>
        </w:rPr>
      </w:pPr>
      <w:r>
        <w:rPr>
          <w:rFonts w:hint="eastAsia"/>
          <w:color w:val="auto"/>
          <w:highlight w:val="none"/>
          <w:lang w:val="en-US" w:eastAsia="zh-CN"/>
        </w:rPr>
        <w:t>根据区域地质资料、现场地质测绘和钻探揭露，场区山(顶)脊局部基岩裸露，第四系残坡积覆盖层广泛分布，下伏基岩为上古生界石炭系下统(C1)、泥盆系上统锡矿山组下段(D3x 1)灰岩、自云质灰岩：上古生界泥盆系上统锡矿山组上段(D3x2)粉砂岩：上古生界二迭系上统斗岭组(P2d1)、下统(P1)页岩砂质页岩。</w:t>
      </w:r>
    </w:p>
    <w:p w14:paraId="43579F71">
      <w:pPr>
        <w:pStyle w:val="30"/>
        <w:rPr>
          <w:rFonts w:hint="eastAsia"/>
          <w:color w:val="auto"/>
          <w:highlight w:val="none"/>
          <w:lang w:val="en-US" w:eastAsia="zh-CN"/>
        </w:rPr>
      </w:pPr>
      <w:r>
        <w:rPr>
          <w:rFonts w:hint="eastAsia"/>
          <w:color w:val="auto"/>
          <w:highlight w:val="none"/>
          <w:lang w:val="en-US" w:eastAsia="zh-CN"/>
        </w:rPr>
        <w:t>场区整体起伏不大，地表大部分被第四系所覆盖，植被覆盖率高，山顶少见裸露基岩，风机位边坡总体稳定性较好。通过现场地质调查和对已有成果资料的研究分析，未发现大规模崩塌、滑坡、泥石流等不良地质作用与地质灾害分布，不存在可液化土和特殊性岩土层。</w:t>
      </w:r>
    </w:p>
    <w:p w14:paraId="5DDC1ACE">
      <w:pPr>
        <w:pStyle w:val="30"/>
        <w:rPr>
          <w:rFonts w:hint="eastAsia"/>
          <w:color w:val="auto"/>
          <w:highlight w:val="none"/>
          <w:lang w:val="en-US" w:eastAsia="zh-CN"/>
        </w:rPr>
      </w:pPr>
      <w:r>
        <w:rPr>
          <w:rFonts w:hint="eastAsia"/>
          <w:color w:val="auto"/>
          <w:highlight w:val="none"/>
          <w:lang w:val="en-US" w:eastAsia="zh-CN"/>
        </w:rPr>
        <w:t>场区不良地质作用主要为岩体的不均匀风化，残坡积与强风化岩层厚度变化较大，个别风机位钻孔揭露残坡积层残留较多碎块石，次为灰岩、白云质灰岩的岩溶现象，现场调查表明区内岩溶不甚发育，地表未发现有溶蚀落水洞、溶洞，主要岩洞现象为溶沟、溶槽、岩溶裂隙等:部分灰岩、白云质灰岩区域山体表面可见较多孤石分布，块径最大达2.0m以上，少数人工边坡上部浅表层可能发生小型坍塌、坍滑等。</w:t>
      </w:r>
    </w:p>
    <w:p w14:paraId="6E60C992">
      <w:pPr>
        <w:bidi w:val="0"/>
        <w:rPr>
          <w:color w:val="auto"/>
          <w:highlight w:val="none"/>
        </w:rPr>
      </w:pPr>
      <w:r>
        <w:rPr>
          <w:rFonts w:hint="eastAsia"/>
          <w:color w:val="auto"/>
          <w:highlight w:val="none"/>
          <w:lang w:val="en-US" w:eastAsia="zh-CN"/>
        </w:rPr>
        <w:t>根据《中国地震动参数区划图》(GB18306-2015)，工程区在Ⅱ类场地条件下50年基准期超越概率10%的地震动峰值加速度为0.05g，相应的地震基本烈度为VI度，地震动反应谱特征周期为0.35s。</w:t>
      </w:r>
    </w:p>
    <w:p w14:paraId="75866BD1">
      <w:pPr>
        <w:pStyle w:val="5"/>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气候气象</w:t>
      </w:r>
    </w:p>
    <w:p w14:paraId="597FC2FB">
      <w:pPr>
        <w:bidi w:val="0"/>
        <w:rPr>
          <w:color w:val="auto"/>
          <w:highlight w:val="none"/>
        </w:rPr>
      </w:pPr>
      <w:r>
        <w:rPr>
          <w:rFonts w:hint="eastAsia"/>
          <w:color w:val="auto"/>
          <w:highlight w:val="none"/>
        </w:rPr>
        <w:t>祁东县属季风湿润气候区，本工程气象资料来自</w:t>
      </w:r>
      <w:r>
        <w:rPr>
          <w:rFonts w:hint="eastAsia"/>
          <w:color w:val="auto"/>
          <w:highlight w:val="none"/>
          <w:lang w:val="en-US" w:eastAsia="zh-CN"/>
        </w:rPr>
        <w:t>耒阳</w:t>
      </w:r>
      <w:r>
        <w:rPr>
          <w:rFonts w:hint="eastAsia"/>
          <w:color w:val="auto"/>
          <w:highlight w:val="none"/>
        </w:rPr>
        <w:t>气象站，根据阳气象站近32年(1980年～2012年)系列长度气象资料进行统计，多年平均气温18.1℃，年平均日照时数1608h，无霜期287d，年平均雾日14d，年均蒸发量1453mm，多年平均风速2.0m/s，主导风向为NNW，年大风日数为2d，常年平均降水量为1381.4mm，20年一遇平均1h降雨量为67.47mm。10年一遇1h最大降雨量为58.89mm，降雨主要集中在4月～9月。</w:t>
      </w:r>
    </w:p>
    <w:p w14:paraId="0FB54383">
      <w:pPr>
        <w:pStyle w:val="5"/>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水文</w:t>
      </w:r>
    </w:p>
    <w:p w14:paraId="0399F524">
      <w:pPr>
        <w:pStyle w:val="30"/>
        <w:rPr>
          <w:rFonts w:hint="eastAsia"/>
          <w:color w:val="auto"/>
          <w:highlight w:val="none"/>
          <w:lang w:val="en-US" w:eastAsia="zh-CN"/>
        </w:rPr>
      </w:pPr>
      <w:r>
        <w:rPr>
          <w:rFonts w:hint="eastAsia"/>
          <w:color w:val="auto"/>
          <w:highlight w:val="none"/>
          <w:lang w:val="en-US" w:eastAsia="zh-CN"/>
        </w:rPr>
        <w:t>祁东县属湘江流域。境内有湘江一级支流6条，长达278km．二级支流17条，长达407.4km，三级支流23条，长达237.9km，四级支流2条，长24.3km。此外，河长小于5km或控制流域面积不足10km²的小溪沟有210条，长513km。</w:t>
      </w:r>
    </w:p>
    <w:p w14:paraId="78958192">
      <w:pPr>
        <w:pStyle w:val="30"/>
        <w:rPr>
          <w:rFonts w:hint="eastAsia"/>
          <w:color w:val="auto"/>
          <w:highlight w:val="none"/>
          <w:lang w:val="en-US" w:eastAsia="zh-CN"/>
        </w:rPr>
      </w:pPr>
      <w:r>
        <w:rPr>
          <w:rFonts w:hint="eastAsia"/>
          <w:color w:val="auto"/>
          <w:highlight w:val="none"/>
          <w:lang w:val="en-US" w:eastAsia="zh-CN"/>
        </w:rPr>
        <w:t>境内水系可分祁水水系和白河水系，二水系以白地市的花屋、毛坪、七宝山一带的抬升地段为分水岭，祁水居西，白河居东。工程区无大的河流通过，地表近东西向短浅冲沟较发育，少量冲沟常年有水流，大部分为干沟，水量受大气降水影响较大。</w:t>
      </w:r>
    </w:p>
    <w:p w14:paraId="5569E2E7">
      <w:pPr>
        <w:pStyle w:val="3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根据现场踏勘，项目区域内地表水体主要有炳溪冲水库及寿岭冲水库，两水库均为小(1)型水库，其中：炳溪冲水库水库是一座以灌溉为主，结合防洪、供水、发电、养殖等综合利用的小(1)型水利工程，坝址控制流域面积9.8km²，总库容350.50万m³，正常水位232.48m，正常库容310万m³；寿岭冲水库是一座以灌溉为主，兼有防洪、养殖效益的小(1)型水库，坝址控制流域面积7.6km²，正常水位198.68m，正常库容236万m³，总库容269.85万m³。</w:t>
      </w:r>
    </w:p>
    <w:p w14:paraId="0C9EF0BE">
      <w:pPr>
        <w:pStyle w:val="30"/>
        <w:rPr>
          <w:rFonts w:hint="eastAsia"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另有刘家冲水库饮用水源地、3处山溪水饮用水源地、双江口小溪及车壁塘河。</w:t>
      </w:r>
    </w:p>
    <w:p w14:paraId="097558FD">
      <w:pPr>
        <w:pStyle w:val="30"/>
        <w:rPr>
          <w:rFonts w:hint="eastAsia"/>
          <w:color w:val="auto"/>
          <w:highlight w:val="none"/>
          <w:lang w:val="en-US" w:eastAsia="zh-CN"/>
        </w:rPr>
      </w:pPr>
      <w:r>
        <w:rPr>
          <w:rFonts w:hint="eastAsia"/>
          <w:color w:val="auto"/>
          <w:highlight w:val="none"/>
          <w:lang w:eastAsia="zh-CN"/>
        </w:rPr>
        <w:t>刘家冲水库为</w:t>
      </w:r>
      <w:r>
        <w:rPr>
          <w:rFonts w:hint="eastAsia"/>
          <w:color w:val="auto"/>
          <w:highlight w:val="none"/>
          <w:lang w:val="en-US" w:eastAsia="zh-CN"/>
        </w:rPr>
        <w:t>小(</w:t>
      </w:r>
      <w:r>
        <w:rPr>
          <w:rFonts w:hint="default"/>
          <w:color w:val="auto"/>
          <w:highlight w:val="none"/>
        </w:rPr>
        <w:t>Ⅱ</w:t>
      </w:r>
      <w:r>
        <w:rPr>
          <w:rFonts w:hint="eastAsia"/>
          <w:color w:val="auto"/>
          <w:highlight w:val="none"/>
          <w:lang w:val="en-US" w:eastAsia="zh-CN"/>
        </w:rPr>
        <w:t>)型水库，总库容97.50万m</w:t>
      </w:r>
      <w:r>
        <w:rPr>
          <w:rFonts w:hint="eastAsia"/>
          <w:color w:val="auto"/>
          <w:highlight w:val="none"/>
          <w:vertAlign w:val="superscript"/>
          <w:lang w:val="en-US" w:eastAsia="zh-CN"/>
        </w:rPr>
        <w:t>3</w:t>
      </w:r>
      <w:r>
        <w:rPr>
          <w:rFonts w:hint="eastAsia"/>
          <w:color w:val="auto"/>
          <w:highlight w:val="none"/>
          <w:lang w:val="en-US" w:eastAsia="zh-CN"/>
        </w:rPr>
        <w:t>，功能以灌溉为主，结合防洪、供水、发电等；</w:t>
      </w:r>
    </w:p>
    <w:p w14:paraId="52D07481">
      <w:pPr>
        <w:pStyle w:val="30"/>
        <w:rPr>
          <w:rFonts w:hint="default"/>
          <w:color w:val="auto"/>
          <w:highlight w:val="none"/>
          <w:lang w:val="en-US" w:eastAsia="zh-CN"/>
        </w:rPr>
      </w:pPr>
      <w:r>
        <w:rPr>
          <w:rFonts w:hint="eastAsia"/>
          <w:color w:val="auto"/>
          <w:highlight w:val="none"/>
          <w:lang w:val="en-US" w:eastAsia="zh-CN"/>
        </w:rPr>
        <w:t>3处山溪水饮用水源地分别为祁东县马杜桥乡延塘村山溪饮用水水源地、祁东县马杜桥乡马杜桥村（罗江桥）山溪饮用水水源地及祁东县马杜桥乡山溪水饮用水水源地，均为山间小溪，水面宽约0.5m，主要功能为饮用水源。</w:t>
      </w:r>
    </w:p>
    <w:p w14:paraId="6BAD7DD2">
      <w:pPr>
        <w:pStyle w:val="30"/>
        <w:rPr>
          <w:rFonts w:hint="eastAsia"/>
          <w:color w:val="auto"/>
          <w:highlight w:val="none"/>
          <w:lang w:val="en-US" w:eastAsia="zh-CN"/>
        </w:rPr>
      </w:pPr>
      <w:r>
        <w:rPr>
          <w:rFonts w:hint="eastAsia"/>
          <w:color w:val="auto"/>
          <w:highlight w:val="none"/>
          <w:lang w:val="en-US" w:eastAsia="zh-CN"/>
        </w:rPr>
        <w:t>双江口小溪为农村小溪沟，宽0.5m，水深0.4m，平均流速0.34m/s，农业用水，无饮水功能；</w:t>
      </w:r>
    </w:p>
    <w:p w14:paraId="112DED0F">
      <w:pPr>
        <w:bidi w:val="0"/>
        <w:rPr>
          <w:color w:val="auto"/>
          <w:highlight w:val="none"/>
        </w:rPr>
      </w:pPr>
      <w:r>
        <w:rPr>
          <w:rFonts w:hint="eastAsia"/>
          <w:color w:val="auto"/>
          <w:highlight w:val="none"/>
          <w:lang w:val="en-US" w:eastAsia="zh-CN"/>
        </w:rPr>
        <w:t>车壁塘河为小河，宽11~24m，水深1.5m，平均流速0.98m/s，农业用水，无饮水功能。</w:t>
      </w:r>
    </w:p>
    <w:p w14:paraId="1508BF1E">
      <w:pPr>
        <w:pStyle w:val="4"/>
        <w:bidi w:val="0"/>
        <w:rPr>
          <w:rFonts w:hint="default" w:ascii="Times New Roman" w:hAnsi="Times New Roman" w:cs="Times New Roman"/>
          <w:color w:val="auto"/>
          <w:highlight w:val="none"/>
        </w:rPr>
      </w:pPr>
      <w:bookmarkStart w:id="73" w:name="_Toc12864"/>
      <w:r>
        <w:rPr>
          <w:rFonts w:hint="eastAsia" w:ascii="Times New Roman" w:hAnsi="Times New Roman" w:cs="Times New Roman"/>
          <w:color w:val="auto"/>
          <w:highlight w:val="none"/>
          <w:lang w:val="en-US" w:eastAsia="zh-CN"/>
        </w:rPr>
        <w:t>生态环境现状调查与评价</w:t>
      </w:r>
      <w:bookmarkEnd w:id="73"/>
    </w:p>
    <w:p w14:paraId="1AF68DD6">
      <w:pPr>
        <w:pStyle w:val="5"/>
        <w:rPr>
          <w:rFonts w:hint="default" w:ascii="Times New Roman" w:hAnsi="Times New Roman" w:cs="Times New Roman"/>
          <w:color w:val="auto"/>
          <w:highlight w:val="none"/>
        </w:rPr>
      </w:pPr>
      <w:r>
        <w:rPr>
          <w:rFonts w:hint="eastAsia" w:cs="Times New Roman"/>
          <w:color w:val="auto"/>
          <w:highlight w:val="none"/>
          <w:lang w:eastAsia="zh-CN"/>
        </w:rPr>
        <w:t>调查范围</w:t>
      </w:r>
    </w:p>
    <w:p w14:paraId="6EEF454C">
      <w:pPr>
        <w:bidi w:val="0"/>
        <w:rPr>
          <w:color w:val="auto"/>
          <w:highlight w:val="none"/>
        </w:rPr>
      </w:pPr>
      <w:r>
        <w:rPr>
          <w:rFonts w:hint="eastAsia"/>
          <w:color w:val="auto"/>
          <w:highlight w:val="none"/>
          <w:lang w:val="en-US" w:eastAsia="zh-CN"/>
        </w:rPr>
        <w:t>根据《环境影响评价技术导则—生态影响》（HJ19-2022）的具体要求及本工程沿线的生态环境特征，本项目生态环境调查和评价范围确定为工程永久占地和临时占地范围边界外延300m的区域。</w:t>
      </w:r>
    </w:p>
    <w:p w14:paraId="118C4C8B">
      <w:pPr>
        <w:pStyle w:val="5"/>
        <w:rPr>
          <w:rFonts w:hint="default" w:ascii="Times New Roman" w:hAnsi="Times New Roman" w:cs="Times New Roman"/>
          <w:color w:val="auto"/>
          <w:highlight w:val="none"/>
        </w:rPr>
      </w:pPr>
      <w:r>
        <w:rPr>
          <w:rFonts w:hint="eastAsia" w:ascii="Times New Roman" w:hAnsi="Times New Roman" w:cs="Times New Roman"/>
          <w:color w:val="auto"/>
          <w:highlight w:val="none"/>
          <w:lang w:val="en-US" w:eastAsia="zh-CN"/>
        </w:rPr>
        <w:t>调查方法及样方、样线布设</w:t>
      </w:r>
    </w:p>
    <w:p w14:paraId="27F62D9D">
      <w:pPr>
        <w:pStyle w:val="30"/>
        <w:rPr>
          <w:rFonts w:hint="default"/>
          <w:b/>
          <w:bCs/>
          <w:color w:val="auto"/>
          <w:highlight w:val="none"/>
          <w:lang w:val="en-US" w:eastAsia="zh-CN"/>
        </w:rPr>
      </w:pPr>
      <w:r>
        <w:rPr>
          <w:rFonts w:hint="eastAsia"/>
          <w:b/>
          <w:bCs/>
          <w:color w:val="auto"/>
          <w:highlight w:val="none"/>
          <w:lang w:val="en-US" w:eastAsia="zh-CN"/>
        </w:rPr>
        <w:t>（1）植物种类调查</w:t>
      </w:r>
    </w:p>
    <w:p w14:paraId="3239F99C">
      <w:pPr>
        <w:pStyle w:val="30"/>
        <w:rPr>
          <w:rFonts w:hint="eastAsia"/>
          <w:color w:val="auto"/>
          <w:highlight w:val="none"/>
          <w:lang w:val="en-US" w:eastAsia="zh-CN"/>
        </w:rPr>
      </w:pPr>
      <w:r>
        <w:rPr>
          <w:rFonts w:hint="eastAsia"/>
          <w:color w:val="auto"/>
          <w:highlight w:val="none"/>
          <w:lang w:val="en-US" w:eastAsia="zh-CN"/>
        </w:rPr>
        <w:t>本次调查采取路线调查和样地调查相结合方法进行实地调查。</w:t>
      </w:r>
    </w:p>
    <w:p w14:paraId="1468737F">
      <w:pPr>
        <w:pStyle w:val="30"/>
        <w:rPr>
          <w:rFonts w:hint="eastAsia"/>
          <w:color w:val="auto"/>
          <w:highlight w:val="none"/>
          <w:lang w:val="en-US" w:eastAsia="zh-CN"/>
        </w:rPr>
      </w:pPr>
      <w:r>
        <w:rPr>
          <w:rFonts w:hint="eastAsia"/>
          <w:color w:val="auto"/>
          <w:highlight w:val="none"/>
          <w:lang w:val="en-US" w:eastAsia="zh-CN"/>
        </w:rPr>
        <w:t>路线调查：对项目区内植被类型、植物种类，对野生保护植物及古树名木进行记录和测量，采集野外难以辨认的植物标本并拍摄照片，记录项目区的植被、植物现状。</w:t>
      </w:r>
    </w:p>
    <w:p w14:paraId="16F9E94B">
      <w:pPr>
        <w:pStyle w:val="30"/>
        <w:rPr>
          <w:rFonts w:hint="eastAsia"/>
          <w:color w:val="auto"/>
          <w:highlight w:val="none"/>
          <w:lang w:val="en-US" w:eastAsia="zh-CN"/>
        </w:rPr>
      </w:pPr>
      <w:r>
        <w:rPr>
          <w:rFonts w:hint="eastAsia"/>
          <w:color w:val="auto"/>
          <w:highlight w:val="none"/>
          <w:lang w:val="en-US" w:eastAsia="zh-CN"/>
        </w:rPr>
        <w:t>样地调查：在重点施工区域以及植被状况良好的区域布设样方重点调查。</w:t>
      </w:r>
    </w:p>
    <w:p w14:paraId="165877E3">
      <w:pPr>
        <w:pStyle w:val="30"/>
        <w:rPr>
          <w:rFonts w:hint="default"/>
          <w:b/>
          <w:bCs/>
          <w:color w:val="auto"/>
          <w:highlight w:val="none"/>
          <w:lang w:val="en-US" w:eastAsia="zh-CN"/>
        </w:rPr>
      </w:pPr>
      <w:r>
        <w:rPr>
          <w:rFonts w:hint="eastAsia"/>
          <w:b/>
          <w:bCs/>
          <w:color w:val="auto"/>
          <w:highlight w:val="none"/>
          <w:lang w:val="en-US" w:eastAsia="zh-CN"/>
        </w:rPr>
        <w:t>（2）植被调查</w:t>
      </w:r>
    </w:p>
    <w:p w14:paraId="3464E32A">
      <w:pPr>
        <w:pStyle w:val="30"/>
        <w:rPr>
          <w:rFonts w:hint="eastAsia"/>
          <w:color w:val="auto"/>
          <w:highlight w:val="none"/>
          <w:lang w:val="en-US" w:eastAsia="zh-CN"/>
        </w:rPr>
      </w:pPr>
      <w:r>
        <w:rPr>
          <w:rFonts w:hint="eastAsia"/>
          <w:color w:val="auto"/>
          <w:highlight w:val="none"/>
          <w:lang w:val="en-US" w:eastAsia="zh-CN"/>
        </w:rPr>
        <w:t>植被调查取样的目的是要通过样方的研究准确地推测评价区域植被的总体，所选取的样方具有代表性，能通过尽可能少的抽样获得较为准确的有关总体的特征。</w:t>
      </w:r>
    </w:p>
    <w:p w14:paraId="33A4025A">
      <w:pPr>
        <w:pStyle w:val="30"/>
        <w:rPr>
          <w:rFonts w:hint="eastAsia"/>
          <w:color w:val="auto"/>
          <w:highlight w:val="none"/>
          <w:lang w:val="en-US" w:eastAsia="zh-CN"/>
        </w:rPr>
      </w:pPr>
      <w:r>
        <w:rPr>
          <w:rFonts w:hint="eastAsia"/>
          <w:color w:val="auto"/>
          <w:highlight w:val="none"/>
          <w:lang w:val="en-US" w:eastAsia="zh-CN"/>
        </w:rPr>
        <w:t>在对评价区域的植被进行样方调查中，样方布设的原则是：</w:t>
      </w:r>
    </w:p>
    <w:p w14:paraId="5B761EAC">
      <w:pPr>
        <w:pStyle w:val="30"/>
        <w:rPr>
          <w:rFonts w:hint="eastAsia"/>
          <w:color w:val="auto"/>
          <w:highlight w:val="none"/>
          <w:lang w:val="en-US" w:eastAsia="zh-CN"/>
        </w:rPr>
      </w:pPr>
      <w:r>
        <w:rPr>
          <w:rFonts w:hint="eastAsia"/>
          <w:color w:val="auto"/>
          <w:highlight w:val="none"/>
          <w:lang w:val="en-US" w:eastAsia="zh-CN"/>
        </w:rPr>
        <w:t>①尽量在拟建道路穿越和风机平台附近设置样点，并考虑全线布点的均匀性。</w:t>
      </w:r>
    </w:p>
    <w:p w14:paraId="18BA0565">
      <w:pPr>
        <w:pStyle w:val="30"/>
        <w:rPr>
          <w:rFonts w:hint="eastAsia"/>
          <w:color w:val="auto"/>
          <w:highlight w:val="none"/>
          <w:lang w:val="en-US" w:eastAsia="zh-CN"/>
        </w:rPr>
      </w:pPr>
      <w:r>
        <w:rPr>
          <w:rFonts w:hint="eastAsia"/>
          <w:color w:val="auto"/>
          <w:highlight w:val="none"/>
          <w:lang w:val="en-US" w:eastAsia="zh-CN"/>
        </w:rPr>
        <w:t>②所选取的样点植被为评价区域内分布较广具有代表性的植被类型。</w:t>
      </w:r>
    </w:p>
    <w:p w14:paraId="22B5068B">
      <w:pPr>
        <w:pStyle w:val="30"/>
        <w:rPr>
          <w:rFonts w:hint="eastAsia"/>
          <w:color w:val="auto"/>
          <w:highlight w:val="none"/>
          <w:lang w:val="en-US" w:eastAsia="zh-CN"/>
        </w:rPr>
      </w:pPr>
      <w:r>
        <w:rPr>
          <w:rFonts w:hint="eastAsia"/>
          <w:color w:val="auto"/>
          <w:highlight w:val="none"/>
          <w:lang w:val="en-US" w:eastAsia="zh-CN"/>
        </w:rPr>
        <w:t>③记录样点植被类型（群系、群系组或植被亚型），特别是类型发生变化的地方要做准确详细的记录。</w:t>
      </w:r>
    </w:p>
    <w:p w14:paraId="23BCE6E4">
      <w:pPr>
        <w:pStyle w:val="30"/>
        <w:rPr>
          <w:rFonts w:hint="eastAsia"/>
          <w:color w:val="auto"/>
          <w:highlight w:val="none"/>
          <w:lang w:val="en-US" w:eastAsia="zh-CN"/>
        </w:rPr>
      </w:pPr>
      <w:r>
        <w:rPr>
          <w:rFonts w:hint="eastAsia"/>
          <w:color w:val="auto"/>
          <w:highlight w:val="none"/>
          <w:lang w:val="en-US" w:eastAsia="zh-CN"/>
        </w:rPr>
        <w:t>④尽量避免非取样误差：避免选择路边易到之处；两人以上进行观察记录，消除主观因素。</w:t>
      </w:r>
    </w:p>
    <w:p w14:paraId="5203DB2C">
      <w:pPr>
        <w:pStyle w:val="30"/>
        <w:rPr>
          <w:rFonts w:hint="default"/>
          <w:color w:val="auto"/>
          <w:highlight w:val="none"/>
          <w:lang w:val="en-US" w:eastAsia="zh-CN"/>
        </w:rPr>
      </w:pPr>
      <w:r>
        <w:rPr>
          <w:rFonts w:hint="eastAsia"/>
          <w:color w:val="auto"/>
          <w:highlight w:val="none"/>
          <w:lang w:val="en-US" w:eastAsia="zh-CN"/>
        </w:rPr>
        <w:t>以上原则保证了样点的布置具有代表性和典型性，调查结果中的植被包括了绝大部分主要植被类型。本次共设有代表性样方13个，详见图3.2-1。乔木层采用10×10m</w:t>
      </w:r>
      <w:r>
        <w:rPr>
          <w:rFonts w:hint="eastAsia"/>
          <w:color w:val="auto"/>
          <w:highlight w:val="none"/>
          <w:vertAlign w:val="superscript"/>
          <w:lang w:val="en-US" w:eastAsia="zh-CN"/>
        </w:rPr>
        <w:t>2</w:t>
      </w:r>
      <w:r>
        <w:rPr>
          <w:rFonts w:hint="eastAsia"/>
          <w:color w:val="auto"/>
          <w:highlight w:val="none"/>
          <w:lang w:val="en-US" w:eastAsia="zh-CN"/>
        </w:rPr>
        <w:t>样方，灌木层采用5×5m</w:t>
      </w:r>
      <w:r>
        <w:rPr>
          <w:rFonts w:hint="eastAsia"/>
          <w:color w:val="auto"/>
          <w:highlight w:val="none"/>
          <w:vertAlign w:val="superscript"/>
          <w:lang w:val="en-US" w:eastAsia="zh-CN"/>
        </w:rPr>
        <w:t>2</w:t>
      </w:r>
      <w:r>
        <w:rPr>
          <w:rFonts w:hint="eastAsia"/>
          <w:color w:val="auto"/>
          <w:highlight w:val="none"/>
          <w:lang w:val="en-US" w:eastAsia="zh-CN"/>
        </w:rPr>
        <w:t>样方，记录样地内乔木名称、树高、胸径（灌木为基径）、冠幅（灌木为盖度）等指标；草本层样方面积为1×1m</w:t>
      </w:r>
      <w:r>
        <w:rPr>
          <w:rFonts w:hint="eastAsia"/>
          <w:color w:val="auto"/>
          <w:highlight w:val="none"/>
          <w:vertAlign w:val="superscript"/>
          <w:lang w:val="en-US" w:eastAsia="zh-CN"/>
        </w:rPr>
        <w:t>2</w:t>
      </w:r>
      <w:r>
        <w:rPr>
          <w:rFonts w:hint="eastAsia"/>
          <w:color w:val="auto"/>
          <w:highlight w:val="none"/>
          <w:lang w:val="en-US" w:eastAsia="zh-CN"/>
        </w:rPr>
        <w:t>，记录植物名称、盖度等指标。所选样方基本可以代表沿线区域生态植被情况。</w:t>
      </w:r>
    </w:p>
    <w:p w14:paraId="67280E93">
      <w:pPr>
        <w:pStyle w:val="30"/>
        <w:numPr>
          <w:ilvl w:val="0"/>
          <w:numId w:val="7"/>
        </w:numPr>
        <w:rPr>
          <w:rFonts w:hint="eastAsia"/>
          <w:b/>
          <w:bCs/>
          <w:color w:val="auto"/>
          <w:highlight w:val="none"/>
          <w:lang w:val="en-US" w:eastAsia="zh-CN"/>
        </w:rPr>
      </w:pPr>
      <w:r>
        <w:rPr>
          <w:rFonts w:hint="eastAsia"/>
          <w:b/>
          <w:bCs/>
          <w:color w:val="auto"/>
          <w:highlight w:val="none"/>
          <w:lang w:val="en-US" w:eastAsia="zh-CN"/>
        </w:rPr>
        <w:t>动物调查</w:t>
      </w:r>
    </w:p>
    <w:p w14:paraId="5155B4E2">
      <w:pPr>
        <w:pStyle w:val="30"/>
        <w:numPr>
          <w:ilvl w:val="0"/>
          <w:numId w:val="0"/>
        </w:numPr>
        <w:ind w:firstLine="480" w:firstLineChars="200"/>
        <w:rPr>
          <w:rFonts w:hint="eastAsia" w:ascii="Times New Roman" w:hAnsi="Times New Roman" w:eastAsia="宋体" w:cs="Times New Roman"/>
          <w:snapToGrid/>
          <w:color w:val="auto"/>
          <w:kern w:val="2"/>
          <w:sz w:val="24"/>
          <w:szCs w:val="24"/>
          <w:highlight w:val="none"/>
          <w:lang w:val="en-US" w:eastAsia="zh-CN" w:bidi="ar-SA"/>
        </w:rPr>
      </w:pPr>
      <w:r>
        <w:rPr>
          <w:rFonts w:hint="eastAsia" w:ascii="Times New Roman" w:hAnsi="Times New Roman" w:eastAsia="宋体" w:cs="Times New Roman"/>
          <w:snapToGrid/>
          <w:color w:val="auto"/>
          <w:kern w:val="2"/>
          <w:sz w:val="24"/>
          <w:szCs w:val="24"/>
          <w:highlight w:val="none"/>
          <w:lang w:val="en-US" w:eastAsia="zh-CN" w:bidi="ar-SA"/>
        </w:rPr>
        <w:t xml:space="preserve">在调查过程中，确定评价区内动物的种类、资源状况及生存状况，尤其是重点保护种类。调查方法主要有样线法、样点法、访问调查法和资料查询。兽类主要采用现场的环境调查、野外踪迹调查，包括：足迹链、窝迹、粪便，再结合访问调查及市场调查确定种类及数量等。鸟类主要采用样线法与样点法，根据生境类型及其面积的大小设计样线或样点，抽样强度高于 </w:t>
      </w:r>
      <w:r>
        <w:rPr>
          <w:rFonts w:hint="default" w:ascii="Times New Roman" w:hAnsi="Times New Roman" w:eastAsia="宋体" w:cs="Times New Roman"/>
          <w:snapToGrid/>
          <w:color w:val="auto"/>
          <w:kern w:val="2"/>
          <w:sz w:val="24"/>
          <w:szCs w:val="24"/>
          <w:highlight w:val="none"/>
          <w:lang w:val="en-US" w:eastAsia="zh-CN" w:bidi="ar-SA"/>
        </w:rPr>
        <w:t>2%</w:t>
      </w:r>
      <w:r>
        <w:rPr>
          <w:rFonts w:hint="eastAsia" w:ascii="Times New Roman" w:hAnsi="Times New Roman" w:eastAsia="宋体" w:cs="Times New Roman"/>
          <w:snapToGrid/>
          <w:color w:val="auto"/>
          <w:kern w:val="2"/>
          <w:sz w:val="24"/>
          <w:szCs w:val="24"/>
          <w:highlight w:val="none"/>
          <w:lang w:val="en-US" w:eastAsia="zh-CN" w:bidi="ar-SA"/>
        </w:rPr>
        <w:t>。样线法是沿着预先设计的一定路线，边走边进行观察，统计鸟类数量与名称，借助望远镜确定种类。左右肉眼能见度为样带的宽度，乘上样线长度即是这个样带的面积。在无法设计样带的地方，则采用样点法：以一个中心点为圆心，调查周围能见距离内的鸟类数量与种类。两栖类与爬行类活动能力相对较差，调查时主要在有水域之处及其它适合其生存的生境中采用样点法，观察其种类与数量。从上述调查得到的种类之中，对相关重点保护物种进行进一步调查与核实，确定其种类及数量。对有疑问动物、重点保护动物尽量采集凭证标本并拍摄照片。</w:t>
      </w:r>
    </w:p>
    <w:p w14:paraId="3DD917E7">
      <w:pPr>
        <w:pStyle w:val="30"/>
        <w:numPr>
          <w:ilvl w:val="0"/>
          <w:numId w:val="0"/>
        </w:numPr>
        <w:ind w:firstLine="480" w:firstLineChars="200"/>
        <w:rPr>
          <w:rFonts w:hint="eastAsia" w:ascii="Times New Roman" w:hAnsi="Times New Roman" w:eastAsia="宋体" w:cs="Times New Roman"/>
          <w:snapToGrid/>
          <w:color w:val="auto"/>
          <w:kern w:val="2"/>
          <w:sz w:val="24"/>
          <w:szCs w:val="24"/>
          <w:highlight w:val="none"/>
          <w:lang w:val="en-US" w:eastAsia="zh-CN" w:bidi="ar-SA"/>
        </w:rPr>
      </w:pPr>
      <w:r>
        <w:rPr>
          <w:rFonts w:hint="eastAsia" w:ascii="Times New Roman" w:hAnsi="Times New Roman" w:eastAsia="宋体" w:cs="Times New Roman"/>
          <w:snapToGrid/>
          <w:color w:val="auto"/>
          <w:kern w:val="2"/>
          <w:sz w:val="24"/>
          <w:szCs w:val="24"/>
          <w:highlight w:val="none"/>
          <w:lang w:val="en-US" w:eastAsia="zh-CN" w:bidi="ar-SA"/>
        </w:rPr>
        <w:t>此外，在重点施工区域（如风机位点、施工道路、渣场等）以及特殊区域（如植被好的路段）实行重点调查。</w:t>
      </w:r>
    </w:p>
    <w:p w14:paraId="0B04A32E">
      <w:pPr>
        <w:pStyle w:val="30"/>
        <w:numPr>
          <w:ilvl w:val="0"/>
          <w:numId w:val="0"/>
        </w:numPr>
        <w:ind w:firstLine="480" w:firstLineChars="200"/>
        <w:rPr>
          <w:rFonts w:hint="eastAsia" w:ascii="Times New Roman" w:hAnsi="Times New Roman" w:eastAsia="宋体" w:cs="Times New Roman"/>
          <w:snapToGrid/>
          <w:color w:val="auto"/>
          <w:kern w:val="2"/>
          <w:sz w:val="24"/>
          <w:szCs w:val="24"/>
          <w:highlight w:val="none"/>
          <w:lang w:val="en-US" w:eastAsia="zh-CN" w:bidi="ar-SA"/>
        </w:rPr>
      </w:pPr>
      <w:r>
        <w:rPr>
          <w:rFonts w:hint="eastAsia" w:ascii="Times New Roman" w:hAnsi="Times New Roman" w:eastAsia="宋体" w:cs="Times New Roman"/>
          <w:snapToGrid/>
          <w:color w:val="auto"/>
          <w:kern w:val="2"/>
          <w:sz w:val="24"/>
          <w:szCs w:val="24"/>
          <w:highlight w:val="none"/>
          <w:lang w:val="en-US" w:eastAsia="zh-CN" w:bidi="ar-SA"/>
        </w:rPr>
        <w:t>本项目调查样方点及样线分布如下图所示。</w:t>
      </w:r>
    </w:p>
    <w:p w14:paraId="19568DCF">
      <w:pPr>
        <w:bidi w:val="0"/>
        <w:rPr>
          <w:color w:val="auto"/>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1FA7C154">
      <w:pPr>
        <w:bidi w:val="0"/>
        <w:ind w:left="0" w:leftChars="0" w:firstLine="0" w:firstLineChars="0"/>
        <w:jc w:val="center"/>
        <w:rPr>
          <w:rFonts w:hint="eastAsia"/>
          <w:color w:val="auto"/>
          <w:highlight w:val="none"/>
          <w:lang w:val="en-US" w:eastAsia="zh-CN"/>
        </w:rPr>
      </w:pPr>
      <w:r>
        <w:rPr>
          <w:rFonts w:hint="eastAsia"/>
          <w:color w:val="auto"/>
          <w:highlight w:val="none"/>
          <w:lang w:val="en-US" w:eastAsia="zh-CN"/>
        </w:rPr>
        <w:drawing>
          <wp:inline distT="0" distB="0" distL="114300" distR="114300">
            <wp:extent cx="9777095" cy="5652770"/>
            <wp:effectExtent l="0" t="0" r="6985" b="1270"/>
            <wp:docPr id="80" name="图片 80" descr="F:/快乐办公/2、送审稿/2-南冲、步云风电场报告书/2-南冲风电场环境影响报告书/06-作图/附图/植物样方和动物样线调查图.jpg植物样方和动物样线调查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F:/快乐办公/2、送审稿/2-南冲、步云风电场报告书/2-南冲风电场环境影响报告书/06-作图/附图/植物样方和动物样线调查图.jpg植物样方和动物样线调查图"/>
                    <pic:cNvPicPr>
                      <a:picLocks noChangeAspect="1"/>
                    </pic:cNvPicPr>
                  </pic:nvPicPr>
                  <pic:blipFill>
                    <a:blip r:embed="rId26"/>
                    <a:srcRect l="22" r="22"/>
                    <a:stretch>
                      <a:fillRect/>
                    </a:stretch>
                  </pic:blipFill>
                  <pic:spPr>
                    <a:xfrm>
                      <a:off x="0" y="0"/>
                      <a:ext cx="9777095" cy="5652770"/>
                    </a:xfrm>
                    <a:prstGeom prst="rect">
                      <a:avLst/>
                    </a:prstGeom>
                  </pic:spPr>
                </pic:pic>
              </a:graphicData>
            </a:graphic>
          </wp:inline>
        </w:drawing>
      </w:r>
    </w:p>
    <w:p w14:paraId="3FB5B630">
      <w:pPr>
        <w:bidi w:val="0"/>
        <w:ind w:left="0" w:leftChars="0" w:firstLine="0" w:firstLineChars="0"/>
        <w:jc w:val="center"/>
        <w:rPr>
          <w:rFonts w:hint="eastAsia"/>
          <w:color w:val="auto"/>
          <w:highlight w:val="none"/>
          <w:lang w:eastAsia="zh-CN"/>
        </w:rPr>
      </w:pPr>
      <w:r>
        <w:rPr>
          <w:rFonts w:hint="eastAsia"/>
          <w:b/>
          <w:bCs/>
          <w:color w:val="auto"/>
          <w:highlight w:val="none"/>
          <w:lang w:val="en-US" w:eastAsia="zh-CN"/>
        </w:rPr>
        <w:t>图5.3-1  植物群落样方调查点、调查样线分布及环境特征</w:t>
      </w:r>
    </w:p>
    <w:p w14:paraId="478CA0A2">
      <w:pPr>
        <w:bidi w:val="0"/>
        <w:rPr>
          <w:color w:val="auto"/>
          <w:highlight w:val="none"/>
        </w:rPr>
      </w:pPr>
    </w:p>
    <w:p w14:paraId="5819B31C">
      <w:pPr>
        <w:bidi w:val="0"/>
        <w:rPr>
          <w:color w:val="auto"/>
          <w:highlight w:val="none"/>
        </w:rPr>
        <w:sectPr>
          <w:pgSz w:w="16838" w:h="11906" w:orient="landscape"/>
          <w:pgMar w:top="720" w:right="720" w:bottom="720" w:left="72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2488B283">
      <w:pPr>
        <w:pStyle w:val="5"/>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生态</w:t>
      </w:r>
      <w:r>
        <w:rPr>
          <w:rFonts w:hint="eastAsia" w:cs="Times New Roman"/>
          <w:color w:val="auto"/>
          <w:highlight w:val="none"/>
          <w:lang w:eastAsia="zh-CN"/>
        </w:rPr>
        <w:t>系统现状</w:t>
      </w:r>
    </w:p>
    <w:p w14:paraId="5CE7C4A8">
      <w:pPr>
        <w:pStyle w:val="30"/>
        <w:rPr>
          <w:rFonts w:hint="eastAsia"/>
          <w:b w:val="0"/>
          <w:bCs w:val="0"/>
          <w:color w:val="auto"/>
          <w:highlight w:val="none"/>
          <w:lang w:val="en-US" w:eastAsia="zh-CN"/>
        </w:rPr>
      </w:pPr>
      <w:r>
        <w:rPr>
          <w:rFonts w:hint="eastAsia"/>
          <w:b w:val="0"/>
          <w:bCs w:val="0"/>
          <w:color w:val="auto"/>
          <w:highlight w:val="none"/>
          <w:lang w:val="en-US" w:eastAsia="zh-CN"/>
        </w:rPr>
        <w:t>评价区生态系统参考《中国生态系统》的分类原则及方法，根据对评价区土地利用现状的分析，结合动植物分布和生物量的调查，可将评价区生态系统现状划分为自然的森林生态系统、灌丛/灌草丛生态系统、湿地生态系统及半自然的农业生态系统和人工的城镇/村落生态系统。评价区各生态系统面积及比例见表5.3-1。</w:t>
      </w:r>
    </w:p>
    <w:p w14:paraId="0C0FEFD9">
      <w:pPr>
        <w:pStyle w:val="30"/>
        <w:jc w:val="center"/>
        <w:rPr>
          <w:rFonts w:hint="eastAsia" w:ascii="Times New Roman" w:hAnsi="Times New Roman" w:eastAsia="宋体" w:cs="Times New Roman"/>
          <w:b/>
          <w:bCs/>
          <w:color w:val="auto"/>
          <w:highlight w:val="none"/>
          <w:lang w:val="en-US" w:eastAsia="zh-CN"/>
        </w:rPr>
      </w:pPr>
      <w:r>
        <w:rPr>
          <w:rFonts w:hint="eastAsia" w:ascii="Times New Roman" w:hAnsi="Times New Roman" w:eastAsia="宋体" w:cs="Times New Roman"/>
          <w:b/>
          <w:bCs/>
          <w:color w:val="auto"/>
          <w:highlight w:val="none"/>
          <w:lang w:val="en-US" w:eastAsia="zh-CN"/>
        </w:rPr>
        <w:t>表5.3-1  评价区各生态系统面积及比例</w:t>
      </w:r>
    </w:p>
    <w:tbl>
      <w:tblPr>
        <w:tblStyle w:val="20"/>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28"/>
        <w:gridCol w:w="1434"/>
        <w:gridCol w:w="1421"/>
        <w:gridCol w:w="1408"/>
        <w:gridCol w:w="1422"/>
        <w:gridCol w:w="1409"/>
      </w:tblGrid>
      <w:tr w14:paraId="32B506C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tcBorders>
              <w:tl2br w:val="nil"/>
              <w:tr2bl w:val="nil"/>
            </w:tcBorders>
            <w:noWrap w:val="0"/>
            <w:vAlign w:val="center"/>
          </w:tcPr>
          <w:p w14:paraId="646230BB">
            <w:pPr>
              <w:pStyle w:val="30"/>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b/>
                <w:bCs/>
                <w:color w:val="auto"/>
                <w:sz w:val="21"/>
                <w:szCs w:val="21"/>
                <w:highlight w:val="none"/>
                <w:vertAlign w:val="baseline"/>
                <w:lang w:val="en-US" w:eastAsia="zh-CN"/>
              </w:rPr>
            </w:pPr>
            <w:r>
              <w:rPr>
                <w:rFonts w:hint="eastAsia"/>
                <w:b/>
                <w:bCs/>
                <w:color w:val="auto"/>
                <w:sz w:val="21"/>
                <w:szCs w:val="21"/>
                <w:highlight w:val="none"/>
                <w:vertAlign w:val="baseline"/>
                <w:lang w:val="en-US" w:eastAsia="zh-CN"/>
              </w:rPr>
              <w:t>生态系统类型</w:t>
            </w:r>
          </w:p>
        </w:tc>
        <w:tc>
          <w:tcPr>
            <w:tcW w:w="1510" w:type="dxa"/>
            <w:tcBorders>
              <w:tl2br w:val="nil"/>
              <w:tr2bl w:val="nil"/>
            </w:tcBorders>
            <w:noWrap w:val="0"/>
            <w:vAlign w:val="center"/>
          </w:tcPr>
          <w:p w14:paraId="1F84AE2C">
            <w:pPr>
              <w:pStyle w:val="30"/>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b/>
                <w:bCs/>
                <w:color w:val="auto"/>
                <w:sz w:val="21"/>
                <w:szCs w:val="21"/>
                <w:highlight w:val="none"/>
                <w:vertAlign w:val="baseline"/>
                <w:lang w:val="en-US" w:eastAsia="zh-CN"/>
              </w:rPr>
            </w:pPr>
            <w:r>
              <w:rPr>
                <w:rFonts w:hint="eastAsia"/>
                <w:b/>
                <w:bCs/>
                <w:color w:val="auto"/>
                <w:sz w:val="21"/>
                <w:szCs w:val="21"/>
                <w:highlight w:val="none"/>
                <w:vertAlign w:val="baseline"/>
                <w:lang w:val="en-US" w:eastAsia="zh-CN"/>
              </w:rPr>
              <w:t>森林生态系统</w:t>
            </w:r>
          </w:p>
        </w:tc>
        <w:tc>
          <w:tcPr>
            <w:tcW w:w="1510" w:type="dxa"/>
            <w:tcBorders>
              <w:tl2br w:val="nil"/>
              <w:tr2bl w:val="nil"/>
            </w:tcBorders>
            <w:noWrap w:val="0"/>
            <w:vAlign w:val="center"/>
          </w:tcPr>
          <w:p w14:paraId="756DE917">
            <w:pPr>
              <w:pStyle w:val="30"/>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b/>
                <w:bCs/>
                <w:color w:val="auto"/>
                <w:sz w:val="21"/>
                <w:szCs w:val="21"/>
                <w:highlight w:val="none"/>
                <w:vertAlign w:val="baseline"/>
                <w:lang w:val="en-US" w:eastAsia="zh-CN"/>
              </w:rPr>
            </w:pPr>
            <w:r>
              <w:rPr>
                <w:rFonts w:hint="eastAsia"/>
                <w:b/>
                <w:bCs/>
                <w:color w:val="auto"/>
                <w:sz w:val="21"/>
                <w:szCs w:val="21"/>
                <w:highlight w:val="none"/>
                <w:vertAlign w:val="baseline"/>
                <w:lang w:val="en-US" w:eastAsia="zh-CN"/>
              </w:rPr>
              <w:t>灌丛/灌草丛生态系统</w:t>
            </w:r>
          </w:p>
        </w:tc>
        <w:tc>
          <w:tcPr>
            <w:tcW w:w="1510" w:type="dxa"/>
            <w:tcBorders>
              <w:tl2br w:val="nil"/>
              <w:tr2bl w:val="nil"/>
            </w:tcBorders>
            <w:noWrap w:val="0"/>
            <w:vAlign w:val="center"/>
          </w:tcPr>
          <w:p w14:paraId="42C08707">
            <w:pPr>
              <w:pStyle w:val="30"/>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b/>
                <w:bCs/>
                <w:color w:val="auto"/>
                <w:sz w:val="21"/>
                <w:szCs w:val="21"/>
                <w:highlight w:val="none"/>
                <w:vertAlign w:val="baseline"/>
                <w:lang w:val="en-US" w:eastAsia="zh-CN"/>
              </w:rPr>
            </w:pPr>
            <w:r>
              <w:rPr>
                <w:rFonts w:hint="eastAsia"/>
                <w:b/>
                <w:bCs/>
                <w:color w:val="auto"/>
                <w:sz w:val="21"/>
                <w:szCs w:val="21"/>
                <w:highlight w:val="none"/>
                <w:vertAlign w:val="baseline"/>
                <w:lang w:val="en-US" w:eastAsia="zh-CN"/>
              </w:rPr>
              <w:t>湿地生态系统</w:t>
            </w:r>
          </w:p>
        </w:tc>
        <w:tc>
          <w:tcPr>
            <w:tcW w:w="1510" w:type="dxa"/>
            <w:tcBorders>
              <w:tl2br w:val="nil"/>
              <w:tr2bl w:val="nil"/>
            </w:tcBorders>
            <w:noWrap w:val="0"/>
            <w:vAlign w:val="center"/>
          </w:tcPr>
          <w:p w14:paraId="78BCAD0F">
            <w:pPr>
              <w:pStyle w:val="30"/>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b/>
                <w:bCs/>
                <w:color w:val="auto"/>
                <w:sz w:val="21"/>
                <w:szCs w:val="21"/>
                <w:highlight w:val="none"/>
                <w:vertAlign w:val="baseline"/>
                <w:lang w:val="en-US" w:eastAsia="zh-CN"/>
              </w:rPr>
            </w:pPr>
            <w:r>
              <w:rPr>
                <w:rFonts w:hint="eastAsia"/>
                <w:b/>
                <w:bCs/>
                <w:color w:val="auto"/>
                <w:sz w:val="21"/>
                <w:szCs w:val="21"/>
                <w:highlight w:val="none"/>
                <w:vertAlign w:val="baseline"/>
                <w:lang w:val="en-US" w:eastAsia="zh-CN"/>
              </w:rPr>
              <w:t>农业生态系统</w:t>
            </w:r>
          </w:p>
        </w:tc>
        <w:tc>
          <w:tcPr>
            <w:tcW w:w="1510" w:type="dxa"/>
            <w:tcBorders>
              <w:tl2br w:val="nil"/>
              <w:tr2bl w:val="nil"/>
            </w:tcBorders>
            <w:noWrap w:val="0"/>
            <w:vAlign w:val="center"/>
          </w:tcPr>
          <w:p w14:paraId="51F6577A">
            <w:pPr>
              <w:pStyle w:val="30"/>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b/>
                <w:bCs/>
                <w:color w:val="auto"/>
                <w:sz w:val="21"/>
                <w:szCs w:val="21"/>
                <w:highlight w:val="none"/>
                <w:vertAlign w:val="baseline"/>
                <w:lang w:val="en-US" w:eastAsia="zh-CN"/>
              </w:rPr>
            </w:pPr>
            <w:r>
              <w:rPr>
                <w:rFonts w:hint="eastAsia"/>
                <w:b/>
                <w:bCs/>
                <w:color w:val="auto"/>
                <w:sz w:val="21"/>
                <w:szCs w:val="21"/>
                <w:highlight w:val="none"/>
                <w:vertAlign w:val="baseline"/>
                <w:lang w:val="en-US" w:eastAsia="zh-CN"/>
              </w:rPr>
              <w:t>城镇/村落生态系统</w:t>
            </w:r>
          </w:p>
        </w:tc>
      </w:tr>
      <w:tr w14:paraId="29F842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tcBorders>
              <w:tl2br w:val="nil"/>
              <w:tr2bl w:val="nil"/>
            </w:tcBorders>
            <w:noWrap w:val="0"/>
            <w:vAlign w:val="center"/>
          </w:tcPr>
          <w:p w14:paraId="6ACF79E2">
            <w:pPr>
              <w:pStyle w:val="30"/>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b/>
                <w:bCs/>
                <w:color w:val="auto"/>
                <w:sz w:val="21"/>
                <w:szCs w:val="21"/>
                <w:highlight w:val="none"/>
                <w:vertAlign w:val="baseline"/>
                <w:lang w:val="en-US" w:eastAsia="zh-CN"/>
              </w:rPr>
            </w:pPr>
            <w:r>
              <w:rPr>
                <w:rFonts w:hint="eastAsia"/>
                <w:b/>
                <w:bCs/>
                <w:color w:val="auto"/>
                <w:sz w:val="21"/>
                <w:szCs w:val="21"/>
                <w:highlight w:val="none"/>
                <w:vertAlign w:val="baseline"/>
                <w:lang w:val="en-US" w:eastAsia="zh-CN"/>
              </w:rPr>
              <w:t>面积（公顷）</w:t>
            </w:r>
          </w:p>
        </w:tc>
        <w:tc>
          <w:tcPr>
            <w:tcW w:w="1510" w:type="dxa"/>
            <w:tcBorders>
              <w:tl2br w:val="nil"/>
              <w:tr2bl w:val="nil"/>
            </w:tcBorders>
            <w:noWrap w:val="0"/>
            <w:vAlign w:val="center"/>
          </w:tcPr>
          <w:p w14:paraId="11FEF755">
            <w:pPr>
              <w:pStyle w:val="30"/>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b w:val="0"/>
                <w:bCs w:val="0"/>
                <w:color w:val="auto"/>
                <w:sz w:val="21"/>
                <w:szCs w:val="21"/>
                <w:highlight w:val="none"/>
                <w:vertAlign w:val="baseline"/>
                <w:lang w:val="en-US" w:eastAsia="zh-CN"/>
              </w:rPr>
            </w:pPr>
            <w:r>
              <w:rPr>
                <w:rFonts w:hint="eastAsia"/>
                <w:b w:val="0"/>
                <w:bCs w:val="0"/>
                <w:color w:val="auto"/>
                <w:sz w:val="21"/>
                <w:szCs w:val="21"/>
                <w:highlight w:val="none"/>
                <w:vertAlign w:val="baseline"/>
                <w:lang w:val="en-US" w:eastAsia="zh-CN"/>
              </w:rPr>
              <w:t>1412.42</w:t>
            </w:r>
          </w:p>
        </w:tc>
        <w:tc>
          <w:tcPr>
            <w:tcW w:w="1510" w:type="dxa"/>
            <w:tcBorders>
              <w:tl2br w:val="nil"/>
              <w:tr2bl w:val="nil"/>
            </w:tcBorders>
            <w:noWrap w:val="0"/>
            <w:vAlign w:val="center"/>
          </w:tcPr>
          <w:p w14:paraId="4EC058AA">
            <w:pPr>
              <w:pStyle w:val="30"/>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b w:val="0"/>
                <w:bCs w:val="0"/>
                <w:color w:val="auto"/>
                <w:sz w:val="21"/>
                <w:szCs w:val="21"/>
                <w:highlight w:val="none"/>
                <w:vertAlign w:val="baseline"/>
                <w:lang w:val="en-US" w:eastAsia="zh-CN"/>
              </w:rPr>
            </w:pPr>
            <w:r>
              <w:rPr>
                <w:rFonts w:hint="eastAsia"/>
                <w:b w:val="0"/>
                <w:bCs w:val="0"/>
                <w:color w:val="auto"/>
                <w:sz w:val="21"/>
                <w:szCs w:val="21"/>
                <w:highlight w:val="none"/>
                <w:vertAlign w:val="baseline"/>
                <w:lang w:val="en-US" w:eastAsia="zh-CN"/>
              </w:rPr>
              <w:t>520.13</w:t>
            </w:r>
          </w:p>
        </w:tc>
        <w:tc>
          <w:tcPr>
            <w:tcW w:w="1510" w:type="dxa"/>
            <w:tcBorders>
              <w:tl2br w:val="nil"/>
              <w:tr2bl w:val="nil"/>
            </w:tcBorders>
            <w:noWrap w:val="0"/>
            <w:vAlign w:val="center"/>
          </w:tcPr>
          <w:p w14:paraId="69687FE4">
            <w:pPr>
              <w:pStyle w:val="30"/>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b w:val="0"/>
                <w:bCs w:val="0"/>
                <w:color w:val="auto"/>
                <w:sz w:val="21"/>
                <w:szCs w:val="21"/>
                <w:highlight w:val="none"/>
                <w:vertAlign w:val="baseline"/>
                <w:lang w:val="en-US" w:eastAsia="zh-CN"/>
              </w:rPr>
            </w:pPr>
            <w:r>
              <w:rPr>
                <w:rFonts w:hint="eastAsia"/>
                <w:b w:val="0"/>
                <w:bCs w:val="0"/>
                <w:color w:val="auto"/>
                <w:sz w:val="21"/>
                <w:szCs w:val="21"/>
                <w:highlight w:val="none"/>
                <w:vertAlign w:val="baseline"/>
                <w:lang w:val="en-US" w:eastAsia="zh-CN"/>
              </w:rPr>
              <w:t>20.46</w:t>
            </w:r>
          </w:p>
        </w:tc>
        <w:tc>
          <w:tcPr>
            <w:tcW w:w="1510" w:type="dxa"/>
            <w:tcBorders>
              <w:tl2br w:val="nil"/>
              <w:tr2bl w:val="nil"/>
            </w:tcBorders>
            <w:noWrap w:val="0"/>
            <w:vAlign w:val="center"/>
          </w:tcPr>
          <w:p w14:paraId="5893E9A3">
            <w:pPr>
              <w:pStyle w:val="30"/>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b w:val="0"/>
                <w:bCs w:val="0"/>
                <w:color w:val="auto"/>
                <w:sz w:val="21"/>
                <w:szCs w:val="21"/>
                <w:highlight w:val="none"/>
                <w:vertAlign w:val="baseline"/>
                <w:lang w:val="en-US" w:eastAsia="zh-CN"/>
              </w:rPr>
            </w:pPr>
            <w:r>
              <w:rPr>
                <w:rFonts w:hint="eastAsia"/>
                <w:b w:val="0"/>
                <w:bCs w:val="0"/>
                <w:color w:val="auto"/>
                <w:sz w:val="21"/>
                <w:szCs w:val="21"/>
                <w:highlight w:val="none"/>
                <w:vertAlign w:val="baseline"/>
                <w:lang w:val="en-US" w:eastAsia="zh-CN"/>
              </w:rPr>
              <w:t>427.31</w:t>
            </w:r>
          </w:p>
        </w:tc>
        <w:tc>
          <w:tcPr>
            <w:tcW w:w="1510" w:type="dxa"/>
            <w:tcBorders>
              <w:tl2br w:val="nil"/>
              <w:tr2bl w:val="nil"/>
            </w:tcBorders>
            <w:noWrap w:val="0"/>
            <w:vAlign w:val="center"/>
          </w:tcPr>
          <w:p w14:paraId="08B04593">
            <w:pPr>
              <w:pStyle w:val="30"/>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b w:val="0"/>
                <w:bCs w:val="0"/>
                <w:color w:val="auto"/>
                <w:sz w:val="21"/>
                <w:szCs w:val="21"/>
                <w:highlight w:val="none"/>
                <w:vertAlign w:val="baseline"/>
                <w:lang w:val="en-US" w:eastAsia="zh-CN"/>
              </w:rPr>
            </w:pPr>
            <w:r>
              <w:rPr>
                <w:rFonts w:hint="eastAsia"/>
                <w:b w:val="0"/>
                <w:bCs w:val="0"/>
                <w:color w:val="auto"/>
                <w:sz w:val="21"/>
                <w:szCs w:val="21"/>
                <w:highlight w:val="none"/>
                <w:vertAlign w:val="baseline"/>
                <w:lang w:val="en-US" w:eastAsia="zh-CN"/>
              </w:rPr>
              <w:t>75.03</w:t>
            </w:r>
          </w:p>
        </w:tc>
      </w:tr>
      <w:tr w14:paraId="26E8D9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510" w:type="dxa"/>
            <w:tcBorders>
              <w:tl2br w:val="nil"/>
              <w:tr2bl w:val="nil"/>
            </w:tcBorders>
            <w:noWrap w:val="0"/>
            <w:vAlign w:val="center"/>
          </w:tcPr>
          <w:p w14:paraId="68C941C9">
            <w:pPr>
              <w:pStyle w:val="30"/>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b/>
                <w:bCs/>
                <w:color w:val="auto"/>
                <w:sz w:val="21"/>
                <w:szCs w:val="21"/>
                <w:highlight w:val="none"/>
                <w:vertAlign w:val="baseline"/>
                <w:lang w:val="en-US" w:eastAsia="zh-CN"/>
              </w:rPr>
            </w:pPr>
            <w:r>
              <w:rPr>
                <w:rFonts w:hint="eastAsia"/>
                <w:b/>
                <w:bCs/>
                <w:color w:val="auto"/>
                <w:sz w:val="21"/>
                <w:szCs w:val="21"/>
                <w:highlight w:val="none"/>
                <w:vertAlign w:val="baseline"/>
                <w:lang w:val="en-US" w:eastAsia="zh-CN"/>
              </w:rPr>
              <w:t>所占比例（%）</w:t>
            </w:r>
          </w:p>
        </w:tc>
        <w:tc>
          <w:tcPr>
            <w:tcW w:w="1510" w:type="dxa"/>
            <w:tcBorders>
              <w:tl2br w:val="nil"/>
              <w:tr2bl w:val="nil"/>
            </w:tcBorders>
            <w:noWrap w:val="0"/>
            <w:vAlign w:val="center"/>
          </w:tcPr>
          <w:p w14:paraId="159A713F">
            <w:pPr>
              <w:pStyle w:val="30"/>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b w:val="0"/>
                <w:bCs w:val="0"/>
                <w:color w:val="auto"/>
                <w:sz w:val="21"/>
                <w:szCs w:val="21"/>
                <w:highlight w:val="none"/>
                <w:vertAlign w:val="baseline"/>
                <w:lang w:val="en-US" w:eastAsia="zh-CN"/>
              </w:rPr>
            </w:pPr>
            <w:r>
              <w:rPr>
                <w:rFonts w:hint="eastAsia"/>
                <w:b w:val="0"/>
                <w:bCs w:val="0"/>
                <w:color w:val="auto"/>
                <w:sz w:val="21"/>
                <w:szCs w:val="21"/>
                <w:highlight w:val="none"/>
                <w:vertAlign w:val="baseline"/>
                <w:lang w:val="en-US" w:eastAsia="zh-CN"/>
              </w:rPr>
              <w:t>57.5%</w:t>
            </w:r>
          </w:p>
        </w:tc>
        <w:tc>
          <w:tcPr>
            <w:tcW w:w="1510" w:type="dxa"/>
            <w:tcBorders>
              <w:tl2br w:val="nil"/>
              <w:tr2bl w:val="nil"/>
            </w:tcBorders>
            <w:noWrap w:val="0"/>
            <w:vAlign w:val="center"/>
          </w:tcPr>
          <w:p w14:paraId="5B5DDD75">
            <w:pPr>
              <w:pStyle w:val="30"/>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b w:val="0"/>
                <w:bCs w:val="0"/>
                <w:color w:val="auto"/>
                <w:sz w:val="21"/>
                <w:szCs w:val="21"/>
                <w:highlight w:val="none"/>
                <w:vertAlign w:val="baseline"/>
                <w:lang w:val="en-US" w:eastAsia="zh-CN"/>
              </w:rPr>
            </w:pPr>
            <w:r>
              <w:rPr>
                <w:rFonts w:hint="eastAsia"/>
                <w:b w:val="0"/>
                <w:bCs w:val="0"/>
                <w:color w:val="auto"/>
                <w:sz w:val="21"/>
                <w:szCs w:val="21"/>
                <w:highlight w:val="none"/>
                <w:vertAlign w:val="baseline"/>
                <w:lang w:val="en-US" w:eastAsia="zh-CN"/>
              </w:rPr>
              <w:t>21.2%</w:t>
            </w:r>
          </w:p>
        </w:tc>
        <w:tc>
          <w:tcPr>
            <w:tcW w:w="1510" w:type="dxa"/>
            <w:tcBorders>
              <w:tl2br w:val="nil"/>
              <w:tr2bl w:val="nil"/>
            </w:tcBorders>
            <w:noWrap w:val="0"/>
            <w:vAlign w:val="center"/>
          </w:tcPr>
          <w:p w14:paraId="21273829">
            <w:pPr>
              <w:pStyle w:val="30"/>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b w:val="0"/>
                <w:bCs w:val="0"/>
                <w:color w:val="auto"/>
                <w:sz w:val="21"/>
                <w:szCs w:val="21"/>
                <w:highlight w:val="none"/>
                <w:vertAlign w:val="baseline"/>
                <w:lang w:val="en-US" w:eastAsia="zh-CN"/>
              </w:rPr>
            </w:pPr>
            <w:r>
              <w:rPr>
                <w:rFonts w:hint="eastAsia"/>
                <w:b w:val="0"/>
                <w:bCs w:val="0"/>
                <w:color w:val="auto"/>
                <w:sz w:val="21"/>
                <w:szCs w:val="21"/>
                <w:highlight w:val="none"/>
                <w:vertAlign w:val="baseline"/>
                <w:lang w:val="en-US" w:eastAsia="zh-CN"/>
              </w:rPr>
              <w:t>0.8%</w:t>
            </w:r>
          </w:p>
        </w:tc>
        <w:tc>
          <w:tcPr>
            <w:tcW w:w="1510" w:type="dxa"/>
            <w:tcBorders>
              <w:tl2br w:val="nil"/>
              <w:tr2bl w:val="nil"/>
            </w:tcBorders>
            <w:noWrap w:val="0"/>
            <w:vAlign w:val="center"/>
          </w:tcPr>
          <w:p w14:paraId="081246DC">
            <w:pPr>
              <w:pStyle w:val="30"/>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b w:val="0"/>
                <w:bCs w:val="0"/>
                <w:color w:val="auto"/>
                <w:sz w:val="21"/>
                <w:szCs w:val="21"/>
                <w:highlight w:val="none"/>
                <w:vertAlign w:val="baseline"/>
                <w:lang w:val="en-US" w:eastAsia="zh-CN"/>
              </w:rPr>
            </w:pPr>
            <w:r>
              <w:rPr>
                <w:rFonts w:hint="eastAsia"/>
                <w:b w:val="0"/>
                <w:bCs w:val="0"/>
                <w:color w:val="auto"/>
                <w:sz w:val="21"/>
                <w:szCs w:val="21"/>
                <w:highlight w:val="none"/>
                <w:vertAlign w:val="baseline"/>
                <w:lang w:val="en-US" w:eastAsia="zh-CN"/>
              </w:rPr>
              <w:t>17.4%</w:t>
            </w:r>
          </w:p>
        </w:tc>
        <w:tc>
          <w:tcPr>
            <w:tcW w:w="1510" w:type="dxa"/>
            <w:tcBorders>
              <w:tl2br w:val="nil"/>
              <w:tr2bl w:val="nil"/>
            </w:tcBorders>
            <w:noWrap w:val="0"/>
            <w:vAlign w:val="center"/>
          </w:tcPr>
          <w:p w14:paraId="611B47BB">
            <w:pPr>
              <w:pStyle w:val="30"/>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b w:val="0"/>
                <w:bCs w:val="0"/>
                <w:color w:val="auto"/>
                <w:sz w:val="21"/>
                <w:szCs w:val="21"/>
                <w:highlight w:val="none"/>
                <w:vertAlign w:val="baseline"/>
                <w:lang w:val="en-US" w:eastAsia="zh-CN"/>
              </w:rPr>
            </w:pPr>
            <w:r>
              <w:rPr>
                <w:rFonts w:hint="eastAsia"/>
                <w:b w:val="0"/>
                <w:bCs w:val="0"/>
                <w:color w:val="auto"/>
                <w:sz w:val="21"/>
                <w:szCs w:val="21"/>
                <w:highlight w:val="none"/>
                <w:vertAlign w:val="baseline"/>
                <w:lang w:val="en-US" w:eastAsia="zh-CN"/>
              </w:rPr>
              <w:t>3.1%</w:t>
            </w:r>
          </w:p>
        </w:tc>
      </w:tr>
    </w:tbl>
    <w:p w14:paraId="17BF4F85">
      <w:pPr>
        <w:bidi w:val="0"/>
        <w:rPr>
          <w:color w:val="auto"/>
          <w:highlight w:val="none"/>
        </w:rPr>
      </w:pPr>
      <w:r>
        <w:rPr>
          <w:rFonts w:hint="eastAsia"/>
          <w:b w:val="0"/>
          <w:bCs w:val="0"/>
          <w:color w:val="auto"/>
          <w:highlight w:val="none"/>
          <w:lang w:val="en-US" w:eastAsia="zh-CN"/>
        </w:rPr>
        <w:t>由上表可知，评价区生态系统以森林生态系统、灌丛/灌草丛生态系统及农业生态系统为主，湿地生态系统和城镇/村落生态系统所占面积相对较小。</w:t>
      </w:r>
    </w:p>
    <w:p w14:paraId="7D3DFA97">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森林生态系统</w:t>
      </w:r>
    </w:p>
    <w:p w14:paraId="28469C86">
      <w:pPr>
        <w:pStyle w:val="30"/>
        <w:keepNext w:val="0"/>
        <w:keepLines w:val="0"/>
        <w:pageBreakBefore w:val="0"/>
        <w:widowControl w:val="0"/>
        <w:kinsoku/>
        <w:wordWrap/>
        <w:overflowPunct/>
        <w:topLinePunct w:val="0"/>
        <w:autoSpaceDE/>
        <w:autoSpaceDN/>
        <w:bidi w:val="0"/>
        <w:adjustRightInd/>
        <w:snapToGrid/>
        <w:ind w:left="0" w:leftChars="0" w:firstLine="480" w:firstLineChars="200"/>
        <w:jc w:val="both"/>
        <w:textAlignment w:val="auto"/>
        <w:rPr>
          <w:rFonts w:hint="default"/>
          <w:b w:val="0"/>
          <w:bCs w:val="0"/>
          <w:color w:val="auto"/>
          <w:highlight w:val="none"/>
          <w:lang w:val="en-US" w:eastAsia="zh-CN"/>
        </w:rPr>
      </w:pPr>
      <w:r>
        <w:rPr>
          <w:rFonts w:hint="default"/>
          <w:b w:val="0"/>
          <w:bCs w:val="0"/>
          <w:color w:val="auto"/>
          <w:highlight w:val="none"/>
          <w:lang w:val="en-US" w:eastAsia="zh-CN"/>
        </w:rPr>
        <w:t>评价区森林生态系统面积为</w:t>
      </w:r>
      <w:r>
        <w:rPr>
          <w:rFonts w:hint="eastAsia"/>
          <w:b w:val="0"/>
          <w:bCs w:val="0"/>
          <w:color w:val="auto"/>
          <w:highlight w:val="none"/>
          <w:lang w:val="en-US" w:eastAsia="zh-CN"/>
        </w:rPr>
        <w:t>1412.42</w:t>
      </w:r>
      <w:r>
        <w:rPr>
          <w:rFonts w:hint="default"/>
          <w:b w:val="0"/>
          <w:bCs w:val="0"/>
          <w:color w:val="auto"/>
          <w:highlight w:val="none"/>
          <w:lang w:val="en-US" w:eastAsia="zh-CN"/>
        </w:rPr>
        <w:t>hm</w:t>
      </w:r>
      <w:r>
        <w:rPr>
          <w:rFonts w:hint="default"/>
          <w:b w:val="0"/>
          <w:bCs w:val="0"/>
          <w:color w:val="auto"/>
          <w:highlight w:val="none"/>
          <w:vertAlign w:val="superscript"/>
          <w:lang w:val="en-US" w:eastAsia="zh-CN"/>
        </w:rPr>
        <w:t>2</w:t>
      </w:r>
      <w:r>
        <w:rPr>
          <w:rFonts w:hint="default"/>
          <w:b w:val="0"/>
          <w:bCs w:val="0"/>
          <w:color w:val="auto"/>
          <w:highlight w:val="none"/>
          <w:lang w:val="en-US" w:eastAsia="zh-CN"/>
        </w:rPr>
        <w:t>，占评价区总面积的</w:t>
      </w:r>
      <w:r>
        <w:rPr>
          <w:rFonts w:hint="eastAsia"/>
          <w:b w:val="0"/>
          <w:bCs w:val="0"/>
          <w:color w:val="auto"/>
          <w:highlight w:val="none"/>
          <w:lang w:val="en-US" w:eastAsia="zh-CN"/>
        </w:rPr>
        <w:t>57.5</w:t>
      </w:r>
      <w:r>
        <w:rPr>
          <w:rFonts w:hint="default"/>
          <w:b w:val="0"/>
          <w:bCs w:val="0"/>
          <w:color w:val="auto"/>
          <w:highlight w:val="none"/>
          <w:lang w:val="en-US" w:eastAsia="zh-CN"/>
        </w:rPr>
        <w:t xml:space="preserve">%，评价区森林生态系统分布面积较大。 </w:t>
      </w:r>
    </w:p>
    <w:p w14:paraId="6A1AFF24">
      <w:pPr>
        <w:pStyle w:val="30"/>
        <w:keepNext w:val="0"/>
        <w:keepLines w:val="0"/>
        <w:pageBreakBefore w:val="0"/>
        <w:widowControl w:val="0"/>
        <w:kinsoku/>
        <w:wordWrap/>
        <w:overflowPunct/>
        <w:topLinePunct w:val="0"/>
        <w:autoSpaceDE/>
        <w:autoSpaceDN/>
        <w:bidi w:val="0"/>
        <w:adjustRightInd/>
        <w:snapToGrid/>
        <w:ind w:left="0" w:leftChars="0" w:firstLine="480" w:firstLineChars="200"/>
        <w:jc w:val="both"/>
        <w:textAlignment w:val="auto"/>
        <w:rPr>
          <w:rFonts w:hint="default"/>
          <w:b w:val="0"/>
          <w:bCs w:val="0"/>
          <w:color w:val="auto"/>
          <w:highlight w:val="none"/>
          <w:lang w:val="en-US" w:eastAsia="zh-CN"/>
        </w:rPr>
      </w:pPr>
      <w:r>
        <w:rPr>
          <w:rFonts w:hint="default"/>
          <w:b w:val="0"/>
          <w:bCs w:val="0"/>
          <w:color w:val="auto"/>
          <w:highlight w:val="none"/>
          <w:lang w:val="en-US" w:eastAsia="zh-CN"/>
        </w:rPr>
        <w:t>评价区森林生态系统内植被包括阔叶林和针叶林，以阔叶林为主。其中，针叶林主要为低山针叶林，其常呈小片状分布于山坡中下部或零星点缀于山坡上部阔叶林中，常见的群系有杉木林</w:t>
      </w:r>
      <w:r>
        <w:rPr>
          <w:rFonts w:hint="default"/>
          <w:b w:val="0"/>
          <w:bCs w:val="0"/>
          <w:i/>
          <w:iCs/>
          <w:color w:val="auto"/>
          <w:highlight w:val="none"/>
          <w:lang w:val="en-US" w:eastAsia="zh-CN"/>
        </w:rPr>
        <w:t>（Form.Cunninghamia lanceolata）</w:t>
      </w:r>
      <w:r>
        <w:rPr>
          <w:rFonts w:hint="default"/>
          <w:b w:val="0"/>
          <w:bCs w:val="0"/>
          <w:color w:val="auto"/>
          <w:highlight w:val="none"/>
          <w:lang w:val="en-US" w:eastAsia="zh-CN"/>
        </w:rPr>
        <w:t>、马尾松林</w:t>
      </w:r>
      <w:r>
        <w:rPr>
          <w:rFonts w:hint="default"/>
          <w:b w:val="0"/>
          <w:bCs w:val="0"/>
          <w:i/>
          <w:iCs/>
          <w:color w:val="auto"/>
          <w:highlight w:val="none"/>
          <w:lang w:val="en-US" w:eastAsia="zh-CN"/>
        </w:rPr>
        <w:t>（Form.Pinus massoniana）</w:t>
      </w:r>
      <w:r>
        <w:rPr>
          <w:rFonts w:hint="default"/>
          <w:b w:val="0"/>
          <w:bCs w:val="0"/>
          <w:color w:val="auto"/>
          <w:highlight w:val="none"/>
          <w:lang w:val="en-US" w:eastAsia="zh-CN"/>
        </w:rPr>
        <w:t>等；阔叶林主要为落叶阔叶林和竹林，其常呈团状或条带状分布于山坡上部，常见的群系有毛竹林</w:t>
      </w:r>
      <w:r>
        <w:rPr>
          <w:rFonts w:hint="default"/>
          <w:b w:val="0"/>
          <w:bCs w:val="0"/>
          <w:i/>
          <w:iCs/>
          <w:color w:val="auto"/>
          <w:highlight w:val="none"/>
          <w:lang w:val="en-US" w:eastAsia="zh-CN"/>
        </w:rPr>
        <w:t>（Form.Phyllostachys heterocyclecv.Pubescens）</w:t>
      </w:r>
      <w:r>
        <w:rPr>
          <w:rFonts w:hint="default"/>
          <w:b w:val="0"/>
          <w:bCs w:val="0"/>
          <w:color w:val="auto"/>
          <w:highlight w:val="none"/>
          <w:lang w:val="en-US" w:eastAsia="zh-CN"/>
        </w:rPr>
        <w:t>、枫香树林</w:t>
      </w:r>
      <w:r>
        <w:rPr>
          <w:rFonts w:hint="default"/>
          <w:b w:val="0"/>
          <w:bCs w:val="0"/>
          <w:i/>
          <w:iCs/>
          <w:color w:val="auto"/>
          <w:highlight w:val="none"/>
          <w:lang w:val="en-US" w:eastAsia="zh-CN"/>
        </w:rPr>
        <w:t>（Form.Liquidambar formosana）</w:t>
      </w:r>
      <w:r>
        <w:rPr>
          <w:rFonts w:hint="default"/>
          <w:b w:val="0"/>
          <w:bCs w:val="0"/>
          <w:color w:val="auto"/>
          <w:highlight w:val="none"/>
          <w:lang w:val="en-US" w:eastAsia="zh-CN"/>
        </w:rPr>
        <w:t>、山乌桕林</w:t>
      </w:r>
      <w:r>
        <w:rPr>
          <w:rFonts w:hint="default"/>
          <w:b w:val="0"/>
          <w:bCs w:val="0"/>
          <w:i/>
          <w:iCs/>
          <w:color w:val="auto"/>
          <w:highlight w:val="none"/>
          <w:lang w:val="en-US" w:eastAsia="zh-CN"/>
        </w:rPr>
        <w:t>（Form.Sapiumdiscolor）</w:t>
      </w:r>
      <w:r>
        <w:rPr>
          <w:rFonts w:hint="default"/>
          <w:b w:val="0"/>
          <w:bCs w:val="0"/>
          <w:color w:val="auto"/>
          <w:highlight w:val="none"/>
          <w:lang w:val="en-US" w:eastAsia="zh-CN"/>
        </w:rPr>
        <w:t>等。评价区森林生态系统内植被多以次生林为主，植被类型单一，群落结构简单，物种组成贫乏，其中乔木层常见的植物有杉木</w:t>
      </w:r>
      <w:r>
        <w:rPr>
          <w:rFonts w:hint="default"/>
          <w:b w:val="0"/>
          <w:bCs w:val="0"/>
          <w:i/>
          <w:iCs/>
          <w:color w:val="auto"/>
          <w:highlight w:val="none"/>
          <w:lang w:val="en-US" w:eastAsia="zh-CN"/>
        </w:rPr>
        <w:t>（Cunninghamialanceolata）</w:t>
      </w:r>
      <w:r>
        <w:rPr>
          <w:rFonts w:hint="default"/>
          <w:b w:val="0"/>
          <w:bCs w:val="0"/>
          <w:color w:val="auto"/>
          <w:highlight w:val="none"/>
          <w:lang w:val="en-US" w:eastAsia="zh-CN"/>
        </w:rPr>
        <w:t>、马尾松</w:t>
      </w:r>
      <w:r>
        <w:rPr>
          <w:rFonts w:hint="default"/>
          <w:b w:val="0"/>
          <w:bCs w:val="0"/>
          <w:i/>
          <w:iCs/>
          <w:color w:val="auto"/>
          <w:highlight w:val="none"/>
          <w:lang w:val="en-US" w:eastAsia="zh-CN"/>
        </w:rPr>
        <w:t>（Pinus massoniana）</w:t>
      </w:r>
      <w:r>
        <w:rPr>
          <w:rFonts w:hint="default"/>
          <w:b w:val="0"/>
          <w:bCs w:val="0"/>
          <w:color w:val="auto"/>
          <w:highlight w:val="none"/>
          <w:lang w:val="en-US" w:eastAsia="zh-CN"/>
        </w:rPr>
        <w:t>、楤木</w:t>
      </w:r>
      <w:r>
        <w:rPr>
          <w:rFonts w:hint="default"/>
          <w:b w:val="0"/>
          <w:bCs w:val="0"/>
          <w:i/>
          <w:iCs/>
          <w:color w:val="auto"/>
          <w:highlight w:val="none"/>
          <w:lang w:val="en-US" w:eastAsia="zh-CN"/>
        </w:rPr>
        <w:t>（Aralia chinensis）</w:t>
      </w:r>
      <w:r>
        <w:rPr>
          <w:rFonts w:hint="default"/>
          <w:b w:val="0"/>
          <w:bCs w:val="0"/>
          <w:color w:val="auto"/>
          <w:highlight w:val="none"/>
          <w:lang w:val="en-US" w:eastAsia="zh-CN"/>
        </w:rPr>
        <w:t>、化香树</w:t>
      </w:r>
      <w:r>
        <w:rPr>
          <w:rFonts w:hint="default"/>
          <w:b w:val="0"/>
          <w:bCs w:val="0"/>
          <w:i/>
          <w:iCs/>
          <w:color w:val="auto"/>
          <w:highlight w:val="none"/>
          <w:lang w:val="en-US" w:eastAsia="zh-CN"/>
        </w:rPr>
        <w:t>（Platycarya strobilacea）</w:t>
      </w:r>
      <w:r>
        <w:rPr>
          <w:rFonts w:hint="default"/>
          <w:b w:val="0"/>
          <w:bCs w:val="0"/>
          <w:color w:val="auto"/>
          <w:highlight w:val="none"/>
          <w:lang w:val="en-US" w:eastAsia="zh-CN"/>
        </w:rPr>
        <w:t>、冬青</w:t>
      </w:r>
      <w:r>
        <w:rPr>
          <w:rFonts w:hint="default"/>
          <w:b w:val="0"/>
          <w:bCs w:val="0"/>
          <w:i/>
          <w:iCs/>
          <w:color w:val="auto"/>
          <w:highlight w:val="none"/>
          <w:lang w:val="en-US" w:eastAsia="zh-CN"/>
        </w:rPr>
        <w:t>（Ilex chinensis）</w:t>
      </w:r>
      <w:r>
        <w:rPr>
          <w:rFonts w:hint="default"/>
          <w:b w:val="0"/>
          <w:bCs w:val="0"/>
          <w:color w:val="auto"/>
          <w:highlight w:val="none"/>
          <w:lang w:val="en-US" w:eastAsia="zh-CN"/>
        </w:rPr>
        <w:t>、山乌桕</w:t>
      </w:r>
      <w:r>
        <w:rPr>
          <w:rFonts w:hint="default"/>
          <w:b w:val="0"/>
          <w:bCs w:val="0"/>
          <w:i/>
          <w:iCs/>
          <w:color w:val="auto"/>
          <w:highlight w:val="none"/>
          <w:lang w:val="en-US" w:eastAsia="zh-CN"/>
        </w:rPr>
        <w:t>（Sapium discolor）</w:t>
      </w:r>
      <w:r>
        <w:rPr>
          <w:rFonts w:hint="default"/>
          <w:b w:val="0"/>
          <w:bCs w:val="0"/>
          <w:color w:val="auto"/>
          <w:highlight w:val="none"/>
          <w:lang w:val="en-US" w:eastAsia="zh-CN"/>
        </w:rPr>
        <w:t>等</w:t>
      </w:r>
      <w:r>
        <w:rPr>
          <w:rFonts w:hint="eastAsia"/>
          <w:b w:val="0"/>
          <w:bCs w:val="0"/>
          <w:color w:val="auto"/>
          <w:highlight w:val="none"/>
          <w:lang w:val="en-US" w:eastAsia="zh-CN"/>
        </w:rPr>
        <w:t>。</w:t>
      </w:r>
    </w:p>
    <w:p w14:paraId="0948A4BA">
      <w:pPr>
        <w:pStyle w:val="30"/>
        <w:keepNext w:val="0"/>
        <w:keepLines w:val="0"/>
        <w:pageBreakBefore w:val="0"/>
        <w:widowControl w:val="0"/>
        <w:kinsoku/>
        <w:wordWrap/>
        <w:overflowPunct/>
        <w:topLinePunct w:val="0"/>
        <w:autoSpaceDE/>
        <w:autoSpaceDN/>
        <w:bidi w:val="0"/>
        <w:adjustRightInd/>
        <w:snapToGrid/>
        <w:ind w:left="0" w:leftChars="0" w:firstLine="480" w:firstLineChars="200"/>
        <w:jc w:val="both"/>
        <w:textAlignment w:val="auto"/>
        <w:rPr>
          <w:rFonts w:hint="default"/>
          <w:b w:val="0"/>
          <w:bCs w:val="0"/>
          <w:color w:val="auto"/>
          <w:highlight w:val="none"/>
          <w:lang w:val="en-US" w:eastAsia="zh-CN"/>
        </w:rPr>
      </w:pPr>
      <w:r>
        <w:rPr>
          <w:rFonts w:hint="default"/>
          <w:b w:val="0"/>
          <w:bCs w:val="0"/>
          <w:color w:val="auto"/>
          <w:highlight w:val="none"/>
          <w:lang w:val="en-US" w:eastAsia="zh-CN"/>
        </w:rPr>
        <w:t>森林生态系统亦是多种动物的栖息地，如两栖类中的陆栖-静水型物种，包括中华蟾蜍</w:t>
      </w:r>
      <w:r>
        <w:rPr>
          <w:rFonts w:hint="default"/>
          <w:b w:val="0"/>
          <w:bCs w:val="0"/>
          <w:i/>
          <w:iCs/>
          <w:color w:val="auto"/>
          <w:highlight w:val="none"/>
          <w:lang w:val="en-US" w:eastAsia="zh-CN"/>
        </w:rPr>
        <w:t>（Bufo gargarizans）</w:t>
      </w:r>
      <w:r>
        <w:rPr>
          <w:rFonts w:hint="default"/>
          <w:b w:val="0"/>
          <w:bCs w:val="0"/>
          <w:color w:val="auto"/>
          <w:highlight w:val="none"/>
          <w:lang w:val="en-US" w:eastAsia="zh-CN"/>
        </w:rPr>
        <w:t>、镇海林蛙</w:t>
      </w:r>
      <w:r>
        <w:rPr>
          <w:rFonts w:hint="default"/>
          <w:b w:val="0"/>
          <w:bCs w:val="0"/>
          <w:i/>
          <w:iCs/>
          <w:color w:val="auto"/>
          <w:highlight w:val="none"/>
          <w:lang w:val="en-US" w:eastAsia="zh-CN"/>
        </w:rPr>
        <w:t>（Rana zhenhaiensis）</w:t>
      </w:r>
      <w:r>
        <w:rPr>
          <w:rFonts w:hint="default"/>
          <w:b w:val="0"/>
          <w:bCs w:val="0"/>
          <w:color w:val="auto"/>
          <w:highlight w:val="none"/>
          <w:lang w:val="en-US" w:eastAsia="zh-CN"/>
        </w:rPr>
        <w:t>等；爬行类中的林栖傍水型物种，如王锦蛇</w:t>
      </w:r>
      <w:r>
        <w:rPr>
          <w:rFonts w:hint="default"/>
          <w:b w:val="0"/>
          <w:bCs w:val="0"/>
          <w:i/>
          <w:iCs/>
          <w:color w:val="auto"/>
          <w:highlight w:val="none"/>
          <w:lang w:val="en-US" w:eastAsia="zh-CN"/>
        </w:rPr>
        <w:t>（Elaphe carinata）</w:t>
      </w:r>
      <w:r>
        <w:rPr>
          <w:rFonts w:hint="default"/>
          <w:b w:val="0"/>
          <w:bCs w:val="0"/>
          <w:color w:val="auto"/>
          <w:highlight w:val="none"/>
          <w:lang w:val="en-US" w:eastAsia="zh-CN"/>
        </w:rPr>
        <w:t>、虎斑颈槽蛇</w:t>
      </w:r>
      <w:r>
        <w:rPr>
          <w:rFonts w:hint="default"/>
          <w:b w:val="0"/>
          <w:bCs w:val="0"/>
          <w:i/>
          <w:iCs/>
          <w:color w:val="auto"/>
          <w:highlight w:val="none"/>
          <w:lang w:val="en-US" w:eastAsia="zh-CN"/>
        </w:rPr>
        <w:t>（Rhabdophis tigrinus）</w:t>
      </w:r>
      <w:r>
        <w:rPr>
          <w:rFonts w:hint="default"/>
          <w:b w:val="0"/>
          <w:bCs w:val="0"/>
          <w:color w:val="auto"/>
          <w:highlight w:val="none"/>
          <w:lang w:val="en-US" w:eastAsia="zh-CN"/>
        </w:rPr>
        <w:t>等；鸟类中的陆禽如环颈雉</w:t>
      </w:r>
      <w:r>
        <w:rPr>
          <w:rFonts w:hint="default"/>
          <w:b w:val="0"/>
          <w:bCs w:val="0"/>
          <w:i/>
          <w:iCs/>
          <w:color w:val="auto"/>
          <w:highlight w:val="none"/>
          <w:lang w:val="en-US" w:eastAsia="zh-CN"/>
        </w:rPr>
        <w:t>（Phasianus colchicus）</w:t>
      </w:r>
      <w:r>
        <w:rPr>
          <w:rFonts w:hint="default"/>
          <w:b w:val="0"/>
          <w:bCs w:val="0"/>
          <w:color w:val="auto"/>
          <w:highlight w:val="none"/>
          <w:lang w:val="en-US" w:eastAsia="zh-CN"/>
        </w:rPr>
        <w:t>、山斑鸠</w:t>
      </w:r>
      <w:r>
        <w:rPr>
          <w:rFonts w:hint="default"/>
          <w:b w:val="0"/>
          <w:bCs w:val="0"/>
          <w:i/>
          <w:iCs/>
          <w:color w:val="auto"/>
          <w:highlight w:val="none"/>
          <w:lang w:val="en-US" w:eastAsia="zh-CN"/>
        </w:rPr>
        <w:t>（Streptopelia orientalis）</w:t>
      </w:r>
      <w:r>
        <w:rPr>
          <w:rFonts w:hint="default"/>
          <w:b w:val="0"/>
          <w:bCs w:val="0"/>
          <w:color w:val="auto"/>
          <w:highlight w:val="none"/>
          <w:lang w:val="en-US" w:eastAsia="zh-CN"/>
        </w:rPr>
        <w:t>等，猛禽如领鸺鹠</w:t>
      </w:r>
      <w:r>
        <w:rPr>
          <w:rFonts w:hint="default"/>
          <w:b w:val="0"/>
          <w:bCs w:val="0"/>
          <w:i/>
          <w:iCs/>
          <w:color w:val="auto"/>
          <w:highlight w:val="none"/>
          <w:lang w:val="en-US" w:eastAsia="zh-CN"/>
        </w:rPr>
        <w:t>（Glaucidium brodiei）</w:t>
      </w:r>
      <w:r>
        <w:rPr>
          <w:rFonts w:hint="default"/>
          <w:b w:val="0"/>
          <w:bCs w:val="0"/>
          <w:color w:val="auto"/>
          <w:highlight w:val="none"/>
          <w:lang w:val="en-US" w:eastAsia="zh-CN"/>
        </w:rPr>
        <w:t>、领角鸮</w:t>
      </w:r>
      <w:r>
        <w:rPr>
          <w:rFonts w:hint="default"/>
          <w:b w:val="0"/>
          <w:bCs w:val="0"/>
          <w:i/>
          <w:iCs/>
          <w:color w:val="auto"/>
          <w:highlight w:val="none"/>
          <w:lang w:val="en-US" w:eastAsia="zh-CN"/>
        </w:rPr>
        <w:t>（Otus lettia）</w:t>
      </w:r>
      <w:r>
        <w:rPr>
          <w:rFonts w:hint="default"/>
          <w:b w:val="0"/>
          <w:bCs w:val="0"/>
          <w:color w:val="auto"/>
          <w:highlight w:val="none"/>
          <w:lang w:val="en-US" w:eastAsia="zh-CN"/>
        </w:rPr>
        <w:t>等，攀禽如四声杜鹃</w:t>
      </w:r>
      <w:r>
        <w:rPr>
          <w:rFonts w:hint="default"/>
          <w:b w:val="0"/>
          <w:bCs w:val="0"/>
          <w:i/>
          <w:iCs/>
          <w:color w:val="auto"/>
          <w:highlight w:val="none"/>
          <w:lang w:val="en-US" w:eastAsia="zh-CN"/>
        </w:rPr>
        <w:t>（Cuculus micropterus）</w:t>
      </w:r>
      <w:r>
        <w:rPr>
          <w:rFonts w:hint="default"/>
          <w:b w:val="0"/>
          <w:bCs w:val="0"/>
          <w:color w:val="auto"/>
          <w:highlight w:val="none"/>
          <w:lang w:val="en-US" w:eastAsia="zh-CN"/>
        </w:rPr>
        <w:t>、大斑啄木鸟</w:t>
      </w:r>
      <w:r>
        <w:rPr>
          <w:rFonts w:hint="default"/>
          <w:b w:val="0"/>
          <w:bCs w:val="0"/>
          <w:i/>
          <w:iCs/>
          <w:color w:val="auto"/>
          <w:highlight w:val="none"/>
          <w:lang w:val="en-US" w:eastAsia="zh-CN"/>
        </w:rPr>
        <w:t>（Dendrocopos major）</w:t>
      </w:r>
      <w:r>
        <w:rPr>
          <w:rFonts w:hint="default"/>
          <w:b w:val="0"/>
          <w:bCs w:val="0"/>
          <w:color w:val="auto"/>
          <w:highlight w:val="none"/>
          <w:lang w:val="en-US" w:eastAsia="zh-CN"/>
        </w:rPr>
        <w:t>等，鸣禽如红嘴蓝鹊</w:t>
      </w:r>
      <w:r>
        <w:rPr>
          <w:rFonts w:hint="default"/>
          <w:b w:val="0"/>
          <w:bCs w:val="0"/>
          <w:i/>
          <w:iCs/>
          <w:color w:val="auto"/>
          <w:highlight w:val="none"/>
          <w:lang w:val="en-US" w:eastAsia="zh-CN"/>
        </w:rPr>
        <w:t>（Urocissa erythrorhyncha）</w:t>
      </w:r>
      <w:r>
        <w:rPr>
          <w:rFonts w:hint="default"/>
          <w:b w:val="0"/>
          <w:bCs w:val="0"/>
          <w:color w:val="auto"/>
          <w:highlight w:val="none"/>
          <w:lang w:val="en-US" w:eastAsia="zh-CN"/>
        </w:rPr>
        <w:t>、领雀嘴鹎</w:t>
      </w:r>
      <w:r>
        <w:rPr>
          <w:rFonts w:hint="default"/>
          <w:b w:val="0"/>
          <w:bCs w:val="0"/>
          <w:i/>
          <w:iCs/>
          <w:color w:val="auto"/>
          <w:highlight w:val="none"/>
          <w:lang w:val="en-US" w:eastAsia="zh-CN"/>
        </w:rPr>
        <w:t>（Spizixos semitorques）</w:t>
      </w:r>
      <w:r>
        <w:rPr>
          <w:rFonts w:hint="default"/>
          <w:b w:val="0"/>
          <w:bCs w:val="0"/>
          <w:color w:val="auto"/>
          <w:highlight w:val="none"/>
          <w:lang w:val="en-US" w:eastAsia="zh-CN"/>
        </w:rPr>
        <w:t>、大山雀</w:t>
      </w:r>
      <w:r>
        <w:rPr>
          <w:rFonts w:hint="default"/>
          <w:b w:val="0"/>
          <w:bCs w:val="0"/>
          <w:i/>
          <w:iCs/>
          <w:color w:val="auto"/>
          <w:highlight w:val="none"/>
          <w:lang w:val="en-US" w:eastAsia="zh-CN"/>
        </w:rPr>
        <w:t>（Parusmajor）</w:t>
      </w:r>
      <w:r>
        <w:rPr>
          <w:rFonts w:hint="default"/>
          <w:b w:val="0"/>
          <w:bCs w:val="0"/>
          <w:color w:val="auto"/>
          <w:highlight w:val="none"/>
          <w:lang w:val="en-US" w:eastAsia="zh-CN"/>
        </w:rPr>
        <w:t>、红头穗鹛</w:t>
      </w:r>
      <w:r>
        <w:rPr>
          <w:rFonts w:hint="default"/>
          <w:b w:val="0"/>
          <w:bCs w:val="0"/>
          <w:i/>
          <w:iCs/>
          <w:color w:val="auto"/>
          <w:highlight w:val="none"/>
          <w:lang w:val="en-US" w:eastAsia="zh-CN"/>
        </w:rPr>
        <w:t>（Stachyris ruficeps）</w:t>
      </w:r>
      <w:r>
        <w:rPr>
          <w:rFonts w:hint="default"/>
          <w:b w:val="0"/>
          <w:bCs w:val="0"/>
          <w:color w:val="auto"/>
          <w:highlight w:val="none"/>
          <w:lang w:val="en-US" w:eastAsia="zh-CN"/>
        </w:rPr>
        <w:t>等；哺乳类中地面生活型物种如野猪</w:t>
      </w:r>
      <w:r>
        <w:rPr>
          <w:rFonts w:hint="default"/>
          <w:b w:val="0"/>
          <w:bCs w:val="0"/>
          <w:i/>
          <w:iCs/>
          <w:color w:val="auto"/>
          <w:highlight w:val="none"/>
          <w:lang w:val="en-US" w:eastAsia="zh-CN"/>
        </w:rPr>
        <w:t>（Susscrofa）</w:t>
      </w:r>
      <w:r>
        <w:rPr>
          <w:rFonts w:hint="default"/>
          <w:b w:val="0"/>
          <w:bCs w:val="0"/>
          <w:color w:val="auto"/>
          <w:highlight w:val="none"/>
          <w:lang w:val="en-US" w:eastAsia="zh-CN"/>
        </w:rPr>
        <w:t>，半地下生活型物种如猪獾</w:t>
      </w:r>
      <w:r>
        <w:rPr>
          <w:rFonts w:hint="default"/>
          <w:b w:val="0"/>
          <w:bCs w:val="0"/>
          <w:i/>
          <w:iCs/>
          <w:color w:val="auto"/>
          <w:highlight w:val="none"/>
          <w:lang w:val="en-US" w:eastAsia="zh-CN"/>
        </w:rPr>
        <w:t>（Arctonyx collaris）</w:t>
      </w:r>
      <w:r>
        <w:rPr>
          <w:rFonts w:hint="default"/>
          <w:b w:val="0"/>
          <w:bCs w:val="0"/>
          <w:color w:val="auto"/>
          <w:highlight w:val="none"/>
          <w:lang w:val="en-US" w:eastAsia="zh-CN"/>
        </w:rPr>
        <w:t>、鼬獾</w:t>
      </w:r>
      <w:r>
        <w:rPr>
          <w:rFonts w:hint="default"/>
          <w:b w:val="0"/>
          <w:bCs w:val="0"/>
          <w:i/>
          <w:iCs/>
          <w:color w:val="auto"/>
          <w:highlight w:val="none"/>
          <w:lang w:val="en-US" w:eastAsia="zh-CN"/>
        </w:rPr>
        <w:t>（Melogale moschata）</w:t>
      </w:r>
      <w:r>
        <w:rPr>
          <w:rFonts w:hint="default"/>
          <w:b w:val="0"/>
          <w:bCs w:val="0"/>
          <w:color w:val="auto"/>
          <w:highlight w:val="none"/>
          <w:lang w:val="en-US" w:eastAsia="zh-CN"/>
        </w:rPr>
        <w:t>，树栖型物种如隐纹花松鼠</w:t>
      </w:r>
      <w:r>
        <w:rPr>
          <w:rFonts w:hint="default"/>
          <w:b w:val="0"/>
          <w:bCs w:val="0"/>
          <w:i/>
          <w:iCs/>
          <w:color w:val="auto"/>
          <w:highlight w:val="none"/>
          <w:lang w:val="en-US" w:eastAsia="zh-CN"/>
        </w:rPr>
        <w:t>（Tamiops swinhoei）</w:t>
      </w:r>
      <w:r>
        <w:rPr>
          <w:rFonts w:hint="default"/>
          <w:b w:val="0"/>
          <w:bCs w:val="0"/>
          <w:color w:val="auto"/>
          <w:highlight w:val="none"/>
          <w:lang w:val="en-US" w:eastAsia="zh-CN"/>
        </w:rPr>
        <w:t>和赤腹松鼠</w:t>
      </w:r>
      <w:r>
        <w:rPr>
          <w:rFonts w:hint="default"/>
          <w:b w:val="0"/>
          <w:bCs w:val="0"/>
          <w:i/>
          <w:iCs/>
          <w:color w:val="auto"/>
          <w:highlight w:val="none"/>
          <w:lang w:val="en-US" w:eastAsia="zh-CN"/>
        </w:rPr>
        <w:t>（Callosciuruserythraeus）</w:t>
      </w:r>
      <w:r>
        <w:rPr>
          <w:rFonts w:hint="default"/>
          <w:b w:val="0"/>
          <w:bCs w:val="0"/>
          <w:color w:val="auto"/>
          <w:highlight w:val="none"/>
          <w:lang w:val="en-US" w:eastAsia="zh-CN"/>
        </w:rPr>
        <w:t>等。</w:t>
      </w:r>
    </w:p>
    <w:p w14:paraId="522FD17C">
      <w:pPr>
        <w:bidi w:val="0"/>
        <w:rPr>
          <w:color w:val="auto"/>
          <w:highlight w:val="none"/>
        </w:rPr>
      </w:pPr>
      <w:r>
        <w:rPr>
          <w:rFonts w:hint="default"/>
          <w:b w:val="0"/>
          <w:bCs w:val="0"/>
          <w:color w:val="auto"/>
          <w:highlight w:val="none"/>
          <w:lang w:val="en-US" w:eastAsia="zh-CN"/>
        </w:rPr>
        <w:t>评价区森林生态系统分布广泛，面积较大，其主要特点有：①评价区森林生态系统内植被受人为干扰严重，多以次生林、人工林为主，主要为杉木林，林相整齐，植被层次结构、层片结构相对简单。②森林生态系统内群系结构比较简单，动植物种类组成相对贫乏，食物网结构、营养结构相对较简单。其生态服务功能主要有：光能利用、调节气候、涵养水源、改良土壤、净化空气、保持水土、防风固沙、吸烟滞尘、改变区域水热状况、孕育和保存生物多样性等方面。</w:t>
      </w:r>
    </w:p>
    <w:p w14:paraId="2E07880F">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灌丛/灌草丛生态系统</w:t>
      </w:r>
    </w:p>
    <w:p w14:paraId="657F203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评价区灌丛/灌草丛生态系统面积为</w:t>
      </w:r>
      <w:r>
        <w:rPr>
          <w:rFonts w:hint="eastAsia" w:ascii="Times New Roman" w:hAnsi="Times New Roman" w:eastAsia="宋体" w:cs="Times New Roman"/>
          <w:b w:val="0"/>
          <w:bCs w:val="0"/>
          <w:color w:val="auto"/>
          <w:kern w:val="2"/>
          <w:sz w:val="24"/>
          <w:szCs w:val="24"/>
          <w:highlight w:val="none"/>
          <w:lang w:val="en-US" w:eastAsia="zh-CN" w:bidi="ar-SA"/>
        </w:rPr>
        <w:t>520.13</w:t>
      </w:r>
      <w:r>
        <w:rPr>
          <w:rFonts w:hint="default" w:ascii="Times New Roman" w:hAnsi="Times New Roman" w:eastAsia="宋体" w:cs="Times New Roman"/>
          <w:b w:val="0"/>
          <w:bCs w:val="0"/>
          <w:color w:val="auto"/>
          <w:kern w:val="2"/>
          <w:sz w:val="24"/>
          <w:szCs w:val="24"/>
          <w:highlight w:val="none"/>
          <w:lang w:val="en-US" w:eastAsia="zh-CN" w:bidi="ar-SA"/>
        </w:rPr>
        <w:t>hm</w:t>
      </w:r>
      <w:r>
        <w:rPr>
          <w:rFonts w:hint="default" w:ascii="Times New Roman" w:hAnsi="Times New Roman" w:eastAsia="宋体" w:cs="Times New Roman"/>
          <w:b w:val="0"/>
          <w:bCs w:val="0"/>
          <w:color w:val="auto"/>
          <w:kern w:val="2"/>
          <w:sz w:val="24"/>
          <w:szCs w:val="24"/>
          <w:highlight w:val="none"/>
          <w:vertAlign w:val="superscript"/>
          <w:lang w:val="en-US" w:eastAsia="zh-CN" w:bidi="ar-SA"/>
        </w:rPr>
        <w:t>2</w:t>
      </w:r>
      <w:r>
        <w:rPr>
          <w:rFonts w:hint="default" w:ascii="Times New Roman" w:hAnsi="Times New Roman" w:eastAsia="宋体" w:cs="Times New Roman"/>
          <w:b w:val="0"/>
          <w:bCs w:val="0"/>
          <w:color w:val="auto"/>
          <w:kern w:val="2"/>
          <w:sz w:val="24"/>
          <w:szCs w:val="24"/>
          <w:highlight w:val="none"/>
          <w:lang w:val="en-US" w:eastAsia="zh-CN" w:bidi="ar-SA"/>
        </w:rPr>
        <w:t>，占评价区总面积的</w:t>
      </w:r>
      <w:r>
        <w:rPr>
          <w:rFonts w:hint="eastAsia" w:ascii="Times New Roman" w:hAnsi="Times New Roman" w:eastAsia="宋体" w:cs="Times New Roman"/>
          <w:b w:val="0"/>
          <w:bCs w:val="0"/>
          <w:color w:val="auto"/>
          <w:kern w:val="2"/>
          <w:sz w:val="24"/>
          <w:szCs w:val="24"/>
          <w:highlight w:val="none"/>
          <w:lang w:val="en-US" w:eastAsia="zh-CN" w:bidi="ar-SA"/>
        </w:rPr>
        <w:t>21.2</w:t>
      </w:r>
      <w:r>
        <w:rPr>
          <w:rFonts w:hint="default" w:ascii="Times New Roman" w:hAnsi="Times New Roman" w:eastAsia="宋体" w:cs="Times New Roman"/>
          <w:b w:val="0"/>
          <w:bCs w:val="0"/>
          <w:color w:val="auto"/>
          <w:kern w:val="2"/>
          <w:sz w:val="24"/>
          <w:szCs w:val="24"/>
          <w:highlight w:val="none"/>
          <w:lang w:val="en-US" w:eastAsia="zh-CN" w:bidi="ar-SA"/>
        </w:rPr>
        <w:t xml:space="preserve">%。评价区内灌丛/灌草丛生态系统多位于山坡下部以及道路两边。 </w:t>
      </w:r>
    </w:p>
    <w:p w14:paraId="445A32D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评价区灌丛和草地生态系统内植被多以灌丛和灌草丛为主，常呈斑块状分布，常见的群系有山茶灌丛</w:t>
      </w:r>
      <w:r>
        <w:rPr>
          <w:rFonts w:hint="default" w:ascii="Times New Roman" w:hAnsi="Times New Roman" w:eastAsia="宋体" w:cs="Times New Roman"/>
          <w:b w:val="0"/>
          <w:bCs w:val="0"/>
          <w:i/>
          <w:iCs/>
          <w:color w:val="auto"/>
          <w:kern w:val="2"/>
          <w:sz w:val="24"/>
          <w:szCs w:val="24"/>
          <w:highlight w:val="none"/>
          <w:lang w:val="en-US" w:eastAsia="zh-CN" w:bidi="ar-SA"/>
        </w:rPr>
        <w:t>（Form. Camellia japonica）</w:t>
      </w:r>
      <w:r>
        <w:rPr>
          <w:rFonts w:hint="default" w:ascii="Times New Roman" w:hAnsi="Times New Roman" w:eastAsia="宋体" w:cs="Times New Roman"/>
          <w:b w:val="0"/>
          <w:bCs w:val="0"/>
          <w:color w:val="auto"/>
          <w:kern w:val="2"/>
          <w:sz w:val="24"/>
          <w:szCs w:val="24"/>
          <w:highlight w:val="none"/>
          <w:lang w:val="en-US" w:eastAsia="zh-CN" w:bidi="ar-SA"/>
        </w:rPr>
        <w:t>、檵木灌丛</w:t>
      </w:r>
      <w:r>
        <w:rPr>
          <w:rFonts w:hint="default" w:ascii="Times New Roman" w:hAnsi="Times New Roman" w:eastAsia="宋体" w:cs="Times New Roman"/>
          <w:b w:val="0"/>
          <w:bCs w:val="0"/>
          <w:i/>
          <w:iCs/>
          <w:color w:val="auto"/>
          <w:kern w:val="2"/>
          <w:sz w:val="24"/>
          <w:szCs w:val="24"/>
          <w:highlight w:val="none"/>
          <w:lang w:val="en-US" w:eastAsia="zh-CN" w:bidi="ar-SA"/>
        </w:rPr>
        <w:t>（Form.</w:t>
      </w:r>
      <w:r>
        <w:rPr>
          <w:rFonts w:hint="eastAsia" w:ascii="Times New Roman" w:hAnsi="Times New Roman" w:eastAsia="宋体" w:cs="Times New Roman"/>
          <w:b w:val="0"/>
          <w:bCs w:val="0"/>
          <w:i/>
          <w:iCs/>
          <w:color w:val="auto"/>
          <w:kern w:val="2"/>
          <w:sz w:val="24"/>
          <w:szCs w:val="24"/>
          <w:highlight w:val="none"/>
          <w:lang w:val="en-US" w:eastAsia="zh-CN" w:bidi="ar-SA"/>
        </w:rPr>
        <w:t xml:space="preserve"> </w:t>
      </w:r>
      <w:r>
        <w:rPr>
          <w:rFonts w:hint="default" w:ascii="Times New Roman" w:hAnsi="Times New Roman" w:eastAsia="宋体" w:cs="Times New Roman"/>
          <w:b w:val="0"/>
          <w:bCs w:val="0"/>
          <w:i/>
          <w:iCs/>
          <w:color w:val="auto"/>
          <w:kern w:val="2"/>
          <w:sz w:val="24"/>
          <w:szCs w:val="24"/>
          <w:highlight w:val="none"/>
          <w:lang w:val="en-US" w:eastAsia="zh-CN" w:bidi="ar-SA"/>
        </w:rPr>
        <w:t>Loropetalum chinense）</w:t>
      </w:r>
      <w:r>
        <w:rPr>
          <w:rFonts w:hint="default" w:ascii="Times New Roman" w:hAnsi="Times New Roman" w:eastAsia="宋体" w:cs="Times New Roman"/>
          <w:b w:val="0"/>
          <w:bCs w:val="0"/>
          <w:color w:val="auto"/>
          <w:kern w:val="2"/>
          <w:sz w:val="24"/>
          <w:szCs w:val="24"/>
          <w:highlight w:val="none"/>
          <w:lang w:val="en-US" w:eastAsia="zh-CN" w:bidi="ar-SA"/>
        </w:rPr>
        <w:t>、芒灌草丛</w:t>
      </w:r>
      <w:r>
        <w:rPr>
          <w:rFonts w:hint="default" w:ascii="Times New Roman" w:hAnsi="Times New Roman" w:eastAsia="宋体" w:cs="Times New Roman"/>
          <w:b w:val="0"/>
          <w:bCs w:val="0"/>
          <w:i/>
          <w:iCs/>
          <w:color w:val="auto"/>
          <w:kern w:val="2"/>
          <w:sz w:val="24"/>
          <w:szCs w:val="24"/>
          <w:highlight w:val="none"/>
          <w:lang w:val="en-US" w:eastAsia="zh-CN" w:bidi="ar-SA"/>
        </w:rPr>
        <w:t>（Form.Miscanthus sinensis）</w:t>
      </w:r>
      <w:r>
        <w:rPr>
          <w:rFonts w:hint="default" w:ascii="Times New Roman" w:hAnsi="Times New Roman" w:eastAsia="宋体" w:cs="Times New Roman"/>
          <w:b w:val="0"/>
          <w:bCs w:val="0"/>
          <w:color w:val="auto"/>
          <w:kern w:val="2"/>
          <w:sz w:val="24"/>
          <w:szCs w:val="24"/>
          <w:highlight w:val="none"/>
          <w:lang w:val="en-US" w:eastAsia="zh-CN" w:bidi="ar-SA"/>
        </w:rPr>
        <w:t>、千里光灌草丛</w:t>
      </w:r>
      <w:r>
        <w:rPr>
          <w:rFonts w:hint="default" w:ascii="Times New Roman" w:hAnsi="Times New Roman" w:eastAsia="宋体" w:cs="Times New Roman"/>
          <w:b w:val="0"/>
          <w:bCs w:val="0"/>
          <w:i/>
          <w:iCs/>
          <w:color w:val="auto"/>
          <w:kern w:val="2"/>
          <w:sz w:val="24"/>
          <w:szCs w:val="24"/>
          <w:highlight w:val="none"/>
          <w:lang w:val="en-US" w:eastAsia="zh-CN" w:bidi="ar-SA"/>
        </w:rPr>
        <w:t>（Form.Senecio scandens）</w:t>
      </w:r>
      <w:r>
        <w:rPr>
          <w:rFonts w:hint="default" w:ascii="Times New Roman" w:hAnsi="Times New Roman" w:eastAsia="宋体" w:cs="Times New Roman"/>
          <w:b w:val="0"/>
          <w:bCs w:val="0"/>
          <w:color w:val="auto"/>
          <w:kern w:val="2"/>
          <w:sz w:val="24"/>
          <w:szCs w:val="24"/>
          <w:highlight w:val="none"/>
          <w:lang w:val="en-US" w:eastAsia="zh-CN" w:bidi="ar-SA"/>
        </w:rPr>
        <w:t>等。评价区处我国中纬度亚热带地区，区域灌丛/灌草丛生态系统多由森林生态系统退化而形成，生态系统内植被类型单一，群系结构简单，物种组成贫乏，其中灌木层常见的植物有马银花</w:t>
      </w:r>
      <w:r>
        <w:rPr>
          <w:rFonts w:hint="default" w:ascii="Times New Roman" w:hAnsi="Times New Roman" w:eastAsia="宋体" w:cs="Times New Roman"/>
          <w:b w:val="0"/>
          <w:bCs w:val="0"/>
          <w:i/>
          <w:iCs/>
          <w:color w:val="auto"/>
          <w:kern w:val="2"/>
          <w:sz w:val="24"/>
          <w:szCs w:val="24"/>
          <w:highlight w:val="none"/>
          <w:lang w:val="en-US" w:eastAsia="zh-CN" w:bidi="ar-SA"/>
        </w:rPr>
        <w:t>（Rhododendron ovatum）</w:t>
      </w:r>
      <w:r>
        <w:rPr>
          <w:rFonts w:hint="default" w:ascii="Times New Roman" w:hAnsi="Times New Roman" w:eastAsia="宋体" w:cs="Times New Roman"/>
          <w:b w:val="0"/>
          <w:bCs w:val="0"/>
          <w:color w:val="auto"/>
          <w:kern w:val="2"/>
          <w:sz w:val="24"/>
          <w:szCs w:val="24"/>
          <w:highlight w:val="none"/>
          <w:lang w:val="en-US" w:eastAsia="zh-CN" w:bidi="ar-SA"/>
        </w:rPr>
        <w:t>、高粱泡</w:t>
      </w:r>
      <w:r>
        <w:rPr>
          <w:rFonts w:hint="default" w:ascii="Times New Roman" w:hAnsi="Times New Roman" w:eastAsia="宋体" w:cs="Times New Roman"/>
          <w:b w:val="0"/>
          <w:bCs w:val="0"/>
          <w:i/>
          <w:iCs/>
          <w:color w:val="auto"/>
          <w:kern w:val="2"/>
          <w:sz w:val="24"/>
          <w:szCs w:val="24"/>
          <w:highlight w:val="none"/>
          <w:lang w:val="en-US" w:eastAsia="zh-CN" w:bidi="ar-SA"/>
        </w:rPr>
        <w:t>（Rubus lambertianus）</w:t>
      </w:r>
      <w:r>
        <w:rPr>
          <w:rFonts w:hint="default" w:ascii="Times New Roman" w:hAnsi="Times New Roman" w:eastAsia="宋体" w:cs="Times New Roman"/>
          <w:b w:val="0"/>
          <w:bCs w:val="0"/>
          <w:color w:val="auto"/>
          <w:kern w:val="2"/>
          <w:sz w:val="24"/>
          <w:szCs w:val="24"/>
          <w:highlight w:val="none"/>
          <w:lang w:val="en-US" w:eastAsia="zh-CN" w:bidi="ar-SA"/>
        </w:rPr>
        <w:t>、构棘</w:t>
      </w:r>
      <w:r>
        <w:rPr>
          <w:rFonts w:hint="default" w:ascii="Times New Roman" w:hAnsi="Times New Roman" w:eastAsia="宋体" w:cs="Times New Roman"/>
          <w:b w:val="0"/>
          <w:bCs w:val="0"/>
          <w:i/>
          <w:iCs/>
          <w:color w:val="auto"/>
          <w:kern w:val="2"/>
          <w:sz w:val="24"/>
          <w:szCs w:val="24"/>
          <w:highlight w:val="none"/>
          <w:lang w:val="en-US" w:eastAsia="zh-CN" w:bidi="ar-SA"/>
        </w:rPr>
        <w:t>（Cudrania cochinchinensis）</w:t>
      </w:r>
      <w:r>
        <w:rPr>
          <w:rFonts w:hint="default" w:ascii="Times New Roman" w:hAnsi="Times New Roman" w:eastAsia="宋体" w:cs="Times New Roman"/>
          <w:b w:val="0"/>
          <w:bCs w:val="0"/>
          <w:color w:val="auto"/>
          <w:kern w:val="2"/>
          <w:sz w:val="24"/>
          <w:szCs w:val="24"/>
          <w:highlight w:val="none"/>
          <w:lang w:val="en-US" w:eastAsia="zh-CN" w:bidi="ar-SA"/>
        </w:rPr>
        <w:t>、野桐</w:t>
      </w:r>
      <w:r>
        <w:rPr>
          <w:rFonts w:hint="default" w:ascii="Times New Roman" w:hAnsi="Times New Roman" w:eastAsia="宋体" w:cs="Times New Roman"/>
          <w:b w:val="0"/>
          <w:bCs w:val="0"/>
          <w:i/>
          <w:iCs/>
          <w:color w:val="auto"/>
          <w:kern w:val="2"/>
          <w:sz w:val="24"/>
          <w:szCs w:val="24"/>
          <w:highlight w:val="none"/>
          <w:lang w:val="en-US" w:eastAsia="zh-CN" w:bidi="ar-SA"/>
        </w:rPr>
        <w:t>（Mallotusjaponicus var. floccosus）</w:t>
      </w:r>
      <w:r>
        <w:rPr>
          <w:rFonts w:hint="default" w:ascii="Times New Roman" w:hAnsi="Times New Roman" w:eastAsia="宋体" w:cs="Times New Roman"/>
          <w:b w:val="0"/>
          <w:bCs w:val="0"/>
          <w:color w:val="auto"/>
          <w:kern w:val="2"/>
          <w:sz w:val="24"/>
          <w:szCs w:val="24"/>
          <w:highlight w:val="none"/>
          <w:lang w:val="en-US" w:eastAsia="zh-CN" w:bidi="ar-SA"/>
        </w:rPr>
        <w:t>、格药柃</w:t>
      </w:r>
      <w:r>
        <w:rPr>
          <w:rFonts w:hint="default" w:ascii="Times New Roman" w:hAnsi="Times New Roman" w:eastAsia="宋体" w:cs="Times New Roman"/>
          <w:b w:val="0"/>
          <w:bCs w:val="0"/>
          <w:i/>
          <w:iCs/>
          <w:color w:val="auto"/>
          <w:kern w:val="2"/>
          <w:sz w:val="24"/>
          <w:szCs w:val="24"/>
          <w:highlight w:val="none"/>
          <w:lang w:val="en-US" w:eastAsia="zh-CN" w:bidi="ar-SA"/>
        </w:rPr>
        <w:t>(Eurya muricata)</w:t>
      </w:r>
      <w:r>
        <w:rPr>
          <w:rFonts w:hint="default" w:ascii="Times New Roman" w:hAnsi="Times New Roman" w:eastAsia="宋体" w:cs="Times New Roman"/>
          <w:b w:val="0"/>
          <w:bCs w:val="0"/>
          <w:color w:val="auto"/>
          <w:kern w:val="2"/>
          <w:sz w:val="24"/>
          <w:szCs w:val="24"/>
          <w:highlight w:val="none"/>
          <w:lang w:val="en-US" w:eastAsia="zh-CN" w:bidi="ar-SA"/>
        </w:rPr>
        <w:t>、紫珠</w:t>
      </w:r>
      <w:r>
        <w:rPr>
          <w:rFonts w:hint="default" w:ascii="Times New Roman" w:hAnsi="Times New Roman" w:eastAsia="宋体" w:cs="Times New Roman"/>
          <w:b w:val="0"/>
          <w:bCs w:val="0"/>
          <w:i/>
          <w:iCs/>
          <w:color w:val="auto"/>
          <w:kern w:val="2"/>
          <w:sz w:val="24"/>
          <w:szCs w:val="24"/>
          <w:highlight w:val="none"/>
          <w:lang w:val="en-US" w:eastAsia="zh-CN" w:bidi="ar-SA"/>
        </w:rPr>
        <w:t>（Callicarpa bodinieri）</w:t>
      </w:r>
      <w:r>
        <w:rPr>
          <w:rFonts w:hint="default" w:ascii="Times New Roman" w:hAnsi="Times New Roman" w:eastAsia="宋体" w:cs="Times New Roman"/>
          <w:b w:val="0"/>
          <w:bCs w:val="0"/>
          <w:color w:val="auto"/>
          <w:kern w:val="2"/>
          <w:sz w:val="24"/>
          <w:szCs w:val="24"/>
          <w:highlight w:val="none"/>
          <w:lang w:val="en-US" w:eastAsia="zh-CN" w:bidi="ar-SA"/>
        </w:rPr>
        <w:t>等；草本层常见的植物有芒萁</w:t>
      </w:r>
      <w:r>
        <w:rPr>
          <w:rFonts w:hint="default" w:ascii="Times New Roman" w:hAnsi="Times New Roman" w:eastAsia="宋体" w:cs="Times New Roman"/>
          <w:b w:val="0"/>
          <w:bCs w:val="0"/>
          <w:i/>
          <w:iCs/>
          <w:color w:val="auto"/>
          <w:kern w:val="2"/>
          <w:sz w:val="24"/>
          <w:szCs w:val="24"/>
          <w:highlight w:val="none"/>
          <w:lang w:val="en-US" w:eastAsia="zh-CN" w:bidi="ar-SA"/>
        </w:rPr>
        <w:t>（Dicranopteris dichotoma）</w:t>
      </w:r>
      <w:r>
        <w:rPr>
          <w:rFonts w:hint="default" w:ascii="Times New Roman" w:hAnsi="Times New Roman" w:eastAsia="宋体" w:cs="Times New Roman"/>
          <w:b w:val="0"/>
          <w:bCs w:val="0"/>
          <w:color w:val="auto"/>
          <w:kern w:val="2"/>
          <w:sz w:val="24"/>
          <w:szCs w:val="24"/>
          <w:highlight w:val="none"/>
          <w:lang w:val="en-US" w:eastAsia="zh-CN" w:bidi="ar-SA"/>
        </w:rPr>
        <w:t>、乌蕨</w:t>
      </w:r>
      <w:r>
        <w:rPr>
          <w:rFonts w:hint="default" w:ascii="Times New Roman" w:hAnsi="Times New Roman" w:eastAsia="宋体" w:cs="Times New Roman"/>
          <w:b w:val="0"/>
          <w:bCs w:val="0"/>
          <w:i/>
          <w:iCs/>
          <w:color w:val="auto"/>
          <w:kern w:val="2"/>
          <w:sz w:val="24"/>
          <w:szCs w:val="24"/>
          <w:highlight w:val="none"/>
          <w:lang w:val="en-US" w:eastAsia="zh-CN" w:bidi="ar-SA"/>
        </w:rPr>
        <w:t>（Stenolomachusanum）</w:t>
      </w:r>
      <w:r>
        <w:rPr>
          <w:rFonts w:hint="default" w:ascii="Times New Roman" w:hAnsi="Times New Roman" w:eastAsia="宋体" w:cs="Times New Roman"/>
          <w:b w:val="0"/>
          <w:bCs w:val="0"/>
          <w:color w:val="auto"/>
          <w:kern w:val="2"/>
          <w:sz w:val="24"/>
          <w:szCs w:val="24"/>
          <w:highlight w:val="none"/>
          <w:lang w:val="en-US" w:eastAsia="zh-CN" w:bidi="ar-SA"/>
        </w:rPr>
        <w:t>、兰香草</w:t>
      </w:r>
      <w:r>
        <w:rPr>
          <w:rFonts w:hint="default" w:ascii="Times New Roman" w:hAnsi="Times New Roman" w:eastAsia="宋体" w:cs="Times New Roman"/>
          <w:b w:val="0"/>
          <w:bCs w:val="0"/>
          <w:i/>
          <w:iCs/>
          <w:color w:val="auto"/>
          <w:kern w:val="2"/>
          <w:sz w:val="24"/>
          <w:szCs w:val="24"/>
          <w:highlight w:val="none"/>
          <w:lang w:val="en-US" w:eastAsia="zh-CN" w:bidi="ar-SA"/>
        </w:rPr>
        <w:t>（Caryopteris incana）</w:t>
      </w:r>
      <w:r>
        <w:rPr>
          <w:rFonts w:hint="default" w:ascii="Times New Roman" w:hAnsi="Times New Roman" w:eastAsia="宋体" w:cs="Times New Roman"/>
          <w:b w:val="0"/>
          <w:bCs w:val="0"/>
          <w:color w:val="auto"/>
          <w:kern w:val="2"/>
          <w:sz w:val="24"/>
          <w:szCs w:val="24"/>
          <w:highlight w:val="none"/>
          <w:lang w:val="en-US" w:eastAsia="zh-CN" w:bidi="ar-SA"/>
        </w:rPr>
        <w:t>、芒</w:t>
      </w:r>
      <w:r>
        <w:rPr>
          <w:rFonts w:hint="default" w:ascii="Times New Roman" w:hAnsi="Times New Roman" w:eastAsia="宋体" w:cs="Times New Roman"/>
          <w:b w:val="0"/>
          <w:bCs w:val="0"/>
          <w:i/>
          <w:iCs/>
          <w:color w:val="auto"/>
          <w:kern w:val="2"/>
          <w:sz w:val="24"/>
          <w:szCs w:val="24"/>
          <w:highlight w:val="none"/>
          <w:lang w:val="en-US" w:eastAsia="zh-CN" w:bidi="ar-SA"/>
        </w:rPr>
        <w:t>（Miscanthussinensis）</w:t>
      </w:r>
      <w:r>
        <w:rPr>
          <w:rFonts w:hint="default" w:ascii="Times New Roman" w:hAnsi="Times New Roman" w:eastAsia="宋体" w:cs="Times New Roman"/>
          <w:b w:val="0"/>
          <w:bCs w:val="0"/>
          <w:color w:val="auto"/>
          <w:kern w:val="2"/>
          <w:sz w:val="24"/>
          <w:szCs w:val="24"/>
          <w:highlight w:val="none"/>
          <w:lang w:val="en-US" w:eastAsia="zh-CN" w:bidi="ar-SA"/>
        </w:rPr>
        <w:t>、三脉紫菀</w:t>
      </w:r>
      <w:r>
        <w:rPr>
          <w:rFonts w:hint="default" w:ascii="Times New Roman" w:hAnsi="Times New Roman" w:eastAsia="宋体" w:cs="Times New Roman"/>
          <w:b w:val="0"/>
          <w:bCs w:val="0"/>
          <w:i/>
          <w:iCs/>
          <w:color w:val="auto"/>
          <w:kern w:val="2"/>
          <w:sz w:val="24"/>
          <w:szCs w:val="24"/>
          <w:highlight w:val="none"/>
          <w:lang w:val="en-US" w:eastAsia="zh-CN" w:bidi="ar-SA"/>
        </w:rPr>
        <w:t>（Asterageratoides）</w:t>
      </w:r>
      <w:r>
        <w:rPr>
          <w:rFonts w:hint="default" w:ascii="Times New Roman" w:hAnsi="Times New Roman" w:eastAsia="宋体" w:cs="Times New Roman"/>
          <w:b w:val="0"/>
          <w:bCs w:val="0"/>
          <w:color w:val="auto"/>
          <w:kern w:val="2"/>
          <w:sz w:val="24"/>
          <w:szCs w:val="24"/>
          <w:highlight w:val="none"/>
          <w:lang w:val="en-US" w:eastAsia="zh-CN" w:bidi="ar-SA"/>
        </w:rPr>
        <w:t>、狗脊</w:t>
      </w:r>
      <w:r>
        <w:rPr>
          <w:rFonts w:hint="default" w:ascii="Times New Roman" w:hAnsi="Times New Roman" w:eastAsia="宋体" w:cs="Times New Roman"/>
          <w:b w:val="0"/>
          <w:bCs w:val="0"/>
          <w:i/>
          <w:iCs/>
          <w:color w:val="auto"/>
          <w:kern w:val="2"/>
          <w:sz w:val="24"/>
          <w:szCs w:val="24"/>
          <w:highlight w:val="none"/>
          <w:lang w:val="en-US" w:eastAsia="zh-CN" w:bidi="ar-SA"/>
        </w:rPr>
        <w:t>（Woodwardia japonica）</w:t>
      </w:r>
      <w:r>
        <w:rPr>
          <w:rFonts w:hint="default" w:ascii="Times New Roman" w:hAnsi="Times New Roman" w:eastAsia="宋体" w:cs="Times New Roman"/>
          <w:b w:val="0"/>
          <w:bCs w:val="0"/>
          <w:color w:val="auto"/>
          <w:kern w:val="2"/>
          <w:sz w:val="24"/>
          <w:szCs w:val="24"/>
          <w:highlight w:val="none"/>
          <w:lang w:val="en-US" w:eastAsia="zh-CN" w:bidi="ar-SA"/>
        </w:rPr>
        <w:t xml:space="preserve">等。 </w:t>
      </w:r>
    </w:p>
    <w:p w14:paraId="357DE61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灌丛生态系统还是一些鸟类、爬行类及小型哺乳类动物良好的栖息地和庇护场所，其中活动的两栖类为树栖型物种如斑腿泛树蛙</w:t>
      </w:r>
      <w:r>
        <w:rPr>
          <w:rFonts w:hint="default" w:ascii="Times New Roman" w:hAnsi="Times New Roman" w:eastAsia="宋体" w:cs="Times New Roman"/>
          <w:b w:val="0"/>
          <w:bCs w:val="0"/>
          <w:i/>
          <w:iCs/>
          <w:color w:val="auto"/>
          <w:kern w:val="2"/>
          <w:sz w:val="24"/>
          <w:szCs w:val="24"/>
          <w:highlight w:val="none"/>
          <w:lang w:val="en-US" w:eastAsia="zh-CN" w:bidi="ar-SA"/>
        </w:rPr>
        <w:t>（Polypedates megacephalus）</w:t>
      </w:r>
      <w:r>
        <w:rPr>
          <w:rFonts w:hint="default" w:ascii="Times New Roman" w:hAnsi="Times New Roman" w:eastAsia="宋体" w:cs="Times New Roman"/>
          <w:b w:val="0"/>
          <w:bCs w:val="0"/>
          <w:color w:val="auto"/>
          <w:kern w:val="2"/>
          <w:sz w:val="24"/>
          <w:szCs w:val="24"/>
          <w:highlight w:val="none"/>
          <w:lang w:val="en-US" w:eastAsia="zh-CN" w:bidi="ar-SA"/>
        </w:rPr>
        <w:t>等；爬行类为部分灌丛石隙型物种如中国石龙子</w:t>
      </w:r>
      <w:r>
        <w:rPr>
          <w:rFonts w:hint="default" w:ascii="Times New Roman" w:hAnsi="Times New Roman" w:eastAsia="宋体" w:cs="Times New Roman"/>
          <w:b w:val="0"/>
          <w:bCs w:val="0"/>
          <w:i/>
          <w:iCs/>
          <w:color w:val="auto"/>
          <w:kern w:val="2"/>
          <w:sz w:val="24"/>
          <w:szCs w:val="24"/>
          <w:highlight w:val="none"/>
          <w:lang w:val="en-US" w:eastAsia="zh-CN" w:bidi="ar-SA"/>
        </w:rPr>
        <w:t>（Plestiodon chinensis）</w:t>
      </w:r>
      <w:r>
        <w:rPr>
          <w:rFonts w:hint="default" w:ascii="Times New Roman" w:hAnsi="Times New Roman" w:eastAsia="宋体" w:cs="Times New Roman"/>
          <w:b w:val="0"/>
          <w:bCs w:val="0"/>
          <w:color w:val="auto"/>
          <w:kern w:val="2"/>
          <w:sz w:val="24"/>
          <w:szCs w:val="24"/>
          <w:highlight w:val="none"/>
          <w:lang w:val="en-US" w:eastAsia="zh-CN" w:bidi="ar-SA"/>
        </w:rPr>
        <w:t>、铜蜓蜥</w:t>
      </w:r>
      <w:r>
        <w:rPr>
          <w:rFonts w:hint="default" w:ascii="Times New Roman" w:hAnsi="Times New Roman" w:eastAsia="宋体" w:cs="Times New Roman"/>
          <w:b w:val="0"/>
          <w:bCs w:val="0"/>
          <w:i/>
          <w:iCs/>
          <w:color w:val="auto"/>
          <w:kern w:val="2"/>
          <w:sz w:val="24"/>
          <w:szCs w:val="24"/>
          <w:highlight w:val="none"/>
          <w:lang w:val="en-US" w:eastAsia="zh-CN" w:bidi="ar-SA"/>
        </w:rPr>
        <w:t>（Sphenomorphus indicus）</w:t>
      </w:r>
      <w:r>
        <w:rPr>
          <w:rFonts w:hint="default" w:ascii="Times New Roman" w:hAnsi="Times New Roman" w:eastAsia="宋体" w:cs="Times New Roman"/>
          <w:b w:val="0"/>
          <w:bCs w:val="0"/>
          <w:color w:val="auto"/>
          <w:kern w:val="2"/>
          <w:sz w:val="24"/>
          <w:szCs w:val="24"/>
          <w:highlight w:val="none"/>
          <w:lang w:val="en-US" w:eastAsia="zh-CN" w:bidi="ar-SA"/>
        </w:rPr>
        <w:t>、北草蜥</w:t>
      </w:r>
      <w:r>
        <w:rPr>
          <w:rFonts w:hint="default" w:ascii="Times New Roman" w:hAnsi="Times New Roman" w:eastAsia="宋体" w:cs="Times New Roman"/>
          <w:b w:val="0"/>
          <w:bCs w:val="0"/>
          <w:i/>
          <w:iCs/>
          <w:color w:val="auto"/>
          <w:kern w:val="2"/>
          <w:sz w:val="24"/>
          <w:szCs w:val="24"/>
          <w:highlight w:val="none"/>
          <w:lang w:val="en-US" w:eastAsia="zh-CN" w:bidi="ar-SA"/>
        </w:rPr>
        <w:t>（Takydromus septentrionalis）</w:t>
      </w:r>
      <w:r>
        <w:rPr>
          <w:rFonts w:hint="default" w:ascii="Times New Roman" w:hAnsi="Times New Roman" w:eastAsia="宋体" w:cs="Times New Roman"/>
          <w:b w:val="0"/>
          <w:bCs w:val="0"/>
          <w:color w:val="auto"/>
          <w:kern w:val="2"/>
          <w:sz w:val="24"/>
          <w:szCs w:val="24"/>
          <w:highlight w:val="none"/>
          <w:lang w:val="en-US" w:eastAsia="zh-CN" w:bidi="ar-SA"/>
        </w:rPr>
        <w:t>、尖吻蝮</w:t>
      </w:r>
      <w:r>
        <w:rPr>
          <w:rFonts w:hint="default" w:ascii="Times New Roman" w:hAnsi="Times New Roman" w:eastAsia="宋体" w:cs="Times New Roman"/>
          <w:b w:val="0"/>
          <w:bCs w:val="0"/>
          <w:i/>
          <w:iCs/>
          <w:color w:val="auto"/>
          <w:kern w:val="2"/>
          <w:sz w:val="24"/>
          <w:szCs w:val="24"/>
          <w:highlight w:val="none"/>
          <w:lang w:val="en-US" w:eastAsia="zh-CN" w:bidi="ar-SA"/>
        </w:rPr>
        <w:t>（Deinagkistrodon acutus）</w:t>
      </w:r>
      <w:r>
        <w:rPr>
          <w:rFonts w:hint="default" w:ascii="Times New Roman" w:hAnsi="Times New Roman" w:eastAsia="宋体" w:cs="Times New Roman"/>
          <w:b w:val="0"/>
          <w:bCs w:val="0"/>
          <w:color w:val="auto"/>
          <w:kern w:val="2"/>
          <w:sz w:val="24"/>
          <w:szCs w:val="24"/>
          <w:highlight w:val="none"/>
          <w:lang w:val="en-US" w:eastAsia="zh-CN" w:bidi="ar-SA"/>
        </w:rPr>
        <w:t>等；哺乳类为穴居型物种如华南兔</w:t>
      </w:r>
      <w:r>
        <w:rPr>
          <w:rFonts w:hint="default" w:ascii="Times New Roman" w:hAnsi="Times New Roman" w:eastAsia="宋体" w:cs="Times New Roman"/>
          <w:b w:val="0"/>
          <w:bCs w:val="0"/>
          <w:i/>
          <w:iCs/>
          <w:color w:val="auto"/>
          <w:kern w:val="2"/>
          <w:sz w:val="24"/>
          <w:szCs w:val="24"/>
          <w:highlight w:val="none"/>
          <w:lang w:val="en-US" w:eastAsia="zh-CN" w:bidi="ar-SA"/>
        </w:rPr>
        <w:t>（Lepus sinensis）</w:t>
      </w:r>
      <w:r>
        <w:rPr>
          <w:rFonts w:hint="default" w:ascii="Times New Roman" w:hAnsi="Times New Roman" w:eastAsia="宋体" w:cs="Times New Roman"/>
          <w:b w:val="0"/>
          <w:bCs w:val="0"/>
          <w:color w:val="auto"/>
          <w:kern w:val="2"/>
          <w:sz w:val="24"/>
          <w:szCs w:val="24"/>
          <w:highlight w:val="none"/>
          <w:lang w:val="en-US" w:eastAsia="zh-CN" w:bidi="ar-SA"/>
        </w:rPr>
        <w:t>，地面生活型物种如小麂</w:t>
      </w:r>
      <w:r>
        <w:rPr>
          <w:rFonts w:hint="default" w:ascii="Times New Roman" w:hAnsi="Times New Roman" w:eastAsia="宋体" w:cs="Times New Roman"/>
          <w:b w:val="0"/>
          <w:bCs w:val="0"/>
          <w:i/>
          <w:iCs/>
          <w:color w:val="auto"/>
          <w:kern w:val="2"/>
          <w:sz w:val="24"/>
          <w:szCs w:val="24"/>
          <w:highlight w:val="none"/>
          <w:lang w:val="en-US" w:eastAsia="zh-CN" w:bidi="ar-SA"/>
        </w:rPr>
        <w:t>（Muntiacus reevesi）</w:t>
      </w:r>
      <w:r>
        <w:rPr>
          <w:rFonts w:hint="default" w:ascii="Times New Roman" w:hAnsi="Times New Roman" w:eastAsia="宋体" w:cs="Times New Roman"/>
          <w:b w:val="0"/>
          <w:bCs w:val="0"/>
          <w:color w:val="auto"/>
          <w:kern w:val="2"/>
          <w:sz w:val="24"/>
          <w:szCs w:val="24"/>
          <w:highlight w:val="none"/>
          <w:lang w:val="en-US" w:eastAsia="zh-CN" w:bidi="ar-SA"/>
        </w:rPr>
        <w:t>等；在此系统中活动的绝大部分鸟类为雀形目鸣禽，如白头鹎</w:t>
      </w:r>
      <w:r>
        <w:rPr>
          <w:rFonts w:hint="default" w:ascii="Times New Roman" w:hAnsi="Times New Roman" w:eastAsia="宋体" w:cs="Times New Roman"/>
          <w:b w:val="0"/>
          <w:bCs w:val="0"/>
          <w:i/>
          <w:iCs/>
          <w:color w:val="auto"/>
          <w:kern w:val="2"/>
          <w:sz w:val="24"/>
          <w:szCs w:val="24"/>
          <w:highlight w:val="none"/>
          <w:lang w:val="en-US" w:eastAsia="zh-CN" w:bidi="ar-SA"/>
        </w:rPr>
        <w:t>（Pycnonotus sinensis）</w:t>
      </w:r>
      <w:r>
        <w:rPr>
          <w:rFonts w:hint="default" w:ascii="Times New Roman" w:hAnsi="Times New Roman" w:eastAsia="宋体" w:cs="Times New Roman"/>
          <w:b w:val="0"/>
          <w:bCs w:val="0"/>
          <w:color w:val="auto"/>
          <w:kern w:val="2"/>
          <w:sz w:val="24"/>
          <w:szCs w:val="24"/>
          <w:highlight w:val="none"/>
          <w:lang w:val="en-US" w:eastAsia="zh-CN" w:bidi="ar-SA"/>
        </w:rPr>
        <w:t>、鹊鸲</w:t>
      </w:r>
      <w:r>
        <w:rPr>
          <w:rFonts w:hint="default" w:ascii="Times New Roman" w:hAnsi="Times New Roman" w:eastAsia="宋体" w:cs="Times New Roman"/>
          <w:b w:val="0"/>
          <w:bCs w:val="0"/>
          <w:i/>
          <w:iCs/>
          <w:color w:val="auto"/>
          <w:kern w:val="2"/>
          <w:sz w:val="24"/>
          <w:szCs w:val="24"/>
          <w:highlight w:val="none"/>
          <w:lang w:val="en-US" w:eastAsia="zh-CN" w:bidi="ar-SA"/>
        </w:rPr>
        <w:t>（Copsychus saularis）</w:t>
      </w:r>
      <w:r>
        <w:rPr>
          <w:rFonts w:hint="default" w:ascii="Times New Roman" w:hAnsi="Times New Roman" w:eastAsia="宋体" w:cs="Times New Roman"/>
          <w:b w:val="0"/>
          <w:bCs w:val="0"/>
          <w:color w:val="auto"/>
          <w:kern w:val="2"/>
          <w:sz w:val="24"/>
          <w:szCs w:val="24"/>
          <w:highlight w:val="none"/>
          <w:lang w:val="en-US" w:eastAsia="zh-CN" w:bidi="ar-SA"/>
        </w:rPr>
        <w:t>、北红尾鸲</w:t>
      </w:r>
      <w:r>
        <w:rPr>
          <w:rFonts w:hint="default" w:ascii="Times New Roman" w:hAnsi="Times New Roman" w:eastAsia="宋体" w:cs="Times New Roman"/>
          <w:b w:val="0"/>
          <w:bCs w:val="0"/>
          <w:i/>
          <w:iCs/>
          <w:color w:val="auto"/>
          <w:kern w:val="2"/>
          <w:sz w:val="24"/>
          <w:szCs w:val="24"/>
          <w:highlight w:val="none"/>
          <w:lang w:val="en-US" w:eastAsia="zh-CN" w:bidi="ar-SA"/>
        </w:rPr>
        <w:t>（Phoenicurus auroreus）</w:t>
      </w:r>
      <w:r>
        <w:rPr>
          <w:rFonts w:hint="default" w:ascii="Times New Roman" w:hAnsi="Times New Roman" w:eastAsia="宋体" w:cs="Times New Roman"/>
          <w:b w:val="0"/>
          <w:bCs w:val="0"/>
          <w:color w:val="auto"/>
          <w:kern w:val="2"/>
          <w:sz w:val="24"/>
          <w:szCs w:val="24"/>
          <w:highlight w:val="none"/>
          <w:lang w:val="en-US" w:eastAsia="zh-CN" w:bidi="ar-SA"/>
        </w:rPr>
        <w:t>、画眉</w:t>
      </w:r>
      <w:r>
        <w:rPr>
          <w:rFonts w:hint="default" w:ascii="Times New Roman" w:hAnsi="Times New Roman" w:eastAsia="宋体" w:cs="Times New Roman"/>
          <w:b w:val="0"/>
          <w:bCs w:val="0"/>
          <w:i/>
          <w:iCs/>
          <w:color w:val="auto"/>
          <w:kern w:val="2"/>
          <w:sz w:val="24"/>
          <w:szCs w:val="24"/>
          <w:highlight w:val="none"/>
          <w:lang w:val="en-US" w:eastAsia="zh-CN" w:bidi="ar-SA"/>
        </w:rPr>
        <w:t>（Garrulax canorus）</w:t>
      </w:r>
      <w:r>
        <w:rPr>
          <w:rFonts w:hint="default" w:ascii="Times New Roman" w:hAnsi="Times New Roman" w:eastAsia="宋体" w:cs="Times New Roman"/>
          <w:b w:val="0"/>
          <w:bCs w:val="0"/>
          <w:color w:val="auto"/>
          <w:kern w:val="2"/>
          <w:sz w:val="24"/>
          <w:szCs w:val="24"/>
          <w:highlight w:val="none"/>
          <w:lang w:val="en-US" w:eastAsia="zh-CN" w:bidi="ar-SA"/>
        </w:rPr>
        <w:t>、棕颈钩嘴鹛</w:t>
      </w:r>
      <w:r>
        <w:rPr>
          <w:rFonts w:hint="default" w:ascii="Times New Roman" w:hAnsi="Times New Roman" w:eastAsia="宋体" w:cs="Times New Roman"/>
          <w:b w:val="0"/>
          <w:bCs w:val="0"/>
          <w:i/>
          <w:iCs/>
          <w:color w:val="auto"/>
          <w:kern w:val="2"/>
          <w:sz w:val="24"/>
          <w:szCs w:val="24"/>
          <w:highlight w:val="none"/>
          <w:lang w:val="en-US" w:eastAsia="zh-CN" w:bidi="ar-SA"/>
        </w:rPr>
        <w:t>（Pomatorhinusruficollis）</w:t>
      </w:r>
      <w:r>
        <w:rPr>
          <w:rFonts w:hint="default" w:ascii="Times New Roman" w:hAnsi="Times New Roman" w:eastAsia="宋体" w:cs="Times New Roman"/>
          <w:b w:val="0"/>
          <w:bCs w:val="0"/>
          <w:color w:val="auto"/>
          <w:kern w:val="2"/>
          <w:sz w:val="24"/>
          <w:szCs w:val="24"/>
          <w:highlight w:val="none"/>
          <w:lang w:val="en-US" w:eastAsia="zh-CN" w:bidi="ar-SA"/>
        </w:rPr>
        <w:t>、棕头鸦雀</w:t>
      </w:r>
      <w:r>
        <w:rPr>
          <w:rFonts w:hint="default" w:ascii="Times New Roman" w:hAnsi="Times New Roman" w:eastAsia="宋体" w:cs="Times New Roman"/>
          <w:b w:val="0"/>
          <w:bCs w:val="0"/>
          <w:i/>
          <w:iCs/>
          <w:color w:val="auto"/>
          <w:kern w:val="2"/>
          <w:sz w:val="24"/>
          <w:szCs w:val="24"/>
          <w:highlight w:val="none"/>
          <w:lang w:val="en-US" w:eastAsia="zh-CN" w:bidi="ar-SA"/>
        </w:rPr>
        <w:t>（Paradoxornis webbianus）</w:t>
      </w:r>
      <w:r>
        <w:rPr>
          <w:rFonts w:hint="default" w:ascii="Times New Roman" w:hAnsi="Times New Roman" w:eastAsia="宋体" w:cs="Times New Roman"/>
          <w:b w:val="0"/>
          <w:bCs w:val="0"/>
          <w:color w:val="auto"/>
          <w:kern w:val="2"/>
          <w:sz w:val="24"/>
          <w:szCs w:val="24"/>
          <w:highlight w:val="none"/>
          <w:lang w:val="en-US" w:eastAsia="zh-CN" w:bidi="ar-SA"/>
        </w:rPr>
        <w:t>、强脚树莺</w:t>
      </w:r>
      <w:r>
        <w:rPr>
          <w:rFonts w:hint="default" w:ascii="Times New Roman" w:hAnsi="Times New Roman" w:eastAsia="宋体" w:cs="Times New Roman"/>
          <w:b w:val="0"/>
          <w:bCs w:val="0"/>
          <w:i/>
          <w:iCs/>
          <w:color w:val="auto"/>
          <w:kern w:val="2"/>
          <w:sz w:val="24"/>
          <w:szCs w:val="24"/>
          <w:highlight w:val="none"/>
          <w:lang w:val="en-US" w:eastAsia="zh-CN" w:bidi="ar-SA"/>
        </w:rPr>
        <w:t>（Cettia fortipes）</w:t>
      </w:r>
      <w:r>
        <w:rPr>
          <w:rFonts w:hint="default" w:ascii="Times New Roman" w:hAnsi="Times New Roman" w:eastAsia="宋体" w:cs="Times New Roman"/>
          <w:b w:val="0"/>
          <w:bCs w:val="0"/>
          <w:color w:val="auto"/>
          <w:kern w:val="2"/>
          <w:sz w:val="24"/>
          <w:szCs w:val="24"/>
          <w:highlight w:val="none"/>
          <w:lang w:val="en-US" w:eastAsia="zh-CN" w:bidi="ar-SA"/>
        </w:rPr>
        <w:t>、灰眶雀鹛</w:t>
      </w:r>
      <w:r>
        <w:rPr>
          <w:rFonts w:hint="default" w:ascii="Times New Roman" w:hAnsi="Times New Roman" w:eastAsia="宋体" w:cs="Times New Roman"/>
          <w:b w:val="0"/>
          <w:bCs w:val="0"/>
          <w:i/>
          <w:iCs/>
          <w:color w:val="auto"/>
          <w:kern w:val="2"/>
          <w:sz w:val="24"/>
          <w:szCs w:val="24"/>
          <w:highlight w:val="none"/>
          <w:lang w:val="en-US" w:eastAsia="zh-CN" w:bidi="ar-SA"/>
        </w:rPr>
        <w:t>（Alcippe morrisonia）</w:t>
      </w:r>
      <w:r>
        <w:rPr>
          <w:rFonts w:hint="default" w:ascii="Times New Roman" w:hAnsi="Times New Roman" w:eastAsia="宋体" w:cs="Times New Roman"/>
          <w:b w:val="0"/>
          <w:bCs w:val="0"/>
          <w:color w:val="auto"/>
          <w:kern w:val="2"/>
          <w:sz w:val="24"/>
          <w:szCs w:val="24"/>
          <w:highlight w:val="none"/>
          <w:lang w:val="en-US" w:eastAsia="zh-CN" w:bidi="ar-SA"/>
        </w:rPr>
        <w:t>、小鹀</w:t>
      </w:r>
      <w:r>
        <w:rPr>
          <w:rFonts w:hint="default" w:ascii="Times New Roman" w:hAnsi="Times New Roman" w:eastAsia="宋体" w:cs="Times New Roman"/>
          <w:b w:val="0"/>
          <w:bCs w:val="0"/>
          <w:i/>
          <w:iCs/>
          <w:color w:val="auto"/>
          <w:kern w:val="2"/>
          <w:sz w:val="24"/>
          <w:szCs w:val="24"/>
          <w:highlight w:val="none"/>
          <w:lang w:val="en-US" w:eastAsia="zh-CN" w:bidi="ar-SA"/>
        </w:rPr>
        <w:t>（Emberiza pusilla）</w:t>
      </w:r>
      <w:r>
        <w:rPr>
          <w:rFonts w:hint="default" w:ascii="Times New Roman" w:hAnsi="Times New Roman" w:eastAsia="宋体" w:cs="Times New Roman"/>
          <w:b w:val="0"/>
          <w:bCs w:val="0"/>
          <w:color w:val="auto"/>
          <w:kern w:val="2"/>
          <w:sz w:val="24"/>
          <w:szCs w:val="24"/>
          <w:highlight w:val="none"/>
          <w:lang w:val="en-US" w:eastAsia="zh-CN" w:bidi="ar-SA"/>
        </w:rPr>
        <w:t>等。</w:t>
      </w:r>
    </w:p>
    <w:p w14:paraId="0F0BBE2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评价区灌丛/灌草丛生系统多分布林缘、山坡下部和山脊区，其主要特点为：①灌丛生态系统多由森林生态系统退化而形成，生态系统内动植物受人为活动影响强烈；②灌丛/灌草丛生态系统中多以适应性强的种类为主，植被类型单一，群系结构简单，物种组成贫乏。其主要的生态服务功能有保持水土、防风固沙等方面。</w:t>
      </w:r>
    </w:p>
    <w:p w14:paraId="3C6D49E6">
      <w:pPr>
        <w:pStyle w:val="6"/>
        <w:rPr>
          <w:rFonts w:hint="default" w:ascii="Times New Roman" w:hAnsi="Times New Roman" w:cs="Times New Roman"/>
          <w:color w:val="auto"/>
          <w:highlight w:val="none"/>
        </w:rPr>
      </w:pPr>
      <w:r>
        <w:rPr>
          <w:rFonts w:hint="eastAsia"/>
          <w:color w:val="auto"/>
          <w:highlight w:val="none"/>
          <w:lang w:val="en-US" w:eastAsia="zh-CN"/>
        </w:rPr>
        <w:t>农业</w:t>
      </w:r>
      <w:r>
        <w:rPr>
          <w:rFonts w:hint="eastAsia" w:ascii="Times New Roman" w:hAnsi="Times New Roman"/>
          <w:b/>
          <w:bCs/>
          <w:color w:val="auto"/>
          <w:sz w:val="24"/>
          <w:szCs w:val="24"/>
          <w:highlight w:val="none"/>
          <w:u w:val="none"/>
          <w:lang w:val="en-US" w:eastAsia="zh-CN"/>
        </w:rPr>
        <w:t>生态系统</w:t>
      </w:r>
    </w:p>
    <w:p w14:paraId="5DCEFEA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评价区内农业生态系统面积为</w:t>
      </w:r>
      <w:r>
        <w:rPr>
          <w:rFonts w:hint="eastAsia" w:ascii="Times New Roman" w:hAnsi="Times New Roman" w:eastAsia="宋体" w:cs="Times New Roman"/>
          <w:b w:val="0"/>
          <w:bCs w:val="0"/>
          <w:color w:val="auto"/>
          <w:kern w:val="2"/>
          <w:sz w:val="24"/>
          <w:szCs w:val="24"/>
          <w:highlight w:val="none"/>
          <w:lang w:val="en-US" w:eastAsia="zh-CN" w:bidi="ar-SA"/>
        </w:rPr>
        <w:t>427.31</w:t>
      </w:r>
      <w:r>
        <w:rPr>
          <w:rFonts w:hint="default" w:ascii="Times New Roman" w:hAnsi="Times New Roman" w:eastAsia="宋体" w:cs="Times New Roman"/>
          <w:b w:val="0"/>
          <w:bCs w:val="0"/>
          <w:color w:val="auto"/>
          <w:kern w:val="2"/>
          <w:sz w:val="24"/>
          <w:szCs w:val="24"/>
          <w:highlight w:val="none"/>
          <w:lang w:val="en-US" w:eastAsia="zh-CN" w:bidi="ar-SA"/>
        </w:rPr>
        <w:t>hm</w:t>
      </w:r>
      <w:r>
        <w:rPr>
          <w:rFonts w:hint="default" w:ascii="Times New Roman" w:hAnsi="Times New Roman" w:eastAsia="宋体" w:cs="Times New Roman"/>
          <w:b w:val="0"/>
          <w:bCs w:val="0"/>
          <w:color w:val="auto"/>
          <w:kern w:val="2"/>
          <w:sz w:val="24"/>
          <w:szCs w:val="24"/>
          <w:highlight w:val="none"/>
          <w:vertAlign w:val="superscript"/>
          <w:lang w:val="en-US" w:eastAsia="zh-CN" w:bidi="ar-SA"/>
        </w:rPr>
        <w:t>2</w:t>
      </w:r>
      <w:r>
        <w:rPr>
          <w:rFonts w:hint="default" w:ascii="Times New Roman" w:hAnsi="Times New Roman" w:eastAsia="宋体" w:cs="Times New Roman"/>
          <w:b w:val="0"/>
          <w:bCs w:val="0"/>
          <w:color w:val="auto"/>
          <w:kern w:val="2"/>
          <w:sz w:val="24"/>
          <w:szCs w:val="24"/>
          <w:highlight w:val="none"/>
          <w:lang w:val="en-US" w:eastAsia="zh-CN" w:bidi="ar-SA"/>
        </w:rPr>
        <w:t>，占评价区总面积的</w:t>
      </w:r>
      <w:r>
        <w:rPr>
          <w:rFonts w:hint="eastAsia" w:ascii="Times New Roman" w:hAnsi="Times New Roman" w:eastAsia="宋体" w:cs="Times New Roman"/>
          <w:b w:val="0"/>
          <w:bCs w:val="0"/>
          <w:color w:val="auto"/>
          <w:kern w:val="2"/>
          <w:sz w:val="24"/>
          <w:szCs w:val="24"/>
          <w:highlight w:val="none"/>
          <w:lang w:val="en-US" w:eastAsia="zh-CN" w:bidi="ar-SA"/>
        </w:rPr>
        <w:t>17.4</w:t>
      </w:r>
      <w:r>
        <w:rPr>
          <w:rFonts w:hint="default" w:ascii="Times New Roman" w:hAnsi="Times New Roman" w:eastAsia="宋体" w:cs="Times New Roman"/>
          <w:b w:val="0"/>
          <w:bCs w:val="0"/>
          <w:color w:val="auto"/>
          <w:kern w:val="2"/>
          <w:sz w:val="24"/>
          <w:szCs w:val="24"/>
          <w:highlight w:val="none"/>
          <w:lang w:val="en-US" w:eastAsia="zh-CN" w:bidi="ar-SA"/>
        </w:rPr>
        <w:t>%。评价区内农业生态系统多位于村庄附近以及道路两边。</w:t>
      </w:r>
    </w:p>
    <w:p w14:paraId="06D8C6B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评价区农业生态系统内植被以农作物为主，主要为粮食作物和经济作物，其常呈小片状分布于村落附近及部分道路两边，常见的粮食作物有水稻</w:t>
      </w:r>
      <w:r>
        <w:rPr>
          <w:rFonts w:hint="default" w:ascii="Times New Roman" w:hAnsi="Times New Roman" w:eastAsia="宋体" w:cs="Times New Roman"/>
          <w:b w:val="0"/>
          <w:bCs w:val="0"/>
          <w:i/>
          <w:iCs/>
          <w:color w:val="auto"/>
          <w:kern w:val="2"/>
          <w:sz w:val="24"/>
          <w:szCs w:val="24"/>
          <w:highlight w:val="none"/>
          <w:lang w:val="en-US" w:eastAsia="zh-CN" w:bidi="ar-SA"/>
        </w:rPr>
        <w:t>（Oryzasativa）</w:t>
      </w:r>
      <w:r>
        <w:rPr>
          <w:rFonts w:hint="default" w:ascii="Times New Roman" w:hAnsi="Times New Roman" w:eastAsia="宋体" w:cs="Times New Roman"/>
          <w:b w:val="0"/>
          <w:bCs w:val="0"/>
          <w:color w:val="auto"/>
          <w:kern w:val="2"/>
          <w:sz w:val="24"/>
          <w:szCs w:val="24"/>
          <w:highlight w:val="none"/>
          <w:lang w:val="en-US" w:eastAsia="zh-CN" w:bidi="ar-SA"/>
        </w:rPr>
        <w:t>、红薯</w:t>
      </w:r>
      <w:r>
        <w:rPr>
          <w:rFonts w:hint="default" w:ascii="Times New Roman" w:hAnsi="Times New Roman" w:eastAsia="宋体" w:cs="Times New Roman"/>
          <w:b w:val="0"/>
          <w:bCs w:val="0"/>
          <w:i/>
          <w:iCs/>
          <w:color w:val="auto"/>
          <w:kern w:val="2"/>
          <w:sz w:val="24"/>
          <w:szCs w:val="24"/>
          <w:highlight w:val="none"/>
          <w:lang w:val="en-US" w:eastAsia="zh-CN" w:bidi="ar-SA"/>
        </w:rPr>
        <w:t>（Ipomoea batatas）</w:t>
      </w:r>
      <w:r>
        <w:rPr>
          <w:rFonts w:hint="default" w:ascii="Times New Roman" w:hAnsi="Times New Roman" w:eastAsia="宋体" w:cs="Times New Roman"/>
          <w:b w:val="0"/>
          <w:bCs w:val="0"/>
          <w:color w:val="auto"/>
          <w:kern w:val="2"/>
          <w:sz w:val="24"/>
          <w:szCs w:val="24"/>
          <w:highlight w:val="none"/>
          <w:lang w:val="en-US" w:eastAsia="zh-CN" w:bidi="ar-SA"/>
        </w:rPr>
        <w:t>等，常见的经济作物有油茶</w:t>
      </w:r>
      <w:r>
        <w:rPr>
          <w:rFonts w:hint="default" w:ascii="Times New Roman" w:hAnsi="Times New Roman" w:eastAsia="宋体" w:cs="Times New Roman"/>
          <w:b w:val="0"/>
          <w:bCs w:val="0"/>
          <w:i/>
          <w:iCs/>
          <w:color w:val="auto"/>
          <w:kern w:val="2"/>
          <w:sz w:val="24"/>
          <w:szCs w:val="24"/>
          <w:highlight w:val="none"/>
          <w:lang w:val="en-US" w:eastAsia="zh-CN" w:bidi="ar-SA"/>
        </w:rPr>
        <w:t>（Camellia oleifera）</w:t>
      </w:r>
      <w:r>
        <w:rPr>
          <w:rFonts w:hint="eastAsia" w:ascii="Times New Roman" w:hAnsi="Times New Roman" w:eastAsia="宋体" w:cs="Times New Roman"/>
          <w:b w:val="0"/>
          <w:bCs w:val="0"/>
          <w:color w:val="auto"/>
          <w:kern w:val="2"/>
          <w:sz w:val="24"/>
          <w:szCs w:val="24"/>
          <w:highlight w:val="none"/>
          <w:lang w:val="en-US" w:eastAsia="zh-CN" w:bidi="ar-SA"/>
        </w:rPr>
        <w:t>、黄花菜</w:t>
      </w:r>
      <w:r>
        <w:rPr>
          <w:rFonts w:hint="eastAsia" w:ascii="Times New Roman" w:hAnsi="Times New Roman" w:eastAsia="宋体" w:cs="Times New Roman"/>
          <w:b w:val="0"/>
          <w:bCs w:val="0"/>
          <w:i/>
          <w:iCs/>
          <w:color w:val="auto"/>
          <w:kern w:val="2"/>
          <w:sz w:val="24"/>
          <w:szCs w:val="24"/>
          <w:highlight w:val="none"/>
          <w:lang w:val="en-US" w:eastAsia="zh-CN" w:bidi="ar-SA"/>
        </w:rPr>
        <w:t>（Hemerocallis fulva Linn）</w:t>
      </w:r>
      <w:r>
        <w:rPr>
          <w:rFonts w:hint="default" w:ascii="Times New Roman" w:hAnsi="Times New Roman" w:eastAsia="宋体" w:cs="Times New Roman"/>
          <w:b w:val="0"/>
          <w:bCs w:val="0"/>
          <w:color w:val="auto"/>
          <w:kern w:val="2"/>
          <w:sz w:val="24"/>
          <w:szCs w:val="24"/>
          <w:highlight w:val="none"/>
          <w:lang w:val="en-US" w:eastAsia="zh-CN" w:bidi="ar-SA"/>
        </w:rPr>
        <w:t>等。农业生态系统内人为活动频繁，植物种类组成较简单，多以适应性强、抗逆性强的杂草为主，常见的杂草有狗尾草</w:t>
      </w:r>
      <w:r>
        <w:rPr>
          <w:rFonts w:hint="default" w:ascii="Times New Roman" w:hAnsi="Times New Roman" w:eastAsia="宋体" w:cs="Times New Roman"/>
          <w:b w:val="0"/>
          <w:bCs w:val="0"/>
          <w:i/>
          <w:iCs/>
          <w:color w:val="auto"/>
          <w:kern w:val="2"/>
          <w:sz w:val="24"/>
          <w:szCs w:val="24"/>
          <w:highlight w:val="none"/>
          <w:lang w:val="en-US" w:eastAsia="zh-CN" w:bidi="ar-SA"/>
        </w:rPr>
        <w:t>（Setaria viridis）</w:t>
      </w:r>
      <w:r>
        <w:rPr>
          <w:rFonts w:hint="default" w:ascii="Times New Roman" w:hAnsi="Times New Roman" w:eastAsia="宋体" w:cs="Times New Roman"/>
          <w:b w:val="0"/>
          <w:bCs w:val="0"/>
          <w:color w:val="auto"/>
          <w:kern w:val="2"/>
          <w:sz w:val="24"/>
          <w:szCs w:val="24"/>
          <w:highlight w:val="none"/>
          <w:lang w:val="en-US" w:eastAsia="zh-CN" w:bidi="ar-SA"/>
        </w:rPr>
        <w:t>、一年蓬</w:t>
      </w:r>
      <w:r>
        <w:rPr>
          <w:rFonts w:hint="default" w:ascii="Times New Roman" w:hAnsi="Times New Roman" w:eastAsia="宋体" w:cs="Times New Roman"/>
          <w:b w:val="0"/>
          <w:bCs w:val="0"/>
          <w:i/>
          <w:iCs/>
          <w:color w:val="auto"/>
          <w:kern w:val="2"/>
          <w:sz w:val="24"/>
          <w:szCs w:val="24"/>
          <w:highlight w:val="none"/>
          <w:lang w:val="en-US" w:eastAsia="zh-CN" w:bidi="ar-SA"/>
        </w:rPr>
        <w:t>（Erigeron annuus）</w:t>
      </w:r>
      <w:r>
        <w:rPr>
          <w:rFonts w:hint="default" w:ascii="Times New Roman" w:hAnsi="Times New Roman" w:eastAsia="宋体" w:cs="Times New Roman"/>
          <w:b w:val="0"/>
          <w:bCs w:val="0"/>
          <w:color w:val="auto"/>
          <w:kern w:val="2"/>
          <w:sz w:val="24"/>
          <w:szCs w:val="24"/>
          <w:highlight w:val="none"/>
          <w:lang w:val="en-US" w:eastAsia="zh-CN" w:bidi="ar-SA"/>
        </w:rPr>
        <w:t xml:space="preserve">等。 </w:t>
      </w:r>
    </w:p>
    <w:p w14:paraId="5174C01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由于农业生态系统中植被类型较为单一，植物种类较少，距离居民区较近而易受人为干扰，因此农田生态系统中动物种类不甚丰富。主要有鸟类中的[树]麻雀</w:t>
      </w:r>
      <w:r>
        <w:rPr>
          <w:rFonts w:hint="default" w:ascii="Times New Roman" w:hAnsi="Times New Roman" w:eastAsia="宋体" w:cs="Times New Roman"/>
          <w:b w:val="0"/>
          <w:bCs w:val="0"/>
          <w:i/>
          <w:iCs/>
          <w:color w:val="auto"/>
          <w:kern w:val="2"/>
          <w:sz w:val="24"/>
          <w:szCs w:val="24"/>
          <w:highlight w:val="none"/>
          <w:lang w:val="en-US" w:eastAsia="zh-CN" w:bidi="ar-SA"/>
        </w:rPr>
        <w:t>（Passer montanus）</w:t>
      </w:r>
      <w:r>
        <w:rPr>
          <w:rFonts w:hint="default" w:ascii="Times New Roman" w:hAnsi="Times New Roman" w:eastAsia="宋体" w:cs="Times New Roman"/>
          <w:b w:val="0"/>
          <w:bCs w:val="0"/>
          <w:color w:val="auto"/>
          <w:kern w:val="2"/>
          <w:sz w:val="24"/>
          <w:szCs w:val="24"/>
          <w:highlight w:val="none"/>
          <w:lang w:val="en-US" w:eastAsia="zh-CN" w:bidi="ar-SA"/>
        </w:rPr>
        <w:t>、白腰文鸟</w:t>
      </w:r>
      <w:r>
        <w:rPr>
          <w:rFonts w:hint="default" w:ascii="Times New Roman" w:hAnsi="Times New Roman" w:eastAsia="宋体" w:cs="Times New Roman"/>
          <w:b w:val="0"/>
          <w:bCs w:val="0"/>
          <w:i/>
          <w:iCs/>
          <w:color w:val="auto"/>
          <w:kern w:val="2"/>
          <w:sz w:val="24"/>
          <w:szCs w:val="24"/>
          <w:highlight w:val="none"/>
          <w:lang w:val="en-US" w:eastAsia="zh-CN" w:bidi="ar-SA"/>
        </w:rPr>
        <w:t>（Lonchura striata）</w:t>
      </w:r>
      <w:r>
        <w:rPr>
          <w:rFonts w:hint="default" w:ascii="Times New Roman" w:hAnsi="Times New Roman" w:eastAsia="宋体" w:cs="Times New Roman"/>
          <w:b w:val="0"/>
          <w:bCs w:val="0"/>
          <w:color w:val="auto"/>
          <w:kern w:val="2"/>
          <w:sz w:val="24"/>
          <w:szCs w:val="24"/>
          <w:highlight w:val="none"/>
          <w:lang w:val="en-US" w:eastAsia="zh-CN" w:bidi="ar-SA"/>
        </w:rPr>
        <w:t>、喜鹊</w:t>
      </w:r>
      <w:r>
        <w:rPr>
          <w:rFonts w:hint="default" w:ascii="Times New Roman" w:hAnsi="Times New Roman" w:eastAsia="宋体" w:cs="Times New Roman"/>
          <w:b w:val="0"/>
          <w:bCs w:val="0"/>
          <w:i/>
          <w:iCs/>
          <w:color w:val="auto"/>
          <w:kern w:val="2"/>
          <w:sz w:val="24"/>
          <w:szCs w:val="24"/>
          <w:highlight w:val="none"/>
          <w:lang w:val="en-US" w:eastAsia="zh-CN" w:bidi="ar-SA"/>
        </w:rPr>
        <w:t>（Pica pica）</w:t>
      </w:r>
      <w:r>
        <w:rPr>
          <w:rFonts w:hint="default" w:ascii="Times New Roman" w:hAnsi="Times New Roman" w:eastAsia="宋体" w:cs="Times New Roman"/>
          <w:b w:val="0"/>
          <w:bCs w:val="0"/>
          <w:color w:val="auto"/>
          <w:kern w:val="2"/>
          <w:sz w:val="24"/>
          <w:szCs w:val="24"/>
          <w:highlight w:val="none"/>
          <w:lang w:val="en-US" w:eastAsia="zh-CN" w:bidi="ar-SA"/>
        </w:rPr>
        <w:t>、家燕</w:t>
      </w:r>
      <w:r>
        <w:rPr>
          <w:rFonts w:hint="default" w:ascii="Times New Roman" w:hAnsi="Times New Roman" w:eastAsia="宋体" w:cs="Times New Roman"/>
          <w:b w:val="0"/>
          <w:bCs w:val="0"/>
          <w:i/>
          <w:iCs/>
          <w:color w:val="auto"/>
          <w:kern w:val="2"/>
          <w:sz w:val="24"/>
          <w:szCs w:val="24"/>
          <w:highlight w:val="none"/>
          <w:lang w:val="en-US" w:eastAsia="zh-CN" w:bidi="ar-SA"/>
        </w:rPr>
        <w:t>（Hirundo rustica）</w:t>
      </w:r>
      <w:r>
        <w:rPr>
          <w:rFonts w:hint="default" w:ascii="Times New Roman" w:hAnsi="Times New Roman" w:eastAsia="宋体" w:cs="Times New Roman"/>
          <w:b w:val="0"/>
          <w:bCs w:val="0"/>
          <w:color w:val="auto"/>
          <w:kern w:val="2"/>
          <w:sz w:val="24"/>
          <w:szCs w:val="24"/>
          <w:highlight w:val="none"/>
          <w:lang w:val="en-US" w:eastAsia="zh-CN" w:bidi="ar-SA"/>
        </w:rPr>
        <w:t>、纯色山鹪莺</w:t>
      </w:r>
      <w:r>
        <w:rPr>
          <w:rFonts w:hint="default" w:ascii="Times New Roman" w:hAnsi="Times New Roman" w:eastAsia="宋体" w:cs="Times New Roman"/>
          <w:b w:val="0"/>
          <w:bCs w:val="0"/>
          <w:i/>
          <w:iCs/>
          <w:color w:val="auto"/>
          <w:kern w:val="2"/>
          <w:sz w:val="24"/>
          <w:szCs w:val="24"/>
          <w:highlight w:val="none"/>
          <w:lang w:val="en-US" w:eastAsia="zh-CN" w:bidi="ar-SA"/>
        </w:rPr>
        <w:t>（Prinia inornata）</w:t>
      </w:r>
      <w:r>
        <w:rPr>
          <w:rFonts w:hint="default" w:ascii="Times New Roman" w:hAnsi="Times New Roman" w:eastAsia="宋体" w:cs="Times New Roman"/>
          <w:b w:val="0"/>
          <w:bCs w:val="0"/>
          <w:color w:val="auto"/>
          <w:kern w:val="2"/>
          <w:sz w:val="24"/>
          <w:szCs w:val="24"/>
          <w:highlight w:val="none"/>
          <w:lang w:val="en-US" w:eastAsia="zh-CN" w:bidi="ar-SA"/>
        </w:rPr>
        <w:t>等；部分哺乳类如黑线姬鼠</w:t>
      </w:r>
      <w:r>
        <w:rPr>
          <w:rFonts w:hint="default" w:ascii="Times New Roman" w:hAnsi="Times New Roman" w:eastAsia="宋体" w:cs="Times New Roman"/>
          <w:b w:val="0"/>
          <w:bCs w:val="0"/>
          <w:i/>
          <w:iCs/>
          <w:color w:val="auto"/>
          <w:kern w:val="2"/>
          <w:sz w:val="24"/>
          <w:szCs w:val="24"/>
          <w:highlight w:val="none"/>
          <w:lang w:val="en-US" w:eastAsia="zh-CN" w:bidi="ar-SA"/>
        </w:rPr>
        <w:t>（Apodemus agrarius）</w:t>
      </w:r>
      <w:r>
        <w:rPr>
          <w:rFonts w:hint="default" w:ascii="Times New Roman" w:hAnsi="Times New Roman" w:eastAsia="宋体" w:cs="Times New Roman"/>
          <w:b w:val="0"/>
          <w:bCs w:val="0"/>
          <w:color w:val="auto"/>
          <w:kern w:val="2"/>
          <w:sz w:val="24"/>
          <w:szCs w:val="24"/>
          <w:highlight w:val="none"/>
          <w:lang w:val="en-US" w:eastAsia="zh-CN" w:bidi="ar-SA"/>
        </w:rPr>
        <w:t>、小家鼠</w:t>
      </w:r>
      <w:r>
        <w:rPr>
          <w:rFonts w:hint="default" w:ascii="Times New Roman" w:hAnsi="Times New Roman" w:eastAsia="宋体" w:cs="Times New Roman"/>
          <w:b w:val="0"/>
          <w:bCs w:val="0"/>
          <w:i/>
          <w:iCs/>
          <w:color w:val="auto"/>
          <w:kern w:val="2"/>
          <w:sz w:val="24"/>
          <w:szCs w:val="24"/>
          <w:highlight w:val="none"/>
          <w:lang w:val="en-US" w:eastAsia="zh-CN" w:bidi="ar-SA"/>
        </w:rPr>
        <w:t>（Mus musculus）</w:t>
      </w:r>
      <w:r>
        <w:rPr>
          <w:rFonts w:hint="default" w:ascii="Times New Roman" w:hAnsi="Times New Roman" w:eastAsia="宋体" w:cs="Times New Roman"/>
          <w:b w:val="0"/>
          <w:bCs w:val="0"/>
          <w:color w:val="auto"/>
          <w:kern w:val="2"/>
          <w:sz w:val="24"/>
          <w:szCs w:val="24"/>
          <w:highlight w:val="none"/>
          <w:lang w:val="en-US" w:eastAsia="zh-CN" w:bidi="ar-SA"/>
        </w:rPr>
        <w:t>等；少数蛇类如短尾蝮</w:t>
      </w:r>
      <w:r>
        <w:rPr>
          <w:rFonts w:hint="default" w:ascii="Times New Roman" w:hAnsi="Times New Roman" w:eastAsia="宋体" w:cs="Times New Roman"/>
          <w:b w:val="0"/>
          <w:bCs w:val="0"/>
          <w:i/>
          <w:iCs/>
          <w:color w:val="auto"/>
          <w:kern w:val="2"/>
          <w:sz w:val="24"/>
          <w:szCs w:val="24"/>
          <w:highlight w:val="none"/>
          <w:lang w:val="en-US" w:eastAsia="zh-CN" w:bidi="ar-SA"/>
        </w:rPr>
        <w:t>（Gloydius</w:t>
      </w:r>
      <w:r>
        <w:rPr>
          <w:rFonts w:hint="eastAsia" w:ascii="Times New Roman" w:hAnsi="Times New Roman" w:eastAsia="宋体" w:cs="Times New Roman"/>
          <w:b w:val="0"/>
          <w:bCs w:val="0"/>
          <w:i/>
          <w:iCs/>
          <w:color w:val="auto"/>
          <w:kern w:val="2"/>
          <w:sz w:val="24"/>
          <w:szCs w:val="24"/>
          <w:highlight w:val="none"/>
          <w:lang w:val="en-US" w:eastAsia="zh-CN" w:bidi="ar-SA"/>
        </w:rPr>
        <w:t xml:space="preserve"> </w:t>
      </w:r>
      <w:r>
        <w:rPr>
          <w:rFonts w:hint="default" w:ascii="Times New Roman" w:hAnsi="Times New Roman" w:eastAsia="宋体" w:cs="Times New Roman"/>
          <w:b w:val="0"/>
          <w:bCs w:val="0"/>
          <w:i/>
          <w:iCs/>
          <w:color w:val="auto"/>
          <w:kern w:val="2"/>
          <w:sz w:val="24"/>
          <w:szCs w:val="24"/>
          <w:highlight w:val="none"/>
          <w:lang w:val="en-US" w:eastAsia="zh-CN" w:bidi="ar-SA"/>
        </w:rPr>
        <w:t>brevicaudus）</w:t>
      </w:r>
      <w:r>
        <w:rPr>
          <w:rFonts w:hint="default" w:ascii="Times New Roman" w:hAnsi="Times New Roman" w:eastAsia="宋体" w:cs="Times New Roman"/>
          <w:b w:val="0"/>
          <w:bCs w:val="0"/>
          <w:color w:val="auto"/>
          <w:kern w:val="2"/>
          <w:sz w:val="24"/>
          <w:szCs w:val="24"/>
          <w:highlight w:val="none"/>
          <w:lang w:val="en-US" w:eastAsia="zh-CN" w:bidi="ar-SA"/>
        </w:rPr>
        <w:t>等。</w:t>
      </w:r>
    </w:p>
    <w:p w14:paraId="2C0DB307">
      <w:pPr>
        <w:bidi w:val="0"/>
        <w:rPr>
          <w:color w:val="auto"/>
          <w:highlight w:val="none"/>
        </w:rPr>
      </w:pPr>
      <w:r>
        <w:rPr>
          <w:rFonts w:hint="default" w:ascii="Times New Roman" w:hAnsi="Times New Roman" w:eastAsia="宋体" w:cs="Times New Roman"/>
          <w:b w:val="0"/>
          <w:bCs w:val="0"/>
          <w:color w:val="auto"/>
          <w:kern w:val="2"/>
          <w:sz w:val="24"/>
          <w:szCs w:val="24"/>
          <w:highlight w:val="none"/>
          <w:lang w:val="en-US" w:eastAsia="zh-CN" w:bidi="ar-SA"/>
        </w:rPr>
        <w:t>评价区农业生态系统分布零散，其主要特点为：评价区农业生态系统面积较小，群落结构及种类组成较简单，动植物种类单一。其生态功能主要体现在农产品及副产品生产上，包括为人类提供农产品，为现代工业提供加工原料，以及提供生物能源等。此外，评价区农业生态系统还具有土壤保持、养分循环、水分调节、病虫害控制、保存生物多样性及基因资源等功能。</w:t>
      </w:r>
    </w:p>
    <w:p w14:paraId="58DC4376">
      <w:pPr>
        <w:pStyle w:val="6"/>
        <w:rPr>
          <w:rFonts w:hint="default" w:ascii="Times New Roman" w:hAnsi="Times New Roman" w:cs="Times New Roman"/>
          <w:color w:val="auto"/>
          <w:highlight w:val="none"/>
        </w:rPr>
      </w:pPr>
      <w:r>
        <w:rPr>
          <w:rFonts w:hint="eastAsia"/>
          <w:color w:val="auto"/>
          <w:highlight w:val="none"/>
          <w:lang w:val="en-US" w:eastAsia="zh-CN"/>
        </w:rPr>
        <w:t>城镇/村落</w:t>
      </w:r>
      <w:r>
        <w:rPr>
          <w:rFonts w:hint="eastAsia" w:ascii="Times New Roman" w:hAnsi="Times New Roman"/>
          <w:b/>
          <w:bCs/>
          <w:color w:val="auto"/>
          <w:sz w:val="24"/>
          <w:szCs w:val="24"/>
          <w:highlight w:val="none"/>
          <w:u w:val="none"/>
          <w:lang w:val="en-US" w:eastAsia="zh-CN"/>
        </w:rPr>
        <w:t>生态系统</w:t>
      </w:r>
    </w:p>
    <w:p w14:paraId="7926CED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评价区的城镇/村落生态系统面积较小，为</w:t>
      </w:r>
      <w:r>
        <w:rPr>
          <w:rFonts w:hint="eastAsia" w:ascii="Times New Roman" w:hAnsi="Times New Roman" w:eastAsia="宋体" w:cs="Times New Roman"/>
          <w:b w:val="0"/>
          <w:bCs w:val="0"/>
          <w:color w:val="auto"/>
          <w:kern w:val="2"/>
          <w:sz w:val="24"/>
          <w:szCs w:val="24"/>
          <w:highlight w:val="none"/>
          <w:lang w:val="en-US" w:eastAsia="zh-CN" w:bidi="ar-SA"/>
        </w:rPr>
        <w:t>75.03</w:t>
      </w:r>
      <w:r>
        <w:rPr>
          <w:rFonts w:hint="default" w:ascii="Times New Roman" w:hAnsi="Times New Roman" w:eastAsia="宋体" w:cs="Times New Roman"/>
          <w:b w:val="0"/>
          <w:bCs w:val="0"/>
          <w:color w:val="auto"/>
          <w:kern w:val="2"/>
          <w:sz w:val="24"/>
          <w:szCs w:val="24"/>
          <w:highlight w:val="none"/>
          <w:lang w:val="en-US" w:eastAsia="zh-CN" w:bidi="ar-SA"/>
        </w:rPr>
        <w:t>hm</w:t>
      </w:r>
      <w:r>
        <w:rPr>
          <w:rFonts w:hint="default" w:ascii="Times New Roman" w:hAnsi="Times New Roman" w:eastAsia="宋体" w:cs="Times New Roman"/>
          <w:b w:val="0"/>
          <w:bCs w:val="0"/>
          <w:color w:val="auto"/>
          <w:kern w:val="2"/>
          <w:sz w:val="24"/>
          <w:szCs w:val="24"/>
          <w:highlight w:val="none"/>
          <w:vertAlign w:val="superscript"/>
          <w:lang w:val="en-US" w:eastAsia="zh-CN" w:bidi="ar-SA"/>
        </w:rPr>
        <w:t>2</w:t>
      </w:r>
      <w:r>
        <w:rPr>
          <w:rFonts w:hint="default" w:ascii="Times New Roman" w:hAnsi="Times New Roman" w:eastAsia="宋体" w:cs="Times New Roman"/>
          <w:b w:val="0"/>
          <w:bCs w:val="0"/>
          <w:color w:val="auto"/>
          <w:kern w:val="2"/>
          <w:sz w:val="24"/>
          <w:szCs w:val="24"/>
          <w:highlight w:val="none"/>
          <w:lang w:val="en-US" w:eastAsia="zh-CN" w:bidi="ar-SA"/>
        </w:rPr>
        <w:t>，占总面积的</w:t>
      </w:r>
      <w:r>
        <w:rPr>
          <w:rFonts w:hint="eastAsia" w:ascii="Times New Roman" w:hAnsi="Times New Roman" w:eastAsia="宋体" w:cs="Times New Roman"/>
          <w:b w:val="0"/>
          <w:bCs w:val="0"/>
          <w:color w:val="auto"/>
          <w:kern w:val="2"/>
          <w:sz w:val="24"/>
          <w:szCs w:val="24"/>
          <w:highlight w:val="none"/>
          <w:lang w:val="en-US" w:eastAsia="zh-CN" w:bidi="ar-SA"/>
        </w:rPr>
        <w:t>3.1</w:t>
      </w:r>
      <w:r>
        <w:rPr>
          <w:rFonts w:hint="default" w:ascii="Times New Roman" w:hAnsi="Times New Roman" w:eastAsia="宋体" w:cs="Times New Roman"/>
          <w:b w:val="0"/>
          <w:bCs w:val="0"/>
          <w:color w:val="auto"/>
          <w:kern w:val="2"/>
          <w:sz w:val="24"/>
          <w:szCs w:val="24"/>
          <w:highlight w:val="none"/>
          <w:lang w:val="en-US" w:eastAsia="zh-CN" w:bidi="ar-SA"/>
        </w:rPr>
        <w:t>%，主要为村落房屋、县道及少量的</w:t>
      </w:r>
      <w:r>
        <w:rPr>
          <w:rFonts w:hint="eastAsia" w:ascii="Times New Roman" w:hAnsi="Times New Roman" w:eastAsia="宋体" w:cs="Times New Roman"/>
          <w:b w:val="0"/>
          <w:bCs w:val="0"/>
          <w:color w:val="auto"/>
          <w:kern w:val="2"/>
          <w:sz w:val="24"/>
          <w:szCs w:val="24"/>
          <w:highlight w:val="none"/>
          <w:lang w:val="en-US" w:eastAsia="zh-CN" w:bidi="ar-SA"/>
        </w:rPr>
        <w:t>乡村道路</w:t>
      </w:r>
      <w:r>
        <w:rPr>
          <w:rFonts w:hint="default" w:ascii="Times New Roman" w:hAnsi="Times New Roman" w:eastAsia="宋体" w:cs="Times New Roman"/>
          <w:b w:val="0"/>
          <w:bCs w:val="0"/>
          <w:color w:val="auto"/>
          <w:kern w:val="2"/>
          <w:sz w:val="24"/>
          <w:szCs w:val="24"/>
          <w:highlight w:val="none"/>
          <w:lang w:val="en-US" w:eastAsia="zh-CN" w:bidi="ar-SA"/>
        </w:rPr>
        <w:t xml:space="preserve">。 </w:t>
      </w:r>
    </w:p>
    <w:p w14:paraId="0A6EEDC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评价区城镇/村落生态系统内植物主要为栽培的行道树及灌木，如复羽叶栾树</w:t>
      </w:r>
      <w:r>
        <w:rPr>
          <w:rFonts w:hint="default" w:ascii="Times New Roman" w:hAnsi="Times New Roman" w:eastAsia="宋体" w:cs="Times New Roman"/>
          <w:b w:val="0"/>
          <w:bCs w:val="0"/>
          <w:i/>
          <w:iCs/>
          <w:color w:val="auto"/>
          <w:kern w:val="2"/>
          <w:sz w:val="24"/>
          <w:szCs w:val="24"/>
          <w:highlight w:val="none"/>
          <w:lang w:val="en-US" w:eastAsia="zh-CN" w:bidi="ar-SA"/>
        </w:rPr>
        <w:t>（Koelreuteria bipinnata）</w:t>
      </w:r>
      <w:r>
        <w:rPr>
          <w:rFonts w:hint="default" w:ascii="Times New Roman" w:hAnsi="Times New Roman" w:eastAsia="宋体" w:cs="Times New Roman"/>
          <w:b w:val="0"/>
          <w:bCs w:val="0"/>
          <w:color w:val="auto"/>
          <w:kern w:val="2"/>
          <w:sz w:val="24"/>
          <w:szCs w:val="24"/>
          <w:highlight w:val="none"/>
          <w:lang w:val="en-US" w:eastAsia="zh-CN" w:bidi="ar-SA"/>
        </w:rPr>
        <w:t>、加杨</w:t>
      </w:r>
      <w:r>
        <w:rPr>
          <w:rFonts w:hint="default" w:ascii="Times New Roman" w:hAnsi="Times New Roman" w:eastAsia="宋体" w:cs="Times New Roman"/>
          <w:b w:val="0"/>
          <w:bCs w:val="0"/>
          <w:i/>
          <w:iCs/>
          <w:color w:val="auto"/>
          <w:kern w:val="2"/>
          <w:sz w:val="24"/>
          <w:szCs w:val="24"/>
          <w:highlight w:val="none"/>
          <w:lang w:val="en-US" w:eastAsia="zh-CN" w:bidi="ar-SA"/>
        </w:rPr>
        <w:t>（Populus × canadensis）</w:t>
      </w:r>
      <w:r>
        <w:rPr>
          <w:rFonts w:hint="default" w:ascii="Times New Roman" w:hAnsi="Times New Roman" w:eastAsia="宋体" w:cs="Times New Roman"/>
          <w:b w:val="0"/>
          <w:bCs w:val="0"/>
          <w:color w:val="auto"/>
          <w:kern w:val="2"/>
          <w:sz w:val="24"/>
          <w:szCs w:val="24"/>
          <w:highlight w:val="none"/>
          <w:lang w:val="en-US" w:eastAsia="zh-CN" w:bidi="ar-SA"/>
        </w:rPr>
        <w:t>、香樟</w:t>
      </w:r>
      <w:r>
        <w:rPr>
          <w:rFonts w:hint="default" w:ascii="Times New Roman" w:hAnsi="Times New Roman" w:eastAsia="宋体" w:cs="Times New Roman"/>
          <w:b w:val="0"/>
          <w:bCs w:val="0"/>
          <w:i/>
          <w:iCs/>
          <w:color w:val="auto"/>
          <w:kern w:val="2"/>
          <w:sz w:val="24"/>
          <w:szCs w:val="24"/>
          <w:highlight w:val="none"/>
          <w:lang w:val="en-US" w:eastAsia="zh-CN" w:bidi="ar-SA"/>
        </w:rPr>
        <w:t>(Cinnamomum</w:t>
      </w:r>
      <w:r>
        <w:rPr>
          <w:rFonts w:hint="eastAsia" w:ascii="Times New Roman" w:hAnsi="Times New Roman" w:eastAsia="宋体" w:cs="Times New Roman"/>
          <w:b w:val="0"/>
          <w:bCs w:val="0"/>
          <w:i/>
          <w:iCs/>
          <w:color w:val="auto"/>
          <w:kern w:val="2"/>
          <w:sz w:val="24"/>
          <w:szCs w:val="24"/>
          <w:highlight w:val="none"/>
          <w:lang w:val="en-US" w:eastAsia="zh-CN" w:bidi="ar-SA"/>
        </w:rPr>
        <w:t xml:space="preserve"> </w:t>
      </w:r>
      <w:r>
        <w:rPr>
          <w:rFonts w:hint="default" w:ascii="Times New Roman" w:hAnsi="Times New Roman" w:eastAsia="宋体" w:cs="Times New Roman"/>
          <w:b w:val="0"/>
          <w:bCs w:val="0"/>
          <w:i/>
          <w:iCs/>
          <w:color w:val="auto"/>
          <w:kern w:val="2"/>
          <w:sz w:val="24"/>
          <w:szCs w:val="24"/>
          <w:highlight w:val="none"/>
          <w:lang w:val="en-US" w:eastAsia="zh-CN" w:bidi="ar-SA"/>
        </w:rPr>
        <w:t>camphora)</w:t>
      </w:r>
      <w:r>
        <w:rPr>
          <w:rFonts w:hint="default" w:ascii="Times New Roman" w:hAnsi="Times New Roman" w:eastAsia="宋体" w:cs="Times New Roman"/>
          <w:b w:val="0"/>
          <w:bCs w:val="0"/>
          <w:color w:val="auto"/>
          <w:kern w:val="2"/>
          <w:sz w:val="24"/>
          <w:szCs w:val="24"/>
          <w:highlight w:val="none"/>
          <w:lang w:val="en-US" w:eastAsia="zh-CN" w:bidi="ar-SA"/>
        </w:rPr>
        <w:t>、红檵木</w:t>
      </w:r>
      <w:r>
        <w:rPr>
          <w:rFonts w:hint="default" w:ascii="Times New Roman" w:hAnsi="Times New Roman" w:eastAsia="宋体" w:cs="Times New Roman"/>
          <w:b w:val="0"/>
          <w:bCs w:val="0"/>
          <w:i/>
          <w:iCs/>
          <w:color w:val="auto"/>
          <w:kern w:val="2"/>
          <w:sz w:val="24"/>
          <w:szCs w:val="24"/>
          <w:highlight w:val="none"/>
          <w:lang w:val="en-US" w:eastAsia="zh-CN" w:bidi="ar-SA"/>
        </w:rPr>
        <w:t>（Loropetalum chinense）</w:t>
      </w:r>
      <w:r>
        <w:rPr>
          <w:rFonts w:hint="default" w:ascii="Times New Roman" w:hAnsi="Times New Roman" w:eastAsia="宋体" w:cs="Times New Roman"/>
          <w:b w:val="0"/>
          <w:bCs w:val="0"/>
          <w:color w:val="auto"/>
          <w:kern w:val="2"/>
          <w:sz w:val="24"/>
          <w:szCs w:val="24"/>
          <w:highlight w:val="none"/>
          <w:lang w:val="en-US" w:eastAsia="zh-CN" w:bidi="ar-SA"/>
        </w:rPr>
        <w:t>等。喜与人类伴居的动物多活动于此，如多疣壁虎</w:t>
      </w:r>
      <w:r>
        <w:rPr>
          <w:rFonts w:hint="default" w:ascii="Times New Roman" w:hAnsi="Times New Roman" w:eastAsia="宋体" w:cs="Times New Roman"/>
          <w:b w:val="0"/>
          <w:bCs w:val="0"/>
          <w:i/>
          <w:iCs/>
          <w:color w:val="auto"/>
          <w:kern w:val="2"/>
          <w:sz w:val="24"/>
          <w:szCs w:val="24"/>
          <w:highlight w:val="none"/>
          <w:lang w:val="en-US" w:eastAsia="zh-CN" w:bidi="ar-SA"/>
        </w:rPr>
        <w:t>（Gekko japonicus）</w:t>
      </w:r>
      <w:r>
        <w:rPr>
          <w:rFonts w:hint="default" w:ascii="Times New Roman" w:hAnsi="Times New Roman" w:eastAsia="宋体" w:cs="Times New Roman"/>
          <w:b w:val="0"/>
          <w:bCs w:val="0"/>
          <w:color w:val="auto"/>
          <w:kern w:val="2"/>
          <w:sz w:val="24"/>
          <w:szCs w:val="24"/>
          <w:highlight w:val="none"/>
          <w:lang w:val="en-US" w:eastAsia="zh-CN" w:bidi="ar-SA"/>
        </w:rPr>
        <w:t>、珠颈斑鸠</w:t>
      </w:r>
      <w:r>
        <w:rPr>
          <w:rFonts w:hint="default" w:ascii="Times New Roman" w:hAnsi="Times New Roman" w:eastAsia="宋体" w:cs="Times New Roman"/>
          <w:b w:val="0"/>
          <w:bCs w:val="0"/>
          <w:i/>
          <w:iCs/>
          <w:color w:val="auto"/>
          <w:kern w:val="2"/>
          <w:sz w:val="24"/>
          <w:szCs w:val="24"/>
          <w:highlight w:val="none"/>
          <w:lang w:val="en-US" w:eastAsia="zh-CN" w:bidi="ar-SA"/>
        </w:rPr>
        <w:t>（Streptopelia chinensis）</w:t>
      </w:r>
      <w:r>
        <w:rPr>
          <w:rFonts w:hint="default" w:ascii="Times New Roman" w:hAnsi="Times New Roman" w:eastAsia="宋体" w:cs="Times New Roman"/>
          <w:b w:val="0"/>
          <w:bCs w:val="0"/>
          <w:color w:val="auto"/>
          <w:kern w:val="2"/>
          <w:sz w:val="24"/>
          <w:szCs w:val="24"/>
          <w:highlight w:val="none"/>
          <w:lang w:val="en-US" w:eastAsia="zh-CN" w:bidi="ar-SA"/>
        </w:rPr>
        <w:t>、家燕、金腰燕</w:t>
      </w:r>
      <w:r>
        <w:rPr>
          <w:rFonts w:hint="default" w:ascii="Times New Roman" w:hAnsi="Times New Roman" w:eastAsia="宋体" w:cs="Times New Roman"/>
          <w:b w:val="0"/>
          <w:bCs w:val="0"/>
          <w:i/>
          <w:iCs/>
          <w:color w:val="auto"/>
          <w:kern w:val="2"/>
          <w:sz w:val="24"/>
          <w:szCs w:val="24"/>
          <w:highlight w:val="none"/>
          <w:lang w:val="en-US" w:eastAsia="zh-CN" w:bidi="ar-SA"/>
        </w:rPr>
        <w:t>（Cecropis daurica）</w:t>
      </w:r>
      <w:r>
        <w:rPr>
          <w:rFonts w:hint="default" w:ascii="Times New Roman" w:hAnsi="Times New Roman" w:eastAsia="宋体" w:cs="Times New Roman"/>
          <w:b w:val="0"/>
          <w:bCs w:val="0"/>
          <w:color w:val="auto"/>
          <w:kern w:val="2"/>
          <w:sz w:val="24"/>
          <w:szCs w:val="24"/>
          <w:highlight w:val="none"/>
          <w:lang w:val="en-US" w:eastAsia="zh-CN" w:bidi="ar-SA"/>
        </w:rPr>
        <w:t>、[树]麻雀、白头鹎和各种鼠类等。</w:t>
      </w:r>
    </w:p>
    <w:p w14:paraId="0BA4E99D">
      <w:pPr>
        <w:bidi w:val="0"/>
        <w:rPr>
          <w:color w:val="auto"/>
          <w:highlight w:val="none"/>
        </w:rPr>
      </w:pPr>
      <w:r>
        <w:rPr>
          <w:rFonts w:hint="default" w:ascii="Times New Roman" w:hAnsi="Times New Roman" w:eastAsia="宋体" w:cs="Times New Roman"/>
          <w:b w:val="0"/>
          <w:bCs w:val="0"/>
          <w:color w:val="auto"/>
          <w:kern w:val="2"/>
          <w:sz w:val="24"/>
          <w:szCs w:val="24"/>
          <w:highlight w:val="none"/>
          <w:lang w:val="en-US" w:eastAsia="zh-CN" w:bidi="ar-SA"/>
        </w:rPr>
        <w:t>城镇/村落是一个高度复合的人工化生态系统，与自然生态系统在结构和功能上都存在明显差别。城镇/村落生态系统的生态服务功能主要是提供生活和生产物质的功能，包括食物生产、原材料生产以及满足人类精神和物质生活需求的</w:t>
      </w:r>
      <w:r>
        <w:rPr>
          <w:rFonts w:hint="eastAsia" w:ascii="Times New Roman" w:hAnsi="Times New Roman" w:eastAsia="宋体" w:cs="Times New Roman"/>
          <w:b w:val="0"/>
          <w:bCs w:val="0"/>
          <w:color w:val="auto"/>
          <w:kern w:val="2"/>
          <w:sz w:val="24"/>
          <w:szCs w:val="24"/>
          <w:highlight w:val="none"/>
          <w:lang w:val="en-US" w:eastAsia="zh-CN" w:bidi="ar-SA"/>
        </w:rPr>
        <w:t>功</w:t>
      </w:r>
      <w:r>
        <w:rPr>
          <w:rFonts w:hint="default" w:ascii="Times New Roman" w:hAnsi="Times New Roman" w:eastAsia="宋体" w:cs="Times New Roman"/>
          <w:b w:val="0"/>
          <w:bCs w:val="0"/>
          <w:color w:val="auto"/>
          <w:kern w:val="2"/>
          <w:sz w:val="24"/>
          <w:szCs w:val="24"/>
          <w:highlight w:val="none"/>
          <w:lang w:val="en-US" w:eastAsia="zh-CN" w:bidi="ar-SA"/>
        </w:rPr>
        <w:t>能。</w:t>
      </w:r>
    </w:p>
    <w:p w14:paraId="13523DE0">
      <w:pPr>
        <w:pStyle w:val="6"/>
        <w:rPr>
          <w:rFonts w:hint="default" w:ascii="Times New Roman" w:hAnsi="Times New Roman" w:cs="Times New Roman"/>
          <w:color w:val="auto"/>
          <w:highlight w:val="none"/>
        </w:rPr>
      </w:pPr>
      <w:r>
        <w:rPr>
          <w:rFonts w:hint="eastAsia"/>
          <w:color w:val="auto"/>
          <w:highlight w:val="none"/>
          <w:lang w:val="en-US" w:eastAsia="zh-CN"/>
        </w:rPr>
        <w:t>湿地</w:t>
      </w:r>
      <w:r>
        <w:rPr>
          <w:rFonts w:hint="eastAsia" w:ascii="Times New Roman" w:hAnsi="Times New Roman"/>
          <w:b/>
          <w:bCs/>
          <w:color w:val="auto"/>
          <w:sz w:val="24"/>
          <w:szCs w:val="24"/>
          <w:highlight w:val="none"/>
          <w:u w:val="none"/>
          <w:lang w:val="en-US" w:eastAsia="zh-CN"/>
        </w:rPr>
        <w:t>生态系统</w:t>
      </w:r>
    </w:p>
    <w:p w14:paraId="7966D4D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评价区湿地生态系统面积为</w:t>
      </w:r>
      <w:r>
        <w:rPr>
          <w:rFonts w:hint="eastAsia" w:ascii="Times New Roman" w:hAnsi="Times New Roman" w:eastAsia="宋体" w:cs="Times New Roman"/>
          <w:b w:val="0"/>
          <w:bCs w:val="0"/>
          <w:color w:val="auto"/>
          <w:kern w:val="2"/>
          <w:sz w:val="24"/>
          <w:szCs w:val="24"/>
          <w:highlight w:val="none"/>
          <w:lang w:val="en-US" w:eastAsia="zh-CN" w:bidi="ar-SA"/>
        </w:rPr>
        <w:t>20.46</w:t>
      </w:r>
      <w:r>
        <w:rPr>
          <w:rFonts w:hint="default" w:ascii="Times New Roman" w:hAnsi="Times New Roman" w:eastAsia="宋体" w:cs="Times New Roman"/>
          <w:b w:val="0"/>
          <w:bCs w:val="0"/>
          <w:color w:val="auto"/>
          <w:kern w:val="2"/>
          <w:sz w:val="24"/>
          <w:szCs w:val="24"/>
          <w:highlight w:val="none"/>
          <w:lang w:val="en-US" w:eastAsia="zh-CN" w:bidi="ar-SA"/>
        </w:rPr>
        <w:t>hm</w:t>
      </w:r>
      <w:r>
        <w:rPr>
          <w:rFonts w:hint="default" w:ascii="Times New Roman" w:hAnsi="Times New Roman" w:eastAsia="宋体" w:cs="Times New Roman"/>
          <w:b w:val="0"/>
          <w:bCs w:val="0"/>
          <w:color w:val="auto"/>
          <w:kern w:val="2"/>
          <w:sz w:val="24"/>
          <w:szCs w:val="24"/>
          <w:highlight w:val="none"/>
          <w:vertAlign w:val="superscript"/>
          <w:lang w:val="en-US" w:eastAsia="zh-CN" w:bidi="ar-SA"/>
        </w:rPr>
        <w:t>2</w:t>
      </w:r>
      <w:r>
        <w:rPr>
          <w:rFonts w:hint="default" w:ascii="Times New Roman" w:hAnsi="Times New Roman" w:eastAsia="宋体" w:cs="Times New Roman"/>
          <w:b w:val="0"/>
          <w:bCs w:val="0"/>
          <w:color w:val="auto"/>
          <w:kern w:val="2"/>
          <w:sz w:val="24"/>
          <w:szCs w:val="24"/>
          <w:highlight w:val="none"/>
          <w:lang w:val="en-US" w:eastAsia="zh-CN" w:bidi="ar-SA"/>
        </w:rPr>
        <w:t>，占评价区总面积的 0.</w:t>
      </w:r>
      <w:r>
        <w:rPr>
          <w:rFonts w:hint="eastAsia" w:ascii="Times New Roman" w:hAnsi="Times New Roman" w:eastAsia="宋体" w:cs="Times New Roman"/>
          <w:b w:val="0"/>
          <w:bCs w:val="0"/>
          <w:color w:val="auto"/>
          <w:kern w:val="2"/>
          <w:sz w:val="24"/>
          <w:szCs w:val="24"/>
          <w:highlight w:val="none"/>
          <w:lang w:val="en-US" w:eastAsia="zh-CN" w:bidi="ar-SA"/>
        </w:rPr>
        <w:t>8</w:t>
      </w:r>
      <w:r>
        <w:rPr>
          <w:rFonts w:hint="default" w:ascii="Times New Roman" w:hAnsi="Times New Roman" w:eastAsia="宋体" w:cs="Times New Roman"/>
          <w:b w:val="0"/>
          <w:bCs w:val="0"/>
          <w:color w:val="auto"/>
          <w:kern w:val="2"/>
          <w:sz w:val="24"/>
          <w:szCs w:val="24"/>
          <w:highlight w:val="none"/>
          <w:lang w:val="en-US" w:eastAsia="zh-CN" w:bidi="ar-SA"/>
        </w:rPr>
        <w:t>%。评价区内湿地生态系统主要为炳溪冲水库和寿岭冲水库。评价区涉及的水域面积较小，常见植物主要为水葱</w:t>
      </w:r>
      <w:r>
        <w:rPr>
          <w:rFonts w:hint="default" w:ascii="Times New Roman" w:hAnsi="Times New Roman" w:eastAsia="宋体" w:cs="Times New Roman"/>
          <w:b w:val="0"/>
          <w:bCs w:val="0"/>
          <w:i/>
          <w:iCs/>
          <w:color w:val="auto"/>
          <w:kern w:val="2"/>
          <w:sz w:val="24"/>
          <w:szCs w:val="24"/>
          <w:highlight w:val="none"/>
          <w:lang w:val="en-US" w:eastAsia="zh-CN" w:bidi="ar-SA"/>
        </w:rPr>
        <w:t>（Scirpus validus）</w:t>
      </w:r>
      <w:r>
        <w:rPr>
          <w:rFonts w:hint="default" w:ascii="Times New Roman" w:hAnsi="Times New Roman" w:eastAsia="宋体" w:cs="Times New Roman"/>
          <w:b w:val="0"/>
          <w:bCs w:val="0"/>
          <w:color w:val="auto"/>
          <w:kern w:val="2"/>
          <w:sz w:val="24"/>
          <w:szCs w:val="24"/>
          <w:highlight w:val="none"/>
          <w:lang w:val="en-US" w:eastAsia="zh-CN" w:bidi="ar-SA"/>
        </w:rPr>
        <w:t>、愉悦蓼</w:t>
      </w:r>
      <w:r>
        <w:rPr>
          <w:rFonts w:hint="default" w:ascii="Times New Roman" w:hAnsi="Times New Roman" w:eastAsia="宋体" w:cs="Times New Roman"/>
          <w:b w:val="0"/>
          <w:bCs w:val="0"/>
          <w:i/>
          <w:iCs/>
          <w:color w:val="auto"/>
          <w:kern w:val="2"/>
          <w:sz w:val="24"/>
          <w:szCs w:val="24"/>
          <w:highlight w:val="none"/>
          <w:lang w:val="en-US" w:eastAsia="zh-CN" w:bidi="ar-SA"/>
        </w:rPr>
        <w:t>（Polygonum jucundum）</w:t>
      </w:r>
      <w:r>
        <w:rPr>
          <w:rFonts w:hint="default" w:ascii="Times New Roman" w:hAnsi="Times New Roman" w:eastAsia="宋体" w:cs="Times New Roman"/>
          <w:b w:val="0"/>
          <w:bCs w:val="0"/>
          <w:color w:val="auto"/>
          <w:kern w:val="2"/>
          <w:sz w:val="24"/>
          <w:szCs w:val="24"/>
          <w:highlight w:val="none"/>
          <w:lang w:val="en-US" w:eastAsia="zh-CN" w:bidi="ar-SA"/>
        </w:rPr>
        <w:t>等。</w:t>
      </w:r>
    </w:p>
    <w:p w14:paraId="13706BA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湿地生态系统也是多种动物的重要栖息场所，由于评价区湿地生态主要为山涧溪流、水田和水库，其中分布的两栖类主要为静水型物种如黑斑侧褶蛙</w:t>
      </w:r>
      <w:r>
        <w:rPr>
          <w:rFonts w:hint="default" w:ascii="Times New Roman" w:hAnsi="Times New Roman" w:eastAsia="宋体" w:cs="Times New Roman"/>
          <w:b w:val="0"/>
          <w:bCs w:val="0"/>
          <w:i/>
          <w:iCs/>
          <w:color w:val="auto"/>
          <w:kern w:val="2"/>
          <w:sz w:val="24"/>
          <w:szCs w:val="24"/>
          <w:highlight w:val="none"/>
          <w:lang w:val="en-US" w:eastAsia="zh-CN" w:bidi="ar-SA"/>
        </w:rPr>
        <w:t>（Pelophylax nigromaculatus）</w:t>
      </w:r>
      <w:r>
        <w:rPr>
          <w:rFonts w:hint="default" w:ascii="Times New Roman" w:hAnsi="Times New Roman" w:eastAsia="宋体" w:cs="Times New Roman"/>
          <w:b w:val="0"/>
          <w:bCs w:val="0"/>
          <w:color w:val="auto"/>
          <w:kern w:val="2"/>
          <w:sz w:val="24"/>
          <w:szCs w:val="24"/>
          <w:highlight w:val="none"/>
          <w:lang w:val="en-US" w:eastAsia="zh-CN" w:bidi="ar-SA"/>
        </w:rPr>
        <w:t>、沼蛙</w:t>
      </w:r>
      <w:r>
        <w:rPr>
          <w:rFonts w:hint="default" w:ascii="Times New Roman" w:hAnsi="Times New Roman" w:eastAsia="宋体" w:cs="Times New Roman"/>
          <w:b w:val="0"/>
          <w:bCs w:val="0"/>
          <w:i/>
          <w:iCs/>
          <w:color w:val="auto"/>
          <w:kern w:val="2"/>
          <w:sz w:val="24"/>
          <w:szCs w:val="24"/>
          <w:highlight w:val="none"/>
          <w:lang w:val="en-US" w:eastAsia="zh-CN" w:bidi="ar-SA"/>
        </w:rPr>
        <w:t>（Boulengerana guentheri）</w:t>
      </w:r>
      <w:r>
        <w:rPr>
          <w:rFonts w:hint="default" w:ascii="Times New Roman" w:hAnsi="Times New Roman" w:eastAsia="宋体" w:cs="Times New Roman"/>
          <w:b w:val="0"/>
          <w:bCs w:val="0"/>
          <w:color w:val="auto"/>
          <w:kern w:val="2"/>
          <w:sz w:val="24"/>
          <w:szCs w:val="24"/>
          <w:highlight w:val="none"/>
          <w:lang w:val="en-US" w:eastAsia="zh-CN" w:bidi="ar-SA"/>
        </w:rPr>
        <w:t>，陆栖-静水型物种如泽陆蛙</w:t>
      </w:r>
      <w:r>
        <w:rPr>
          <w:rFonts w:hint="default" w:ascii="Times New Roman" w:hAnsi="Times New Roman" w:eastAsia="宋体" w:cs="Times New Roman"/>
          <w:b w:val="0"/>
          <w:bCs w:val="0"/>
          <w:i/>
          <w:iCs/>
          <w:color w:val="auto"/>
          <w:kern w:val="2"/>
          <w:sz w:val="24"/>
          <w:szCs w:val="24"/>
          <w:highlight w:val="none"/>
          <w:lang w:val="en-US" w:eastAsia="zh-CN" w:bidi="ar-SA"/>
        </w:rPr>
        <w:t>（Fejervarya multistriata）</w:t>
      </w:r>
      <w:r>
        <w:rPr>
          <w:rFonts w:hint="default" w:ascii="Times New Roman" w:hAnsi="Times New Roman" w:eastAsia="宋体" w:cs="Times New Roman"/>
          <w:b w:val="0"/>
          <w:bCs w:val="0"/>
          <w:color w:val="auto"/>
          <w:kern w:val="2"/>
          <w:sz w:val="24"/>
          <w:szCs w:val="24"/>
          <w:highlight w:val="none"/>
          <w:lang w:val="en-US" w:eastAsia="zh-CN" w:bidi="ar-SA"/>
        </w:rPr>
        <w:t>、饰纹姬蛙</w:t>
      </w:r>
      <w:r>
        <w:rPr>
          <w:rFonts w:hint="default" w:ascii="Times New Roman" w:hAnsi="Times New Roman" w:eastAsia="宋体" w:cs="Times New Roman"/>
          <w:b w:val="0"/>
          <w:bCs w:val="0"/>
          <w:i/>
          <w:iCs/>
          <w:color w:val="auto"/>
          <w:kern w:val="2"/>
          <w:sz w:val="24"/>
          <w:szCs w:val="24"/>
          <w:highlight w:val="none"/>
          <w:lang w:val="en-US" w:eastAsia="zh-CN" w:bidi="ar-SA"/>
        </w:rPr>
        <w:t>（Microhyla fissipes）</w:t>
      </w:r>
      <w:r>
        <w:rPr>
          <w:rFonts w:hint="default" w:ascii="Times New Roman" w:hAnsi="Times New Roman" w:eastAsia="宋体" w:cs="Times New Roman"/>
          <w:b w:val="0"/>
          <w:bCs w:val="0"/>
          <w:color w:val="auto"/>
          <w:kern w:val="2"/>
          <w:sz w:val="24"/>
          <w:szCs w:val="24"/>
          <w:highlight w:val="none"/>
          <w:lang w:val="en-US" w:eastAsia="zh-CN" w:bidi="ar-SA"/>
        </w:rPr>
        <w:t>，流水型物种如棘腹蛙</w:t>
      </w:r>
      <w:r>
        <w:rPr>
          <w:rFonts w:hint="default" w:ascii="Times New Roman" w:hAnsi="Times New Roman" w:eastAsia="宋体" w:cs="Times New Roman"/>
          <w:b w:val="0"/>
          <w:bCs w:val="0"/>
          <w:i/>
          <w:iCs/>
          <w:color w:val="auto"/>
          <w:kern w:val="2"/>
          <w:sz w:val="24"/>
          <w:szCs w:val="24"/>
          <w:highlight w:val="none"/>
          <w:lang w:val="en-US" w:eastAsia="zh-CN" w:bidi="ar-SA"/>
        </w:rPr>
        <w:t>（Quasipaa boulengeri）</w:t>
      </w:r>
      <w:r>
        <w:rPr>
          <w:rFonts w:hint="default" w:ascii="Times New Roman" w:hAnsi="Times New Roman" w:eastAsia="宋体" w:cs="Times New Roman"/>
          <w:b w:val="0"/>
          <w:bCs w:val="0"/>
          <w:color w:val="auto"/>
          <w:kern w:val="2"/>
          <w:sz w:val="24"/>
          <w:szCs w:val="24"/>
          <w:highlight w:val="none"/>
          <w:lang w:val="en-US" w:eastAsia="zh-CN" w:bidi="ar-SA"/>
        </w:rPr>
        <w:t>等；在此生态系统中生活的鸟类主要是游禽如绿头鸭</w:t>
      </w:r>
      <w:r>
        <w:rPr>
          <w:rFonts w:hint="default" w:ascii="Times New Roman" w:hAnsi="Times New Roman" w:eastAsia="宋体" w:cs="Times New Roman"/>
          <w:b w:val="0"/>
          <w:bCs w:val="0"/>
          <w:i/>
          <w:iCs/>
          <w:color w:val="auto"/>
          <w:kern w:val="2"/>
          <w:sz w:val="24"/>
          <w:szCs w:val="24"/>
          <w:highlight w:val="none"/>
          <w:lang w:val="en-US" w:eastAsia="zh-CN" w:bidi="ar-SA"/>
        </w:rPr>
        <w:t>（Anas platyrhynchos）</w:t>
      </w:r>
      <w:r>
        <w:rPr>
          <w:rFonts w:hint="default" w:ascii="Times New Roman" w:hAnsi="Times New Roman" w:eastAsia="宋体" w:cs="Times New Roman"/>
          <w:b w:val="0"/>
          <w:bCs w:val="0"/>
          <w:color w:val="auto"/>
          <w:kern w:val="2"/>
          <w:sz w:val="24"/>
          <w:szCs w:val="24"/>
          <w:highlight w:val="none"/>
          <w:lang w:val="en-US" w:eastAsia="zh-CN" w:bidi="ar-SA"/>
        </w:rPr>
        <w:t>，以及一些喜傍水生活鸣禽如红尾水鸲</w:t>
      </w:r>
      <w:r>
        <w:rPr>
          <w:rFonts w:hint="default" w:ascii="Times New Roman" w:hAnsi="Times New Roman" w:eastAsia="宋体" w:cs="Times New Roman"/>
          <w:b w:val="0"/>
          <w:bCs w:val="0"/>
          <w:i/>
          <w:iCs/>
          <w:color w:val="auto"/>
          <w:kern w:val="2"/>
          <w:sz w:val="24"/>
          <w:szCs w:val="24"/>
          <w:highlight w:val="none"/>
          <w:lang w:val="en-US" w:eastAsia="zh-CN" w:bidi="ar-SA"/>
        </w:rPr>
        <w:t>（Rhyacornis fuliginosa）</w:t>
      </w:r>
      <w:r>
        <w:rPr>
          <w:rFonts w:hint="default" w:ascii="Times New Roman" w:hAnsi="Times New Roman" w:eastAsia="宋体" w:cs="Times New Roman"/>
          <w:b w:val="0"/>
          <w:bCs w:val="0"/>
          <w:color w:val="auto"/>
          <w:kern w:val="2"/>
          <w:sz w:val="24"/>
          <w:szCs w:val="24"/>
          <w:highlight w:val="none"/>
          <w:lang w:val="en-US" w:eastAsia="zh-CN" w:bidi="ar-SA"/>
        </w:rPr>
        <w:t>、白鹡鸰</w:t>
      </w:r>
      <w:r>
        <w:rPr>
          <w:rFonts w:hint="default" w:ascii="Times New Roman" w:hAnsi="Times New Roman" w:eastAsia="宋体" w:cs="Times New Roman"/>
          <w:b w:val="0"/>
          <w:bCs w:val="0"/>
          <w:i/>
          <w:iCs/>
          <w:color w:val="auto"/>
          <w:kern w:val="2"/>
          <w:sz w:val="24"/>
          <w:szCs w:val="24"/>
          <w:highlight w:val="none"/>
          <w:lang w:val="en-US" w:eastAsia="zh-CN" w:bidi="ar-SA"/>
        </w:rPr>
        <w:t>（Motacilla alba）</w:t>
      </w:r>
      <w:r>
        <w:rPr>
          <w:rFonts w:hint="default" w:ascii="Times New Roman" w:hAnsi="Times New Roman" w:eastAsia="宋体" w:cs="Times New Roman"/>
          <w:b w:val="0"/>
          <w:bCs w:val="0"/>
          <w:color w:val="auto"/>
          <w:kern w:val="2"/>
          <w:sz w:val="24"/>
          <w:szCs w:val="24"/>
          <w:highlight w:val="none"/>
          <w:lang w:val="en-US" w:eastAsia="zh-CN" w:bidi="ar-SA"/>
        </w:rPr>
        <w:t>、普通翠鸟</w:t>
      </w:r>
      <w:r>
        <w:rPr>
          <w:rFonts w:hint="default" w:ascii="Times New Roman" w:hAnsi="Times New Roman" w:eastAsia="宋体" w:cs="Times New Roman"/>
          <w:b w:val="0"/>
          <w:bCs w:val="0"/>
          <w:i/>
          <w:iCs/>
          <w:color w:val="auto"/>
          <w:kern w:val="2"/>
          <w:sz w:val="24"/>
          <w:szCs w:val="24"/>
          <w:highlight w:val="none"/>
          <w:lang w:val="en-US" w:eastAsia="zh-CN" w:bidi="ar-SA"/>
        </w:rPr>
        <w:t>（Alcedo atthis）</w:t>
      </w:r>
      <w:r>
        <w:rPr>
          <w:rFonts w:hint="default" w:ascii="Times New Roman" w:hAnsi="Times New Roman" w:eastAsia="宋体" w:cs="Times New Roman"/>
          <w:b w:val="0"/>
          <w:bCs w:val="0"/>
          <w:color w:val="auto"/>
          <w:kern w:val="2"/>
          <w:sz w:val="24"/>
          <w:szCs w:val="24"/>
          <w:highlight w:val="none"/>
          <w:lang w:val="en-US" w:eastAsia="zh-CN" w:bidi="ar-SA"/>
        </w:rPr>
        <w:t>等；爬行类为部分林栖傍水型物种如赤链蛇</w:t>
      </w:r>
      <w:r>
        <w:rPr>
          <w:rFonts w:hint="default" w:ascii="Times New Roman" w:hAnsi="Times New Roman" w:eastAsia="宋体" w:cs="Times New Roman"/>
          <w:b w:val="0"/>
          <w:bCs w:val="0"/>
          <w:i/>
          <w:iCs/>
          <w:color w:val="auto"/>
          <w:kern w:val="2"/>
          <w:sz w:val="24"/>
          <w:szCs w:val="24"/>
          <w:highlight w:val="none"/>
          <w:lang w:val="en-US" w:eastAsia="zh-CN" w:bidi="ar-SA"/>
        </w:rPr>
        <w:t>（Lycodon rufozonatum）</w:t>
      </w:r>
      <w:r>
        <w:rPr>
          <w:rFonts w:hint="default" w:ascii="Times New Roman" w:hAnsi="Times New Roman" w:eastAsia="宋体" w:cs="Times New Roman"/>
          <w:b w:val="0"/>
          <w:bCs w:val="0"/>
          <w:color w:val="auto"/>
          <w:kern w:val="2"/>
          <w:sz w:val="24"/>
          <w:szCs w:val="24"/>
          <w:highlight w:val="none"/>
          <w:lang w:val="en-US" w:eastAsia="zh-CN" w:bidi="ar-SA"/>
        </w:rPr>
        <w:t>、中国沼蛇</w:t>
      </w:r>
      <w:r>
        <w:rPr>
          <w:rFonts w:hint="default" w:ascii="Times New Roman" w:hAnsi="Times New Roman" w:eastAsia="宋体" w:cs="Times New Roman"/>
          <w:b w:val="0"/>
          <w:bCs w:val="0"/>
          <w:i/>
          <w:iCs/>
          <w:color w:val="auto"/>
          <w:kern w:val="2"/>
          <w:sz w:val="24"/>
          <w:szCs w:val="24"/>
          <w:highlight w:val="none"/>
          <w:lang w:val="en-US" w:eastAsia="zh-CN" w:bidi="ar-SA"/>
        </w:rPr>
        <w:t>（Myrrophis</w:t>
      </w:r>
      <w:r>
        <w:rPr>
          <w:rFonts w:hint="eastAsia" w:ascii="Times New Roman" w:hAnsi="Times New Roman" w:eastAsia="宋体" w:cs="Times New Roman"/>
          <w:b w:val="0"/>
          <w:bCs w:val="0"/>
          <w:i/>
          <w:iCs/>
          <w:color w:val="auto"/>
          <w:kern w:val="2"/>
          <w:sz w:val="24"/>
          <w:szCs w:val="24"/>
          <w:highlight w:val="none"/>
          <w:lang w:val="en-US" w:eastAsia="zh-CN" w:bidi="ar-SA"/>
        </w:rPr>
        <w:t xml:space="preserve"> chinensis）</w:t>
      </w:r>
      <w:r>
        <w:rPr>
          <w:rFonts w:hint="eastAsia" w:ascii="Times New Roman" w:hAnsi="Times New Roman" w:eastAsia="宋体" w:cs="Times New Roman"/>
          <w:b w:val="0"/>
          <w:bCs w:val="0"/>
          <w:color w:val="auto"/>
          <w:kern w:val="2"/>
          <w:sz w:val="24"/>
          <w:szCs w:val="24"/>
          <w:highlight w:val="none"/>
          <w:lang w:val="en-US" w:eastAsia="zh-CN" w:bidi="ar-SA"/>
        </w:rPr>
        <w:t>、银环蛇</w:t>
      </w:r>
      <w:r>
        <w:rPr>
          <w:rFonts w:hint="eastAsia" w:ascii="Times New Roman" w:hAnsi="Times New Roman" w:eastAsia="宋体" w:cs="Times New Roman"/>
          <w:b w:val="0"/>
          <w:bCs w:val="0"/>
          <w:i/>
          <w:iCs/>
          <w:color w:val="auto"/>
          <w:kern w:val="2"/>
          <w:sz w:val="24"/>
          <w:szCs w:val="24"/>
          <w:highlight w:val="none"/>
          <w:lang w:val="en-US" w:eastAsia="zh-CN" w:bidi="ar-SA"/>
        </w:rPr>
        <w:t>（Bungarus multicinctus）</w:t>
      </w:r>
      <w:r>
        <w:rPr>
          <w:rFonts w:hint="eastAsia" w:ascii="Times New Roman" w:hAnsi="Times New Roman" w:eastAsia="宋体" w:cs="Times New Roman"/>
          <w:b w:val="0"/>
          <w:bCs w:val="0"/>
          <w:color w:val="auto"/>
          <w:kern w:val="2"/>
          <w:sz w:val="24"/>
          <w:szCs w:val="24"/>
          <w:highlight w:val="none"/>
          <w:lang w:val="en-US" w:eastAsia="zh-CN" w:bidi="ar-SA"/>
        </w:rPr>
        <w:t>等。</w:t>
      </w:r>
    </w:p>
    <w:p w14:paraId="25A2F2D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olor w:val="auto"/>
          <w:kern w:val="2"/>
          <w:sz w:val="24"/>
          <w:szCs w:val="24"/>
          <w:highlight w:val="none"/>
          <w:lang w:val="en-US" w:eastAsia="zh-CN" w:bidi="ar-SA"/>
        </w:rPr>
      </w:pPr>
      <w:r>
        <w:rPr>
          <w:rFonts w:hint="eastAsia" w:ascii="Times New Roman" w:hAnsi="Times New Roman" w:eastAsia="宋体" w:cs="Times New Roman"/>
          <w:b w:val="0"/>
          <w:bCs w:val="0"/>
          <w:color w:val="auto"/>
          <w:kern w:val="2"/>
          <w:sz w:val="24"/>
          <w:szCs w:val="24"/>
          <w:highlight w:val="none"/>
          <w:lang w:val="en-US" w:eastAsia="zh-CN" w:bidi="ar-SA"/>
        </w:rPr>
        <w:t>评价区湿地生态系统面积较小，湿地生态系统形态结构及营养结构较简单，生态服务功能不强，主要生态服务功能包括控制土壤、废气物降解、保存动植物资源等方面。</w:t>
      </w:r>
    </w:p>
    <w:p w14:paraId="1877B3F5">
      <w:pPr>
        <w:pStyle w:val="5"/>
        <w:rPr>
          <w:rFonts w:hint="default" w:ascii="Times New Roman" w:hAnsi="Times New Roman" w:cs="Times New Roman"/>
          <w:color w:val="auto"/>
          <w:highlight w:val="none"/>
        </w:rPr>
      </w:pPr>
      <w:r>
        <w:rPr>
          <w:rFonts w:hint="eastAsia" w:cs="Times New Roman"/>
          <w:color w:val="auto"/>
          <w:highlight w:val="none"/>
          <w:lang w:eastAsia="zh-CN"/>
        </w:rPr>
        <w:t>陆生植物资源调查</w:t>
      </w:r>
    </w:p>
    <w:p w14:paraId="0EB3DBEB">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植物区系</w:t>
      </w:r>
    </w:p>
    <w:p w14:paraId="08E97E8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 w:val="0"/>
          <w:bCs w:val="0"/>
          <w:color w:val="auto"/>
          <w:kern w:val="2"/>
          <w:sz w:val="24"/>
          <w:szCs w:val="24"/>
          <w:highlight w:val="none"/>
          <w:lang w:val="en-US" w:eastAsia="zh-CN" w:bidi="ar-SA"/>
        </w:rPr>
      </w:pPr>
      <w:r>
        <w:rPr>
          <w:rFonts w:hint="eastAsia" w:ascii="Times New Roman" w:hAnsi="Times New Roman" w:eastAsia="宋体" w:cs="Times New Roman"/>
          <w:b w:val="0"/>
          <w:bCs w:val="0"/>
          <w:color w:val="auto"/>
          <w:kern w:val="2"/>
          <w:sz w:val="24"/>
          <w:szCs w:val="24"/>
          <w:highlight w:val="none"/>
          <w:lang w:val="en-US" w:eastAsia="zh-CN" w:bidi="ar-SA"/>
        </w:rPr>
        <w:t>按照《中国种子植物区系地理》（吴征镒等，</w:t>
      </w:r>
      <w:r>
        <w:rPr>
          <w:rFonts w:hint="default" w:ascii="Times New Roman" w:hAnsi="Times New Roman" w:eastAsia="宋体" w:cs="Times New Roman"/>
          <w:b w:val="0"/>
          <w:bCs w:val="0"/>
          <w:color w:val="auto"/>
          <w:kern w:val="2"/>
          <w:sz w:val="24"/>
          <w:szCs w:val="24"/>
          <w:highlight w:val="none"/>
          <w:lang w:val="en-US" w:eastAsia="zh-CN" w:bidi="ar-SA"/>
        </w:rPr>
        <w:t>2011</w:t>
      </w:r>
      <w:r>
        <w:rPr>
          <w:rFonts w:hint="eastAsia" w:ascii="Times New Roman" w:hAnsi="Times New Roman" w:eastAsia="宋体" w:cs="Times New Roman"/>
          <w:b w:val="0"/>
          <w:bCs w:val="0"/>
          <w:color w:val="auto"/>
          <w:kern w:val="2"/>
          <w:sz w:val="24"/>
          <w:szCs w:val="24"/>
          <w:highlight w:val="none"/>
          <w:lang w:val="en-US" w:eastAsia="zh-CN" w:bidi="ar-SA"/>
        </w:rPr>
        <w:t>）的中国植物区系分区系统进行划分，评价区植物区系区划属东亚植物区</w:t>
      </w:r>
      <w:r>
        <w:rPr>
          <w:rFonts w:hint="default" w:ascii="Times New Roman" w:hAnsi="Times New Roman" w:eastAsia="宋体" w:cs="Times New Roman"/>
          <w:b w:val="0"/>
          <w:bCs w:val="0"/>
          <w:color w:val="auto"/>
          <w:kern w:val="2"/>
          <w:sz w:val="24"/>
          <w:szCs w:val="24"/>
          <w:highlight w:val="none"/>
          <w:lang w:val="en-US" w:eastAsia="zh-CN" w:bidi="ar-SA"/>
        </w:rPr>
        <w:t>—</w:t>
      </w:r>
      <w:r>
        <w:rPr>
          <w:rFonts w:hint="eastAsia" w:ascii="Times New Roman" w:hAnsi="Times New Roman" w:eastAsia="宋体" w:cs="Times New Roman"/>
          <w:b w:val="0"/>
          <w:bCs w:val="0"/>
          <w:color w:val="auto"/>
          <w:kern w:val="2"/>
          <w:sz w:val="24"/>
          <w:szCs w:val="24"/>
          <w:highlight w:val="none"/>
          <w:lang w:val="en-US" w:eastAsia="zh-CN" w:bidi="ar-SA"/>
        </w:rPr>
        <w:t>中国</w:t>
      </w:r>
      <w:r>
        <w:rPr>
          <w:rFonts w:hint="default" w:ascii="Times New Roman" w:hAnsi="Times New Roman" w:eastAsia="宋体" w:cs="Times New Roman"/>
          <w:b w:val="0"/>
          <w:bCs w:val="0"/>
          <w:color w:val="auto"/>
          <w:kern w:val="2"/>
          <w:sz w:val="24"/>
          <w:szCs w:val="24"/>
          <w:highlight w:val="none"/>
          <w:lang w:val="en-US" w:eastAsia="zh-CN" w:bidi="ar-SA"/>
        </w:rPr>
        <w:t>-</w:t>
      </w:r>
      <w:r>
        <w:rPr>
          <w:rFonts w:hint="eastAsia" w:ascii="Times New Roman" w:hAnsi="Times New Roman" w:eastAsia="宋体" w:cs="Times New Roman"/>
          <w:b w:val="0"/>
          <w:bCs w:val="0"/>
          <w:color w:val="auto"/>
          <w:kern w:val="2"/>
          <w:sz w:val="24"/>
          <w:szCs w:val="24"/>
          <w:highlight w:val="none"/>
          <w:lang w:val="en-US" w:eastAsia="zh-CN" w:bidi="ar-SA"/>
        </w:rPr>
        <w:t>日本植物亚区</w:t>
      </w:r>
      <w:r>
        <w:rPr>
          <w:rFonts w:hint="default" w:ascii="Times New Roman" w:hAnsi="Times New Roman" w:eastAsia="宋体" w:cs="Times New Roman"/>
          <w:b w:val="0"/>
          <w:bCs w:val="0"/>
          <w:color w:val="auto"/>
          <w:kern w:val="2"/>
          <w:sz w:val="24"/>
          <w:szCs w:val="24"/>
          <w:highlight w:val="none"/>
          <w:lang w:val="en-US" w:eastAsia="zh-CN" w:bidi="ar-SA"/>
        </w:rPr>
        <w:t>—</w:t>
      </w:r>
      <w:r>
        <w:rPr>
          <w:rFonts w:hint="eastAsia" w:ascii="Times New Roman" w:hAnsi="Times New Roman" w:eastAsia="宋体" w:cs="Times New Roman"/>
          <w:b w:val="0"/>
          <w:bCs w:val="0"/>
          <w:color w:val="auto"/>
          <w:kern w:val="2"/>
          <w:sz w:val="24"/>
          <w:szCs w:val="24"/>
          <w:highlight w:val="none"/>
          <w:lang w:val="en-US" w:eastAsia="zh-CN" w:bidi="ar-SA"/>
        </w:rPr>
        <w:t>川、鄂、湘亚地区。本区植物区系起源古老，植物区系地理组成以北温带成分为主。</w:t>
      </w:r>
    </w:p>
    <w:p w14:paraId="3E66BBC8">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陆生植被</w:t>
      </w:r>
    </w:p>
    <w:p w14:paraId="7EEEEC22">
      <w:pPr>
        <w:pStyle w:val="30"/>
        <w:rPr>
          <w:rFonts w:hint="eastAsia"/>
          <w:b/>
          <w:bCs/>
          <w:color w:val="auto"/>
          <w:highlight w:val="none"/>
          <w:lang w:val="en-US" w:eastAsia="zh-CN"/>
        </w:rPr>
      </w:pPr>
      <w:r>
        <w:rPr>
          <w:rFonts w:hint="eastAsia"/>
          <w:b/>
          <w:bCs/>
          <w:color w:val="auto"/>
          <w:highlight w:val="none"/>
          <w:lang w:val="en-US" w:eastAsia="zh-CN"/>
        </w:rPr>
        <w:t>1、植被类型</w:t>
      </w:r>
    </w:p>
    <w:p w14:paraId="73BCBCB5">
      <w:pPr>
        <w:pStyle w:val="30"/>
        <w:rPr>
          <w:rFonts w:hint="eastAsia"/>
          <w:color w:val="auto"/>
          <w:highlight w:val="none"/>
          <w:lang w:val="en-US" w:eastAsia="zh-CN"/>
        </w:rPr>
      </w:pPr>
      <w:r>
        <w:rPr>
          <w:rFonts w:hint="eastAsia"/>
          <w:color w:val="auto"/>
          <w:highlight w:val="none"/>
          <w:lang w:val="en-US" w:eastAsia="zh-CN"/>
        </w:rPr>
        <w:t>根据《湖南植被》（祁承经等，1990），评价区属亚热带常绿阔叶林区域—中亚热带典型常绿叶林北部植被亚热带—湘中、湘东山丘盆地栲稠林、马尾松林、黄山松林、毛竹林、油茶林及农田植被区—涟、邵丘陵盆地植被小区。本小区地势由西南向东北倾斜，地形以丘陵为主，成土母质以石灰岩、自云岩等可溶性岩类为主，部分为页岩、板岩、千枚岩、石英砂岩，花岗岩也有较大面积。土壤以石灰岩红壤占绝大部分，紫色土面积较小，黄壤、山地黄棕壤分布在南部和西部山地。</w:t>
      </w:r>
    </w:p>
    <w:p w14:paraId="5CCDE4BF">
      <w:pPr>
        <w:pStyle w:val="30"/>
        <w:rPr>
          <w:rFonts w:hint="default"/>
          <w:b/>
          <w:bCs/>
          <w:color w:val="auto"/>
          <w:highlight w:val="none"/>
          <w:lang w:val="en-US" w:eastAsia="zh-CN"/>
        </w:rPr>
      </w:pPr>
      <w:r>
        <w:rPr>
          <w:rFonts w:hint="eastAsia"/>
          <w:b/>
          <w:bCs/>
          <w:color w:val="auto"/>
          <w:highlight w:val="none"/>
          <w:lang w:val="en-US" w:eastAsia="zh-CN"/>
        </w:rPr>
        <w:t>2、主要植被类型</w:t>
      </w:r>
    </w:p>
    <w:p w14:paraId="7B4D7581">
      <w:pPr>
        <w:pStyle w:val="30"/>
        <w:rPr>
          <w:rFonts w:hint="eastAsia"/>
          <w:color w:val="auto"/>
          <w:highlight w:val="none"/>
          <w:lang w:val="en-US" w:eastAsia="zh-CN"/>
        </w:rPr>
      </w:pPr>
      <w:r>
        <w:rPr>
          <w:rFonts w:hint="eastAsia"/>
          <w:color w:val="auto"/>
          <w:highlight w:val="none"/>
          <w:lang w:val="en-US" w:eastAsia="zh-CN"/>
        </w:rPr>
        <w:t>根据《湖南植被》（祁承经等，1990），结合对评价区内现状植被中群落组成的建群种与优势种的外貌，以及群落的环境生态与地理分布特征等分析，将评价区自然植被划分为3个植被型组，5个植被型，13个群系。详见表5.3.4-1。</w:t>
      </w:r>
    </w:p>
    <w:p w14:paraId="22EC54FB">
      <w:pPr>
        <w:bidi w:val="0"/>
        <w:rPr>
          <w:rFonts w:ascii="Times New Roman" w:hAnsi="Times New Roman" w:eastAsia="宋体" w:cs="Times New Roman"/>
          <w:color w:val="auto"/>
          <w:highlight w:val="none"/>
        </w:rPr>
      </w:pPr>
      <w:r>
        <w:rPr>
          <w:rFonts w:hint="eastAsia"/>
          <w:color w:val="auto"/>
          <w:highlight w:val="none"/>
          <w:lang w:val="en-US" w:eastAsia="zh-CN"/>
        </w:rPr>
        <w:t>南冲风电场（大马二期）</w:t>
      </w:r>
      <w:r>
        <w:rPr>
          <w:rFonts w:hint="default"/>
          <w:color w:val="auto"/>
          <w:highlight w:val="none"/>
          <w:lang w:val="en-US" w:eastAsia="zh-CN"/>
        </w:rPr>
        <w:t>场工程评价区植被类型图见附</w:t>
      </w:r>
      <w:r>
        <w:rPr>
          <w:rFonts w:hint="eastAsia"/>
          <w:color w:val="auto"/>
          <w:highlight w:val="none"/>
          <w:lang w:val="en-US" w:eastAsia="zh-CN"/>
        </w:rPr>
        <w:t>图16</w:t>
      </w:r>
      <w:r>
        <w:rPr>
          <w:rFonts w:hint="default"/>
          <w:color w:val="auto"/>
          <w:highlight w:val="none"/>
          <w:lang w:val="en-US" w:eastAsia="zh-CN"/>
        </w:rPr>
        <w:t>。</w:t>
      </w:r>
    </w:p>
    <w:p w14:paraId="55143EA7">
      <w:pPr>
        <w:pStyle w:val="30"/>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eastAsia="宋体" w:cs="Times New Roman"/>
          <w:b/>
          <w:bCs/>
          <w:color w:val="auto"/>
          <w:highlight w:val="none"/>
          <w:lang w:val="en-US" w:eastAsia="zh-CN"/>
        </w:rPr>
      </w:pPr>
      <w:r>
        <w:rPr>
          <w:rFonts w:hint="default" w:ascii="Times New Roman" w:hAnsi="Times New Roman" w:eastAsia="宋体" w:cs="Times New Roman"/>
          <w:b/>
          <w:bCs/>
          <w:color w:val="auto"/>
          <w:highlight w:val="none"/>
          <w:lang w:val="en-US" w:eastAsia="zh-CN"/>
        </w:rPr>
        <w:t>表5.3.4-1  评价区植被类型</w:t>
      </w:r>
    </w:p>
    <w:tbl>
      <w:tblPr>
        <w:tblStyle w:val="20"/>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471"/>
        <w:gridCol w:w="1471"/>
        <w:gridCol w:w="1471"/>
        <w:gridCol w:w="2551"/>
        <w:gridCol w:w="1558"/>
      </w:tblGrid>
      <w:tr w14:paraId="203182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62" w:type="dxa"/>
            <w:tcBorders>
              <w:tl2br w:val="nil"/>
              <w:tr2bl w:val="nil"/>
            </w:tcBorders>
            <w:noWrap w:val="0"/>
            <w:vAlign w:val="center"/>
          </w:tcPr>
          <w:p w14:paraId="1407C5F2">
            <w:pPr>
              <w:pStyle w:val="23"/>
              <w:bidi w:val="0"/>
              <w:rPr>
                <w:rFonts w:hint="default"/>
                <w:color w:val="auto"/>
                <w:highlight w:val="none"/>
                <w:lang w:val="en-US" w:eastAsia="zh-CN"/>
              </w:rPr>
            </w:pPr>
            <w:r>
              <w:rPr>
                <w:rFonts w:hint="eastAsia"/>
                <w:color w:val="auto"/>
                <w:highlight w:val="none"/>
                <w:lang w:val="en-US" w:eastAsia="zh-CN"/>
              </w:rPr>
              <w:t>植被型组</w:t>
            </w:r>
          </w:p>
        </w:tc>
        <w:tc>
          <w:tcPr>
            <w:tcW w:w="1562" w:type="dxa"/>
            <w:tcBorders>
              <w:tl2br w:val="nil"/>
              <w:tr2bl w:val="nil"/>
            </w:tcBorders>
            <w:noWrap w:val="0"/>
            <w:vAlign w:val="center"/>
          </w:tcPr>
          <w:p w14:paraId="3AD581FC">
            <w:pPr>
              <w:pStyle w:val="23"/>
              <w:bidi w:val="0"/>
              <w:rPr>
                <w:rFonts w:hint="default"/>
                <w:color w:val="auto"/>
                <w:highlight w:val="none"/>
                <w:lang w:val="en-US" w:eastAsia="zh-CN"/>
              </w:rPr>
            </w:pPr>
            <w:r>
              <w:rPr>
                <w:rFonts w:hint="eastAsia"/>
                <w:color w:val="auto"/>
                <w:highlight w:val="none"/>
                <w:lang w:val="en-US" w:eastAsia="zh-CN"/>
              </w:rPr>
              <w:t>植被型</w:t>
            </w:r>
          </w:p>
        </w:tc>
        <w:tc>
          <w:tcPr>
            <w:tcW w:w="1562" w:type="dxa"/>
            <w:tcBorders>
              <w:tl2br w:val="nil"/>
              <w:tr2bl w:val="nil"/>
            </w:tcBorders>
            <w:noWrap w:val="0"/>
            <w:vAlign w:val="center"/>
          </w:tcPr>
          <w:p w14:paraId="28A388B4">
            <w:pPr>
              <w:pStyle w:val="23"/>
              <w:bidi w:val="0"/>
              <w:rPr>
                <w:rFonts w:hint="default"/>
                <w:color w:val="auto"/>
                <w:highlight w:val="none"/>
                <w:lang w:val="en-US" w:eastAsia="zh-CN"/>
              </w:rPr>
            </w:pPr>
            <w:r>
              <w:rPr>
                <w:rFonts w:hint="eastAsia"/>
                <w:color w:val="auto"/>
                <w:highlight w:val="none"/>
                <w:lang w:val="en-US" w:eastAsia="zh-CN"/>
              </w:rPr>
              <w:t>群系</w:t>
            </w:r>
          </w:p>
        </w:tc>
        <w:tc>
          <w:tcPr>
            <w:tcW w:w="2720" w:type="dxa"/>
            <w:tcBorders>
              <w:tl2br w:val="nil"/>
              <w:tr2bl w:val="nil"/>
            </w:tcBorders>
            <w:noWrap w:val="0"/>
            <w:vAlign w:val="center"/>
          </w:tcPr>
          <w:p w14:paraId="5ED6417C">
            <w:pPr>
              <w:pStyle w:val="23"/>
              <w:bidi w:val="0"/>
              <w:rPr>
                <w:rFonts w:hint="default"/>
                <w:color w:val="auto"/>
                <w:highlight w:val="none"/>
                <w:lang w:val="en-US" w:eastAsia="zh-CN"/>
              </w:rPr>
            </w:pPr>
            <w:r>
              <w:rPr>
                <w:rFonts w:hint="eastAsia"/>
                <w:color w:val="auto"/>
                <w:highlight w:val="none"/>
                <w:lang w:val="en-US" w:eastAsia="zh-CN"/>
              </w:rPr>
              <w:t>群系拉丁名</w:t>
            </w:r>
          </w:p>
        </w:tc>
        <w:tc>
          <w:tcPr>
            <w:tcW w:w="1654" w:type="dxa"/>
            <w:tcBorders>
              <w:tl2br w:val="nil"/>
              <w:tr2bl w:val="nil"/>
            </w:tcBorders>
            <w:noWrap w:val="0"/>
            <w:vAlign w:val="center"/>
          </w:tcPr>
          <w:p w14:paraId="12AD6FBF">
            <w:pPr>
              <w:pStyle w:val="23"/>
              <w:bidi w:val="0"/>
              <w:rPr>
                <w:rFonts w:hint="default"/>
                <w:color w:val="auto"/>
                <w:highlight w:val="none"/>
                <w:lang w:val="en-US" w:eastAsia="zh-CN"/>
              </w:rPr>
            </w:pPr>
            <w:r>
              <w:rPr>
                <w:rFonts w:hint="eastAsia"/>
                <w:color w:val="auto"/>
                <w:highlight w:val="none"/>
                <w:lang w:val="en-US" w:eastAsia="zh-CN"/>
              </w:rPr>
              <w:t>分布</w:t>
            </w:r>
          </w:p>
        </w:tc>
      </w:tr>
      <w:tr w14:paraId="26C036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62" w:type="dxa"/>
            <w:vMerge w:val="restart"/>
            <w:tcBorders>
              <w:tl2br w:val="nil"/>
              <w:tr2bl w:val="nil"/>
            </w:tcBorders>
            <w:noWrap w:val="0"/>
            <w:vAlign w:val="center"/>
          </w:tcPr>
          <w:p w14:paraId="6AD87EF7">
            <w:pPr>
              <w:pStyle w:val="23"/>
              <w:bidi w:val="0"/>
              <w:rPr>
                <w:rFonts w:hint="default"/>
                <w:color w:val="auto"/>
                <w:highlight w:val="none"/>
                <w:lang w:val="en-US" w:eastAsia="zh-CN"/>
              </w:rPr>
            </w:pPr>
            <w:r>
              <w:rPr>
                <w:rFonts w:hint="default"/>
                <w:color w:val="auto"/>
                <w:highlight w:val="none"/>
                <w:lang w:val="en-US" w:eastAsia="zh-CN"/>
              </w:rPr>
              <w:t>针叶林</w:t>
            </w:r>
          </w:p>
        </w:tc>
        <w:tc>
          <w:tcPr>
            <w:tcW w:w="1562" w:type="dxa"/>
            <w:vMerge w:val="restart"/>
            <w:tcBorders>
              <w:tl2br w:val="nil"/>
              <w:tr2bl w:val="nil"/>
            </w:tcBorders>
            <w:noWrap w:val="0"/>
            <w:vAlign w:val="center"/>
          </w:tcPr>
          <w:p w14:paraId="4C663D8F">
            <w:pPr>
              <w:pStyle w:val="23"/>
              <w:bidi w:val="0"/>
              <w:rPr>
                <w:rFonts w:hint="default"/>
                <w:color w:val="auto"/>
                <w:highlight w:val="none"/>
                <w:lang w:val="en-US" w:eastAsia="zh-CN"/>
              </w:rPr>
            </w:pPr>
            <w:r>
              <w:rPr>
                <w:rFonts w:hint="eastAsia"/>
                <w:color w:val="auto"/>
                <w:highlight w:val="none"/>
                <w:lang w:val="en-US" w:eastAsia="zh-CN"/>
              </w:rPr>
              <w:t>低山针叶林</w:t>
            </w:r>
          </w:p>
        </w:tc>
        <w:tc>
          <w:tcPr>
            <w:tcW w:w="1562" w:type="dxa"/>
            <w:tcBorders>
              <w:tl2br w:val="nil"/>
              <w:tr2bl w:val="nil"/>
            </w:tcBorders>
            <w:noWrap w:val="0"/>
            <w:vAlign w:val="center"/>
          </w:tcPr>
          <w:p w14:paraId="49CE01CE">
            <w:pPr>
              <w:pStyle w:val="23"/>
              <w:bidi w:val="0"/>
              <w:rPr>
                <w:rFonts w:hint="default"/>
                <w:color w:val="auto"/>
                <w:highlight w:val="none"/>
                <w:lang w:val="en-US" w:eastAsia="zh-CN"/>
              </w:rPr>
            </w:pPr>
            <w:r>
              <w:rPr>
                <w:rFonts w:hint="eastAsia"/>
                <w:color w:val="auto"/>
                <w:highlight w:val="none"/>
                <w:lang w:val="en-US" w:eastAsia="zh-CN"/>
              </w:rPr>
              <w:t>1.</w:t>
            </w:r>
            <w:r>
              <w:rPr>
                <w:rFonts w:hint="default"/>
                <w:color w:val="auto"/>
                <w:highlight w:val="none"/>
                <w:lang w:val="en-US" w:eastAsia="zh-CN"/>
              </w:rPr>
              <w:t>马尾松林</w:t>
            </w:r>
          </w:p>
        </w:tc>
        <w:tc>
          <w:tcPr>
            <w:tcW w:w="2720" w:type="dxa"/>
            <w:tcBorders>
              <w:tl2br w:val="nil"/>
              <w:tr2bl w:val="nil"/>
            </w:tcBorders>
            <w:noWrap w:val="0"/>
            <w:vAlign w:val="center"/>
          </w:tcPr>
          <w:p w14:paraId="5E814D65">
            <w:pPr>
              <w:pStyle w:val="23"/>
              <w:bidi w:val="0"/>
              <w:rPr>
                <w:rFonts w:hint="default"/>
                <w:i/>
                <w:iCs/>
                <w:color w:val="auto"/>
                <w:highlight w:val="none"/>
                <w:lang w:val="en-US" w:eastAsia="zh-CN"/>
              </w:rPr>
            </w:pPr>
            <w:r>
              <w:rPr>
                <w:rFonts w:hint="default"/>
                <w:i/>
                <w:iCs/>
                <w:color w:val="auto"/>
                <w:highlight w:val="none"/>
                <w:lang w:val="en-US" w:eastAsia="zh-CN"/>
              </w:rPr>
              <w:t>Form.Pinu smassoniana</w:t>
            </w:r>
          </w:p>
        </w:tc>
        <w:tc>
          <w:tcPr>
            <w:tcW w:w="1654" w:type="dxa"/>
            <w:tcBorders>
              <w:tl2br w:val="nil"/>
              <w:tr2bl w:val="nil"/>
            </w:tcBorders>
            <w:noWrap w:val="0"/>
            <w:vAlign w:val="center"/>
          </w:tcPr>
          <w:p w14:paraId="4C2C790B">
            <w:pPr>
              <w:pStyle w:val="23"/>
              <w:bidi w:val="0"/>
              <w:rPr>
                <w:rFonts w:hint="default"/>
                <w:color w:val="auto"/>
                <w:highlight w:val="none"/>
                <w:lang w:val="en-US" w:eastAsia="zh-CN"/>
              </w:rPr>
            </w:pPr>
            <w:r>
              <w:rPr>
                <w:rFonts w:hint="default"/>
                <w:color w:val="auto"/>
                <w:highlight w:val="none"/>
                <w:lang w:val="en-US" w:eastAsia="zh-CN"/>
              </w:rPr>
              <w:t>在评价区零散 分布，多为次生林，</w:t>
            </w:r>
            <w:r>
              <w:rPr>
                <w:rFonts w:hint="eastAsia"/>
                <w:color w:val="auto"/>
                <w:highlight w:val="none"/>
                <w:lang w:val="en-US" w:eastAsia="zh-CN"/>
              </w:rPr>
              <w:t>2#</w:t>
            </w:r>
            <w:r>
              <w:rPr>
                <w:rFonts w:hint="default"/>
                <w:color w:val="auto"/>
                <w:highlight w:val="none"/>
                <w:lang w:val="en-US" w:eastAsia="zh-CN"/>
              </w:rPr>
              <w:t>风机附近分布较多</w:t>
            </w:r>
          </w:p>
        </w:tc>
      </w:tr>
      <w:tr w14:paraId="6D57B1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62" w:type="dxa"/>
            <w:vMerge w:val="continue"/>
            <w:tcBorders>
              <w:tl2br w:val="nil"/>
              <w:tr2bl w:val="nil"/>
            </w:tcBorders>
            <w:noWrap w:val="0"/>
            <w:vAlign w:val="center"/>
          </w:tcPr>
          <w:p w14:paraId="6C5F0590">
            <w:pPr>
              <w:pStyle w:val="23"/>
              <w:bidi w:val="0"/>
              <w:rPr>
                <w:rFonts w:hint="default"/>
                <w:color w:val="auto"/>
                <w:highlight w:val="none"/>
                <w:lang w:val="en-US" w:eastAsia="zh-CN"/>
              </w:rPr>
            </w:pPr>
          </w:p>
        </w:tc>
        <w:tc>
          <w:tcPr>
            <w:tcW w:w="1562" w:type="dxa"/>
            <w:vMerge w:val="continue"/>
            <w:tcBorders>
              <w:tl2br w:val="nil"/>
              <w:tr2bl w:val="nil"/>
            </w:tcBorders>
            <w:noWrap w:val="0"/>
            <w:vAlign w:val="center"/>
          </w:tcPr>
          <w:p w14:paraId="6F424240">
            <w:pPr>
              <w:pStyle w:val="23"/>
              <w:bidi w:val="0"/>
              <w:rPr>
                <w:rFonts w:hint="default"/>
                <w:color w:val="auto"/>
                <w:highlight w:val="none"/>
                <w:lang w:val="en-US" w:eastAsia="zh-CN"/>
              </w:rPr>
            </w:pPr>
          </w:p>
        </w:tc>
        <w:tc>
          <w:tcPr>
            <w:tcW w:w="1562" w:type="dxa"/>
            <w:tcBorders>
              <w:tl2br w:val="nil"/>
              <w:tr2bl w:val="nil"/>
            </w:tcBorders>
            <w:noWrap w:val="0"/>
            <w:vAlign w:val="center"/>
          </w:tcPr>
          <w:p w14:paraId="296337CC">
            <w:pPr>
              <w:pStyle w:val="23"/>
              <w:bidi w:val="0"/>
              <w:rPr>
                <w:rFonts w:hint="default"/>
                <w:color w:val="auto"/>
                <w:highlight w:val="none"/>
                <w:lang w:val="en-US" w:eastAsia="zh-CN"/>
              </w:rPr>
            </w:pPr>
            <w:r>
              <w:rPr>
                <w:rFonts w:hint="eastAsia"/>
                <w:color w:val="auto"/>
                <w:highlight w:val="none"/>
                <w:lang w:val="en-US" w:eastAsia="zh-CN"/>
              </w:rPr>
              <w:t>2.</w:t>
            </w:r>
            <w:r>
              <w:rPr>
                <w:rFonts w:hint="default"/>
                <w:color w:val="auto"/>
                <w:highlight w:val="none"/>
                <w:lang w:val="en-US" w:eastAsia="zh-CN"/>
              </w:rPr>
              <w:t>杉木林</w:t>
            </w:r>
          </w:p>
        </w:tc>
        <w:tc>
          <w:tcPr>
            <w:tcW w:w="2720" w:type="dxa"/>
            <w:tcBorders>
              <w:tl2br w:val="nil"/>
              <w:tr2bl w:val="nil"/>
            </w:tcBorders>
            <w:noWrap w:val="0"/>
            <w:vAlign w:val="center"/>
          </w:tcPr>
          <w:p w14:paraId="50B72782">
            <w:pPr>
              <w:pStyle w:val="23"/>
              <w:bidi w:val="0"/>
              <w:rPr>
                <w:rFonts w:hint="default"/>
                <w:i/>
                <w:iCs/>
                <w:color w:val="auto"/>
                <w:highlight w:val="none"/>
                <w:lang w:val="en-US" w:eastAsia="zh-CN"/>
              </w:rPr>
            </w:pPr>
            <w:r>
              <w:rPr>
                <w:rFonts w:hint="default"/>
                <w:i/>
                <w:iCs/>
                <w:color w:val="auto"/>
                <w:highlight w:val="none"/>
                <w:lang w:val="en-US" w:eastAsia="zh-CN"/>
              </w:rPr>
              <w:t>Form.Cunninghamialanceolata</w:t>
            </w:r>
          </w:p>
        </w:tc>
        <w:tc>
          <w:tcPr>
            <w:tcW w:w="1654" w:type="dxa"/>
            <w:tcBorders>
              <w:tl2br w:val="nil"/>
              <w:tr2bl w:val="nil"/>
            </w:tcBorders>
            <w:noWrap w:val="0"/>
            <w:vAlign w:val="center"/>
          </w:tcPr>
          <w:p w14:paraId="04179D5C">
            <w:pPr>
              <w:pStyle w:val="23"/>
              <w:bidi w:val="0"/>
              <w:rPr>
                <w:rFonts w:hint="default"/>
                <w:color w:val="auto"/>
                <w:highlight w:val="none"/>
                <w:lang w:val="en-US" w:eastAsia="zh-CN"/>
              </w:rPr>
            </w:pPr>
            <w:r>
              <w:rPr>
                <w:rFonts w:hint="default"/>
                <w:color w:val="auto"/>
                <w:highlight w:val="none"/>
                <w:lang w:val="en-US" w:eastAsia="zh-CN"/>
              </w:rPr>
              <w:t>在评价区</w:t>
            </w:r>
            <w:r>
              <w:rPr>
                <w:rFonts w:hint="eastAsia"/>
                <w:color w:val="auto"/>
                <w:highlight w:val="none"/>
                <w:lang w:val="en-US" w:eastAsia="zh-CN"/>
              </w:rPr>
              <w:t>广泛</w:t>
            </w:r>
            <w:r>
              <w:rPr>
                <w:rFonts w:hint="default"/>
                <w:color w:val="auto"/>
                <w:highlight w:val="none"/>
                <w:lang w:val="en-US" w:eastAsia="zh-CN"/>
              </w:rPr>
              <w:t>分布，多混生于阔叶林中</w:t>
            </w:r>
          </w:p>
        </w:tc>
      </w:tr>
      <w:tr w14:paraId="4CFA68F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62" w:type="dxa"/>
            <w:vMerge w:val="restart"/>
            <w:tcBorders>
              <w:tl2br w:val="nil"/>
              <w:tr2bl w:val="nil"/>
            </w:tcBorders>
            <w:noWrap w:val="0"/>
            <w:vAlign w:val="center"/>
          </w:tcPr>
          <w:p w14:paraId="1ADEB233">
            <w:pPr>
              <w:pStyle w:val="23"/>
              <w:bidi w:val="0"/>
              <w:rPr>
                <w:rFonts w:hint="default"/>
                <w:color w:val="auto"/>
                <w:highlight w:val="none"/>
                <w:lang w:val="en-US" w:eastAsia="zh-CN"/>
              </w:rPr>
            </w:pPr>
            <w:r>
              <w:rPr>
                <w:rFonts w:hint="eastAsia"/>
                <w:color w:val="auto"/>
                <w:highlight w:val="none"/>
                <w:lang w:val="en-US" w:eastAsia="zh-CN"/>
              </w:rPr>
              <w:t>阔叶林</w:t>
            </w:r>
          </w:p>
        </w:tc>
        <w:tc>
          <w:tcPr>
            <w:tcW w:w="1562" w:type="dxa"/>
            <w:vMerge w:val="restart"/>
            <w:tcBorders>
              <w:tl2br w:val="nil"/>
              <w:tr2bl w:val="nil"/>
            </w:tcBorders>
            <w:noWrap w:val="0"/>
            <w:vAlign w:val="center"/>
          </w:tcPr>
          <w:p w14:paraId="4AE86FEE">
            <w:pPr>
              <w:pStyle w:val="23"/>
              <w:bidi w:val="0"/>
              <w:rPr>
                <w:rFonts w:hint="default"/>
                <w:color w:val="auto"/>
                <w:highlight w:val="none"/>
                <w:lang w:val="en-US" w:eastAsia="zh-CN"/>
              </w:rPr>
            </w:pPr>
            <w:r>
              <w:rPr>
                <w:rFonts w:hint="eastAsia"/>
                <w:color w:val="auto"/>
                <w:highlight w:val="none"/>
                <w:lang w:val="en-US" w:eastAsia="zh-CN"/>
              </w:rPr>
              <w:t>落叶阔叶林</w:t>
            </w:r>
          </w:p>
        </w:tc>
        <w:tc>
          <w:tcPr>
            <w:tcW w:w="1562" w:type="dxa"/>
            <w:tcBorders>
              <w:tl2br w:val="nil"/>
              <w:tr2bl w:val="nil"/>
            </w:tcBorders>
            <w:noWrap w:val="0"/>
            <w:vAlign w:val="center"/>
          </w:tcPr>
          <w:p w14:paraId="25D7214F">
            <w:pPr>
              <w:pStyle w:val="23"/>
              <w:bidi w:val="0"/>
              <w:rPr>
                <w:rFonts w:hint="default"/>
                <w:color w:val="auto"/>
                <w:highlight w:val="none"/>
                <w:lang w:val="en-US" w:eastAsia="zh-CN"/>
              </w:rPr>
            </w:pPr>
            <w:r>
              <w:rPr>
                <w:rFonts w:hint="eastAsia"/>
                <w:color w:val="auto"/>
                <w:highlight w:val="none"/>
                <w:lang w:val="en-US" w:eastAsia="zh-CN"/>
              </w:rPr>
              <w:t>3.枫香树林</w:t>
            </w:r>
          </w:p>
        </w:tc>
        <w:tc>
          <w:tcPr>
            <w:tcW w:w="2720" w:type="dxa"/>
            <w:tcBorders>
              <w:tl2br w:val="nil"/>
              <w:tr2bl w:val="nil"/>
            </w:tcBorders>
            <w:noWrap w:val="0"/>
            <w:vAlign w:val="center"/>
          </w:tcPr>
          <w:p w14:paraId="1A0CD8F6">
            <w:pPr>
              <w:pStyle w:val="23"/>
              <w:bidi w:val="0"/>
              <w:rPr>
                <w:rFonts w:hint="default"/>
                <w:i/>
                <w:iCs/>
                <w:color w:val="auto"/>
                <w:highlight w:val="none"/>
                <w:lang w:val="en-US" w:eastAsia="zh-CN"/>
              </w:rPr>
            </w:pPr>
            <w:r>
              <w:rPr>
                <w:i/>
                <w:iCs/>
                <w:color w:val="auto"/>
                <w:highlight w:val="none"/>
              </w:rPr>
              <w:t>Form.Liquidambarformosana</w:t>
            </w:r>
          </w:p>
        </w:tc>
        <w:tc>
          <w:tcPr>
            <w:tcW w:w="1654" w:type="dxa"/>
            <w:tcBorders>
              <w:tl2br w:val="nil"/>
              <w:tr2bl w:val="nil"/>
            </w:tcBorders>
            <w:noWrap w:val="0"/>
            <w:vAlign w:val="center"/>
          </w:tcPr>
          <w:p w14:paraId="2DBA728F">
            <w:pPr>
              <w:pStyle w:val="23"/>
              <w:bidi w:val="0"/>
              <w:rPr>
                <w:rFonts w:hint="default"/>
                <w:color w:val="auto"/>
                <w:highlight w:val="none"/>
                <w:lang w:val="en-US" w:eastAsia="zh-CN"/>
              </w:rPr>
            </w:pPr>
            <w:r>
              <w:rPr>
                <w:color w:val="auto"/>
                <w:highlight w:val="none"/>
              </w:rPr>
              <w:t>在评价区内分布广泛，多分布于</w:t>
            </w:r>
            <w:r>
              <w:rPr>
                <w:rFonts w:hint="eastAsia"/>
                <w:color w:val="auto"/>
                <w:highlight w:val="none"/>
                <w:lang w:eastAsia="zh-CN"/>
              </w:rPr>
              <w:t>山坡</w:t>
            </w:r>
            <w:r>
              <w:rPr>
                <w:color w:val="auto"/>
                <w:highlight w:val="none"/>
              </w:rPr>
              <w:t>中部</w:t>
            </w:r>
          </w:p>
        </w:tc>
      </w:tr>
      <w:tr w14:paraId="31281C6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62" w:type="dxa"/>
            <w:vMerge w:val="continue"/>
            <w:tcBorders>
              <w:tl2br w:val="nil"/>
              <w:tr2bl w:val="nil"/>
            </w:tcBorders>
            <w:noWrap w:val="0"/>
            <w:vAlign w:val="center"/>
          </w:tcPr>
          <w:p w14:paraId="4AC0F1A1">
            <w:pPr>
              <w:pStyle w:val="23"/>
              <w:bidi w:val="0"/>
              <w:rPr>
                <w:rFonts w:hint="default"/>
                <w:color w:val="auto"/>
                <w:highlight w:val="none"/>
                <w:lang w:val="en-US" w:eastAsia="zh-CN"/>
              </w:rPr>
            </w:pPr>
          </w:p>
        </w:tc>
        <w:tc>
          <w:tcPr>
            <w:tcW w:w="1562" w:type="dxa"/>
            <w:vMerge w:val="continue"/>
            <w:tcBorders>
              <w:tl2br w:val="nil"/>
              <w:tr2bl w:val="nil"/>
            </w:tcBorders>
            <w:noWrap w:val="0"/>
            <w:vAlign w:val="center"/>
          </w:tcPr>
          <w:p w14:paraId="586466B4">
            <w:pPr>
              <w:pStyle w:val="23"/>
              <w:bidi w:val="0"/>
              <w:rPr>
                <w:rFonts w:hint="default"/>
                <w:color w:val="auto"/>
                <w:highlight w:val="none"/>
                <w:lang w:val="en-US" w:eastAsia="zh-CN"/>
              </w:rPr>
            </w:pPr>
          </w:p>
        </w:tc>
        <w:tc>
          <w:tcPr>
            <w:tcW w:w="1562" w:type="dxa"/>
            <w:tcBorders>
              <w:tl2br w:val="nil"/>
              <w:tr2bl w:val="nil"/>
            </w:tcBorders>
            <w:noWrap w:val="0"/>
            <w:vAlign w:val="center"/>
          </w:tcPr>
          <w:p w14:paraId="0FD7D0BA">
            <w:pPr>
              <w:pStyle w:val="23"/>
              <w:bidi w:val="0"/>
              <w:rPr>
                <w:rFonts w:hint="eastAsia"/>
                <w:color w:val="auto"/>
                <w:highlight w:val="none"/>
                <w:lang w:val="en-US" w:eastAsia="zh-CN"/>
              </w:rPr>
            </w:pPr>
            <w:r>
              <w:rPr>
                <w:rFonts w:hint="eastAsia"/>
                <w:color w:val="auto"/>
                <w:highlight w:val="none"/>
                <w:lang w:val="en-US" w:eastAsia="zh-CN"/>
              </w:rPr>
              <w:t>4.山乌桕林</w:t>
            </w:r>
          </w:p>
        </w:tc>
        <w:tc>
          <w:tcPr>
            <w:tcW w:w="2720" w:type="dxa"/>
            <w:tcBorders>
              <w:tl2br w:val="nil"/>
              <w:tr2bl w:val="nil"/>
            </w:tcBorders>
            <w:noWrap w:val="0"/>
            <w:vAlign w:val="center"/>
          </w:tcPr>
          <w:p w14:paraId="6F1E3049">
            <w:pPr>
              <w:pStyle w:val="23"/>
              <w:bidi w:val="0"/>
              <w:rPr>
                <w:rFonts w:hint="default"/>
                <w:i/>
                <w:iCs/>
                <w:color w:val="auto"/>
                <w:highlight w:val="none"/>
                <w:lang w:val="en-US" w:eastAsia="zh-CN"/>
              </w:rPr>
            </w:pPr>
            <w:r>
              <w:rPr>
                <w:i/>
                <w:iCs/>
                <w:color w:val="auto"/>
                <w:highlight w:val="none"/>
              </w:rPr>
              <w:t>Form. Sapium discolor</w:t>
            </w:r>
          </w:p>
        </w:tc>
        <w:tc>
          <w:tcPr>
            <w:tcW w:w="1654" w:type="dxa"/>
            <w:tcBorders>
              <w:tl2br w:val="nil"/>
              <w:tr2bl w:val="nil"/>
            </w:tcBorders>
            <w:noWrap w:val="0"/>
            <w:vAlign w:val="center"/>
          </w:tcPr>
          <w:p w14:paraId="36439166">
            <w:pPr>
              <w:pStyle w:val="23"/>
              <w:bidi w:val="0"/>
              <w:rPr>
                <w:rFonts w:hint="default"/>
                <w:color w:val="auto"/>
                <w:highlight w:val="none"/>
                <w:lang w:val="en-US" w:eastAsia="zh-CN"/>
              </w:rPr>
            </w:pPr>
            <w:r>
              <w:rPr>
                <w:color w:val="auto"/>
                <w:highlight w:val="none"/>
              </w:rPr>
              <w:t>在评价区内分布广泛，多分布于山坡中上部</w:t>
            </w:r>
          </w:p>
        </w:tc>
      </w:tr>
      <w:tr w14:paraId="3CC2F3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62" w:type="dxa"/>
            <w:vMerge w:val="continue"/>
            <w:tcBorders>
              <w:tl2br w:val="nil"/>
              <w:tr2bl w:val="nil"/>
            </w:tcBorders>
            <w:noWrap w:val="0"/>
            <w:vAlign w:val="center"/>
          </w:tcPr>
          <w:p w14:paraId="5E739496">
            <w:pPr>
              <w:pStyle w:val="23"/>
              <w:bidi w:val="0"/>
              <w:rPr>
                <w:rFonts w:hint="default"/>
                <w:color w:val="auto"/>
                <w:highlight w:val="none"/>
                <w:lang w:val="en-US" w:eastAsia="zh-CN"/>
              </w:rPr>
            </w:pPr>
          </w:p>
        </w:tc>
        <w:tc>
          <w:tcPr>
            <w:tcW w:w="1562" w:type="dxa"/>
            <w:vMerge w:val="continue"/>
            <w:tcBorders>
              <w:tl2br w:val="nil"/>
              <w:tr2bl w:val="nil"/>
            </w:tcBorders>
            <w:noWrap w:val="0"/>
            <w:vAlign w:val="center"/>
          </w:tcPr>
          <w:p w14:paraId="13518889">
            <w:pPr>
              <w:pStyle w:val="23"/>
              <w:bidi w:val="0"/>
              <w:rPr>
                <w:rFonts w:hint="default"/>
                <w:color w:val="auto"/>
                <w:highlight w:val="none"/>
                <w:lang w:val="en-US" w:eastAsia="zh-CN"/>
              </w:rPr>
            </w:pPr>
          </w:p>
        </w:tc>
        <w:tc>
          <w:tcPr>
            <w:tcW w:w="1562" w:type="dxa"/>
            <w:tcBorders>
              <w:tl2br w:val="nil"/>
              <w:tr2bl w:val="nil"/>
            </w:tcBorders>
            <w:noWrap w:val="0"/>
            <w:vAlign w:val="center"/>
          </w:tcPr>
          <w:p w14:paraId="34464F9E">
            <w:pPr>
              <w:pStyle w:val="23"/>
              <w:bidi w:val="0"/>
              <w:rPr>
                <w:rFonts w:hint="default"/>
                <w:color w:val="auto"/>
                <w:highlight w:val="none"/>
                <w:lang w:val="en-US" w:eastAsia="zh-CN"/>
              </w:rPr>
            </w:pPr>
            <w:r>
              <w:rPr>
                <w:rFonts w:hint="eastAsia"/>
                <w:color w:val="auto"/>
                <w:highlight w:val="none"/>
                <w:lang w:val="en-US" w:eastAsia="zh-CN"/>
              </w:rPr>
              <w:t>5.锥栗林</w:t>
            </w:r>
          </w:p>
        </w:tc>
        <w:tc>
          <w:tcPr>
            <w:tcW w:w="2720" w:type="dxa"/>
            <w:tcBorders>
              <w:tl2br w:val="nil"/>
              <w:tr2bl w:val="nil"/>
            </w:tcBorders>
            <w:noWrap w:val="0"/>
            <w:vAlign w:val="center"/>
          </w:tcPr>
          <w:p w14:paraId="1AE6F059">
            <w:pPr>
              <w:pStyle w:val="23"/>
              <w:bidi w:val="0"/>
              <w:rPr>
                <w:rFonts w:hint="default"/>
                <w:i/>
                <w:iCs/>
                <w:color w:val="auto"/>
                <w:highlight w:val="none"/>
                <w:lang w:val="en-US" w:eastAsia="zh-CN"/>
              </w:rPr>
            </w:pPr>
            <w:r>
              <w:rPr>
                <w:i/>
                <w:iCs/>
                <w:color w:val="auto"/>
                <w:highlight w:val="none"/>
              </w:rPr>
              <w:t>Form. Castanea henryi</w:t>
            </w:r>
          </w:p>
        </w:tc>
        <w:tc>
          <w:tcPr>
            <w:tcW w:w="1654" w:type="dxa"/>
            <w:tcBorders>
              <w:tl2br w:val="nil"/>
              <w:tr2bl w:val="nil"/>
            </w:tcBorders>
            <w:noWrap w:val="0"/>
            <w:vAlign w:val="center"/>
          </w:tcPr>
          <w:p w14:paraId="4C1B0E28">
            <w:pPr>
              <w:pStyle w:val="23"/>
              <w:bidi w:val="0"/>
              <w:rPr>
                <w:rFonts w:hint="default"/>
                <w:color w:val="auto"/>
                <w:highlight w:val="none"/>
                <w:lang w:val="en-US" w:eastAsia="zh-CN"/>
              </w:rPr>
            </w:pPr>
            <w:r>
              <w:rPr>
                <w:color w:val="auto"/>
                <w:highlight w:val="none"/>
              </w:rPr>
              <w:t>多分布于山坡中上部</w:t>
            </w:r>
          </w:p>
        </w:tc>
      </w:tr>
      <w:tr w14:paraId="132243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62" w:type="dxa"/>
            <w:vMerge w:val="continue"/>
            <w:tcBorders>
              <w:tl2br w:val="nil"/>
              <w:tr2bl w:val="nil"/>
            </w:tcBorders>
            <w:noWrap w:val="0"/>
            <w:vAlign w:val="center"/>
          </w:tcPr>
          <w:p w14:paraId="4A7A7AED">
            <w:pPr>
              <w:pStyle w:val="23"/>
              <w:bidi w:val="0"/>
              <w:rPr>
                <w:rFonts w:hint="default"/>
                <w:color w:val="auto"/>
                <w:highlight w:val="none"/>
                <w:lang w:val="en-US" w:eastAsia="zh-CN"/>
              </w:rPr>
            </w:pPr>
          </w:p>
        </w:tc>
        <w:tc>
          <w:tcPr>
            <w:tcW w:w="1562" w:type="dxa"/>
            <w:vMerge w:val="restart"/>
            <w:tcBorders>
              <w:tl2br w:val="nil"/>
              <w:tr2bl w:val="nil"/>
            </w:tcBorders>
            <w:noWrap w:val="0"/>
            <w:vAlign w:val="center"/>
          </w:tcPr>
          <w:p w14:paraId="6B17282C">
            <w:pPr>
              <w:pStyle w:val="23"/>
              <w:bidi w:val="0"/>
              <w:rPr>
                <w:rFonts w:hint="default"/>
                <w:color w:val="auto"/>
                <w:highlight w:val="none"/>
                <w:lang w:val="en-US" w:eastAsia="zh-CN"/>
              </w:rPr>
            </w:pPr>
            <w:r>
              <w:rPr>
                <w:rFonts w:hint="eastAsia"/>
                <w:color w:val="auto"/>
                <w:highlight w:val="none"/>
                <w:lang w:val="en-US" w:eastAsia="zh-CN"/>
              </w:rPr>
              <w:t>竹林</w:t>
            </w:r>
          </w:p>
        </w:tc>
        <w:tc>
          <w:tcPr>
            <w:tcW w:w="1562" w:type="dxa"/>
            <w:tcBorders>
              <w:tl2br w:val="nil"/>
              <w:tr2bl w:val="nil"/>
            </w:tcBorders>
            <w:noWrap w:val="0"/>
            <w:vAlign w:val="center"/>
          </w:tcPr>
          <w:p w14:paraId="7CC91D43">
            <w:pPr>
              <w:pStyle w:val="23"/>
              <w:bidi w:val="0"/>
              <w:rPr>
                <w:rFonts w:hint="default"/>
                <w:color w:val="auto"/>
                <w:highlight w:val="none"/>
                <w:lang w:val="en-US" w:eastAsia="zh-CN"/>
              </w:rPr>
            </w:pPr>
            <w:r>
              <w:rPr>
                <w:rFonts w:hint="eastAsia"/>
                <w:color w:val="auto"/>
                <w:highlight w:val="none"/>
                <w:lang w:val="en-US" w:eastAsia="zh-CN"/>
              </w:rPr>
              <w:t>6.毛竹林</w:t>
            </w:r>
          </w:p>
        </w:tc>
        <w:tc>
          <w:tcPr>
            <w:tcW w:w="2720" w:type="dxa"/>
            <w:tcBorders>
              <w:tl2br w:val="nil"/>
              <w:tr2bl w:val="nil"/>
            </w:tcBorders>
            <w:noWrap w:val="0"/>
            <w:vAlign w:val="center"/>
          </w:tcPr>
          <w:p w14:paraId="2A8CF347">
            <w:pPr>
              <w:pStyle w:val="23"/>
              <w:bidi w:val="0"/>
              <w:rPr>
                <w:rFonts w:hint="default"/>
                <w:i/>
                <w:iCs/>
                <w:color w:val="auto"/>
                <w:highlight w:val="none"/>
                <w:lang w:val="en-US" w:eastAsia="zh-CN"/>
              </w:rPr>
            </w:pPr>
            <w:r>
              <w:rPr>
                <w:i/>
                <w:iCs/>
                <w:color w:val="auto"/>
                <w:highlight w:val="none"/>
              </w:rPr>
              <w:t>Form. Phyllostachys heterocyclacv  Pubescens</w:t>
            </w:r>
          </w:p>
        </w:tc>
        <w:tc>
          <w:tcPr>
            <w:tcW w:w="1654" w:type="dxa"/>
            <w:tcBorders>
              <w:tl2br w:val="nil"/>
              <w:tr2bl w:val="nil"/>
            </w:tcBorders>
            <w:noWrap w:val="0"/>
            <w:vAlign w:val="top"/>
          </w:tcPr>
          <w:p w14:paraId="65295093">
            <w:pPr>
              <w:pStyle w:val="23"/>
              <w:bidi w:val="0"/>
              <w:rPr>
                <w:rFonts w:hint="default"/>
                <w:color w:val="auto"/>
                <w:highlight w:val="none"/>
                <w:lang w:val="en-US" w:eastAsia="zh-CN"/>
              </w:rPr>
            </w:pPr>
            <w:r>
              <w:rPr>
                <w:color w:val="auto"/>
                <w:highlight w:val="none"/>
              </w:rPr>
              <w:t>在评价区分布广泛</w:t>
            </w:r>
          </w:p>
        </w:tc>
      </w:tr>
      <w:tr w14:paraId="5F3E110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62" w:type="dxa"/>
            <w:vMerge w:val="continue"/>
            <w:tcBorders>
              <w:tl2br w:val="nil"/>
              <w:tr2bl w:val="nil"/>
            </w:tcBorders>
            <w:noWrap w:val="0"/>
            <w:vAlign w:val="center"/>
          </w:tcPr>
          <w:p w14:paraId="41DBCDE0">
            <w:pPr>
              <w:pStyle w:val="23"/>
              <w:bidi w:val="0"/>
              <w:rPr>
                <w:rFonts w:hint="default"/>
                <w:color w:val="auto"/>
                <w:highlight w:val="none"/>
                <w:lang w:val="en-US" w:eastAsia="zh-CN"/>
              </w:rPr>
            </w:pPr>
          </w:p>
        </w:tc>
        <w:tc>
          <w:tcPr>
            <w:tcW w:w="1562" w:type="dxa"/>
            <w:vMerge w:val="continue"/>
            <w:tcBorders>
              <w:tl2br w:val="nil"/>
              <w:tr2bl w:val="nil"/>
            </w:tcBorders>
            <w:noWrap w:val="0"/>
            <w:vAlign w:val="center"/>
          </w:tcPr>
          <w:p w14:paraId="29178B9F">
            <w:pPr>
              <w:pStyle w:val="23"/>
              <w:bidi w:val="0"/>
              <w:rPr>
                <w:rFonts w:hint="default"/>
                <w:color w:val="auto"/>
                <w:highlight w:val="none"/>
                <w:lang w:val="en-US" w:eastAsia="zh-CN"/>
              </w:rPr>
            </w:pPr>
          </w:p>
        </w:tc>
        <w:tc>
          <w:tcPr>
            <w:tcW w:w="1562" w:type="dxa"/>
            <w:tcBorders>
              <w:tl2br w:val="nil"/>
              <w:tr2bl w:val="nil"/>
            </w:tcBorders>
            <w:noWrap w:val="0"/>
            <w:vAlign w:val="center"/>
          </w:tcPr>
          <w:p w14:paraId="2F640312">
            <w:pPr>
              <w:pStyle w:val="23"/>
              <w:bidi w:val="0"/>
              <w:rPr>
                <w:rFonts w:hint="default"/>
                <w:color w:val="auto"/>
                <w:highlight w:val="none"/>
                <w:lang w:val="en-US" w:eastAsia="zh-CN"/>
              </w:rPr>
            </w:pPr>
            <w:r>
              <w:rPr>
                <w:rFonts w:hint="eastAsia"/>
                <w:color w:val="auto"/>
                <w:highlight w:val="none"/>
                <w:lang w:val="en-US" w:eastAsia="zh-CN"/>
              </w:rPr>
              <w:t>7.水竹林</w:t>
            </w:r>
          </w:p>
        </w:tc>
        <w:tc>
          <w:tcPr>
            <w:tcW w:w="2720" w:type="dxa"/>
            <w:tcBorders>
              <w:tl2br w:val="nil"/>
              <w:tr2bl w:val="nil"/>
            </w:tcBorders>
            <w:noWrap w:val="0"/>
            <w:vAlign w:val="center"/>
          </w:tcPr>
          <w:p w14:paraId="4482A567">
            <w:pPr>
              <w:pStyle w:val="23"/>
              <w:bidi w:val="0"/>
              <w:rPr>
                <w:rFonts w:hint="default"/>
                <w:i/>
                <w:iCs/>
                <w:color w:val="auto"/>
                <w:highlight w:val="none"/>
                <w:lang w:val="en-US" w:eastAsia="zh-CN"/>
              </w:rPr>
            </w:pPr>
            <w:r>
              <w:rPr>
                <w:i/>
                <w:iCs/>
                <w:color w:val="auto"/>
                <w:highlight w:val="none"/>
              </w:rPr>
              <w:t>Form. Phyllostachys heteroclada</w:t>
            </w:r>
          </w:p>
        </w:tc>
        <w:tc>
          <w:tcPr>
            <w:tcW w:w="1654" w:type="dxa"/>
            <w:tcBorders>
              <w:tl2br w:val="nil"/>
              <w:tr2bl w:val="nil"/>
            </w:tcBorders>
            <w:noWrap w:val="0"/>
            <w:vAlign w:val="top"/>
          </w:tcPr>
          <w:p w14:paraId="2F4CAF86">
            <w:pPr>
              <w:pStyle w:val="23"/>
              <w:bidi w:val="0"/>
              <w:rPr>
                <w:rFonts w:hint="default"/>
                <w:color w:val="auto"/>
                <w:highlight w:val="none"/>
                <w:lang w:val="en-US" w:eastAsia="zh-CN"/>
              </w:rPr>
            </w:pPr>
            <w:r>
              <w:rPr>
                <w:color w:val="auto"/>
                <w:highlight w:val="none"/>
              </w:rPr>
              <w:t>多分布于平缓荒地及小路两边，升压站附近分布较多</w:t>
            </w:r>
          </w:p>
        </w:tc>
      </w:tr>
      <w:tr w14:paraId="746F64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62" w:type="dxa"/>
            <w:vMerge w:val="restart"/>
            <w:tcBorders>
              <w:tl2br w:val="nil"/>
              <w:tr2bl w:val="nil"/>
            </w:tcBorders>
            <w:noWrap w:val="0"/>
            <w:vAlign w:val="center"/>
          </w:tcPr>
          <w:p w14:paraId="208A778D">
            <w:pPr>
              <w:pStyle w:val="23"/>
              <w:bidi w:val="0"/>
              <w:rPr>
                <w:rFonts w:hint="default"/>
                <w:color w:val="auto"/>
                <w:highlight w:val="none"/>
                <w:lang w:val="en-US" w:eastAsia="zh-CN"/>
              </w:rPr>
            </w:pPr>
            <w:r>
              <w:rPr>
                <w:rFonts w:hint="eastAsia"/>
                <w:color w:val="auto"/>
                <w:highlight w:val="none"/>
                <w:lang w:val="en-US" w:eastAsia="zh-CN"/>
              </w:rPr>
              <w:t>灌丛及灌草丛</w:t>
            </w:r>
          </w:p>
        </w:tc>
        <w:tc>
          <w:tcPr>
            <w:tcW w:w="1562" w:type="dxa"/>
            <w:vMerge w:val="restart"/>
            <w:tcBorders>
              <w:tl2br w:val="nil"/>
              <w:tr2bl w:val="nil"/>
            </w:tcBorders>
            <w:noWrap w:val="0"/>
            <w:vAlign w:val="center"/>
          </w:tcPr>
          <w:p w14:paraId="650F1877">
            <w:pPr>
              <w:pStyle w:val="23"/>
              <w:bidi w:val="0"/>
              <w:rPr>
                <w:rFonts w:hint="default"/>
                <w:color w:val="auto"/>
                <w:highlight w:val="none"/>
                <w:lang w:val="en-US" w:eastAsia="zh-CN"/>
              </w:rPr>
            </w:pPr>
            <w:r>
              <w:rPr>
                <w:rFonts w:hint="eastAsia"/>
                <w:color w:val="auto"/>
                <w:highlight w:val="none"/>
                <w:lang w:val="en-US" w:eastAsia="zh-CN"/>
              </w:rPr>
              <w:t>灌丛</w:t>
            </w:r>
          </w:p>
        </w:tc>
        <w:tc>
          <w:tcPr>
            <w:tcW w:w="1562" w:type="dxa"/>
            <w:tcBorders>
              <w:tl2br w:val="nil"/>
              <w:tr2bl w:val="nil"/>
            </w:tcBorders>
            <w:noWrap w:val="0"/>
            <w:vAlign w:val="center"/>
          </w:tcPr>
          <w:p w14:paraId="567E194D">
            <w:pPr>
              <w:pStyle w:val="23"/>
              <w:bidi w:val="0"/>
              <w:rPr>
                <w:rFonts w:hint="eastAsia"/>
                <w:color w:val="auto"/>
                <w:highlight w:val="none"/>
                <w:lang w:val="en-US" w:eastAsia="zh-CN"/>
              </w:rPr>
            </w:pPr>
            <w:r>
              <w:rPr>
                <w:rFonts w:hint="eastAsia"/>
                <w:color w:val="auto"/>
                <w:highlight w:val="none"/>
                <w:lang w:val="en-US" w:eastAsia="zh-CN"/>
              </w:rPr>
              <w:t>8.檵木灌丛</w:t>
            </w:r>
          </w:p>
        </w:tc>
        <w:tc>
          <w:tcPr>
            <w:tcW w:w="2720" w:type="dxa"/>
            <w:tcBorders>
              <w:tl2br w:val="nil"/>
              <w:tr2bl w:val="nil"/>
            </w:tcBorders>
            <w:noWrap w:val="0"/>
            <w:vAlign w:val="center"/>
          </w:tcPr>
          <w:p w14:paraId="0FF90633">
            <w:pPr>
              <w:pStyle w:val="23"/>
              <w:bidi w:val="0"/>
              <w:rPr>
                <w:i/>
                <w:iCs/>
                <w:color w:val="auto"/>
                <w:highlight w:val="none"/>
              </w:rPr>
            </w:pPr>
            <w:r>
              <w:rPr>
                <w:i/>
                <w:iCs/>
                <w:color w:val="auto"/>
                <w:highlight w:val="none"/>
              </w:rPr>
              <w:t>Form. Loropetalum chinense</w:t>
            </w:r>
          </w:p>
        </w:tc>
        <w:tc>
          <w:tcPr>
            <w:tcW w:w="1654" w:type="dxa"/>
            <w:tcBorders>
              <w:tl2br w:val="nil"/>
              <w:tr2bl w:val="nil"/>
            </w:tcBorders>
            <w:noWrap w:val="0"/>
            <w:vAlign w:val="center"/>
          </w:tcPr>
          <w:p w14:paraId="2223C3C8">
            <w:pPr>
              <w:pStyle w:val="23"/>
              <w:bidi w:val="0"/>
              <w:rPr>
                <w:rFonts w:hint="default"/>
                <w:color w:val="auto"/>
                <w:highlight w:val="none"/>
                <w:lang w:val="en-US" w:eastAsia="zh-CN"/>
              </w:rPr>
            </w:pPr>
            <w:r>
              <w:rPr>
                <w:color w:val="auto"/>
                <w:highlight w:val="none"/>
              </w:rPr>
              <w:t>在评价区分布广泛，常见于林下及林缘处</w:t>
            </w:r>
          </w:p>
        </w:tc>
      </w:tr>
      <w:tr w14:paraId="2C7815C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62" w:type="dxa"/>
            <w:vMerge w:val="continue"/>
            <w:tcBorders>
              <w:tl2br w:val="nil"/>
              <w:tr2bl w:val="nil"/>
            </w:tcBorders>
            <w:noWrap w:val="0"/>
            <w:vAlign w:val="center"/>
          </w:tcPr>
          <w:p w14:paraId="4E58538B">
            <w:pPr>
              <w:pStyle w:val="23"/>
              <w:bidi w:val="0"/>
              <w:rPr>
                <w:rFonts w:hint="default"/>
                <w:color w:val="auto"/>
                <w:highlight w:val="none"/>
                <w:lang w:val="en-US" w:eastAsia="zh-CN"/>
              </w:rPr>
            </w:pPr>
          </w:p>
        </w:tc>
        <w:tc>
          <w:tcPr>
            <w:tcW w:w="1562" w:type="dxa"/>
            <w:vMerge w:val="continue"/>
            <w:tcBorders>
              <w:tl2br w:val="nil"/>
              <w:tr2bl w:val="nil"/>
            </w:tcBorders>
            <w:noWrap w:val="0"/>
            <w:vAlign w:val="center"/>
          </w:tcPr>
          <w:p w14:paraId="73CDCA27">
            <w:pPr>
              <w:pStyle w:val="23"/>
              <w:bidi w:val="0"/>
              <w:rPr>
                <w:rFonts w:hint="default"/>
                <w:color w:val="auto"/>
                <w:highlight w:val="none"/>
                <w:lang w:val="en-US" w:eastAsia="zh-CN"/>
              </w:rPr>
            </w:pPr>
          </w:p>
        </w:tc>
        <w:tc>
          <w:tcPr>
            <w:tcW w:w="1562" w:type="dxa"/>
            <w:tcBorders>
              <w:tl2br w:val="nil"/>
              <w:tr2bl w:val="nil"/>
            </w:tcBorders>
            <w:noWrap w:val="0"/>
            <w:vAlign w:val="center"/>
          </w:tcPr>
          <w:p w14:paraId="7E7334E9">
            <w:pPr>
              <w:pStyle w:val="23"/>
              <w:bidi w:val="0"/>
              <w:rPr>
                <w:rFonts w:hint="eastAsia"/>
                <w:color w:val="auto"/>
                <w:highlight w:val="none"/>
                <w:lang w:val="en-US" w:eastAsia="zh-CN"/>
              </w:rPr>
            </w:pPr>
            <w:r>
              <w:rPr>
                <w:rFonts w:hint="eastAsia"/>
                <w:color w:val="auto"/>
                <w:highlight w:val="none"/>
                <w:lang w:val="en-US" w:eastAsia="zh-CN"/>
              </w:rPr>
              <w:t>9.山茶灌丛</w:t>
            </w:r>
          </w:p>
        </w:tc>
        <w:tc>
          <w:tcPr>
            <w:tcW w:w="2720" w:type="dxa"/>
            <w:tcBorders>
              <w:tl2br w:val="nil"/>
              <w:tr2bl w:val="nil"/>
            </w:tcBorders>
            <w:noWrap w:val="0"/>
            <w:vAlign w:val="center"/>
          </w:tcPr>
          <w:p w14:paraId="21DBDFDA">
            <w:pPr>
              <w:pStyle w:val="23"/>
              <w:bidi w:val="0"/>
              <w:rPr>
                <w:i/>
                <w:iCs/>
                <w:color w:val="auto"/>
                <w:highlight w:val="none"/>
              </w:rPr>
            </w:pPr>
            <w:r>
              <w:rPr>
                <w:i/>
                <w:iCs/>
                <w:color w:val="auto"/>
                <w:highlight w:val="none"/>
              </w:rPr>
              <w:t>Form. Camelliajaponica</w:t>
            </w:r>
          </w:p>
        </w:tc>
        <w:tc>
          <w:tcPr>
            <w:tcW w:w="1654" w:type="dxa"/>
            <w:tcBorders>
              <w:tl2br w:val="nil"/>
              <w:tr2bl w:val="nil"/>
            </w:tcBorders>
            <w:noWrap w:val="0"/>
            <w:vAlign w:val="center"/>
          </w:tcPr>
          <w:p w14:paraId="7DFF3C94">
            <w:pPr>
              <w:pStyle w:val="23"/>
              <w:bidi w:val="0"/>
              <w:rPr>
                <w:rFonts w:hint="default"/>
                <w:color w:val="auto"/>
                <w:highlight w:val="none"/>
                <w:lang w:val="en-US" w:eastAsia="zh-CN"/>
              </w:rPr>
            </w:pPr>
            <w:r>
              <w:rPr>
                <w:color w:val="auto"/>
                <w:highlight w:val="none"/>
              </w:rPr>
              <w:t>在评价区分布广泛，是评价区内优势灌丛</w:t>
            </w:r>
          </w:p>
        </w:tc>
      </w:tr>
      <w:tr w14:paraId="22D1128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62" w:type="dxa"/>
            <w:vMerge w:val="continue"/>
            <w:tcBorders>
              <w:tl2br w:val="nil"/>
              <w:tr2bl w:val="nil"/>
            </w:tcBorders>
            <w:noWrap w:val="0"/>
            <w:vAlign w:val="center"/>
          </w:tcPr>
          <w:p w14:paraId="65091983">
            <w:pPr>
              <w:pStyle w:val="23"/>
              <w:bidi w:val="0"/>
              <w:rPr>
                <w:rFonts w:hint="default"/>
                <w:color w:val="auto"/>
                <w:highlight w:val="none"/>
                <w:lang w:val="en-US" w:eastAsia="zh-CN"/>
              </w:rPr>
            </w:pPr>
          </w:p>
        </w:tc>
        <w:tc>
          <w:tcPr>
            <w:tcW w:w="1562" w:type="dxa"/>
            <w:vMerge w:val="continue"/>
            <w:tcBorders>
              <w:tl2br w:val="nil"/>
              <w:tr2bl w:val="nil"/>
            </w:tcBorders>
            <w:noWrap w:val="0"/>
            <w:vAlign w:val="center"/>
          </w:tcPr>
          <w:p w14:paraId="51253D2F">
            <w:pPr>
              <w:pStyle w:val="23"/>
              <w:bidi w:val="0"/>
              <w:rPr>
                <w:rFonts w:hint="default"/>
                <w:color w:val="auto"/>
                <w:highlight w:val="none"/>
                <w:lang w:val="en-US" w:eastAsia="zh-CN"/>
              </w:rPr>
            </w:pPr>
          </w:p>
        </w:tc>
        <w:tc>
          <w:tcPr>
            <w:tcW w:w="1562" w:type="dxa"/>
            <w:tcBorders>
              <w:tl2br w:val="nil"/>
              <w:tr2bl w:val="nil"/>
            </w:tcBorders>
            <w:noWrap w:val="0"/>
            <w:vAlign w:val="center"/>
          </w:tcPr>
          <w:p w14:paraId="6D60498C">
            <w:pPr>
              <w:pStyle w:val="23"/>
              <w:bidi w:val="0"/>
              <w:rPr>
                <w:rFonts w:hint="eastAsia"/>
                <w:color w:val="auto"/>
                <w:highlight w:val="none"/>
                <w:lang w:val="en-US" w:eastAsia="zh-CN"/>
              </w:rPr>
            </w:pPr>
            <w:r>
              <w:rPr>
                <w:rFonts w:hint="eastAsia"/>
                <w:color w:val="auto"/>
                <w:highlight w:val="none"/>
                <w:lang w:val="en-US" w:eastAsia="zh-CN"/>
              </w:rPr>
              <w:t>10.金樱子灌丛</w:t>
            </w:r>
          </w:p>
        </w:tc>
        <w:tc>
          <w:tcPr>
            <w:tcW w:w="2720" w:type="dxa"/>
            <w:tcBorders>
              <w:tl2br w:val="nil"/>
              <w:tr2bl w:val="nil"/>
            </w:tcBorders>
            <w:noWrap w:val="0"/>
            <w:vAlign w:val="center"/>
          </w:tcPr>
          <w:p w14:paraId="6E3D18B9">
            <w:pPr>
              <w:pStyle w:val="23"/>
              <w:bidi w:val="0"/>
              <w:rPr>
                <w:i/>
                <w:iCs/>
                <w:color w:val="auto"/>
                <w:highlight w:val="none"/>
              </w:rPr>
            </w:pPr>
            <w:r>
              <w:rPr>
                <w:i/>
                <w:iCs/>
                <w:color w:val="auto"/>
                <w:highlight w:val="none"/>
              </w:rPr>
              <w:t>Form. Rosa laevigata</w:t>
            </w:r>
          </w:p>
        </w:tc>
        <w:tc>
          <w:tcPr>
            <w:tcW w:w="1654" w:type="dxa"/>
            <w:tcBorders>
              <w:tl2br w:val="nil"/>
              <w:tr2bl w:val="nil"/>
            </w:tcBorders>
            <w:noWrap w:val="0"/>
            <w:vAlign w:val="center"/>
          </w:tcPr>
          <w:p w14:paraId="45CA7973">
            <w:pPr>
              <w:pStyle w:val="23"/>
              <w:bidi w:val="0"/>
              <w:rPr>
                <w:rFonts w:hint="default"/>
                <w:color w:val="auto"/>
                <w:highlight w:val="none"/>
                <w:lang w:val="en-US" w:eastAsia="zh-CN"/>
              </w:rPr>
            </w:pPr>
            <w:r>
              <w:rPr>
                <w:color w:val="auto"/>
                <w:highlight w:val="none"/>
              </w:rPr>
              <w:t>多见于小路两边</w:t>
            </w:r>
          </w:p>
        </w:tc>
      </w:tr>
      <w:tr w14:paraId="24AB29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62" w:type="dxa"/>
            <w:vMerge w:val="continue"/>
            <w:tcBorders>
              <w:tl2br w:val="nil"/>
              <w:tr2bl w:val="nil"/>
            </w:tcBorders>
            <w:noWrap w:val="0"/>
            <w:vAlign w:val="center"/>
          </w:tcPr>
          <w:p w14:paraId="56E8BF00">
            <w:pPr>
              <w:pStyle w:val="23"/>
              <w:bidi w:val="0"/>
              <w:rPr>
                <w:rFonts w:hint="default"/>
                <w:color w:val="auto"/>
                <w:highlight w:val="none"/>
                <w:lang w:val="en-US" w:eastAsia="zh-CN"/>
              </w:rPr>
            </w:pPr>
          </w:p>
        </w:tc>
        <w:tc>
          <w:tcPr>
            <w:tcW w:w="1562" w:type="dxa"/>
            <w:vMerge w:val="continue"/>
            <w:tcBorders>
              <w:tl2br w:val="nil"/>
              <w:tr2bl w:val="nil"/>
            </w:tcBorders>
            <w:noWrap w:val="0"/>
            <w:vAlign w:val="center"/>
          </w:tcPr>
          <w:p w14:paraId="6F5249C9">
            <w:pPr>
              <w:pStyle w:val="23"/>
              <w:bidi w:val="0"/>
              <w:rPr>
                <w:rFonts w:hint="default"/>
                <w:color w:val="auto"/>
                <w:highlight w:val="none"/>
                <w:lang w:val="en-US" w:eastAsia="zh-CN"/>
              </w:rPr>
            </w:pPr>
          </w:p>
        </w:tc>
        <w:tc>
          <w:tcPr>
            <w:tcW w:w="1562" w:type="dxa"/>
            <w:tcBorders>
              <w:tl2br w:val="nil"/>
              <w:tr2bl w:val="nil"/>
            </w:tcBorders>
            <w:noWrap w:val="0"/>
            <w:vAlign w:val="center"/>
          </w:tcPr>
          <w:p w14:paraId="09A74D6F">
            <w:pPr>
              <w:pStyle w:val="23"/>
              <w:bidi w:val="0"/>
              <w:rPr>
                <w:rFonts w:hint="eastAsia"/>
                <w:color w:val="auto"/>
                <w:highlight w:val="none"/>
                <w:lang w:val="en-US" w:eastAsia="zh-CN"/>
              </w:rPr>
            </w:pPr>
            <w:r>
              <w:rPr>
                <w:rFonts w:hint="eastAsia"/>
                <w:color w:val="auto"/>
                <w:highlight w:val="none"/>
                <w:lang w:val="en-US" w:eastAsia="zh-CN"/>
              </w:rPr>
              <w:t>11.短柄枹栎灌丛</w:t>
            </w:r>
          </w:p>
        </w:tc>
        <w:tc>
          <w:tcPr>
            <w:tcW w:w="2720" w:type="dxa"/>
            <w:tcBorders>
              <w:tl2br w:val="nil"/>
              <w:tr2bl w:val="nil"/>
            </w:tcBorders>
            <w:noWrap w:val="0"/>
            <w:vAlign w:val="center"/>
          </w:tcPr>
          <w:p w14:paraId="40204C0B">
            <w:pPr>
              <w:pStyle w:val="23"/>
              <w:bidi w:val="0"/>
              <w:rPr>
                <w:i/>
                <w:iCs/>
                <w:color w:val="auto"/>
                <w:highlight w:val="none"/>
              </w:rPr>
            </w:pPr>
            <w:r>
              <w:rPr>
                <w:i/>
                <w:iCs/>
                <w:color w:val="auto"/>
                <w:highlight w:val="none"/>
              </w:rPr>
              <w:t>Form. Quercus serrata var.</w:t>
            </w:r>
          </w:p>
          <w:p w14:paraId="4CABF501">
            <w:pPr>
              <w:pStyle w:val="23"/>
              <w:bidi w:val="0"/>
              <w:rPr>
                <w:i/>
                <w:iCs/>
                <w:color w:val="auto"/>
                <w:highlight w:val="none"/>
              </w:rPr>
            </w:pPr>
            <w:r>
              <w:rPr>
                <w:i/>
                <w:iCs/>
                <w:color w:val="auto"/>
                <w:highlight w:val="none"/>
              </w:rPr>
              <w:t>brevipetiolata</w:t>
            </w:r>
          </w:p>
        </w:tc>
        <w:tc>
          <w:tcPr>
            <w:tcW w:w="1654" w:type="dxa"/>
            <w:tcBorders>
              <w:tl2br w:val="nil"/>
              <w:tr2bl w:val="nil"/>
            </w:tcBorders>
            <w:noWrap w:val="0"/>
            <w:vAlign w:val="center"/>
          </w:tcPr>
          <w:p w14:paraId="0C57E1A5">
            <w:pPr>
              <w:pStyle w:val="23"/>
              <w:bidi w:val="0"/>
              <w:rPr>
                <w:rFonts w:hint="default"/>
                <w:color w:val="auto"/>
                <w:highlight w:val="none"/>
                <w:lang w:val="en-US" w:eastAsia="zh-CN"/>
              </w:rPr>
            </w:pPr>
            <w:r>
              <w:rPr>
                <w:color w:val="auto"/>
                <w:highlight w:val="none"/>
              </w:rPr>
              <w:t>在评价区内零散分布</w:t>
            </w:r>
          </w:p>
        </w:tc>
      </w:tr>
      <w:tr w14:paraId="41FA2FA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62" w:type="dxa"/>
            <w:vMerge w:val="continue"/>
            <w:tcBorders>
              <w:tl2br w:val="nil"/>
              <w:tr2bl w:val="nil"/>
            </w:tcBorders>
            <w:noWrap w:val="0"/>
            <w:vAlign w:val="center"/>
          </w:tcPr>
          <w:p w14:paraId="063A0619">
            <w:pPr>
              <w:pStyle w:val="23"/>
              <w:bidi w:val="0"/>
              <w:rPr>
                <w:rFonts w:hint="default"/>
                <w:color w:val="auto"/>
                <w:highlight w:val="none"/>
                <w:lang w:val="en-US" w:eastAsia="zh-CN"/>
              </w:rPr>
            </w:pPr>
          </w:p>
        </w:tc>
        <w:tc>
          <w:tcPr>
            <w:tcW w:w="1562" w:type="dxa"/>
            <w:vMerge w:val="restart"/>
            <w:tcBorders>
              <w:tl2br w:val="nil"/>
              <w:tr2bl w:val="nil"/>
            </w:tcBorders>
            <w:noWrap w:val="0"/>
            <w:vAlign w:val="center"/>
          </w:tcPr>
          <w:p w14:paraId="4A5D4C01">
            <w:pPr>
              <w:pStyle w:val="23"/>
              <w:bidi w:val="0"/>
              <w:rPr>
                <w:rFonts w:hint="default"/>
                <w:color w:val="auto"/>
                <w:highlight w:val="none"/>
                <w:lang w:val="en-US" w:eastAsia="zh-CN"/>
              </w:rPr>
            </w:pPr>
            <w:r>
              <w:rPr>
                <w:rFonts w:hint="eastAsia"/>
                <w:color w:val="auto"/>
                <w:highlight w:val="none"/>
                <w:lang w:val="en-US" w:eastAsia="zh-CN"/>
              </w:rPr>
              <w:t>灌草丛</w:t>
            </w:r>
          </w:p>
        </w:tc>
        <w:tc>
          <w:tcPr>
            <w:tcW w:w="1562" w:type="dxa"/>
            <w:tcBorders>
              <w:tl2br w:val="nil"/>
              <w:tr2bl w:val="nil"/>
            </w:tcBorders>
            <w:noWrap w:val="0"/>
            <w:vAlign w:val="top"/>
          </w:tcPr>
          <w:p w14:paraId="6AE118B3">
            <w:pPr>
              <w:pStyle w:val="23"/>
              <w:bidi w:val="0"/>
              <w:rPr>
                <w:rFonts w:hint="eastAsia"/>
                <w:color w:val="auto"/>
                <w:highlight w:val="none"/>
                <w:lang w:val="en-US" w:eastAsia="zh-CN"/>
              </w:rPr>
            </w:pPr>
            <w:r>
              <w:rPr>
                <w:color w:val="auto"/>
                <w:highlight w:val="none"/>
              </w:rPr>
              <w:t>1</w:t>
            </w:r>
            <w:r>
              <w:rPr>
                <w:rFonts w:hint="eastAsia"/>
                <w:color w:val="auto"/>
                <w:highlight w:val="none"/>
                <w:lang w:val="en-US" w:eastAsia="zh-CN"/>
              </w:rPr>
              <w:t>2</w:t>
            </w:r>
            <w:r>
              <w:rPr>
                <w:color w:val="auto"/>
                <w:highlight w:val="none"/>
              </w:rPr>
              <w:t>.芒萁灌草丛</w:t>
            </w:r>
          </w:p>
        </w:tc>
        <w:tc>
          <w:tcPr>
            <w:tcW w:w="2720" w:type="dxa"/>
            <w:tcBorders>
              <w:tl2br w:val="nil"/>
              <w:tr2bl w:val="nil"/>
            </w:tcBorders>
            <w:noWrap w:val="0"/>
            <w:vAlign w:val="center"/>
          </w:tcPr>
          <w:p w14:paraId="61E4D087">
            <w:pPr>
              <w:pStyle w:val="23"/>
              <w:bidi w:val="0"/>
              <w:rPr>
                <w:i/>
                <w:iCs/>
                <w:color w:val="auto"/>
                <w:highlight w:val="none"/>
              </w:rPr>
            </w:pPr>
            <w:r>
              <w:rPr>
                <w:i/>
                <w:iCs/>
                <w:color w:val="auto"/>
                <w:highlight w:val="none"/>
              </w:rPr>
              <w:t>Form.Dicranopteris dichotoma</w:t>
            </w:r>
          </w:p>
        </w:tc>
        <w:tc>
          <w:tcPr>
            <w:tcW w:w="1654" w:type="dxa"/>
            <w:tcBorders>
              <w:tl2br w:val="nil"/>
              <w:tr2bl w:val="nil"/>
            </w:tcBorders>
            <w:noWrap w:val="0"/>
            <w:vAlign w:val="center"/>
          </w:tcPr>
          <w:p w14:paraId="0F156F7C">
            <w:pPr>
              <w:pStyle w:val="23"/>
              <w:bidi w:val="0"/>
              <w:rPr>
                <w:rFonts w:hint="default"/>
                <w:color w:val="auto"/>
                <w:highlight w:val="none"/>
                <w:lang w:val="en-US" w:eastAsia="zh-CN"/>
              </w:rPr>
            </w:pPr>
            <w:r>
              <w:rPr>
                <w:color w:val="auto"/>
                <w:highlight w:val="none"/>
              </w:rPr>
              <w:t>在评价区分布广泛，常见于林下及边坡处</w:t>
            </w:r>
          </w:p>
        </w:tc>
      </w:tr>
      <w:tr w14:paraId="2CAB629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62" w:type="dxa"/>
            <w:vMerge w:val="continue"/>
            <w:tcBorders>
              <w:tl2br w:val="nil"/>
              <w:tr2bl w:val="nil"/>
            </w:tcBorders>
            <w:noWrap w:val="0"/>
            <w:vAlign w:val="center"/>
          </w:tcPr>
          <w:p w14:paraId="3C393536">
            <w:pPr>
              <w:pStyle w:val="23"/>
              <w:bidi w:val="0"/>
              <w:rPr>
                <w:rFonts w:hint="default"/>
                <w:color w:val="auto"/>
                <w:highlight w:val="none"/>
                <w:lang w:val="en-US" w:eastAsia="zh-CN"/>
              </w:rPr>
            </w:pPr>
          </w:p>
        </w:tc>
        <w:tc>
          <w:tcPr>
            <w:tcW w:w="1562" w:type="dxa"/>
            <w:vMerge w:val="continue"/>
            <w:tcBorders>
              <w:tl2br w:val="nil"/>
              <w:tr2bl w:val="nil"/>
            </w:tcBorders>
            <w:noWrap w:val="0"/>
            <w:vAlign w:val="center"/>
          </w:tcPr>
          <w:p w14:paraId="57228F5A">
            <w:pPr>
              <w:pStyle w:val="23"/>
              <w:bidi w:val="0"/>
              <w:rPr>
                <w:rFonts w:hint="default"/>
                <w:color w:val="auto"/>
                <w:highlight w:val="none"/>
                <w:lang w:val="en-US" w:eastAsia="zh-CN"/>
              </w:rPr>
            </w:pPr>
          </w:p>
        </w:tc>
        <w:tc>
          <w:tcPr>
            <w:tcW w:w="1562" w:type="dxa"/>
            <w:tcBorders>
              <w:tl2br w:val="nil"/>
              <w:tr2bl w:val="nil"/>
            </w:tcBorders>
            <w:noWrap w:val="0"/>
            <w:vAlign w:val="center"/>
          </w:tcPr>
          <w:p w14:paraId="45ADD568">
            <w:pPr>
              <w:pStyle w:val="23"/>
              <w:bidi w:val="0"/>
              <w:rPr>
                <w:rFonts w:hint="eastAsia"/>
                <w:color w:val="auto"/>
                <w:highlight w:val="none"/>
                <w:lang w:val="en-US" w:eastAsia="zh-CN"/>
              </w:rPr>
            </w:pPr>
            <w:r>
              <w:rPr>
                <w:color w:val="auto"/>
                <w:highlight w:val="none"/>
              </w:rPr>
              <w:t>1</w:t>
            </w:r>
            <w:r>
              <w:rPr>
                <w:rFonts w:hint="eastAsia"/>
                <w:color w:val="auto"/>
                <w:highlight w:val="none"/>
                <w:lang w:val="en-US" w:eastAsia="zh-CN"/>
              </w:rPr>
              <w:t>3</w:t>
            </w:r>
            <w:r>
              <w:rPr>
                <w:color w:val="auto"/>
                <w:highlight w:val="none"/>
              </w:rPr>
              <w:t>.芒灌草丛</w:t>
            </w:r>
          </w:p>
        </w:tc>
        <w:tc>
          <w:tcPr>
            <w:tcW w:w="2720" w:type="dxa"/>
            <w:tcBorders>
              <w:tl2br w:val="nil"/>
              <w:tr2bl w:val="nil"/>
            </w:tcBorders>
            <w:noWrap w:val="0"/>
            <w:vAlign w:val="center"/>
          </w:tcPr>
          <w:p w14:paraId="46171E3E">
            <w:pPr>
              <w:pStyle w:val="23"/>
              <w:bidi w:val="0"/>
              <w:rPr>
                <w:i/>
                <w:iCs/>
                <w:color w:val="auto"/>
                <w:highlight w:val="none"/>
                <w:lang w:val="en-US" w:eastAsia="zh-CN"/>
              </w:rPr>
            </w:pPr>
            <w:r>
              <w:rPr>
                <w:i/>
                <w:iCs/>
                <w:color w:val="auto"/>
                <w:highlight w:val="none"/>
              </w:rPr>
              <w:t>Form.Miscanthus sinensis</w:t>
            </w:r>
          </w:p>
        </w:tc>
        <w:tc>
          <w:tcPr>
            <w:tcW w:w="1654" w:type="dxa"/>
            <w:tcBorders>
              <w:tl2br w:val="nil"/>
              <w:tr2bl w:val="nil"/>
            </w:tcBorders>
            <w:noWrap w:val="0"/>
            <w:vAlign w:val="center"/>
          </w:tcPr>
          <w:p w14:paraId="72EEE60A">
            <w:pPr>
              <w:pStyle w:val="23"/>
              <w:bidi w:val="0"/>
              <w:rPr>
                <w:rFonts w:hint="default"/>
                <w:color w:val="auto"/>
                <w:highlight w:val="none"/>
                <w:lang w:val="en-US" w:eastAsia="zh-CN"/>
              </w:rPr>
            </w:pPr>
            <w:r>
              <w:rPr>
                <w:color w:val="auto"/>
                <w:highlight w:val="none"/>
              </w:rPr>
              <w:t>多见于林下及小路两边</w:t>
            </w:r>
          </w:p>
        </w:tc>
      </w:tr>
      <w:tr w14:paraId="6992F2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62" w:type="dxa"/>
            <w:vMerge w:val="restart"/>
            <w:tcBorders>
              <w:tl2br w:val="nil"/>
              <w:tr2bl w:val="nil"/>
            </w:tcBorders>
            <w:noWrap w:val="0"/>
            <w:vAlign w:val="center"/>
          </w:tcPr>
          <w:p w14:paraId="6CC7089E">
            <w:pPr>
              <w:pStyle w:val="23"/>
              <w:bidi w:val="0"/>
              <w:rPr>
                <w:rFonts w:hint="default"/>
                <w:color w:val="auto"/>
                <w:highlight w:val="none"/>
                <w:lang w:val="en-US" w:eastAsia="zh-CN"/>
              </w:rPr>
            </w:pPr>
            <w:r>
              <w:rPr>
                <w:rFonts w:hint="eastAsia"/>
                <w:color w:val="auto"/>
                <w:highlight w:val="none"/>
                <w:lang w:val="en-US" w:eastAsia="zh-CN"/>
              </w:rPr>
              <w:t>栽培植被</w:t>
            </w:r>
          </w:p>
        </w:tc>
        <w:tc>
          <w:tcPr>
            <w:tcW w:w="1562" w:type="dxa"/>
            <w:tcBorders>
              <w:tl2br w:val="nil"/>
              <w:tr2bl w:val="nil"/>
            </w:tcBorders>
            <w:noWrap w:val="0"/>
            <w:vAlign w:val="center"/>
          </w:tcPr>
          <w:p w14:paraId="7607DFE5">
            <w:pPr>
              <w:pStyle w:val="23"/>
              <w:bidi w:val="0"/>
              <w:rPr>
                <w:rFonts w:hint="default"/>
                <w:color w:val="auto"/>
                <w:highlight w:val="none"/>
                <w:lang w:val="en-US" w:eastAsia="zh-CN"/>
              </w:rPr>
            </w:pPr>
            <w:r>
              <w:rPr>
                <w:rFonts w:hint="eastAsia"/>
                <w:color w:val="auto"/>
                <w:highlight w:val="none"/>
                <w:lang w:val="en-US" w:eastAsia="zh-CN"/>
              </w:rPr>
              <w:t>用材林型</w:t>
            </w:r>
          </w:p>
        </w:tc>
        <w:tc>
          <w:tcPr>
            <w:tcW w:w="4282" w:type="dxa"/>
            <w:gridSpan w:val="2"/>
            <w:tcBorders>
              <w:tl2br w:val="nil"/>
              <w:tr2bl w:val="nil"/>
            </w:tcBorders>
            <w:noWrap w:val="0"/>
            <w:vAlign w:val="center"/>
          </w:tcPr>
          <w:p w14:paraId="394F4E33">
            <w:pPr>
              <w:pStyle w:val="23"/>
              <w:bidi w:val="0"/>
              <w:rPr>
                <w:color w:val="auto"/>
                <w:highlight w:val="none"/>
              </w:rPr>
            </w:pPr>
            <w:r>
              <w:rPr>
                <w:rFonts w:hint="eastAsia"/>
                <w:color w:val="auto"/>
                <w:highlight w:val="none"/>
                <w:lang w:val="en-US" w:eastAsia="zh-CN"/>
              </w:rPr>
              <w:t>杉木、马尾松</w:t>
            </w:r>
          </w:p>
        </w:tc>
        <w:tc>
          <w:tcPr>
            <w:tcW w:w="1654" w:type="dxa"/>
            <w:tcBorders>
              <w:tl2br w:val="nil"/>
              <w:tr2bl w:val="nil"/>
            </w:tcBorders>
            <w:noWrap w:val="0"/>
            <w:vAlign w:val="center"/>
          </w:tcPr>
          <w:p w14:paraId="7DC25CDB">
            <w:pPr>
              <w:pStyle w:val="23"/>
              <w:bidi w:val="0"/>
              <w:rPr>
                <w:rFonts w:hint="default"/>
                <w:color w:val="auto"/>
                <w:highlight w:val="none"/>
                <w:lang w:val="en-US" w:eastAsia="zh-CN"/>
              </w:rPr>
            </w:pPr>
            <w:r>
              <w:rPr>
                <w:color w:val="auto"/>
                <w:highlight w:val="none"/>
              </w:rPr>
              <w:t>多见于山坡中上部</w:t>
            </w:r>
          </w:p>
        </w:tc>
      </w:tr>
      <w:tr w14:paraId="49E9CE4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62" w:type="dxa"/>
            <w:vMerge w:val="continue"/>
            <w:tcBorders>
              <w:tl2br w:val="nil"/>
              <w:tr2bl w:val="nil"/>
            </w:tcBorders>
            <w:noWrap w:val="0"/>
            <w:vAlign w:val="center"/>
          </w:tcPr>
          <w:p w14:paraId="2CCA84AD">
            <w:pPr>
              <w:pStyle w:val="23"/>
              <w:bidi w:val="0"/>
              <w:rPr>
                <w:rFonts w:hint="default"/>
                <w:color w:val="auto"/>
                <w:highlight w:val="none"/>
                <w:lang w:val="en-US" w:eastAsia="zh-CN"/>
              </w:rPr>
            </w:pPr>
          </w:p>
        </w:tc>
        <w:tc>
          <w:tcPr>
            <w:tcW w:w="1562" w:type="dxa"/>
            <w:tcBorders>
              <w:tl2br w:val="nil"/>
              <w:tr2bl w:val="nil"/>
            </w:tcBorders>
            <w:noWrap w:val="0"/>
            <w:vAlign w:val="center"/>
          </w:tcPr>
          <w:p w14:paraId="717B1561">
            <w:pPr>
              <w:pStyle w:val="23"/>
              <w:bidi w:val="0"/>
              <w:rPr>
                <w:rFonts w:hint="default"/>
                <w:color w:val="auto"/>
                <w:highlight w:val="none"/>
                <w:lang w:val="en-US" w:eastAsia="zh-CN"/>
              </w:rPr>
            </w:pPr>
            <w:r>
              <w:rPr>
                <w:rFonts w:hint="eastAsia"/>
                <w:color w:val="auto"/>
                <w:highlight w:val="none"/>
                <w:lang w:val="en-US" w:eastAsia="zh-CN"/>
              </w:rPr>
              <w:t>经济作物</w:t>
            </w:r>
          </w:p>
        </w:tc>
        <w:tc>
          <w:tcPr>
            <w:tcW w:w="4282" w:type="dxa"/>
            <w:gridSpan w:val="2"/>
            <w:tcBorders>
              <w:tl2br w:val="nil"/>
              <w:tr2bl w:val="nil"/>
            </w:tcBorders>
            <w:noWrap w:val="0"/>
            <w:vAlign w:val="center"/>
          </w:tcPr>
          <w:p w14:paraId="651B3EAD">
            <w:pPr>
              <w:pStyle w:val="23"/>
              <w:bidi w:val="0"/>
              <w:rPr>
                <w:color w:val="auto"/>
                <w:highlight w:val="none"/>
              </w:rPr>
            </w:pPr>
            <w:r>
              <w:rPr>
                <w:rFonts w:hint="eastAsia"/>
                <w:color w:val="auto"/>
                <w:highlight w:val="none"/>
                <w:lang w:val="en-US" w:eastAsia="zh-CN"/>
              </w:rPr>
              <w:t>油茶、黄花菜</w:t>
            </w:r>
          </w:p>
        </w:tc>
        <w:tc>
          <w:tcPr>
            <w:tcW w:w="1654" w:type="dxa"/>
            <w:tcBorders>
              <w:tl2br w:val="nil"/>
              <w:tr2bl w:val="nil"/>
            </w:tcBorders>
            <w:noWrap w:val="0"/>
            <w:vAlign w:val="center"/>
          </w:tcPr>
          <w:p w14:paraId="67097200">
            <w:pPr>
              <w:pStyle w:val="23"/>
              <w:bidi w:val="0"/>
              <w:rPr>
                <w:rFonts w:hint="default"/>
                <w:color w:val="auto"/>
                <w:highlight w:val="none"/>
                <w:lang w:val="en-US" w:eastAsia="zh-CN"/>
              </w:rPr>
            </w:pPr>
            <w:r>
              <w:rPr>
                <w:rFonts w:hint="eastAsia"/>
                <w:color w:val="auto"/>
                <w:highlight w:val="none"/>
                <w:lang w:val="en-US" w:eastAsia="zh-CN"/>
              </w:rPr>
              <w:t>5#、6#风机附近分布较多</w:t>
            </w:r>
          </w:p>
        </w:tc>
      </w:tr>
      <w:tr w14:paraId="127C212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62" w:type="dxa"/>
            <w:vMerge w:val="continue"/>
            <w:tcBorders>
              <w:tl2br w:val="nil"/>
              <w:tr2bl w:val="nil"/>
            </w:tcBorders>
            <w:noWrap w:val="0"/>
            <w:vAlign w:val="center"/>
          </w:tcPr>
          <w:p w14:paraId="5DEE1B7B">
            <w:pPr>
              <w:pStyle w:val="23"/>
              <w:bidi w:val="0"/>
              <w:rPr>
                <w:rFonts w:hint="default"/>
                <w:color w:val="auto"/>
                <w:highlight w:val="none"/>
                <w:lang w:val="en-US" w:eastAsia="zh-CN"/>
              </w:rPr>
            </w:pPr>
          </w:p>
        </w:tc>
        <w:tc>
          <w:tcPr>
            <w:tcW w:w="1562" w:type="dxa"/>
            <w:tcBorders>
              <w:tl2br w:val="nil"/>
              <w:tr2bl w:val="nil"/>
            </w:tcBorders>
            <w:noWrap w:val="0"/>
            <w:vAlign w:val="center"/>
          </w:tcPr>
          <w:p w14:paraId="6C31E0B8">
            <w:pPr>
              <w:pStyle w:val="23"/>
              <w:bidi w:val="0"/>
              <w:rPr>
                <w:rFonts w:hint="default"/>
                <w:color w:val="auto"/>
                <w:highlight w:val="none"/>
                <w:lang w:val="en-US" w:eastAsia="zh-CN"/>
              </w:rPr>
            </w:pPr>
            <w:r>
              <w:rPr>
                <w:rFonts w:hint="eastAsia"/>
                <w:color w:val="auto"/>
                <w:highlight w:val="none"/>
                <w:lang w:val="en-US" w:eastAsia="zh-CN"/>
              </w:rPr>
              <w:t>粮食作物</w:t>
            </w:r>
          </w:p>
        </w:tc>
        <w:tc>
          <w:tcPr>
            <w:tcW w:w="4282" w:type="dxa"/>
            <w:gridSpan w:val="2"/>
            <w:tcBorders>
              <w:tl2br w:val="nil"/>
              <w:tr2bl w:val="nil"/>
            </w:tcBorders>
            <w:noWrap w:val="0"/>
            <w:vAlign w:val="center"/>
          </w:tcPr>
          <w:p w14:paraId="2ED2A4A5">
            <w:pPr>
              <w:pStyle w:val="23"/>
              <w:bidi w:val="0"/>
              <w:rPr>
                <w:color w:val="auto"/>
                <w:highlight w:val="none"/>
              </w:rPr>
            </w:pPr>
            <w:r>
              <w:rPr>
                <w:rFonts w:hint="eastAsia"/>
                <w:color w:val="auto"/>
                <w:highlight w:val="none"/>
                <w:lang w:val="en-US" w:eastAsia="zh-CN"/>
              </w:rPr>
              <w:t>水稻、红薯</w:t>
            </w:r>
          </w:p>
        </w:tc>
        <w:tc>
          <w:tcPr>
            <w:tcW w:w="1654" w:type="dxa"/>
            <w:tcBorders>
              <w:tl2br w:val="nil"/>
              <w:tr2bl w:val="nil"/>
            </w:tcBorders>
            <w:noWrap w:val="0"/>
            <w:vAlign w:val="center"/>
          </w:tcPr>
          <w:p w14:paraId="4D8DB634">
            <w:pPr>
              <w:pStyle w:val="23"/>
              <w:bidi w:val="0"/>
              <w:rPr>
                <w:rFonts w:hint="default"/>
                <w:color w:val="auto"/>
                <w:highlight w:val="none"/>
                <w:lang w:val="en-US" w:eastAsia="zh-CN"/>
              </w:rPr>
            </w:pPr>
            <w:r>
              <w:rPr>
                <w:color w:val="auto"/>
                <w:highlight w:val="none"/>
              </w:rPr>
              <w:t>村落附近</w:t>
            </w:r>
          </w:p>
        </w:tc>
      </w:tr>
    </w:tbl>
    <w:p w14:paraId="245A56E6">
      <w:pPr>
        <w:bidi w:val="0"/>
        <w:rPr>
          <w:rFonts w:hint="eastAsia"/>
          <w:color w:val="auto"/>
          <w:highlight w:val="none"/>
          <w:lang w:val="en-US" w:eastAsia="zh-CN"/>
        </w:rPr>
      </w:pPr>
      <w:r>
        <w:rPr>
          <w:rFonts w:hint="eastAsia"/>
          <w:color w:val="auto"/>
          <w:highlight w:val="none"/>
          <w:lang w:val="en-US" w:eastAsia="zh-CN"/>
        </w:rPr>
        <w:t>由上表可知，评价区阔叶林、灌丛和灌草丛群系组成较丰富。低山针叶林组成较单一。根据现场调查，评价区人为活动频繁，区域植被受人为活动影响强烈，以落叶阔叶林、灌丛及灌草丛为主，植被类型及群系组成较简单。</w:t>
      </w:r>
    </w:p>
    <w:p w14:paraId="1E28BE5A">
      <w:pPr>
        <w:pStyle w:val="30"/>
        <w:rPr>
          <w:rFonts w:hint="default"/>
          <w:b/>
          <w:bCs/>
          <w:color w:val="auto"/>
          <w:highlight w:val="none"/>
          <w:lang w:val="en-US" w:eastAsia="zh-CN"/>
        </w:rPr>
      </w:pPr>
      <w:r>
        <w:rPr>
          <w:rFonts w:hint="eastAsia"/>
          <w:b/>
          <w:bCs/>
          <w:color w:val="auto"/>
          <w:highlight w:val="none"/>
          <w:lang w:val="en-US" w:eastAsia="zh-CN"/>
        </w:rPr>
        <w:t>3、主要植被类型描述</w:t>
      </w:r>
    </w:p>
    <w:p w14:paraId="17C26C1A">
      <w:pPr>
        <w:pStyle w:val="30"/>
        <w:rPr>
          <w:rFonts w:hint="eastAsia"/>
          <w:color w:val="auto"/>
          <w:highlight w:val="none"/>
          <w:lang w:val="en-US" w:eastAsia="zh-CN"/>
        </w:rPr>
      </w:pPr>
      <w:r>
        <w:rPr>
          <w:rFonts w:hint="eastAsia"/>
          <w:b/>
          <w:bCs/>
          <w:color w:val="auto"/>
          <w:highlight w:val="none"/>
          <w:lang w:val="en-US" w:eastAsia="zh-CN"/>
        </w:rPr>
        <w:t>针叶林</w:t>
      </w:r>
    </w:p>
    <w:p w14:paraId="6A3EC036">
      <w:pPr>
        <w:pStyle w:val="30"/>
        <w:rPr>
          <w:rFonts w:hint="eastAsia"/>
          <w:color w:val="auto"/>
          <w:highlight w:val="none"/>
          <w:lang w:val="en-US" w:eastAsia="zh-CN"/>
        </w:rPr>
      </w:pPr>
      <w:r>
        <w:rPr>
          <w:rFonts w:hint="eastAsia"/>
          <w:color w:val="auto"/>
          <w:highlight w:val="none"/>
          <w:lang w:val="en-US" w:eastAsia="zh-CN"/>
        </w:rPr>
        <w:t>评价区处我国中纬度亚热带地区，区域内自然环境优越，气候适宜，较有利于针叶林发育，通过现场调查，评价区海拔约</w:t>
      </w:r>
      <w:r>
        <w:rPr>
          <w:rFonts w:hint="eastAsia" w:ascii="Times New Roman" w:hAnsi="Times New Roman" w:eastAsia="宋体" w:cs="Times New Roman"/>
          <w:color w:val="auto"/>
          <w:kern w:val="0"/>
          <w:sz w:val="24"/>
          <w:szCs w:val="24"/>
          <w:highlight w:val="none"/>
          <w:lang w:val="en-US" w:eastAsia="zh-CN"/>
        </w:rPr>
        <w:t>400m~650m</w:t>
      </w:r>
      <w:r>
        <w:rPr>
          <w:rFonts w:hint="eastAsia"/>
          <w:color w:val="auto"/>
          <w:highlight w:val="none"/>
          <w:lang w:val="en-US" w:eastAsia="zh-CN"/>
        </w:rPr>
        <w:t>，区域针叶林以低山针叶林为主，其在评价区分布较广。</w:t>
      </w:r>
    </w:p>
    <w:p w14:paraId="1A7975F8">
      <w:pPr>
        <w:pStyle w:val="30"/>
        <w:rPr>
          <w:rFonts w:hint="eastAsia"/>
          <w:b/>
          <w:bCs/>
          <w:color w:val="auto"/>
          <w:highlight w:val="none"/>
          <w:lang w:val="en-US" w:eastAsia="zh-CN"/>
        </w:rPr>
      </w:pPr>
      <w:r>
        <w:rPr>
          <w:rFonts w:hint="eastAsia"/>
          <w:b/>
          <w:bCs/>
          <w:color w:val="auto"/>
          <w:highlight w:val="none"/>
          <w:lang w:val="en-US" w:eastAsia="zh-CN"/>
        </w:rPr>
        <w:t>( 一) 低山针叶林</w:t>
      </w:r>
    </w:p>
    <w:p w14:paraId="388C03A3">
      <w:pPr>
        <w:pStyle w:val="30"/>
        <w:rPr>
          <w:rFonts w:hint="eastAsia"/>
          <w:b/>
          <w:bCs/>
          <w:i/>
          <w:iCs/>
          <w:color w:val="auto"/>
          <w:highlight w:val="none"/>
          <w:lang w:val="en-US" w:eastAsia="zh-CN"/>
        </w:rPr>
      </w:pPr>
      <w:r>
        <w:rPr>
          <w:rFonts w:hint="eastAsia"/>
          <w:b/>
          <w:bCs/>
          <w:color w:val="auto"/>
          <w:highlight w:val="none"/>
          <w:lang w:val="en-US" w:eastAsia="zh-CN"/>
        </w:rPr>
        <w:t>1) 马尾松林</w:t>
      </w:r>
      <w:r>
        <w:rPr>
          <w:rFonts w:hint="eastAsia"/>
          <w:b/>
          <w:bCs/>
          <w:i/>
          <w:iCs/>
          <w:color w:val="auto"/>
          <w:highlight w:val="none"/>
          <w:lang w:val="en-US" w:eastAsia="zh-CN"/>
        </w:rPr>
        <w:t>(Form.Pinus massoniana )</w:t>
      </w:r>
    </w:p>
    <w:p w14:paraId="5ED155F4">
      <w:pPr>
        <w:pStyle w:val="30"/>
        <w:rPr>
          <w:rFonts w:hint="eastAsia"/>
          <w:color w:val="auto"/>
          <w:highlight w:val="none"/>
          <w:lang w:val="en-US" w:eastAsia="zh-CN"/>
        </w:rPr>
      </w:pPr>
      <w:r>
        <w:rPr>
          <w:rFonts w:hint="eastAsia"/>
          <w:color w:val="auto"/>
          <w:highlight w:val="none"/>
          <w:lang w:val="en-US" w:eastAsia="zh-CN"/>
        </w:rPr>
        <w:t>马尾松原产于我国南部，为阳性树种，不耐庇荫，喜光、喜温。对土壤要求不严格，喜微酸性土壤，分布极广。马尾松林在评价区零散分布，多为次生林，2#风机附近分布较多。</w:t>
      </w:r>
    </w:p>
    <w:p w14:paraId="61D91B7F">
      <w:pPr>
        <w:pStyle w:val="30"/>
        <w:rPr>
          <w:rFonts w:hint="eastAsia"/>
          <w:color w:val="auto"/>
          <w:highlight w:val="none"/>
          <w:lang w:val="en-US" w:eastAsia="zh-CN"/>
        </w:rPr>
      </w:pPr>
      <w:r>
        <w:rPr>
          <w:rFonts w:hint="eastAsia"/>
          <w:color w:val="auto"/>
          <w:highlight w:val="none"/>
          <w:lang w:val="en-US" w:eastAsia="zh-CN"/>
        </w:rPr>
        <w:t>马尾松林乔木层郁闭度0.5，层均高7m，优势种为马尾松</w:t>
      </w:r>
      <w:r>
        <w:rPr>
          <w:rFonts w:hint="eastAsia"/>
          <w:i/>
          <w:iCs/>
          <w:color w:val="auto"/>
          <w:highlight w:val="none"/>
          <w:lang w:val="en-US" w:eastAsia="zh-CN"/>
        </w:rPr>
        <w:t>(Pinus massoniana )</w:t>
      </w:r>
      <w:r>
        <w:rPr>
          <w:rFonts w:hint="eastAsia"/>
          <w:color w:val="auto"/>
          <w:highlight w:val="none"/>
          <w:lang w:val="en-US" w:eastAsia="zh-CN"/>
        </w:rPr>
        <w:t>，高约6-9m，胸径5-8cm，盖度40%，主要伴生种有毛竹</w:t>
      </w:r>
      <w:r>
        <w:rPr>
          <w:rFonts w:hint="eastAsia"/>
          <w:i/>
          <w:iCs/>
          <w:color w:val="auto"/>
          <w:highlight w:val="none"/>
          <w:lang w:val="en-US" w:eastAsia="zh-CN"/>
        </w:rPr>
        <w:t>(Phyllostachys heterocycla cv. Pubescens )</w:t>
      </w:r>
      <w:r>
        <w:rPr>
          <w:rFonts w:hint="eastAsia"/>
          <w:color w:val="auto"/>
          <w:highlight w:val="none"/>
          <w:lang w:val="en-US" w:eastAsia="zh-CN"/>
        </w:rPr>
        <w:t>、杉木</w:t>
      </w:r>
      <w:r>
        <w:rPr>
          <w:rFonts w:hint="eastAsia"/>
          <w:i/>
          <w:iCs/>
          <w:color w:val="auto"/>
          <w:highlight w:val="none"/>
          <w:lang w:val="en-US" w:eastAsia="zh-CN"/>
        </w:rPr>
        <w:t>(Cunninghamia lanceolata )</w:t>
      </w:r>
      <w:r>
        <w:rPr>
          <w:rFonts w:hint="eastAsia"/>
          <w:color w:val="auto"/>
          <w:highlight w:val="none"/>
          <w:lang w:val="en-US" w:eastAsia="zh-CN"/>
        </w:rPr>
        <w:t>、锥栗</w:t>
      </w:r>
      <w:r>
        <w:rPr>
          <w:rFonts w:hint="eastAsia"/>
          <w:i/>
          <w:iCs/>
          <w:color w:val="auto"/>
          <w:highlight w:val="none"/>
          <w:lang w:val="en-US" w:eastAsia="zh-CN"/>
        </w:rPr>
        <w:t>(Castanea henryi)</w:t>
      </w:r>
      <w:r>
        <w:rPr>
          <w:rFonts w:hint="eastAsia"/>
          <w:color w:val="auto"/>
          <w:highlight w:val="none"/>
          <w:lang w:val="en-US" w:eastAsia="zh-CN"/>
        </w:rPr>
        <w:t>等。</w:t>
      </w:r>
    </w:p>
    <w:p w14:paraId="5285E645">
      <w:pPr>
        <w:pStyle w:val="30"/>
        <w:rPr>
          <w:rFonts w:hint="eastAsia"/>
          <w:color w:val="auto"/>
          <w:highlight w:val="none"/>
          <w:lang w:val="en-US" w:eastAsia="zh-CN"/>
        </w:rPr>
      </w:pPr>
      <w:r>
        <w:rPr>
          <w:rFonts w:hint="eastAsia"/>
          <w:color w:val="auto"/>
          <w:highlight w:val="none"/>
          <w:lang w:val="en-US" w:eastAsia="zh-CN"/>
        </w:rPr>
        <w:t>灌木层盖度25%，层均高1.2m，优势种为短柄枹栎</w:t>
      </w:r>
      <w:r>
        <w:rPr>
          <w:rFonts w:hint="eastAsia"/>
          <w:i/>
          <w:iCs/>
          <w:color w:val="auto"/>
          <w:highlight w:val="none"/>
          <w:lang w:val="en-US" w:eastAsia="zh-CN"/>
        </w:rPr>
        <w:t>(Quercus serrata var. brevipetiolata )</w:t>
      </w:r>
      <w:r>
        <w:rPr>
          <w:rFonts w:hint="eastAsia"/>
          <w:color w:val="auto"/>
          <w:highlight w:val="none"/>
          <w:lang w:val="en-US" w:eastAsia="zh-CN"/>
        </w:rPr>
        <w:t>，高约0.8-1m，盖度15%，主要伴生种有山茶</w:t>
      </w:r>
      <w:r>
        <w:rPr>
          <w:rFonts w:hint="eastAsia"/>
          <w:i/>
          <w:iCs/>
          <w:color w:val="auto"/>
          <w:highlight w:val="none"/>
          <w:lang w:val="en-US" w:eastAsia="zh-CN"/>
        </w:rPr>
        <w:t>(Camelliajaponica )</w:t>
      </w:r>
      <w:r>
        <w:rPr>
          <w:rFonts w:hint="eastAsia"/>
          <w:color w:val="auto"/>
          <w:highlight w:val="none"/>
          <w:lang w:val="en-US" w:eastAsia="zh-CN"/>
        </w:rPr>
        <w:t>、盐肤木</w:t>
      </w:r>
      <w:r>
        <w:rPr>
          <w:rFonts w:hint="eastAsia"/>
          <w:i/>
          <w:iCs/>
          <w:color w:val="auto"/>
          <w:highlight w:val="none"/>
          <w:lang w:val="en-US" w:eastAsia="zh-CN"/>
        </w:rPr>
        <w:t>(Rhus chinensis )</w:t>
      </w:r>
      <w:r>
        <w:rPr>
          <w:rFonts w:hint="eastAsia"/>
          <w:color w:val="auto"/>
          <w:highlight w:val="none"/>
          <w:lang w:val="en-US" w:eastAsia="zh-CN"/>
        </w:rPr>
        <w:t>、野桐</w:t>
      </w:r>
      <w:r>
        <w:rPr>
          <w:rFonts w:hint="eastAsia"/>
          <w:i/>
          <w:iCs/>
          <w:color w:val="auto"/>
          <w:highlight w:val="none"/>
          <w:lang w:val="en-US" w:eastAsia="zh-CN"/>
        </w:rPr>
        <w:t>(Mallotus japonicus var. floccosus)</w:t>
      </w:r>
      <w:r>
        <w:rPr>
          <w:rFonts w:hint="eastAsia"/>
          <w:color w:val="auto"/>
          <w:highlight w:val="none"/>
          <w:lang w:val="en-US" w:eastAsia="zh-CN"/>
        </w:rPr>
        <w:t>、马银花</w:t>
      </w:r>
      <w:r>
        <w:rPr>
          <w:rFonts w:hint="eastAsia"/>
          <w:i/>
          <w:iCs/>
          <w:color w:val="auto"/>
          <w:highlight w:val="none"/>
          <w:lang w:val="en-US" w:eastAsia="zh-CN"/>
        </w:rPr>
        <w:t>(Rhododendron ovatum )</w:t>
      </w:r>
      <w:r>
        <w:rPr>
          <w:rFonts w:hint="eastAsia"/>
          <w:color w:val="auto"/>
          <w:highlight w:val="none"/>
          <w:lang w:val="en-US" w:eastAsia="zh-CN"/>
        </w:rPr>
        <w:t>等。</w:t>
      </w:r>
    </w:p>
    <w:p w14:paraId="4F8F2EF9">
      <w:pPr>
        <w:pStyle w:val="30"/>
        <w:rPr>
          <w:rFonts w:hint="eastAsia"/>
          <w:color w:val="auto"/>
          <w:highlight w:val="none"/>
          <w:lang w:val="en-US" w:eastAsia="zh-CN"/>
        </w:rPr>
      </w:pPr>
      <w:r>
        <w:rPr>
          <w:rFonts w:hint="eastAsia"/>
          <w:color w:val="auto"/>
          <w:highlight w:val="none"/>
          <w:lang w:val="en-US" w:eastAsia="zh-CN"/>
        </w:rPr>
        <w:t>草本层盖度20%，层均高1m，优势种为芒</w:t>
      </w:r>
      <w:r>
        <w:rPr>
          <w:rFonts w:hint="eastAsia"/>
          <w:i/>
          <w:iCs/>
          <w:color w:val="auto"/>
          <w:highlight w:val="none"/>
          <w:lang w:val="en-US" w:eastAsia="zh-CN"/>
        </w:rPr>
        <w:t>(Miscanthus sinensis )</w:t>
      </w:r>
      <w:r>
        <w:rPr>
          <w:rFonts w:hint="eastAsia"/>
          <w:color w:val="auto"/>
          <w:highlight w:val="none"/>
          <w:lang w:val="en-US" w:eastAsia="zh-CN"/>
        </w:rPr>
        <w:t>，高约1-1.5m，盖度20%，主要伴生种有三脉紫菀</w:t>
      </w:r>
      <w:r>
        <w:rPr>
          <w:rFonts w:hint="eastAsia"/>
          <w:i/>
          <w:iCs/>
          <w:color w:val="auto"/>
          <w:highlight w:val="none"/>
          <w:lang w:val="en-US" w:eastAsia="zh-CN"/>
        </w:rPr>
        <w:t>(Aster ageratoides )</w:t>
      </w:r>
      <w:r>
        <w:rPr>
          <w:rFonts w:hint="eastAsia"/>
          <w:color w:val="auto"/>
          <w:highlight w:val="none"/>
          <w:lang w:val="en-US" w:eastAsia="zh-CN"/>
        </w:rPr>
        <w:t>、香薷</w:t>
      </w:r>
      <w:r>
        <w:rPr>
          <w:rFonts w:hint="eastAsia"/>
          <w:i/>
          <w:iCs/>
          <w:color w:val="auto"/>
          <w:highlight w:val="none"/>
          <w:lang w:val="en-US" w:eastAsia="zh-CN"/>
        </w:rPr>
        <w:t>(Elsholtzia ciliata )</w:t>
      </w:r>
      <w:r>
        <w:rPr>
          <w:rFonts w:hint="eastAsia"/>
          <w:color w:val="auto"/>
          <w:highlight w:val="none"/>
          <w:lang w:val="en-US" w:eastAsia="zh-CN"/>
        </w:rPr>
        <w:t>等。</w:t>
      </w:r>
    </w:p>
    <w:p w14:paraId="5218FBF9">
      <w:pPr>
        <w:pStyle w:val="30"/>
        <w:keepNext w:val="0"/>
        <w:keepLines w:val="0"/>
        <w:pageBreakBefore w:val="0"/>
        <w:widowControl w:val="0"/>
        <w:kinsoku/>
        <w:wordWrap/>
        <w:overflowPunct/>
        <w:topLinePunct w:val="0"/>
        <w:autoSpaceDE/>
        <w:autoSpaceDN/>
        <w:bidi w:val="0"/>
        <w:adjustRightInd w:val="0"/>
        <w:snapToGrid w:val="0"/>
        <w:ind w:left="0" w:leftChars="0" w:firstLine="480" w:firstLineChars="200"/>
        <w:jc w:val="both"/>
        <w:textAlignment w:val="auto"/>
        <w:rPr>
          <w:rFonts w:hint="default" w:ascii="Times New Roman" w:hAnsi="Times New Roman" w:eastAsia="黑体" w:cs="Times New Roman"/>
          <w:color w:val="auto"/>
          <w:highlight w:val="none"/>
          <w:lang w:val="en-US" w:eastAsia="zh-CN"/>
        </w:rPr>
      </w:pPr>
      <w:r>
        <w:rPr>
          <w:rFonts w:hint="eastAsia"/>
          <w:color w:val="auto"/>
          <w:highlight w:val="none"/>
          <w:lang w:val="en-US" w:eastAsia="zh-CN"/>
        </w:rPr>
        <w:t>样方位置：2#风机附近 (N26.92497797°，E111.91012859°)；H：270m。</w:t>
      </w:r>
    </w:p>
    <w:tbl>
      <w:tblPr>
        <w:tblStyle w:val="38"/>
        <w:tblW w:w="5000" w:type="pct"/>
        <w:tblInd w:w="2"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030"/>
        <w:gridCol w:w="809"/>
        <w:gridCol w:w="2145"/>
        <w:gridCol w:w="1087"/>
        <w:gridCol w:w="134"/>
        <w:gridCol w:w="952"/>
        <w:gridCol w:w="1087"/>
        <w:gridCol w:w="1092"/>
      </w:tblGrid>
      <w:tr w14:paraId="43CF033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vMerge w:val="restart"/>
            <w:tcBorders>
              <w:tl2br w:val="nil"/>
              <w:tr2bl w:val="nil"/>
            </w:tcBorders>
            <w:noWrap w:val="0"/>
            <w:vAlign w:val="center"/>
          </w:tcPr>
          <w:p w14:paraId="0CDF0075">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植被类型</w:t>
            </w:r>
          </w:p>
        </w:tc>
        <w:tc>
          <w:tcPr>
            <w:tcW w:w="3107" w:type="dxa"/>
            <w:gridSpan w:val="2"/>
            <w:vMerge w:val="restart"/>
            <w:tcBorders>
              <w:tl2br w:val="nil"/>
              <w:tr2bl w:val="nil"/>
            </w:tcBorders>
            <w:noWrap w:val="0"/>
            <w:vAlign w:val="center"/>
          </w:tcPr>
          <w:p w14:paraId="28E0BF1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马尾松林</w:t>
            </w:r>
            <w:r>
              <w:rPr>
                <w:rFonts w:hint="default" w:cs="Times New Roman"/>
                <w:i/>
                <w:iCs/>
                <w:color w:val="auto"/>
                <w:highlight w:val="none"/>
              </w:rPr>
              <w:t>(Form. Pinus massoniana)</w:t>
            </w:r>
          </w:p>
        </w:tc>
        <w:tc>
          <w:tcPr>
            <w:tcW w:w="4576" w:type="dxa"/>
            <w:gridSpan w:val="5"/>
            <w:tcBorders>
              <w:tl2br w:val="nil"/>
              <w:tr2bl w:val="nil"/>
            </w:tcBorders>
            <w:noWrap w:val="0"/>
            <w:vAlign w:val="center"/>
          </w:tcPr>
          <w:p w14:paraId="29421D3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环境特征</w:t>
            </w:r>
          </w:p>
        </w:tc>
      </w:tr>
      <w:tr w14:paraId="592CD19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vMerge w:val="continue"/>
            <w:tcBorders>
              <w:tl2br w:val="nil"/>
              <w:tr2bl w:val="nil"/>
            </w:tcBorders>
            <w:noWrap w:val="0"/>
            <w:vAlign w:val="center"/>
          </w:tcPr>
          <w:p w14:paraId="466436E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3107" w:type="dxa"/>
            <w:gridSpan w:val="2"/>
            <w:vMerge w:val="continue"/>
            <w:tcBorders>
              <w:tl2br w:val="nil"/>
              <w:tr2bl w:val="nil"/>
            </w:tcBorders>
            <w:noWrap w:val="0"/>
            <w:vAlign w:val="center"/>
          </w:tcPr>
          <w:p w14:paraId="4701154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1143" w:type="dxa"/>
            <w:tcBorders>
              <w:tl2br w:val="nil"/>
              <w:tr2bl w:val="nil"/>
            </w:tcBorders>
            <w:noWrap w:val="0"/>
            <w:vAlign w:val="center"/>
          </w:tcPr>
          <w:p w14:paraId="402BD8D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地形</w:t>
            </w:r>
          </w:p>
        </w:tc>
        <w:tc>
          <w:tcPr>
            <w:tcW w:w="1142" w:type="dxa"/>
            <w:gridSpan w:val="2"/>
            <w:tcBorders>
              <w:tl2br w:val="nil"/>
              <w:tr2bl w:val="nil"/>
            </w:tcBorders>
            <w:noWrap w:val="0"/>
            <w:vAlign w:val="center"/>
          </w:tcPr>
          <w:p w14:paraId="0E920B0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海拔(m)</w:t>
            </w:r>
          </w:p>
        </w:tc>
        <w:tc>
          <w:tcPr>
            <w:tcW w:w="1143" w:type="dxa"/>
            <w:tcBorders>
              <w:tl2br w:val="nil"/>
              <w:tr2bl w:val="nil"/>
            </w:tcBorders>
            <w:noWrap w:val="0"/>
            <w:vAlign w:val="center"/>
          </w:tcPr>
          <w:p w14:paraId="745909D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坡向</w:t>
            </w:r>
          </w:p>
        </w:tc>
        <w:tc>
          <w:tcPr>
            <w:tcW w:w="1148" w:type="dxa"/>
            <w:tcBorders>
              <w:tl2br w:val="nil"/>
              <w:tr2bl w:val="nil"/>
            </w:tcBorders>
            <w:noWrap w:val="0"/>
            <w:vAlign w:val="center"/>
          </w:tcPr>
          <w:p w14:paraId="755CA5E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坡度(°)</w:t>
            </w:r>
          </w:p>
        </w:tc>
      </w:tr>
      <w:tr w14:paraId="08536D1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79B2C4D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地点</w:t>
            </w:r>
          </w:p>
        </w:tc>
        <w:tc>
          <w:tcPr>
            <w:tcW w:w="3107" w:type="dxa"/>
            <w:gridSpan w:val="2"/>
            <w:tcBorders>
              <w:tl2br w:val="nil"/>
              <w:tr2bl w:val="nil"/>
            </w:tcBorders>
            <w:noWrap w:val="0"/>
            <w:vAlign w:val="center"/>
          </w:tcPr>
          <w:p w14:paraId="252A01D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lang w:val="en-US" w:eastAsia="zh-CN"/>
              </w:rPr>
              <w:t>2#</w:t>
            </w:r>
            <w:r>
              <w:rPr>
                <w:rFonts w:hint="default" w:cs="Times New Roman"/>
                <w:color w:val="auto"/>
                <w:highlight w:val="none"/>
              </w:rPr>
              <w:t>风机附近</w:t>
            </w:r>
          </w:p>
        </w:tc>
        <w:tc>
          <w:tcPr>
            <w:tcW w:w="1143" w:type="dxa"/>
            <w:tcBorders>
              <w:tl2br w:val="nil"/>
              <w:tr2bl w:val="nil"/>
            </w:tcBorders>
            <w:noWrap w:val="0"/>
            <w:vAlign w:val="center"/>
          </w:tcPr>
          <w:p w14:paraId="27E9F53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山地</w:t>
            </w:r>
          </w:p>
        </w:tc>
        <w:tc>
          <w:tcPr>
            <w:tcW w:w="1142" w:type="dxa"/>
            <w:gridSpan w:val="2"/>
            <w:tcBorders>
              <w:tl2br w:val="nil"/>
              <w:tr2bl w:val="nil"/>
            </w:tcBorders>
            <w:noWrap w:val="0"/>
            <w:vAlign w:val="center"/>
          </w:tcPr>
          <w:p w14:paraId="20F5FCA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val="en-US" w:eastAsia="zh-CN"/>
              </w:rPr>
            </w:pPr>
            <w:r>
              <w:rPr>
                <w:rFonts w:hint="default" w:cs="Times New Roman"/>
                <w:color w:val="auto"/>
                <w:highlight w:val="none"/>
                <w:lang w:val="en-US" w:eastAsia="zh-CN"/>
              </w:rPr>
              <w:t>270</w:t>
            </w:r>
          </w:p>
        </w:tc>
        <w:tc>
          <w:tcPr>
            <w:tcW w:w="1143" w:type="dxa"/>
            <w:tcBorders>
              <w:tl2br w:val="nil"/>
              <w:tr2bl w:val="nil"/>
            </w:tcBorders>
            <w:noWrap w:val="0"/>
            <w:vAlign w:val="center"/>
          </w:tcPr>
          <w:p w14:paraId="3C4645B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eastAsia="zh-CN"/>
              </w:rPr>
            </w:pPr>
            <w:r>
              <w:rPr>
                <w:rFonts w:hint="default" w:cs="Times New Roman"/>
                <w:color w:val="auto"/>
                <w:highlight w:val="none"/>
                <w:lang w:val="en-US" w:eastAsia="zh-CN"/>
              </w:rPr>
              <w:t>W</w:t>
            </w:r>
          </w:p>
        </w:tc>
        <w:tc>
          <w:tcPr>
            <w:tcW w:w="1148" w:type="dxa"/>
            <w:tcBorders>
              <w:tl2br w:val="nil"/>
              <w:tr2bl w:val="nil"/>
            </w:tcBorders>
            <w:noWrap w:val="0"/>
            <w:vAlign w:val="center"/>
          </w:tcPr>
          <w:p w14:paraId="58828645">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20</w:t>
            </w:r>
          </w:p>
        </w:tc>
      </w:tr>
      <w:tr w14:paraId="37B23D1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083A7A7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经纬度</w:t>
            </w:r>
          </w:p>
        </w:tc>
        <w:tc>
          <w:tcPr>
            <w:tcW w:w="7683" w:type="dxa"/>
            <w:gridSpan w:val="7"/>
            <w:tcBorders>
              <w:tl2br w:val="nil"/>
              <w:tr2bl w:val="nil"/>
            </w:tcBorders>
            <w:noWrap w:val="0"/>
            <w:vAlign w:val="center"/>
          </w:tcPr>
          <w:p w14:paraId="3AA1619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lang w:val="en-US" w:eastAsia="zh-CN"/>
              </w:rPr>
              <w:t>N26.92497797°，E111.91012859°</w:t>
            </w:r>
          </w:p>
        </w:tc>
      </w:tr>
      <w:tr w14:paraId="76C2B55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4690299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层次</w:t>
            </w:r>
          </w:p>
        </w:tc>
        <w:tc>
          <w:tcPr>
            <w:tcW w:w="7683" w:type="dxa"/>
            <w:gridSpan w:val="7"/>
            <w:tcBorders>
              <w:tl2br w:val="nil"/>
              <w:tr2bl w:val="nil"/>
            </w:tcBorders>
            <w:noWrap w:val="0"/>
            <w:vAlign w:val="center"/>
          </w:tcPr>
          <w:p w14:paraId="7BBC7AE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三层</w:t>
            </w:r>
          </w:p>
        </w:tc>
      </w:tr>
      <w:tr w14:paraId="409B7D8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2C91D56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分层</w:t>
            </w:r>
          </w:p>
        </w:tc>
        <w:tc>
          <w:tcPr>
            <w:tcW w:w="850" w:type="dxa"/>
            <w:tcBorders>
              <w:tl2br w:val="nil"/>
              <w:tr2bl w:val="nil"/>
            </w:tcBorders>
            <w:noWrap w:val="0"/>
            <w:vAlign w:val="center"/>
          </w:tcPr>
          <w:p w14:paraId="7478348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w:t>
            </w:r>
          </w:p>
        </w:tc>
        <w:tc>
          <w:tcPr>
            <w:tcW w:w="3541" w:type="dxa"/>
            <w:gridSpan w:val="3"/>
            <w:tcBorders>
              <w:tl2br w:val="nil"/>
              <w:tr2bl w:val="nil"/>
            </w:tcBorders>
            <w:noWrap w:val="0"/>
            <w:vAlign w:val="center"/>
          </w:tcPr>
          <w:p w14:paraId="15FB371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种类组成与生长状况</w:t>
            </w:r>
          </w:p>
        </w:tc>
        <w:tc>
          <w:tcPr>
            <w:tcW w:w="3292" w:type="dxa"/>
            <w:gridSpan w:val="3"/>
            <w:tcBorders>
              <w:tl2br w:val="nil"/>
              <w:tr2bl w:val="nil"/>
            </w:tcBorders>
            <w:noWrap w:val="0"/>
            <w:vAlign w:val="center"/>
          </w:tcPr>
          <w:p w14:paraId="04080AE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考察照片</w:t>
            </w:r>
          </w:p>
        </w:tc>
      </w:tr>
      <w:tr w14:paraId="0464E02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72A3398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乔木层</w:t>
            </w:r>
          </w:p>
        </w:tc>
        <w:tc>
          <w:tcPr>
            <w:tcW w:w="850" w:type="dxa"/>
            <w:tcBorders>
              <w:tl2br w:val="nil"/>
              <w:tr2bl w:val="nil"/>
            </w:tcBorders>
            <w:noWrap w:val="0"/>
            <w:vAlign w:val="center"/>
          </w:tcPr>
          <w:p w14:paraId="7AEC08D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郁闭度 0.5</w:t>
            </w:r>
          </w:p>
        </w:tc>
        <w:tc>
          <w:tcPr>
            <w:tcW w:w="3541" w:type="dxa"/>
            <w:gridSpan w:val="3"/>
            <w:tcBorders>
              <w:tl2br w:val="nil"/>
              <w:tr2bl w:val="nil"/>
            </w:tcBorders>
            <w:noWrap w:val="0"/>
            <w:vAlign w:val="center"/>
          </w:tcPr>
          <w:p w14:paraId="7E7DFD3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层均高7m，优势种为马尾松</w:t>
            </w:r>
            <w:r>
              <w:rPr>
                <w:rFonts w:hint="default" w:cs="Times New Roman"/>
                <w:i/>
                <w:iCs/>
                <w:color w:val="auto"/>
                <w:highlight w:val="none"/>
              </w:rPr>
              <w:t>(Pinus  massoniana)</w:t>
            </w:r>
            <w:r>
              <w:rPr>
                <w:rFonts w:hint="default" w:cs="Times New Roman"/>
                <w:color w:val="auto"/>
                <w:highlight w:val="none"/>
              </w:rPr>
              <w:t>，高约6-9m，胸径5-8cm， 盖度 40% ，主要伴生种有毛竹</w:t>
            </w:r>
            <w:r>
              <w:rPr>
                <w:rFonts w:hint="default" w:cs="Times New Roman"/>
                <w:i/>
                <w:iCs/>
                <w:color w:val="auto"/>
                <w:highlight w:val="none"/>
              </w:rPr>
              <w:t>( Phyllostachys  heterocyclacv. Pubescens )</w:t>
            </w:r>
            <w:r>
              <w:rPr>
                <w:rFonts w:hint="default" w:cs="Times New Roman"/>
                <w:color w:val="auto"/>
                <w:highlight w:val="none"/>
              </w:rPr>
              <w:t>、杉木</w:t>
            </w:r>
            <w:r>
              <w:rPr>
                <w:rFonts w:hint="default" w:cs="Times New Roman"/>
                <w:i/>
                <w:iCs/>
                <w:color w:val="auto"/>
                <w:highlight w:val="none"/>
              </w:rPr>
              <w:t>( Cunninghamia lanceolata)</w:t>
            </w:r>
            <w:r>
              <w:rPr>
                <w:rFonts w:hint="default" w:cs="Times New Roman"/>
                <w:color w:val="auto"/>
                <w:highlight w:val="none"/>
              </w:rPr>
              <w:t>、锥栗</w:t>
            </w:r>
            <w:r>
              <w:rPr>
                <w:rFonts w:hint="default" w:cs="Times New Roman"/>
                <w:i/>
                <w:iCs/>
                <w:color w:val="auto"/>
                <w:highlight w:val="none"/>
              </w:rPr>
              <w:t>(Castanea henryi)</w:t>
            </w:r>
            <w:r>
              <w:rPr>
                <w:rFonts w:hint="default" w:cs="Times New Roman"/>
                <w:color w:val="auto"/>
                <w:highlight w:val="none"/>
              </w:rPr>
              <w:t>等。</w:t>
            </w:r>
          </w:p>
        </w:tc>
        <w:tc>
          <w:tcPr>
            <w:tcW w:w="3292" w:type="dxa"/>
            <w:gridSpan w:val="3"/>
            <w:vMerge w:val="restart"/>
            <w:tcBorders>
              <w:tl2br w:val="nil"/>
              <w:tr2bl w:val="nil"/>
            </w:tcBorders>
            <w:noWrap w:val="0"/>
            <w:vAlign w:val="center"/>
          </w:tcPr>
          <w:p w14:paraId="59EE0E2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cs="Times New Roman"/>
                <w:color w:val="auto"/>
                <w:highlight w:val="none"/>
                <w:lang w:eastAsia="zh-CN"/>
              </w:rPr>
            </w:pPr>
          </w:p>
          <w:p w14:paraId="763B434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cs="Times New Roman"/>
                <w:color w:val="auto"/>
                <w:highlight w:val="none"/>
                <w:lang w:eastAsia="zh-CN"/>
              </w:rPr>
            </w:pPr>
            <w:r>
              <w:rPr>
                <w:rFonts w:hint="eastAsia" w:cs="Times New Roman"/>
                <w:color w:val="auto"/>
                <w:highlight w:val="none"/>
                <w:lang w:eastAsia="zh-CN"/>
              </w:rPr>
              <w:drawing>
                <wp:inline distT="0" distB="0" distL="114300" distR="114300">
                  <wp:extent cx="2048510" cy="1151890"/>
                  <wp:effectExtent l="0" t="0" r="8890" b="10160"/>
                  <wp:docPr id="57" name="图片 19" descr="picture_2023_06_27_09_07_27_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9" descr="picture_2023_06_27_09_07_27_298"/>
                          <pic:cNvPicPr>
                            <a:picLocks noChangeAspect="1"/>
                          </pic:cNvPicPr>
                        </pic:nvPicPr>
                        <pic:blipFill>
                          <a:blip r:embed="rId27"/>
                          <a:stretch>
                            <a:fillRect/>
                          </a:stretch>
                        </pic:blipFill>
                        <pic:spPr>
                          <a:xfrm>
                            <a:off x="0" y="0"/>
                            <a:ext cx="2048510" cy="1151890"/>
                          </a:xfrm>
                          <a:prstGeom prst="rect">
                            <a:avLst/>
                          </a:prstGeom>
                          <a:noFill/>
                          <a:ln>
                            <a:noFill/>
                          </a:ln>
                        </pic:spPr>
                      </pic:pic>
                    </a:graphicData>
                  </a:graphic>
                </wp:inline>
              </w:drawing>
            </w:r>
          </w:p>
          <w:p w14:paraId="0A7495C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cs="Times New Roman"/>
                <w:color w:val="auto"/>
                <w:highlight w:val="none"/>
                <w:lang w:eastAsia="zh-CN"/>
              </w:rPr>
            </w:pPr>
            <w:r>
              <w:rPr>
                <w:rFonts w:hint="eastAsia" w:cs="Times New Roman"/>
                <w:color w:val="auto"/>
                <w:highlight w:val="none"/>
                <w:lang w:eastAsia="zh-CN"/>
              </w:rPr>
              <w:drawing>
                <wp:inline distT="0" distB="0" distL="114300" distR="114300">
                  <wp:extent cx="2048510" cy="1536065"/>
                  <wp:effectExtent l="0" t="0" r="8890" b="6985"/>
                  <wp:docPr id="59" name="图片 20" descr="DJI_0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0" descr="DJI_0533"/>
                          <pic:cNvPicPr>
                            <a:picLocks noChangeAspect="1"/>
                          </pic:cNvPicPr>
                        </pic:nvPicPr>
                        <pic:blipFill>
                          <a:blip r:embed="rId28"/>
                          <a:stretch>
                            <a:fillRect/>
                          </a:stretch>
                        </pic:blipFill>
                        <pic:spPr>
                          <a:xfrm>
                            <a:off x="0" y="0"/>
                            <a:ext cx="2048510" cy="1536065"/>
                          </a:xfrm>
                          <a:prstGeom prst="rect">
                            <a:avLst/>
                          </a:prstGeom>
                          <a:noFill/>
                          <a:ln>
                            <a:noFill/>
                          </a:ln>
                        </pic:spPr>
                      </pic:pic>
                    </a:graphicData>
                  </a:graphic>
                </wp:inline>
              </w:drawing>
            </w:r>
          </w:p>
        </w:tc>
      </w:tr>
      <w:tr w14:paraId="3170DF7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038A6FC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灌木层</w:t>
            </w:r>
          </w:p>
        </w:tc>
        <w:tc>
          <w:tcPr>
            <w:tcW w:w="850" w:type="dxa"/>
            <w:tcBorders>
              <w:tl2br w:val="nil"/>
              <w:tr2bl w:val="nil"/>
            </w:tcBorders>
            <w:noWrap w:val="0"/>
            <w:vAlign w:val="center"/>
          </w:tcPr>
          <w:p w14:paraId="6FDC9EB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 25%</w:t>
            </w:r>
          </w:p>
        </w:tc>
        <w:tc>
          <w:tcPr>
            <w:tcW w:w="3541" w:type="dxa"/>
            <w:gridSpan w:val="3"/>
            <w:tcBorders>
              <w:tl2br w:val="nil"/>
              <w:tr2bl w:val="nil"/>
            </w:tcBorders>
            <w:noWrap w:val="0"/>
            <w:vAlign w:val="center"/>
          </w:tcPr>
          <w:p w14:paraId="6260CE0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层均高1.2m，优势种为短柄枹栎</w:t>
            </w:r>
            <w:r>
              <w:rPr>
                <w:rFonts w:hint="default" w:cs="Times New Roman"/>
                <w:i/>
                <w:iCs/>
                <w:color w:val="auto"/>
                <w:highlight w:val="none"/>
              </w:rPr>
              <w:t>(Quercusserratavar. brevipetiolata)</w:t>
            </w:r>
            <w:r>
              <w:rPr>
                <w:rFonts w:hint="default" w:cs="Times New Roman"/>
                <w:color w:val="auto"/>
                <w:highlight w:val="none"/>
              </w:rPr>
              <w:t>，高约0.8-1m，盖度15%，主要伴生种有山茶</w:t>
            </w:r>
            <w:r>
              <w:rPr>
                <w:rFonts w:hint="default" w:cs="Times New Roman"/>
                <w:i/>
                <w:iCs/>
                <w:color w:val="auto"/>
                <w:highlight w:val="none"/>
              </w:rPr>
              <w:t>(Camellia japonica)</w:t>
            </w:r>
            <w:r>
              <w:rPr>
                <w:rFonts w:hint="default" w:cs="Times New Roman"/>
                <w:color w:val="auto"/>
                <w:highlight w:val="none"/>
              </w:rPr>
              <w:t>、盐肤木</w:t>
            </w:r>
            <w:r>
              <w:rPr>
                <w:rFonts w:hint="default" w:cs="Times New Roman"/>
                <w:i/>
                <w:iCs/>
                <w:color w:val="auto"/>
                <w:highlight w:val="none"/>
              </w:rPr>
              <w:t>(Rhus chinensis)</w:t>
            </w:r>
            <w:r>
              <w:rPr>
                <w:rFonts w:hint="default" w:cs="Times New Roman"/>
                <w:color w:val="auto"/>
                <w:highlight w:val="none"/>
              </w:rPr>
              <w:t>、野桐</w:t>
            </w:r>
            <w:r>
              <w:rPr>
                <w:rFonts w:hint="default" w:cs="Times New Roman"/>
                <w:i/>
                <w:iCs/>
                <w:color w:val="auto"/>
                <w:highlight w:val="none"/>
              </w:rPr>
              <w:t>( Mallotus japonicus    var.floccosus)</w:t>
            </w:r>
            <w:r>
              <w:rPr>
                <w:rFonts w:hint="default" w:cs="Times New Roman"/>
                <w:color w:val="auto"/>
                <w:highlight w:val="none"/>
              </w:rPr>
              <w:t>、马银花</w:t>
            </w:r>
            <w:r>
              <w:rPr>
                <w:rFonts w:hint="default" w:cs="Times New Roman"/>
                <w:i/>
                <w:iCs/>
                <w:color w:val="auto"/>
                <w:highlight w:val="none"/>
              </w:rPr>
              <w:t>(Rhododendron ovatum)</w:t>
            </w:r>
            <w:r>
              <w:rPr>
                <w:rFonts w:hint="default" w:cs="Times New Roman"/>
                <w:color w:val="auto"/>
                <w:highlight w:val="none"/>
              </w:rPr>
              <w:t>等。</w:t>
            </w:r>
          </w:p>
        </w:tc>
        <w:tc>
          <w:tcPr>
            <w:tcW w:w="3292" w:type="dxa"/>
            <w:gridSpan w:val="3"/>
            <w:vMerge w:val="continue"/>
            <w:tcBorders>
              <w:tl2br w:val="nil"/>
              <w:tr2bl w:val="nil"/>
            </w:tcBorders>
            <w:noWrap w:val="0"/>
            <w:vAlign w:val="center"/>
          </w:tcPr>
          <w:p w14:paraId="6F687282">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z w:val="21"/>
                <w:szCs w:val="21"/>
                <w:highlight w:val="none"/>
              </w:rPr>
            </w:pPr>
          </w:p>
        </w:tc>
      </w:tr>
      <w:tr w14:paraId="5E49A9B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3A8E152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草本层</w:t>
            </w:r>
          </w:p>
        </w:tc>
        <w:tc>
          <w:tcPr>
            <w:tcW w:w="850" w:type="dxa"/>
            <w:tcBorders>
              <w:tl2br w:val="nil"/>
              <w:tr2bl w:val="nil"/>
            </w:tcBorders>
            <w:noWrap w:val="0"/>
            <w:vAlign w:val="center"/>
          </w:tcPr>
          <w:p w14:paraId="3E6C987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 20%</w:t>
            </w:r>
          </w:p>
        </w:tc>
        <w:tc>
          <w:tcPr>
            <w:tcW w:w="3541" w:type="dxa"/>
            <w:gridSpan w:val="3"/>
            <w:tcBorders>
              <w:tl2br w:val="nil"/>
              <w:tr2bl w:val="nil"/>
            </w:tcBorders>
            <w:noWrap w:val="0"/>
            <w:vAlign w:val="center"/>
          </w:tcPr>
          <w:p w14:paraId="5334D47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层均高1m，优势种为芒</w:t>
            </w:r>
            <w:r>
              <w:rPr>
                <w:rFonts w:hint="default" w:cs="Times New Roman"/>
                <w:i/>
                <w:iCs/>
                <w:color w:val="auto"/>
                <w:highlight w:val="none"/>
              </w:rPr>
              <w:t>(Miscanthus  sinensis)</w:t>
            </w:r>
            <w:r>
              <w:rPr>
                <w:rFonts w:hint="default" w:cs="Times New Roman"/>
                <w:color w:val="auto"/>
                <w:highlight w:val="none"/>
              </w:rPr>
              <w:t>，高约1-1.5m，盖度20%，主要伴生种有三脉紫菀</w:t>
            </w:r>
            <w:r>
              <w:rPr>
                <w:rFonts w:hint="default" w:cs="Times New Roman"/>
                <w:i/>
                <w:iCs/>
                <w:color w:val="auto"/>
                <w:highlight w:val="none"/>
              </w:rPr>
              <w:t>( Aster ageratoides)</w:t>
            </w:r>
            <w:r>
              <w:rPr>
                <w:rFonts w:hint="default" w:cs="Times New Roman"/>
                <w:color w:val="auto"/>
                <w:highlight w:val="none"/>
              </w:rPr>
              <w:t>、香薷</w:t>
            </w:r>
            <w:r>
              <w:rPr>
                <w:rFonts w:hint="default" w:cs="Times New Roman"/>
                <w:i/>
                <w:iCs/>
                <w:color w:val="auto"/>
                <w:highlight w:val="none"/>
              </w:rPr>
              <w:t>(Elsholtzia ciliata)</w:t>
            </w:r>
            <w:r>
              <w:rPr>
                <w:rFonts w:hint="default" w:cs="Times New Roman"/>
                <w:color w:val="auto"/>
                <w:highlight w:val="none"/>
              </w:rPr>
              <w:t xml:space="preserve"> 等。</w:t>
            </w:r>
          </w:p>
        </w:tc>
        <w:tc>
          <w:tcPr>
            <w:tcW w:w="3292" w:type="dxa"/>
            <w:gridSpan w:val="3"/>
            <w:vMerge w:val="continue"/>
            <w:tcBorders>
              <w:tl2br w:val="nil"/>
              <w:tr2bl w:val="nil"/>
            </w:tcBorders>
            <w:noWrap w:val="0"/>
            <w:vAlign w:val="center"/>
          </w:tcPr>
          <w:p w14:paraId="4977E572">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textAlignment w:val="auto"/>
              <w:rPr>
                <w:rFonts w:hint="default" w:ascii="Times New Roman" w:hAnsi="Times New Roman" w:eastAsia="宋体" w:cs="Times New Roman"/>
                <w:color w:val="auto"/>
                <w:sz w:val="21"/>
                <w:szCs w:val="21"/>
                <w:highlight w:val="none"/>
              </w:rPr>
            </w:pPr>
          </w:p>
        </w:tc>
      </w:tr>
    </w:tbl>
    <w:p w14:paraId="44675628">
      <w:pPr>
        <w:pStyle w:val="30"/>
        <w:rPr>
          <w:rFonts w:hint="eastAsia"/>
          <w:b/>
          <w:bCs/>
          <w:color w:val="auto"/>
          <w:highlight w:val="none"/>
          <w:lang w:val="en-US" w:eastAsia="zh-CN"/>
        </w:rPr>
      </w:pPr>
      <w:r>
        <w:rPr>
          <w:rFonts w:hint="eastAsia"/>
          <w:b/>
          <w:bCs/>
          <w:color w:val="auto"/>
          <w:highlight w:val="none"/>
          <w:lang w:val="en-US" w:eastAsia="zh-CN"/>
        </w:rPr>
        <w:t>2) 杉木林 (Form.</w:t>
      </w:r>
      <w:r>
        <w:rPr>
          <w:rFonts w:hint="eastAsia"/>
          <w:b/>
          <w:bCs/>
          <w:i/>
          <w:iCs/>
          <w:color w:val="auto"/>
          <w:highlight w:val="none"/>
          <w:lang w:val="en-US" w:eastAsia="zh-CN"/>
        </w:rPr>
        <w:t>Cunninghamia lanceolata</w:t>
      </w:r>
      <w:r>
        <w:rPr>
          <w:rFonts w:hint="eastAsia"/>
          <w:b/>
          <w:bCs/>
          <w:color w:val="auto"/>
          <w:highlight w:val="none"/>
          <w:lang w:val="en-US" w:eastAsia="zh-CN"/>
        </w:rPr>
        <w:t xml:space="preserve"> )</w:t>
      </w:r>
    </w:p>
    <w:p w14:paraId="47E342B4">
      <w:pPr>
        <w:pStyle w:val="30"/>
        <w:rPr>
          <w:rFonts w:hint="eastAsia"/>
          <w:color w:val="auto"/>
          <w:highlight w:val="none"/>
          <w:lang w:val="en-US" w:eastAsia="zh-CN"/>
        </w:rPr>
      </w:pPr>
      <w:r>
        <w:rPr>
          <w:rFonts w:hint="eastAsia"/>
          <w:color w:val="auto"/>
          <w:highlight w:val="none"/>
          <w:lang w:val="en-US" w:eastAsia="zh-CN"/>
        </w:rPr>
        <w:t>杉木是中国南方特有的用材树种之一，广泛分布于中国亚热带地区，目前大多数为人工林，少量为天然次生林。杉木林在评价区零散分布，多混生于阔叶林中。</w:t>
      </w:r>
    </w:p>
    <w:p w14:paraId="7CCD7ACE">
      <w:pPr>
        <w:pStyle w:val="30"/>
        <w:rPr>
          <w:rFonts w:hint="eastAsia"/>
          <w:color w:val="auto"/>
          <w:highlight w:val="none"/>
          <w:lang w:val="en-US" w:eastAsia="zh-CN"/>
        </w:rPr>
      </w:pPr>
      <w:r>
        <w:rPr>
          <w:rFonts w:hint="eastAsia"/>
          <w:color w:val="auto"/>
          <w:highlight w:val="none"/>
          <w:lang w:val="en-US" w:eastAsia="zh-CN"/>
        </w:rPr>
        <w:t>杉木林乔木层郁闭度0.7 ，层均高8m，优势种为杉木</w:t>
      </w:r>
      <w:r>
        <w:rPr>
          <w:rFonts w:hint="eastAsia"/>
          <w:i/>
          <w:iCs/>
          <w:color w:val="auto"/>
          <w:highlight w:val="none"/>
          <w:lang w:val="en-US" w:eastAsia="zh-CN"/>
        </w:rPr>
        <w:t>(Cunninghamia lanceolata )</w:t>
      </w:r>
      <w:r>
        <w:rPr>
          <w:rFonts w:hint="eastAsia"/>
          <w:color w:val="auto"/>
          <w:highlight w:val="none"/>
          <w:lang w:val="en-US" w:eastAsia="zh-CN"/>
        </w:rPr>
        <w:t>，高约7-10m，胸径5-7cm，盖度60% ，主要伴生种有马尾松</w:t>
      </w:r>
      <w:r>
        <w:rPr>
          <w:rFonts w:hint="eastAsia"/>
          <w:i/>
          <w:iCs/>
          <w:color w:val="auto"/>
          <w:highlight w:val="none"/>
          <w:lang w:val="en-US" w:eastAsia="zh-CN"/>
        </w:rPr>
        <w:t>(Pinus massoniana)</w:t>
      </w:r>
      <w:r>
        <w:rPr>
          <w:rFonts w:hint="eastAsia"/>
          <w:color w:val="auto"/>
          <w:highlight w:val="none"/>
          <w:lang w:val="en-US" w:eastAsia="zh-CN"/>
        </w:rPr>
        <w:t>、楤木</w:t>
      </w:r>
      <w:r>
        <w:rPr>
          <w:rFonts w:hint="eastAsia"/>
          <w:i/>
          <w:iCs/>
          <w:color w:val="auto"/>
          <w:highlight w:val="none"/>
          <w:lang w:val="en-US" w:eastAsia="zh-CN"/>
        </w:rPr>
        <w:t>(Aralia chinensis )</w:t>
      </w:r>
      <w:r>
        <w:rPr>
          <w:rFonts w:hint="eastAsia"/>
          <w:color w:val="auto"/>
          <w:highlight w:val="none"/>
          <w:lang w:val="en-US" w:eastAsia="zh-CN"/>
        </w:rPr>
        <w:t>、枫香树</w:t>
      </w:r>
      <w:r>
        <w:rPr>
          <w:rFonts w:hint="eastAsia"/>
          <w:i/>
          <w:iCs/>
          <w:color w:val="auto"/>
          <w:highlight w:val="none"/>
          <w:lang w:val="en-US" w:eastAsia="zh-CN"/>
        </w:rPr>
        <w:t>(Liquidambarformosana )</w:t>
      </w:r>
      <w:r>
        <w:rPr>
          <w:rFonts w:hint="eastAsia"/>
          <w:color w:val="auto"/>
          <w:highlight w:val="none"/>
          <w:lang w:val="en-US" w:eastAsia="zh-CN"/>
        </w:rPr>
        <w:t>等。</w:t>
      </w:r>
    </w:p>
    <w:p w14:paraId="76B202A4">
      <w:pPr>
        <w:pStyle w:val="30"/>
        <w:rPr>
          <w:rFonts w:hint="eastAsia"/>
          <w:color w:val="auto"/>
          <w:highlight w:val="none"/>
          <w:lang w:val="en-US" w:eastAsia="zh-CN"/>
        </w:rPr>
      </w:pPr>
      <w:r>
        <w:rPr>
          <w:rFonts w:hint="eastAsia"/>
          <w:color w:val="auto"/>
          <w:highlight w:val="none"/>
          <w:lang w:val="en-US" w:eastAsia="zh-CN"/>
        </w:rPr>
        <w:t>灌木层盖度25% ，层均高1m，优势种为檵木</w:t>
      </w:r>
      <w:r>
        <w:rPr>
          <w:rFonts w:hint="eastAsia"/>
          <w:i/>
          <w:iCs/>
          <w:color w:val="auto"/>
          <w:highlight w:val="none"/>
          <w:lang w:val="en-US" w:eastAsia="zh-CN"/>
        </w:rPr>
        <w:t>(Loropetalum chinense )</w:t>
      </w:r>
      <w:r>
        <w:rPr>
          <w:rFonts w:hint="eastAsia"/>
          <w:color w:val="auto"/>
          <w:highlight w:val="none"/>
          <w:lang w:val="en-US" w:eastAsia="zh-CN"/>
        </w:rPr>
        <w:t>，高约1-1.5m，盖度25%，主要伴生种有山茶</w:t>
      </w:r>
      <w:r>
        <w:rPr>
          <w:rFonts w:hint="eastAsia"/>
          <w:i/>
          <w:iCs/>
          <w:color w:val="auto"/>
          <w:highlight w:val="none"/>
          <w:lang w:val="en-US" w:eastAsia="zh-CN"/>
        </w:rPr>
        <w:t>(Camellia japonica )</w:t>
      </w:r>
      <w:r>
        <w:rPr>
          <w:rFonts w:hint="eastAsia"/>
          <w:color w:val="auto"/>
          <w:highlight w:val="none"/>
          <w:lang w:val="en-US" w:eastAsia="zh-CN"/>
        </w:rPr>
        <w:t>、紫珠</w:t>
      </w:r>
      <w:r>
        <w:rPr>
          <w:rFonts w:hint="eastAsia"/>
          <w:i/>
          <w:iCs/>
          <w:color w:val="auto"/>
          <w:highlight w:val="none"/>
          <w:lang w:val="en-US" w:eastAsia="zh-CN"/>
        </w:rPr>
        <w:t>(Callicarpa bodinieri)、</w:t>
      </w:r>
      <w:r>
        <w:rPr>
          <w:rFonts w:hint="eastAsia"/>
          <w:color w:val="auto"/>
          <w:highlight w:val="none"/>
          <w:lang w:val="en-US" w:eastAsia="zh-CN"/>
        </w:rPr>
        <w:t>高粱泡</w:t>
      </w:r>
      <w:r>
        <w:rPr>
          <w:rFonts w:hint="eastAsia"/>
          <w:i/>
          <w:iCs/>
          <w:color w:val="auto"/>
          <w:highlight w:val="none"/>
          <w:lang w:val="en-US" w:eastAsia="zh-CN"/>
        </w:rPr>
        <w:t>(Rubus lambertianus )</w:t>
      </w:r>
      <w:r>
        <w:rPr>
          <w:rFonts w:hint="eastAsia"/>
          <w:color w:val="auto"/>
          <w:highlight w:val="none"/>
          <w:lang w:val="en-US" w:eastAsia="zh-CN"/>
        </w:rPr>
        <w:t>等。</w:t>
      </w:r>
    </w:p>
    <w:p w14:paraId="4C65F5F5">
      <w:pPr>
        <w:pStyle w:val="30"/>
        <w:rPr>
          <w:rFonts w:hint="eastAsia"/>
          <w:color w:val="auto"/>
          <w:highlight w:val="none"/>
          <w:lang w:val="en-US" w:eastAsia="zh-CN"/>
        </w:rPr>
      </w:pPr>
      <w:r>
        <w:rPr>
          <w:rFonts w:hint="eastAsia"/>
          <w:color w:val="auto"/>
          <w:highlight w:val="none"/>
          <w:lang w:val="en-US" w:eastAsia="zh-CN"/>
        </w:rPr>
        <w:t>草本层盖度15%，层均高0.5m，优势种为蕨</w:t>
      </w:r>
      <w:r>
        <w:rPr>
          <w:rFonts w:hint="eastAsia"/>
          <w:i/>
          <w:iCs/>
          <w:color w:val="auto"/>
          <w:highlight w:val="none"/>
          <w:lang w:val="en-US" w:eastAsia="zh-CN"/>
        </w:rPr>
        <w:t>(Pteridium aquilinumvar. latiusculum )</w:t>
      </w:r>
      <w:r>
        <w:rPr>
          <w:rFonts w:hint="eastAsia"/>
          <w:color w:val="auto"/>
          <w:highlight w:val="none"/>
          <w:lang w:val="en-US" w:eastAsia="zh-CN"/>
        </w:rPr>
        <w:t>，高约0.3-0.5m，盖度10%，主要伴生种有芒萁</w:t>
      </w:r>
      <w:r>
        <w:rPr>
          <w:rFonts w:hint="eastAsia"/>
          <w:i/>
          <w:iCs/>
          <w:color w:val="auto"/>
          <w:highlight w:val="none"/>
          <w:lang w:val="en-US" w:eastAsia="zh-CN"/>
        </w:rPr>
        <w:t>(Dicranopteris dichotoma)</w:t>
      </w:r>
      <w:r>
        <w:rPr>
          <w:rFonts w:hint="eastAsia"/>
          <w:color w:val="auto"/>
          <w:highlight w:val="none"/>
          <w:lang w:val="en-US" w:eastAsia="zh-CN"/>
        </w:rPr>
        <w:t>、糯米团</w:t>
      </w:r>
      <w:r>
        <w:rPr>
          <w:rFonts w:hint="eastAsia"/>
          <w:i/>
          <w:iCs/>
          <w:color w:val="auto"/>
          <w:highlight w:val="none"/>
          <w:lang w:val="en-US" w:eastAsia="zh-CN"/>
        </w:rPr>
        <w:t>(Abelia chinensis )</w:t>
      </w:r>
      <w:r>
        <w:rPr>
          <w:rFonts w:hint="eastAsia"/>
          <w:color w:val="auto"/>
          <w:highlight w:val="none"/>
          <w:lang w:val="en-US" w:eastAsia="zh-CN"/>
        </w:rPr>
        <w:t>等。</w:t>
      </w:r>
    </w:p>
    <w:p w14:paraId="787F3CF7">
      <w:pPr>
        <w:pStyle w:val="30"/>
        <w:ind w:left="0" w:leftChars="0" w:firstLine="0" w:firstLineChars="0"/>
        <w:jc w:val="center"/>
        <w:rPr>
          <w:rFonts w:hint="default"/>
          <w:color w:val="auto"/>
          <w:highlight w:val="none"/>
          <w:lang w:val="en-US" w:eastAsia="zh-CN"/>
        </w:rPr>
      </w:pPr>
      <w:r>
        <w:rPr>
          <w:rFonts w:hint="eastAsia"/>
          <w:color w:val="auto"/>
          <w:highlight w:val="none"/>
          <w:lang w:val="en-US" w:eastAsia="zh-CN"/>
        </w:rPr>
        <w:t>样方位置：1#风机附近 (N26.92653719°，E111.88719034°)；H：260m。</w:t>
      </w:r>
    </w:p>
    <w:tbl>
      <w:tblPr>
        <w:tblStyle w:val="38"/>
        <w:tblW w:w="5000" w:type="pct"/>
        <w:tblInd w:w="2"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030"/>
        <w:gridCol w:w="809"/>
        <w:gridCol w:w="2145"/>
        <w:gridCol w:w="1087"/>
        <w:gridCol w:w="134"/>
        <w:gridCol w:w="952"/>
        <w:gridCol w:w="1087"/>
        <w:gridCol w:w="1092"/>
      </w:tblGrid>
      <w:tr w14:paraId="293B83E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vMerge w:val="restart"/>
            <w:tcBorders>
              <w:tl2br w:val="nil"/>
              <w:tr2bl w:val="nil"/>
            </w:tcBorders>
            <w:noWrap w:val="0"/>
            <w:vAlign w:val="center"/>
          </w:tcPr>
          <w:p w14:paraId="1E813DA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植被类型</w:t>
            </w:r>
          </w:p>
        </w:tc>
        <w:tc>
          <w:tcPr>
            <w:tcW w:w="3107" w:type="dxa"/>
            <w:gridSpan w:val="2"/>
            <w:vMerge w:val="restart"/>
            <w:tcBorders>
              <w:tl2br w:val="nil"/>
              <w:tr2bl w:val="nil"/>
            </w:tcBorders>
            <w:noWrap w:val="0"/>
            <w:vAlign w:val="center"/>
          </w:tcPr>
          <w:p w14:paraId="2D4E625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杉木林</w:t>
            </w:r>
            <w:r>
              <w:rPr>
                <w:rFonts w:hint="default" w:cs="Times New Roman"/>
                <w:i/>
                <w:iCs/>
                <w:color w:val="auto"/>
                <w:highlight w:val="none"/>
              </w:rPr>
              <w:t>(Form.Cunninghamia lanceolata)</w:t>
            </w:r>
          </w:p>
        </w:tc>
        <w:tc>
          <w:tcPr>
            <w:tcW w:w="4576" w:type="dxa"/>
            <w:gridSpan w:val="5"/>
            <w:tcBorders>
              <w:tl2br w:val="nil"/>
              <w:tr2bl w:val="nil"/>
            </w:tcBorders>
            <w:noWrap w:val="0"/>
            <w:vAlign w:val="center"/>
          </w:tcPr>
          <w:p w14:paraId="3B69957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环境特征</w:t>
            </w:r>
          </w:p>
        </w:tc>
      </w:tr>
      <w:tr w14:paraId="0647C9A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vMerge w:val="continue"/>
            <w:tcBorders>
              <w:tl2br w:val="nil"/>
              <w:tr2bl w:val="nil"/>
            </w:tcBorders>
            <w:noWrap w:val="0"/>
            <w:vAlign w:val="center"/>
          </w:tcPr>
          <w:p w14:paraId="0AF31DA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3107" w:type="dxa"/>
            <w:gridSpan w:val="2"/>
            <w:vMerge w:val="continue"/>
            <w:tcBorders>
              <w:tl2br w:val="nil"/>
              <w:tr2bl w:val="nil"/>
            </w:tcBorders>
            <w:noWrap w:val="0"/>
            <w:vAlign w:val="center"/>
          </w:tcPr>
          <w:p w14:paraId="1546E7C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1143" w:type="dxa"/>
            <w:tcBorders>
              <w:tl2br w:val="nil"/>
              <w:tr2bl w:val="nil"/>
            </w:tcBorders>
            <w:noWrap w:val="0"/>
            <w:vAlign w:val="center"/>
          </w:tcPr>
          <w:p w14:paraId="05BBE3C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地形</w:t>
            </w:r>
          </w:p>
        </w:tc>
        <w:tc>
          <w:tcPr>
            <w:tcW w:w="1142" w:type="dxa"/>
            <w:gridSpan w:val="2"/>
            <w:tcBorders>
              <w:tl2br w:val="nil"/>
              <w:tr2bl w:val="nil"/>
            </w:tcBorders>
            <w:noWrap w:val="0"/>
            <w:vAlign w:val="center"/>
          </w:tcPr>
          <w:p w14:paraId="7163DF2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海拔(m)</w:t>
            </w:r>
          </w:p>
        </w:tc>
        <w:tc>
          <w:tcPr>
            <w:tcW w:w="1143" w:type="dxa"/>
            <w:tcBorders>
              <w:tl2br w:val="nil"/>
              <w:tr2bl w:val="nil"/>
            </w:tcBorders>
            <w:noWrap w:val="0"/>
            <w:vAlign w:val="center"/>
          </w:tcPr>
          <w:p w14:paraId="5EDCF6A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坡向</w:t>
            </w:r>
          </w:p>
        </w:tc>
        <w:tc>
          <w:tcPr>
            <w:tcW w:w="1148" w:type="dxa"/>
            <w:tcBorders>
              <w:tl2br w:val="nil"/>
              <w:tr2bl w:val="nil"/>
            </w:tcBorders>
            <w:noWrap w:val="0"/>
            <w:vAlign w:val="center"/>
          </w:tcPr>
          <w:p w14:paraId="7C742E9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坡度(°)</w:t>
            </w:r>
          </w:p>
        </w:tc>
      </w:tr>
      <w:tr w14:paraId="2ACFA69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115973F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地点</w:t>
            </w:r>
          </w:p>
        </w:tc>
        <w:tc>
          <w:tcPr>
            <w:tcW w:w="3107" w:type="dxa"/>
            <w:gridSpan w:val="2"/>
            <w:tcBorders>
              <w:tl2br w:val="nil"/>
              <w:tr2bl w:val="nil"/>
            </w:tcBorders>
            <w:noWrap w:val="0"/>
            <w:vAlign w:val="center"/>
          </w:tcPr>
          <w:p w14:paraId="7B982A9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eastAsia" w:cs="Times New Roman"/>
                <w:color w:val="auto"/>
                <w:highlight w:val="none"/>
                <w:lang w:val="en-US" w:eastAsia="zh-CN"/>
              </w:rPr>
              <w:t>1#</w:t>
            </w:r>
            <w:r>
              <w:rPr>
                <w:rFonts w:hint="default" w:cs="Times New Roman"/>
                <w:color w:val="auto"/>
                <w:highlight w:val="none"/>
              </w:rPr>
              <w:t>风机附近</w:t>
            </w:r>
          </w:p>
        </w:tc>
        <w:tc>
          <w:tcPr>
            <w:tcW w:w="1143" w:type="dxa"/>
            <w:tcBorders>
              <w:tl2br w:val="nil"/>
              <w:tr2bl w:val="nil"/>
            </w:tcBorders>
            <w:noWrap w:val="0"/>
            <w:vAlign w:val="center"/>
          </w:tcPr>
          <w:p w14:paraId="1A03B2A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山地</w:t>
            </w:r>
          </w:p>
        </w:tc>
        <w:tc>
          <w:tcPr>
            <w:tcW w:w="1142" w:type="dxa"/>
            <w:gridSpan w:val="2"/>
            <w:tcBorders>
              <w:tl2br w:val="nil"/>
              <w:tr2bl w:val="nil"/>
            </w:tcBorders>
            <w:noWrap w:val="0"/>
            <w:vAlign w:val="center"/>
          </w:tcPr>
          <w:p w14:paraId="37B3114C">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val="en-US" w:eastAsia="zh-CN"/>
              </w:rPr>
            </w:pPr>
            <w:r>
              <w:rPr>
                <w:rFonts w:hint="eastAsia" w:cs="Times New Roman"/>
                <w:color w:val="auto"/>
                <w:highlight w:val="none"/>
                <w:lang w:val="en-US" w:eastAsia="zh-CN"/>
              </w:rPr>
              <w:t>260</w:t>
            </w:r>
          </w:p>
        </w:tc>
        <w:tc>
          <w:tcPr>
            <w:tcW w:w="1143" w:type="dxa"/>
            <w:tcBorders>
              <w:tl2br w:val="nil"/>
              <w:tr2bl w:val="nil"/>
            </w:tcBorders>
            <w:noWrap w:val="0"/>
            <w:vAlign w:val="center"/>
          </w:tcPr>
          <w:p w14:paraId="542A760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W</w:t>
            </w:r>
          </w:p>
        </w:tc>
        <w:tc>
          <w:tcPr>
            <w:tcW w:w="1148" w:type="dxa"/>
            <w:tcBorders>
              <w:tl2br w:val="nil"/>
              <w:tr2bl w:val="nil"/>
            </w:tcBorders>
            <w:noWrap w:val="0"/>
            <w:vAlign w:val="center"/>
          </w:tcPr>
          <w:p w14:paraId="625BAA4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25</w:t>
            </w:r>
          </w:p>
        </w:tc>
      </w:tr>
      <w:tr w14:paraId="0BF3A2F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3808E26C">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经纬度</w:t>
            </w:r>
          </w:p>
        </w:tc>
        <w:tc>
          <w:tcPr>
            <w:tcW w:w="7683" w:type="dxa"/>
            <w:gridSpan w:val="7"/>
            <w:tcBorders>
              <w:tl2br w:val="nil"/>
              <w:tr2bl w:val="nil"/>
            </w:tcBorders>
            <w:noWrap w:val="0"/>
            <w:vAlign w:val="center"/>
          </w:tcPr>
          <w:p w14:paraId="255559F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lang w:val="en-US" w:eastAsia="zh-CN"/>
              </w:rPr>
              <w:t>N26.92653719°，E111.88719034°</w:t>
            </w:r>
          </w:p>
        </w:tc>
      </w:tr>
      <w:tr w14:paraId="7F88B61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4EB052B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层次</w:t>
            </w:r>
          </w:p>
        </w:tc>
        <w:tc>
          <w:tcPr>
            <w:tcW w:w="7683" w:type="dxa"/>
            <w:gridSpan w:val="7"/>
            <w:tcBorders>
              <w:tl2br w:val="nil"/>
              <w:tr2bl w:val="nil"/>
            </w:tcBorders>
            <w:noWrap w:val="0"/>
            <w:vAlign w:val="center"/>
          </w:tcPr>
          <w:p w14:paraId="54D5EBA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三层</w:t>
            </w:r>
          </w:p>
        </w:tc>
      </w:tr>
      <w:tr w14:paraId="5C45A88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7FC0481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分层</w:t>
            </w:r>
          </w:p>
        </w:tc>
        <w:tc>
          <w:tcPr>
            <w:tcW w:w="850" w:type="dxa"/>
            <w:tcBorders>
              <w:tl2br w:val="nil"/>
              <w:tr2bl w:val="nil"/>
            </w:tcBorders>
            <w:noWrap w:val="0"/>
            <w:vAlign w:val="center"/>
          </w:tcPr>
          <w:p w14:paraId="4397B9B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w:t>
            </w:r>
          </w:p>
        </w:tc>
        <w:tc>
          <w:tcPr>
            <w:tcW w:w="3541" w:type="dxa"/>
            <w:gridSpan w:val="3"/>
            <w:tcBorders>
              <w:tl2br w:val="nil"/>
              <w:tr2bl w:val="nil"/>
            </w:tcBorders>
            <w:noWrap w:val="0"/>
            <w:vAlign w:val="center"/>
          </w:tcPr>
          <w:p w14:paraId="3571E8B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种类组成与生长状况</w:t>
            </w:r>
          </w:p>
        </w:tc>
        <w:tc>
          <w:tcPr>
            <w:tcW w:w="3292" w:type="dxa"/>
            <w:gridSpan w:val="3"/>
            <w:tcBorders>
              <w:tl2br w:val="nil"/>
              <w:tr2bl w:val="nil"/>
            </w:tcBorders>
            <w:noWrap w:val="0"/>
            <w:vAlign w:val="center"/>
          </w:tcPr>
          <w:p w14:paraId="52D20905">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考察照片</w:t>
            </w:r>
          </w:p>
        </w:tc>
      </w:tr>
      <w:tr w14:paraId="0C38B81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328DCD0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乔木层</w:t>
            </w:r>
          </w:p>
        </w:tc>
        <w:tc>
          <w:tcPr>
            <w:tcW w:w="850" w:type="dxa"/>
            <w:tcBorders>
              <w:tl2br w:val="nil"/>
              <w:tr2bl w:val="nil"/>
            </w:tcBorders>
            <w:noWrap w:val="0"/>
            <w:vAlign w:val="center"/>
          </w:tcPr>
          <w:p w14:paraId="5E093CF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郁闭度0.7</w:t>
            </w:r>
          </w:p>
        </w:tc>
        <w:tc>
          <w:tcPr>
            <w:tcW w:w="3541" w:type="dxa"/>
            <w:gridSpan w:val="3"/>
            <w:tcBorders>
              <w:tl2br w:val="nil"/>
              <w:tr2bl w:val="nil"/>
            </w:tcBorders>
            <w:noWrap w:val="0"/>
            <w:vAlign w:val="center"/>
          </w:tcPr>
          <w:p w14:paraId="6563AE6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层均高8m，优势种为杉木</w:t>
            </w:r>
            <w:r>
              <w:rPr>
                <w:rFonts w:hint="default" w:cs="Times New Roman"/>
                <w:i/>
                <w:iCs/>
                <w:color w:val="auto"/>
                <w:highlight w:val="none"/>
              </w:rPr>
              <w:t>(Cunninghamia lanceolata)</w:t>
            </w:r>
            <w:r>
              <w:rPr>
                <w:rFonts w:hint="default" w:cs="Times New Roman"/>
                <w:color w:val="auto"/>
                <w:highlight w:val="none"/>
              </w:rPr>
              <w:t>，高约7-10m，胸径5-7cm，盖度60%，主要伴生种有马尾松</w:t>
            </w:r>
            <w:r>
              <w:rPr>
                <w:rFonts w:hint="default" w:cs="Times New Roman"/>
                <w:i/>
                <w:iCs/>
                <w:color w:val="auto"/>
                <w:highlight w:val="none"/>
              </w:rPr>
              <w:t>(Pinus massoniana)</w:t>
            </w:r>
            <w:r>
              <w:rPr>
                <w:rFonts w:hint="default" w:cs="Times New Roman"/>
                <w:color w:val="auto"/>
                <w:highlight w:val="none"/>
              </w:rPr>
              <w:t>、楤木</w:t>
            </w:r>
            <w:r>
              <w:rPr>
                <w:rFonts w:hint="default" w:cs="Times New Roman"/>
                <w:i/>
                <w:iCs/>
                <w:color w:val="auto"/>
                <w:highlight w:val="none"/>
              </w:rPr>
              <w:t>(Aralia chinensis)</w:t>
            </w:r>
            <w:r>
              <w:rPr>
                <w:rFonts w:hint="default" w:cs="Times New Roman"/>
                <w:color w:val="auto"/>
                <w:highlight w:val="none"/>
              </w:rPr>
              <w:t>、 枫香树</w:t>
            </w:r>
            <w:r>
              <w:rPr>
                <w:rFonts w:hint="default" w:cs="Times New Roman"/>
                <w:i/>
                <w:iCs/>
                <w:color w:val="auto"/>
                <w:highlight w:val="none"/>
              </w:rPr>
              <w:t>(Liquidambarformosana)</w:t>
            </w:r>
            <w:r>
              <w:rPr>
                <w:rFonts w:hint="default" w:cs="Times New Roman"/>
                <w:color w:val="auto"/>
                <w:highlight w:val="none"/>
              </w:rPr>
              <w:t>等。</w:t>
            </w:r>
          </w:p>
        </w:tc>
        <w:tc>
          <w:tcPr>
            <w:tcW w:w="3292" w:type="dxa"/>
            <w:gridSpan w:val="3"/>
            <w:vMerge w:val="restart"/>
            <w:tcBorders>
              <w:tl2br w:val="nil"/>
              <w:tr2bl w:val="nil"/>
            </w:tcBorders>
            <w:noWrap w:val="0"/>
            <w:vAlign w:val="center"/>
          </w:tcPr>
          <w:p w14:paraId="5C12903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cs="Times New Roman"/>
                <w:color w:val="auto"/>
                <w:highlight w:val="none"/>
                <w:lang w:eastAsia="zh-CN"/>
              </w:rPr>
            </w:pPr>
            <w:r>
              <w:rPr>
                <w:rFonts w:hint="eastAsia" w:cs="Times New Roman"/>
                <w:color w:val="auto"/>
                <w:highlight w:val="none"/>
                <w:lang w:eastAsia="zh-CN"/>
              </w:rPr>
              <w:drawing>
                <wp:inline distT="0" distB="0" distL="114300" distR="114300">
                  <wp:extent cx="2048510" cy="1151890"/>
                  <wp:effectExtent l="0" t="0" r="8890" b="10160"/>
                  <wp:docPr id="58" name="图片 21" descr="picture_2023_06_27_09_17_34_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1" descr="picture_2023_06_27_09_17_34_677"/>
                          <pic:cNvPicPr>
                            <a:picLocks noChangeAspect="1"/>
                          </pic:cNvPicPr>
                        </pic:nvPicPr>
                        <pic:blipFill>
                          <a:blip r:embed="rId29"/>
                          <a:stretch>
                            <a:fillRect/>
                          </a:stretch>
                        </pic:blipFill>
                        <pic:spPr>
                          <a:xfrm>
                            <a:off x="0" y="0"/>
                            <a:ext cx="2048510" cy="1151890"/>
                          </a:xfrm>
                          <a:prstGeom prst="rect">
                            <a:avLst/>
                          </a:prstGeom>
                          <a:noFill/>
                          <a:ln>
                            <a:noFill/>
                          </a:ln>
                        </pic:spPr>
                      </pic:pic>
                    </a:graphicData>
                  </a:graphic>
                </wp:inline>
              </w:drawing>
            </w:r>
          </w:p>
          <w:p w14:paraId="01D7663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cs="Times New Roman"/>
                <w:color w:val="auto"/>
                <w:highlight w:val="none"/>
                <w:lang w:eastAsia="zh-CN"/>
              </w:rPr>
            </w:pPr>
            <w:r>
              <w:rPr>
                <w:rFonts w:hint="eastAsia" w:cs="Times New Roman"/>
                <w:color w:val="auto"/>
                <w:highlight w:val="none"/>
                <w:lang w:eastAsia="zh-CN"/>
              </w:rPr>
              <w:drawing>
                <wp:inline distT="0" distB="0" distL="114300" distR="114300">
                  <wp:extent cx="2048510" cy="1151890"/>
                  <wp:effectExtent l="0" t="0" r="8890" b="10160"/>
                  <wp:docPr id="55" name="图片 22" descr="picture_2023_06_27_17_07_07_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2" descr="picture_2023_06_27_17_07_07_841"/>
                          <pic:cNvPicPr>
                            <a:picLocks noChangeAspect="1"/>
                          </pic:cNvPicPr>
                        </pic:nvPicPr>
                        <pic:blipFill>
                          <a:blip r:embed="rId30"/>
                          <a:stretch>
                            <a:fillRect/>
                          </a:stretch>
                        </pic:blipFill>
                        <pic:spPr>
                          <a:xfrm>
                            <a:off x="0" y="0"/>
                            <a:ext cx="2048510" cy="1151890"/>
                          </a:xfrm>
                          <a:prstGeom prst="rect">
                            <a:avLst/>
                          </a:prstGeom>
                          <a:noFill/>
                          <a:ln>
                            <a:noFill/>
                          </a:ln>
                        </pic:spPr>
                      </pic:pic>
                    </a:graphicData>
                  </a:graphic>
                </wp:inline>
              </w:drawing>
            </w:r>
          </w:p>
        </w:tc>
      </w:tr>
      <w:tr w14:paraId="7C4C83C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6399436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灌木层</w:t>
            </w:r>
          </w:p>
        </w:tc>
        <w:tc>
          <w:tcPr>
            <w:tcW w:w="850" w:type="dxa"/>
            <w:tcBorders>
              <w:tl2br w:val="nil"/>
              <w:tr2bl w:val="nil"/>
            </w:tcBorders>
            <w:noWrap w:val="0"/>
            <w:vAlign w:val="center"/>
          </w:tcPr>
          <w:p w14:paraId="2E54D84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层盖度25%</w:t>
            </w:r>
          </w:p>
        </w:tc>
        <w:tc>
          <w:tcPr>
            <w:tcW w:w="3541" w:type="dxa"/>
            <w:gridSpan w:val="3"/>
            <w:tcBorders>
              <w:tl2br w:val="nil"/>
              <w:tr2bl w:val="nil"/>
            </w:tcBorders>
            <w:noWrap w:val="0"/>
            <w:vAlign w:val="center"/>
          </w:tcPr>
          <w:p w14:paraId="108C9AF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层均高1m，优势种为檵木</w:t>
            </w:r>
            <w:r>
              <w:rPr>
                <w:rFonts w:hint="default" w:cs="Times New Roman"/>
                <w:i/>
                <w:iCs/>
                <w:color w:val="auto"/>
                <w:highlight w:val="none"/>
              </w:rPr>
              <w:t>(Loropetalum chinense)</w:t>
            </w:r>
            <w:r>
              <w:rPr>
                <w:rFonts w:hint="default" w:cs="Times New Roman"/>
                <w:color w:val="auto"/>
                <w:highlight w:val="none"/>
              </w:rPr>
              <w:t>，高约1-1.5m，盖度25%，主要伴生种有山茶</w:t>
            </w:r>
            <w:r>
              <w:rPr>
                <w:rFonts w:hint="default" w:cs="Times New Roman"/>
                <w:i/>
                <w:iCs/>
                <w:color w:val="auto"/>
                <w:highlight w:val="none"/>
              </w:rPr>
              <w:t>(Camellia japonica)</w:t>
            </w:r>
            <w:r>
              <w:rPr>
                <w:rFonts w:hint="default" w:cs="Times New Roman"/>
                <w:color w:val="auto"/>
                <w:highlight w:val="none"/>
              </w:rPr>
              <w:t>、紫珠</w:t>
            </w:r>
            <w:r>
              <w:rPr>
                <w:rFonts w:hint="default" w:cs="Times New Roman"/>
                <w:i/>
                <w:iCs/>
                <w:color w:val="auto"/>
                <w:highlight w:val="none"/>
              </w:rPr>
              <w:t>(Callicarpa  bodinieri)</w:t>
            </w:r>
            <w:r>
              <w:rPr>
                <w:rFonts w:hint="default" w:cs="Times New Roman"/>
                <w:color w:val="auto"/>
                <w:highlight w:val="none"/>
              </w:rPr>
              <w:t>、高粱泡</w:t>
            </w:r>
            <w:r>
              <w:rPr>
                <w:rFonts w:hint="default" w:cs="Times New Roman"/>
                <w:i/>
                <w:iCs/>
                <w:color w:val="auto"/>
                <w:highlight w:val="none"/>
              </w:rPr>
              <w:tab/>
            </w:r>
            <w:r>
              <w:rPr>
                <w:rFonts w:hint="default" w:cs="Times New Roman"/>
                <w:i/>
                <w:iCs/>
                <w:color w:val="auto"/>
                <w:highlight w:val="none"/>
              </w:rPr>
              <w:t>(Rubus lambertianus)</w:t>
            </w:r>
            <w:r>
              <w:rPr>
                <w:rFonts w:hint="default" w:cs="Times New Roman"/>
                <w:color w:val="auto"/>
                <w:highlight w:val="none"/>
              </w:rPr>
              <w:t>等。</w:t>
            </w:r>
          </w:p>
        </w:tc>
        <w:tc>
          <w:tcPr>
            <w:tcW w:w="3292" w:type="dxa"/>
            <w:gridSpan w:val="3"/>
            <w:vMerge w:val="continue"/>
            <w:tcBorders>
              <w:tl2br w:val="nil"/>
              <w:tr2bl w:val="nil"/>
            </w:tcBorders>
            <w:noWrap w:val="0"/>
            <w:vAlign w:val="center"/>
          </w:tcPr>
          <w:p w14:paraId="3946A436">
            <w:pPr>
              <w:jc w:val="center"/>
              <w:rPr>
                <w:rFonts w:ascii="Arial"/>
                <w:color w:val="auto"/>
                <w:sz w:val="21"/>
                <w:highlight w:val="none"/>
              </w:rPr>
            </w:pPr>
          </w:p>
        </w:tc>
      </w:tr>
      <w:tr w14:paraId="517556B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367B3CF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草本层</w:t>
            </w:r>
          </w:p>
        </w:tc>
        <w:tc>
          <w:tcPr>
            <w:tcW w:w="850" w:type="dxa"/>
            <w:tcBorders>
              <w:tl2br w:val="nil"/>
              <w:tr2bl w:val="nil"/>
            </w:tcBorders>
            <w:noWrap w:val="0"/>
            <w:vAlign w:val="center"/>
          </w:tcPr>
          <w:p w14:paraId="0A889A1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层盖度15%</w:t>
            </w:r>
          </w:p>
        </w:tc>
        <w:tc>
          <w:tcPr>
            <w:tcW w:w="3541" w:type="dxa"/>
            <w:gridSpan w:val="3"/>
            <w:tcBorders>
              <w:tl2br w:val="nil"/>
              <w:tr2bl w:val="nil"/>
            </w:tcBorders>
            <w:noWrap w:val="0"/>
            <w:vAlign w:val="center"/>
          </w:tcPr>
          <w:p w14:paraId="180B3ED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层均高0.5m，优势种为蕨</w:t>
            </w:r>
            <w:r>
              <w:rPr>
                <w:rFonts w:hint="default" w:cs="Times New Roman"/>
                <w:i/>
                <w:iCs/>
                <w:color w:val="auto"/>
                <w:highlight w:val="none"/>
              </w:rPr>
              <w:t>(Pteridium aquilinumvar. latiusculum)</w:t>
            </w:r>
            <w:r>
              <w:rPr>
                <w:rFonts w:hint="default" w:cs="Times New Roman"/>
                <w:color w:val="auto"/>
                <w:highlight w:val="none"/>
              </w:rPr>
              <w:t>，高约0.3-0.5m，盖度10%，主要伴生种有芒萁</w:t>
            </w:r>
            <w:r>
              <w:rPr>
                <w:rFonts w:hint="default" w:cs="Times New Roman"/>
                <w:i/>
                <w:iCs/>
                <w:color w:val="auto"/>
                <w:highlight w:val="none"/>
              </w:rPr>
              <w:t>(Dicranopteris dichotoma)</w:t>
            </w:r>
            <w:r>
              <w:rPr>
                <w:rFonts w:hint="default" w:cs="Times New Roman"/>
                <w:color w:val="auto"/>
                <w:highlight w:val="none"/>
              </w:rPr>
              <w:t>、糯米条</w:t>
            </w:r>
            <w:r>
              <w:rPr>
                <w:rFonts w:hint="default" w:cs="Times New Roman"/>
                <w:i/>
                <w:iCs/>
                <w:color w:val="auto"/>
                <w:highlight w:val="none"/>
              </w:rPr>
              <w:t>(Abelia chinensis)</w:t>
            </w:r>
            <w:r>
              <w:rPr>
                <w:rFonts w:hint="default" w:cs="Times New Roman"/>
                <w:color w:val="auto"/>
                <w:highlight w:val="none"/>
              </w:rPr>
              <w:t>、海金沙</w:t>
            </w:r>
            <w:r>
              <w:rPr>
                <w:rFonts w:hint="default" w:cs="Times New Roman"/>
                <w:i/>
                <w:iCs/>
                <w:color w:val="auto"/>
                <w:highlight w:val="none"/>
              </w:rPr>
              <w:t>(Lygodiumjaponicum)</w:t>
            </w:r>
            <w:r>
              <w:rPr>
                <w:rFonts w:hint="default" w:cs="Times New Roman"/>
                <w:color w:val="auto"/>
                <w:highlight w:val="none"/>
              </w:rPr>
              <w:t>等。</w:t>
            </w:r>
          </w:p>
        </w:tc>
        <w:tc>
          <w:tcPr>
            <w:tcW w:w="3292" w:type="dxa"/>
            <w:gridSpan w:val="3"/>
            <w:vMerge w:val="continue"/>
            <w:tcBorders>
              <w:tl2br w:val="nil"/>
              <w:tr2bl w:val="nil"/>
            </w:tcBorders>
            <w:noWrap w:val="0"/>
            <w:vAlign w:val="center"/>
          </w:tcPr>
          <w:p w14:paraId="3423FCBB">
            <w:pPr>
              <w:jc w:val="center"/>
              <w:rPr>
                <w:rFonts w:ascii="Arial"/>
                <w:color w:val="auto"/>
                <w:sz w:val="21"/>
                <w:highlight w:val="none"/>
              </w:rPr>
            </w:pPr>
          </w:p>
        </w:tc>
      </w:tr>
    </w:tbl>
    <w:p w14:paraId="506C9446">
      <w:pPr>
        <w:pStyle w:val="30"/>
        <w:rPr>
          <w:rFonts w:hint="eastAsia"/>
          <w:b/>
          <w:bCs/>
          <w:color w:val="auto"/>
          <w:highlight w:val="none"/>
          <w:lang w:val="en-US" w:eastAsia="zh-CN"/>
        </w:rPr>
      </w:pPr>
      <w:r>
        <w:rPr>
          <w:rFonts w:hint="eastAsia"/>
          <w:b/>
          <w:bCs/>
          <w:color w:val="auto"/>
          <w:highlight w:val="none"/>
          <w:lang w:val="en-US" w:eastAsia="zh-CN"/>
        </w:rPr>
        <w:t>阔叶林</w:t>
      </w:r>
    </w:p>
    <w:p w14:paraId="163EB12F">
      <w:pPr>
        <w:pStyle w:val="30"/>
        <w:rPr>
          <w:rFonts w:hint="eastAsia"/>
          <w:color w:val="auto"/>
          <w:highlight w:val="none"/>
          <w:lang w:val="en-US" w:eastAsia="zh-CN"/>
        </w:rPr>
      </w:pPr>
      <w:r>
        <w:rPr>
          <w:rFonts w:hint="eastAsia"/>
          <w:color w:val="auto"/>
          <w:highlight w:val="none"/>
          <w:lang w:val="en-US" w:eastAsia="zh-CN"/>
        </w:rPr>
        <w:t>评价区自然环境优越，气候适宜，较有利于阔叶林发育。通过现场调查，评价区阔叶林以落叶阔叶林为主，其为评价区内重要组成部分。</w:t>
      </w:r>
    </w:p>
    <w:p w14:paraId="0D0F01B7">
      <w:pPr>
        <w:pStyle w:val="30"/>
        <w:rPr>
          <w:rFonts w:hint="eastAsia"/>
          <w:b/>
          <w:bCs/>
          <w:color w:val="auto"/>
          <w:highlight w:val="none"/>
          <w:lang w:val="en-US" w:eastAsia="zh-CN"/>
        </w:rPr>
      </w:pPr>
      <w:r>
        <w:rPr>
          <w:rFonts w:hint="eastAsia"/>
          <w:b/>
          <w:bCs/>
          <w:color w:val="auto"/>
          <w:highlight w:val="none"/>
          <w:lang w:val="en-US" w:eastAsia="zh-CN"/>
        </w:rPr>
        <w:t>(二) 落叶阔叶林</w:t>
      </w:r>
    </w:p>
    <w:p w14:paraId="4D460B11">
      <w:pPr>
        <w:pStyle w:val="30"/>
        <w:rPr>
          <w:rFonts w:hint="eastAsia"/>
          <w:b/>
          <w:bCs/>
          <w:color w:val="auto"/>
          <w:highlight w:val="none"/>
          <w:lang w:val="en-US" w:eastAsia="zh-CN"/>
        </w:rPr>
      </w:pPr>
      <w:r>
        <w:rPr>
          <w:rFonts w:hint="eastAsia"/>
          <w:b/>
          <w:bCs/>
          <w:color w:val="auto"/>
          <w:highlight w:val="none"/>
          <w:lang w:val="en-US" w:eastAsia="zh-CN"/>
        </w:rPr>
        <w:t>3) 枫香树林 (Form.</w:t>
      </w:r>
      <w:r>
        <w:rPr>
          <w:rFonts w:hint="eastAsia"/>
          <w:b/>
          <w:bCs/>
          <w:i/>
          <w:iCs/>
          <w:color w:val="auto"/>
          <w:highlight w:val="none"/>
          <w:lang w:val="en-US" w:eastAsia="zh-CN"/>
        </w:rPr>
        <w:t>Liquidambarformosana</w:t>
      </w:r>
      <w:r>
        <w:rPr>
          <w:rFonts w:hint="eastAsia"/>
          <w:b/>
          <w:bCs/>
          <w:color w:val="auto"/>
          <w:highlight w:val="none"/>
          <w:lang w:val="en-US" w:eastAsia="zh-CN"/>
        </w:rPr>
        <w:t xml:space="preserve"> )</w:t>
      </w:r>
    </w:p>
    <w:p w14:paraId="37EDE9D8">
      <w:pPr>
        <w:pStyle w:val="30"/>
        <w:rPr>
          <w:rFonts w:hint="eastAsia"/>
          <w:color w:val="auto"/>
          <w:highlight w:val="none"/>
          <w:lang w:val="en-US" w:eastAsia="zh-CN"/>
        </w:rPr>
      </w:pPr>
      <w:r>
        <w:rPr>
          <w:rFonts w:hint="eastAsia"/>
          <w:color w:val="auto"/>
          <w:highlight w:val="none"/>
          <w:lang w:val="en-US" w:eastAsia="zh-CN"/>
        </w:rPr>
        <w:t>枫香喜温暖湿润气候，性喜光，耐干旱瘠薄。枫香树林在评价区内分布广泛，多分布于山坡中部。</w:t>
      </w:r>
    </w:p>
    <w:p w14:paraId="7EE92412">
      <w:pPr>
        <w:pStyle w:val="30"/>
        <w:rPr>
          <w:rFonts w:hint="eastAsia"/>
          <w:color w:val="auto"/>
          <w:highlight w:val="none"/>
          <w:lang w:val="en-US" w:eastAsia="zh-CN"/>
        </w:rPr>
      </w:pPr>
      <w:r>
        <w:rPr>
          <w:rFonts w:hint="eastAsia"/>
          <w:color w:val="auto"/>
          <w:highlight w:val="none"/>
          <w:lang w:val="en-US" w:eastAsia="zh-CN"/>
        </w:rPr>
        <w:t>枫香树林乔木层郁闭度0.5，层均高6m，优势种为枫香树</w:t>
      </w:r>
      <w:r>
        <w:rPr>
          <w:rFonts w:hint="eastAsia"/>
          <w:i/>
          <w:iCs/>
          <w:color w:val="auto"/>
          <w:highlight w:val="none"/>
          <w:lang w:val="en-US" w:eastAsia="zh-CN"/>
        </w:rPr>
        <w:t>(Liquidambar formosana )</w:t>
      </w:r>
      <w:r>
        <w:rPr>
          <w:rFonts w:hint="eastAsia"/>
          <w:color w:val="auto"/>
          <w:highlight w:val="none"/>
          <w:lang w:val="en-US" w:eastAsia="zh-CN"/>
        </w:rPr>
        <w:t>，高约6-8m，胸径6-9cm，盖度35%，主要伴生种有山乌桕</w:t>
      </w:r>
      <w:r>
        <w:rPr>
          <w:rFonts w:hint="eastAsia"/>
          <w:i/>
          <w:iCs/>
          <w:color w:val="auto"/>
          <w:highlight w:val="none"/>
          <w:lang w:val="en-US" w:eastAsia="zh-CN"/>
        </w:rPr>
        <w:t>(Sapium discolor)</w:t>
      </w:r>
      <w:r>
        <w:rPr>
          <w:rFonts w:hint="eastAsia"/>
          <w:color w:val="auto"/>
          <w:highlight w:val="none"/>
          <w:lang w:val="en-US" w:eastAsia="zh-CN"/>
        </w:rPr>
        <w:t>、锥栗</w:t>
      </w:r>
      <w:r>
        <w:rPr>
          <w:rFonts w:hint="eastAsia"/>
          <w:i/>
          <w:iCs/>
          <w:color w:val="auto"/>
          <w:highlight w:val="none"/>
          <w:lang w:val="en-US" w:eastAsia="zh-CN"/>
        </w:rPr>
        <w:t>(Castanea henryi)</w:t>
      </w:r>
      <w:r>
        <w:rPr>
          <w:rFonts w:hint="eastAsia"/>
          <w:color w:val="auto"/>
          <w:highlight w:val="none"/>
          <w:lang w:val="en-US" w:eastAsia="zh-CN"/>
        </w:rPr>
        <w:t>、檫木</w:t>
      </w:r>
      <w:r>
        <w:rPr>
          <w:rFonts w:hint="eastAsia"/>
          <w:i/>
          <w:iCs/>
          <w:color w:val="auto"/>
          <w:highlight w:val="none"/>
          <w:lang w:val="en-US" w:eastAsia="zh-CN"/>
        </w:rPr>
        <w:t>(Sassafras tzumu )</w:t>
      </w:r>
      <w:r>
        <w:rPr>
          <w:rFonts w:hint="eastAsia"/>
          <w:color w:val="auto"/>
          <w:highlight w:val="none"/>
          <w:lang w:val="en-US" w:eastAsia="zh-CN"/>
        </w:rPr>
        <w:t>等。</w:t>
      </w:r>
    </w:p>
    <w:p w14:paraId="34E8857A">
      <w:pPr>
        <w:pStyle w:val="30"/>
        <w:rPr>
          <w:rFonts w:hint="eastAsia"/>
          <w:color w:val="auto"/>
          <w:highlight w:val="none"/>
          <w:lang w:val="en-US" w:eastAsia="zh-CN"/>
        </w:rPr>
      </w:pPr>
      <w:r>
        <w:rPr>
          <w:rFonts w:hint="eastAsia"/>
          <w:color w:val="auto"/>
          <w:highlight w:val="none"/>
          <w:lang w:val="en-US" w:eastAsia="zh-CN"/>
        </w:rPr>
        <w:t>灌木层盖度30%，层均高1.5m，优势种为山鸡椒</w:t>
      </w:r>
      <w:r>
        <w:rPr>
          <w:rFonts w:hint="eastAsia"/>
          <w:i/>
          <w:iCs/>
          <w:color w:val="auto"/>
          <w:highlight w:val="none"/>
          <w:lang w:val="en-US" w:eastAsia="zh-CN"/>
        </w:rPr>
        <w:t>(Litsea cubeba )</w:t>
      </w:r>
      <w:r>
        <w:rPr>
          <w:rFonts w:hint="eastAsia"/>
          <w:color w:val="auto"/>
          <w:highlight w:val="none"/>
          <w:lang w:val="en-US" w:eastAsia="zh-CN"/>
        </w:rPr>
        <w:t>，高约1.5-2.5m，盖度20%，主要伴生种有牡荆</w:t>
      </w:r>
      <w:r>
        <w:rPr>
          <w:rFonts w:hint="eastAsia"/>
          <w:i/>
          <w:iCs/>
          <w:color w:val="auto"/>
          <w:highlight w:val="none"/>
          <w:lang w:val="en-US" w:eastAsia="zh-CN"/>
        </w:rPr>
        <w:t>(Vitex negundo var. cannabifolia )</w:t>
      </w:r>
      <w:r>
        <w:rPr>
          <w:rFonts w:hint="eastAsia"/>
          <w:color w:val="auto"/>
          <w:highlight w:val="none"/>
          <w:lang w:val="en-US" w:eastAsia="zh-CN"/>
        </w:rPr>
        <w:t>、火棘</w:t>
      </w:r>
      <w:r>
        <w:rPr>
          <w:rFonts w:hint="eastAsia"/>
          <w:i/>
          <w:iCs/>
          <w:color w:val="auto"/>
          <w:highlight w:val="none"/>
          <w:lang w:val="en-US" w:eastAsia="zh-CN"/>
        </w:rPr>
        <w:t>(Pyracanthafortuneana )</w:t>
      </w:r>
      <w:r>
        <w:rPr>
          <w:rFonts w:hint="eastAsia"/>
          <w:color w:val="auto"/>
          <w:highlight w:val="none"/>
          <w:lang w:val="en-US" w:eastAsia="zh-CN"/>
        </w:rPr>
        <w:t>、金樱子</w:t>
      </w:r>
      <w:r>
        <w:rPr>
          <w:rFonts w:hint="eastAsia"/>
          <w:i/>
          <w:iCs/>
          <w:color w:val="auto"/>
          <w:highlight w:val="none"/>
          <w:lang w:val="en-US" w:eastAsia="zh-CN"/>
        </w:rPr>
        <w:t>(Rosa laevigata )</w:t>
      </w:r>
      <w:r>
        <w:rPr>
          <w:rFonts w:hint="eastAsia"/>
          <w:color w:val="auto"/>
          <w:highlight w:val="none"/>
          <w:lang w:val="en-US" w:eastAsia="zh-CN"/>
        </w:rPr>
        <w:t>、檵木</w:t>
      </w:r>
      <w:r>
        <w:rPr>
          <w:rFonts w:hint="eastAsia"/>
          <w:i/>
          <w:iCs/>
          <w:color w:val="auto"/>
          <w:highlight w:val="none"/>
          <w:lang w:val="en-US" w:eastAsia="zh-CN"/>
        </w:rPr>
        <w:t>(Loropetalum chinense )</w:t>
      </w:r>
      <w:r>
        <w:rPr>
          <w:rFonts w:hint="eastAsia"/>
          <w:color w:val="auto"/>
          <w:highlight w:val="none"/>
          <w:lang w:val="en-US" w:eastAsia="zh-CN"/>
        </w:rPr>
        <w:t>等。</w:t>
      </w:r>
    </w:p>
    <w:p w14:paraId="75AFAF3E">
      <w:pPr>
        <w:pStyle w:val="30"/>
        <w:rPr>
          <w:rFonts w:hint="eastAsia"/>
          <w:color w:val="auto"/>
          <w:highlight w:val="none"/>
          <w:lang w:val="en-US" w:eastAsia="zh-CN"/>
        </w:rPr>
      </w:pPr>
      <w:r>
        <w:rPr>
          <w:rFonts w:hint="eastAsia"/>
          <w:color w:val="auto"/>
          <w:highlight w:val="none"/>
          <w:lang w:val="en-US" w:eastAsia="zh-CN"/>
        </w:rPr>
        <w:t>草本层盖度15%，层均高0.5m，优势种为千里光</w:t>
      </w:r>
      <w:r>
        <w:rPr>
          <w:rFonts w:hint="eastAsia"/>
          <w:i/>
          <w:iCs/>
          <w:color w:val="auto"/>
          <w:highlight w:val="none"/>
          <w:lang w:val="en-US" w:eastAsia="zh-CN"/>
        </w:rPr>
        <w:t>(Senecio scandens )</w:t>
      </w:r>
      <w:r>
        <w:rPr>
          <w:rFonts w:hint="eastAsia"/>
          <w:color w:val="auto"/>
          <w:highlight w:val="none"/>
          <w:lang w:val="en-US" w:eastAsia="zh-CN"/>
        </w:rPr>
        <w:t>，高约0.4-0.7m，盖度10%，主要伴生种有狗脊</w:t>
      </w:r>
      <w:r>
        <w:rPr>
          <w:rFonts w:hint="eastAsia"/>
          <w:i/>
          <w:iCs/>
          <w:color w:val="auto"/>
          <w:highlight w:val="none"/>
          <w:lang w:val="en-US" w:eastAsia="zh-CN"/>
        </w:rPr>
        <w:t>(Woodwardiajaponica )</w:t>
      </w:r>
      <w:r>
        <w:rPr>
          <w:rFonts w:hint="eastAsia"/>
          <w:color w:val="auto"/>
          <w:highlight w:val="none"/>
          <w:lang w:val="en-US" w:eastAsia="zh-CN"/>
        </w:rPr>
        <w:t>、蕨</w:t>
      </w:r>
      <w:r>
        <w:rPr>
          <w:rFonts w:hint="eastAsia"/>
          <w:i/>
          <w:iCs/>
          <w:color w:val="auto"/>
          <w:highlight w:val="none"/>
          <w:lang w:val="en-US" w:eastAsia="zh-CN"/>
        </w:rPr>
        <w:t>(Pteridium aquilinumvar. latiusculum )</w:t>
      </w:r>
      <w:r>
        <w:rPr>
          <w:rFonts w:hint="eastAsia"/>
          <w:color w:val="auto"/>
          <w:highlight w:val="none"/>
          <w:lang w:val="en-US" w:eastAsia="zh-CN"/>
        </w:rPr>
        <w:t>、地榆</w:t>
      </w:r>
      <w:r>
        <w:rPr>
          <w:rFonts w:hint="eastAsia"/>
          <w:i/>
          <w:iCs/>
          <w:color w:val="auto"/>
          <w:highlight w:val="none"/>
          <w:lang w:val="en-US" w:eastAsia="zh-CN"/>
        </w:rPr>
        <w:t>(Sanguisorba oficinalis )</w:t>
      </w:r>
      <w:r>
        <w:rPr>
          <w:rFonts w:hint="eastAsia"/>
          <w:color w:val="auto"/>
          <w:highlight w:val="none"/>
          <w:lang w:val="en-US" w:eastAsia="zh-CN"/>
        </w:rPr>
        <w:t>等。</w:t>
      </w:r>
    </w:p>
    <w:p w14:paraId="3E83BCCB">
      <w:pPr>
        <w:pStyle w:val="30"/>
        <w:jc w:val="center"/>
        <w:rPr>
          <w:rFonts w:hint="eastAsia"/>
          <w:color w:val="auto"/>
          <w:highlight w:val="none"/>
          <w:lang w:val="en-US" w:eastAsia="zh-CN"/>
        </w:rPr>
      </w:pPr>
      <w:r>
        <w:rPr>
          <w:rFonts w:hint="eastAsia"/>
          <w:color w:val="auto"/>
          <w:highlight w:val="none"/>
          <w:lang w:val="en-US" w:eastAsia="zh-CN"/>
        </w:rPr>
        <w:t>样方位置：12#风机附近 (N26.94999941°，E111.96859002°)；H：296m。</w:t>
      </w:r>
    </w:p>
    <w:tbl>
      <w:tblPr>
        <w:tblStyle w:val="38"/>
        <w:tblW w:w="8765" w:type="dxa"/>
        <w:tblInd w:w="2"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082"/>
        <w:gridCol w:w="850"/>
        <w:gridCol w:w="2257"/>
        <w:gridCol w:w="1143"/>
        <w:gridCol w:w="141"/>
        <w:gridCol w:w="1001"/>
        <w:gridCol w:w="1143"/>
        <w:gridCol w:w="1148"/>
      </w:tblGrid>
      <w:tr w14:paraId="042BC28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1082" w:type="dxa"/>
            <w:vMerge w:val="restart"/>
            <w:tcBorders>
              <w:tl2br w:val="nil"/>
              <w:tr2bl w:val="nil"/>
            </w:tcBorders>
            <w:noWrap w:val="0"/>
            <w:vAlign w:val="center"/>
          </w:tcPr>
          <w:p w14:paraId="3538D86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植被类型</w:t>
            </w:r>
          </w:p>
        </w:tc>
        <w:tc>
          <w:tcPr>
            <w:tcW w:w="3107" w:type="dxa"/>
            <w:gridSpan w:val="2"/>
            <w:vMerge w:val="restart"/>
            <w:tcBorders>
              <w:tl2br w:val="nil"/>
              <w:tr2bl w:val="nil"/>
            </w:tcBorders>
            <w:noWrap w:val="0"/>
            <w:vAlign w:val="center"/>
          </w:tcPr>
          <w:p w14:paraId="5B26F70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枫香树林</w:t>
            </w:r>
            <w:r>
              <w:rPr>
                <w:rFonts w:hint="default" w:cs="Times New Roman"/>
                <w:i/>
                <w:iCs/>
                <w:color w:val="auto"/>
                <w:highlight w:val="none"/>
              </w:rPr>
              <w:t>(Form.Liquidambarformosana)</w:t>
            </w:r>
          </w:p>
        </w:tc>
        <w:tc>
          <w:tcPr>
            <w:tcW w:w="4576" w:type="dxa"/>
            <w:gridSpan w:val="5"/>
            <w:tcBorders>
              <w:tl2br w:val="nil"/>
              <w:tr2bl w:val="nil"/>
            </w:tcBorders>
            <w:noWrap w:val="0"/>
            <w:vAlign w:val="center"/>
          </w:tcPr>
          <w:p w14:paraId="4F7ED745">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环境特征</w:t>
            </w:r>
          </w:p>
        </w:tc>
      </w:tr>
      <w:tr w14:paraId="6533086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1082" w:type="dxa"/>
            <w:vMerge w:val="continue"/>
            <w:tcBorders>
              <w:tl2br w:val="nil"/>
              <w:tr2bl w:val="nil"/>
            </w:tcBorders>
            <w:noWrap w:val="0"/>
            <w:vAlign w:val="center"/>
          </w:tcPr>
          <w:p w14:paraId="5758C8B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3107" w:type="dxa"/>
            <w:gridSpan w:val="2"/>
            <w:vMerge w:val="continue"/>
            <w:tcBorders>
              <w:tl2br w:val="nil"/>
              <w:tr2bl w:val="nil"/>
            </w:tcBorders>
            <w:noWrap w:val="0"/>
            <w:vAlign w:val="center"/>
          </w:tcPr>
          <w:p w14:paraId="2370127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1143" w:type="dxa"/>
            <w:tcBorders>
              <w:tl2br w:val="nil"/>
              <w:tr2bl w:val="nil"/>
            </w:tcBorders>
            <w:noWrap w:val="0"/>
            <w:vAlign w:val="center"/>
          </w:tcPr>
          <w:p w14:paraId="6154CEC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地形</w:t>
            </w:r>
          </w:p>
        </w:tc>
        <w:tc>
          <w:tcPr>
            <w:tcW w:w="1142" w:type="dxa"/>
            <w:gridSpan w:val="2"/>
            <w:tcBorders>
              <w:tl2br w:val="nil"/>
              <w:tr2bl w:val="nil"/>
            </w:tcBorders>
            <w:noWrap w:val="0"/>
            <w:vAlign w:val="center"/>
          </w:tcPr>
          <w:p w14:paraId="3730B68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海拔(m)</w:t>
            </w:r>
          </w:p>
        </w:tc>
        <w:tc>
          <w:tcPr>
            <w:tcW w:w="1143" w:type="dxa"/>
            <w:tcBorders>
              <w:tl2br w:val="nil"/>
              <w:tr2bl w:val="nil"/>
            </w:tcBorders>
            <w:noWrap w:val="0"/>
            <w:vAlign w:val="center"/>
          </w:tcPr>
          <w:p w14:paraId="4DA1B4B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坡向</w:t>
            </w:r>
          </w:p>
        </w:tc>
        <w:tc>
          <w:tcPr>
            <w:tcW w:w="1148" w:type="dxa"/>
            <w:tcBorders>
              <w:tl2br w:val="nil"/>
              <w:tr2bl w:val="nil"/>
            </w:tcBorders>
            <w:noWrap w:val="0"/>
            <w:vAlign w:val="center"/>
          </w:tcPr>
          <w:p w14:paraId="026D2A6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坡度(°)</w:t>
            </w:r>
          </w:p>
        </w:tc>
      </w:tr>
      <w:tr w14:paraId="24058F2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1082" w:type="dxa"/>
            <w:tcBorders>
              <w:tl2br w:val="nil"/>
              <w:tr2bl w:val="nil"/>
            </w:tcBorders>
            <w:noWrap w:val="0"/>
            <w:vAlign w:val="center"/>
          </w:tcPr>
          <w:p w14:paraId="5988736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地点</w:t>
            </w:r>
          </w:p>
        </w:tc>
        <w:tc>
          <w:tcPr>
            <w:tcW w:w="3107" w:type="dxa"/>
            <w:gridSpan w:val="2"/>
            <w:tcBorders>
              <w:tl2br w:val="nil"/>
              <w:tr2bl w:val="nil"/>
            </w:tcBorders>
            <w:noWrap w:val="0"/>
            <w:vAlign w:val="center"/>
          </w:tcPr>
          <w:p w14:paraId="6A3C312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eastAsia" w:cs="Times New Roman"/>
                <w:color w:val="auto"/>
                <w:highlight w:val="none"/>
                <w:lang w:val="en-US" w:eastAsia="zh-CN"/>
              </w:rPr>
              <w:t>12#</w:t>
            </w:r>
            <w:r>
              <w:rPr>
                <w:rFonts w:hint="default" w:cs="Times New Roman"/>
                <w:color w:val="auto"/>
                <w:highlight w:val="none"/>
              </w:rPr>
              <w:t>风机附近</w:t>
            </w:r>
          </w:p>
        </w:tc>
        <w:tc>
          <w:tcPr>
            <w:tcW w:w="1143" w:type="dxa"/>
            <w:tcBorders>
              <w:tl2br w:val="nil"/>
              <w:tr2bl w:val="nil"/>
            </w:tcBorders>
            <w:noWrap w:val="0"/>
            <w:vAlign w:val="center"/>
          </w:tcPr>
          <w:p w14:paraId="35BCCF9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cs="Times New Roman"/>
                <w:color w:val="auto"/>
                <w:highlight w:val="none"/>
                <w:lang w:eastAsia="zh-CN"/>
              </w:rPr>
            </w:pPr>
            <w:r>
              <w:rPr>
                <w:rFonts w:hint="eastAsia" w:cs="Times New Roman"/>
                <w:color w:val="auto"/>
                <w:highlight w:val="none"/>
                <w:lang w:eastAsia="zh-CN"/>
              </w:rPr>
              <w:t>山地</w:t>
            </w:r>
          </w:p>
        </w:tc>
        <w:tc>
          <w:tcPr>
            <w:tcW w:w="1142" w:type="dxa"/>
            <w:gridSpan w:val="2"/>
            <w:tcBorders>
              <w:tl2br w:val="nil"/>
              <w:tr2bl w:val="nil"/>
            </w:tcBorders>
            <w:noWrap w:val="0"/>
            <w:vAlign w:val="center"/>
          </w:tcPr>
          <w:p w14:paraId="6059174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val="en-US" w:eastAsia="zh-CN"/>
              </w:rPr>
            </w:pPr>
            <w:r>
              <w:rPr>
                <w:rFonts w:hint="eastAsia" w:cs="Times New Roman"/>
                <w:color w:val="auto"/>
                <w:highlight w:val="none"/>
                <w:lang w:val="en-US" w:eastAsia="zh-CN"/>
              </w:rPr>
              <w:t>296</w:t>
            </w:r>
          </w:p>
        </w:tc>
        <w:tc>
          <w:tcPr>
            <w:tcW w:w="1143" w:type="dxa"/>
            <w:tcBorders>
              <w:tl2br w:val="nil"/>
              <w:tr2bl w:val="nil"/>
            </w:tcBorders>
            <w:noWrap w:val="0"/>
            <w:vAlign w:val="center"/>
          </w:tcPr>
          <w:p w14:paraId="00ACC83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cs="Times New Roman"/>
                <w:color w:val="auto"/>
                <w:highlight w:val="none"/>
                <w:lang w:val="en-US" w:eastAsia="zh-CN"/>
              </w:rPr>
            </w:pPr>
            <w:r>
              <w:rPr>
                <w:rFonts w:hint="eastAsia" w:cs="Times New Roman"/>
                <w:color w:val="auto"/>
                <w:highlight w:val="none"/>
                <w:lang w:val="en-US" w:eastAsia="zh-CN"/>
              </w:rPr>
              <w:t>E</w:t>
            </w:r>
          </w:p>
        </w:tc>
        <w:tc>
          <w:tcPr>
            <w:tcW w:w="1148" w:type="dxa"/>
            <w:tcBorders>
              <w:tl2br w:val="nil"/>
              <w:tr2bl w:val="nil"/>
            </w:tcBorders>
            <w:noWrap w:val="0"/>
            <w:vAlign w:val="center"/>
          </w:tcPr>
          <w:p w14:paraId="7EDEFF9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val="en-US" w:eastAsia="zh-CN"/>
              </w:rPr>
            </w:pPr>
            <w:r>
              <w:rPr>
                <w:rFonts w:hint="eastAsia" w:cs="Times New Roman"/>
                <w:color w:val="auto"/>
                <w:highlight w:val="none"/>
                <w:lang w:val="en-US" w:eastAsia="zh-CN"/>
              </w:rPr>
              <w:t>28</w:t>
            </w:r>
          </w:p>
        </w:tc>
      </w:tr>
      <w:tr w14:paraId="126FF06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1082" w:type="dxa"/>
            <w:tcBorders>
              <w:tl2br w:val="nil"/>
              <w:tr2bl w:val="nil"/>
            </w:tcBorders>
            <w:noWrap w:val="0"/>
            <w:vAlign w:val="center"/>
          </w:tcPr>
          <w:p w14:paraId="6D5C861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经纬度</w:t>
            </w:r>
          </w:p>
        </w:tc>
        <w:tc>
          <w:tcPr>
            <w:tcW w:w="7683" w:type="dxa"/>
            <w:gridSpan w:val="7"/>
            <w:tcBorders>
              <w:tl2br w:val="nil"/>
              <w:tr2bl w:val="nil"/>
            </w:tcBorders>
            <w:noWrap w:val="0"/>
            <w:vAlign w:val="center"/>
          </w:tcPr>
          <w:p w14:paraId="66BF7125">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lang w:val="en-US" w:eastAsia="zh-CN"/>
              </w:rPr>
              <w:t>N26.94999941°，E111.96859002°</w:t>
            </w:r>
          </w:p>
        </w:tc>
      </w:tr>
      <w:tr w14:paraId="19B92E2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1082" w:type="dxa"/>
            <w:tcBorders>
              <w:tl2br w:val="nil"/>
              <w:tr2bl w:val="nil"/>
            </w:tcBorders>
            <w:noWrap w:val="0"/>
            <w:vAlign w:val="center"/>
          </w:tcPr>
          <w:p w14:paraId="6F8A991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层次</w:t>
            </w:r>
          </w:p>
        </w:tc>
        <w:tc>
          <w:tcPr>
            <w:tcW w:w="7683" w:type="dxa"/>
            <w:gridSpan w:val="7"/>
            <w:tcBorders>
              <w:tl2br w:val="nil"/>
              <w:tr2bl w:val="nil"/>
            </w:tcBorders>
            <w:noWrap w:val="0"/>
            <w:vAlign w:val="center"/>
          </w:tcPr>
          <w:p w14:paraId="7260002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三层</w:t>
            </w:r>
          </w:p>
        </w:tc>
      </w:tr>
      <w:tr w14:paraId="7E058D7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1082" w:type="dxa"/>
            <w:tcBorders>
              <w:tl2br w:val="nil"/>
              <w:tr2bl w:val="nil"/>
            </w:tcBorders>
            <w:noWrap w:val="0"/>
            <w:vAlign w:val="center"/>
          </w:tcPr>
          <w:p w14:paraId="482D239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分层</w:t>
            </w:r>
          </w:p>
        </w:tc>
        <w:tc>
          <w:tcPr>
            <w:tcW w:w="850" w:type="dxa"/>
            <w:tcBorders>
              <w:tl2br w:val="nil"/>
              <w:tr2bl w:val="nil"/>
            </w:tcBorders>
            <w:noWrap w:val="0"/>
            <w:vAlign w:val="center"/>
          </w:tcPr>
          <w:p w14:paraId="3919036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w:t>
            </w:r>
          </w:p>
        </w:tc>
        <w:tc>
          <w:tcPr>
            <w:tcW w:w="3541" w:type="dxa"/>
            <w:gridSpan w:val="3"/>
            <w:tcBorders>
              <w:tl2br w:val="nil"/>
              <w:tr2bl w:val="nil"/>
            </w:tcBorders>
            <w:noWrap w:val="0"/>
            <w:vAlign w:val="center"/>
          </w:tcPr>
          <w:p w14:paraId="646B88C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种类组成与生长状况</w:t>
            </w:r>
          </w:p>
        </w:tc>
        <w:tc>
          <w:tcPr>
            <w:tcW w:w="3292" w:type="dxa"/>
            <w:gridSpan w:val="3"/>
            <w:tcBorders>
              <w:tl2br w:val="nil"/>
              <w:tr2bl w:val="nil"/>
            </w:tcBorders>
            <w:noWrap w:val="0"/>
            <w:vAlign w:val="center"/>
          </w:tcPr>
          <w:p w14:paraId="45C10F5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考察照片</w:t>
            </w:r>
          </w:p>
        </w:tc>
      </w:tr>
      <w:tr w14:paraId="769ECA5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340" w:hRule="atLeast"/>
        </w:trPr>
        <w:tc>
          <w:tcPr>
            <w:tcW w:w="1082" w:type="dxa"/>
            <w:tcBorders>
              <w:tl2br w:val="nil"/>
              <w:tr2bl w:val="nil"/>
            </w:tcBorders>
            <w:noWrap w:val="0"/>
            <w:vAlign w:val="center"/>
          </w:tcPr>
          <w:p w14:paraId="1EFD738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乔木层</w:t>
            </w:r>
          </w:p>
        </w:tc>
        <w:tc>
          <w:tcPr>
            <w:tcW w:w="850" w:type="dxa"/>
            <w:tcBorders>
              <w:tl2br w:val="nil"/>
              <w:tr2bl w:val="nil"/>
            </w:tcBorders>
            <w:noWrap w:val="0"/>
            <w:vAlign w:val="center"/>
          </w:tcPr>
          <w:p w14:paraId="2292728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郁闭度 0.5</w:t>
            </w:r>
          </w:p>
        </w:tc>
        <w:tc>
          <w:tcPr>
            <w:tcW w:w="3541" w:type="dxa"/>
            <w:gridSpan w:val="3"/>
            <w:tcBorders>
              <w:tl2br w:val="nil"/>
              <w:tr2bl w:val="nil"/>
            </w:tcBorders>
            <w:noWrap w:val="0"/>
            <w:vAlign w:val="center"/>
          </w:tcPr>
          <w:p w14:paraId="3A5CC81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层均高6m，优势种为枫香树</w:t>
            </w:r>
            <w:r>
              <w:rPr>
                <w:rFonts w:hint="default" w:cs="Times New Roman"/>
                <w:i/>
                <w:iCs/>
                <w:color w:val="auto"/>
                <w:highlight w:val="none"/>
              </w:rPr>
              <w:t>(Liquidambar formosana)</w:t>
            </w:r>
            <w:r>
              <w:rPr>
                <w:rFonts w:hint="default" w:cs="Times New Roman"/>
                <w:color w:val="auto"/>
                <w:highlight w:val="none"/>
              </w:rPr>
              <w:t>，高约6-8m，胸径6-9cm，盖度35%，主要伴生种有山乌桕</w:t>
            </w:r>
            <w:r>
              <w:rPr>
                <w:rFonts w:hint="default" w:cs="Times New Roman"/>
                <w:i/>
                <w:iCs/>
                <w:color w:val="auto"/>
                <w:highlight w:val="none"/>
              </w:rPr>
              <w:t>(Sapium discolor)</w:t>
            </w:r>
            <w:r>
              <w:rPr>
                <w:rFonts w:hint="default" w:cs="Times New Roman"/>
                <w:color w:val="auto"/>
                <w:highlight w:val="none"/>
              </w:rPr>
              <w:t>、野柿</w:t>
            </w:r>
            <w:r>
              <w:rPr>
                <w:rFonts w:hint="default" w:cs="Times New Roman"/>
                <w:i/>
                <w:iCs/>
                <w:color w:val="auto"/>
                <w:highlight w:val="none"/>
              </w:rPr>
              <w:t>(Diospyros kaki var. silvestris)</w:t>
            </w:r>
            <w:r>
              <w:rPr>
                <w:rFonts w:hint="default" w:cs="Times New Roman"/>
                <w:color w:val="auto"/>
                <w:highlight w:val="none"/>
              </w:rPr>
              <w:t>、锥栗</w:t>
            </w:r>
            <w:r>
              <w:rPr>
                <w:rFonts w:hint="default" w:cs="Times New Roman"/>
                <w:i/>
                <w:iCs/>
                <w:color w:val="auto"/>
                <w:highlight w:val="none"/>
              </w:rPr>
              <w:t>(Castanea henryi)</w:t>
            </w:r>
            <w:r>
              <w:rPr>
                <w:rFonts w:hint="default" w:cs="Times New Roman"/>
                <w:color w:val="auto"/>
                <w:highlight w:val="none"/>
              </w:rPr>
              <w:t>、檫木</w:t>
            </w:r>
            <w:r>
              <w:rPr>
                <w:rFonts w:hint="default" w:cs="Times New Roman"/>
                <w:i/>
                <w:iCs/>
                <w:color w:val="auto"/>
                <w:highlight w:val="none"/>
              </w:rPr>
              <w:t>(Sassafras tzumu)</w:t>
            </w:r>
            <w:r>
              <w:rPr>
                <w:rFonts w:hint="default" w:cs="Times New Roman"/>
                <w:color w:val="auto"/>
                <w:highlight w:val="none"/>
              </w:rPr>
              <w:t>等。</w:t>
            </w:r>
          </w:p>
        </w:tc>
        <w:tc>
          <w:tcPr>
            <w:tcW w:w="3292" w:type="dxa"/>
            <w:gridSpan w:val="3"/>
            <w:vMerge w:val="restart"/>
            <w:tcBorders>
              <w:tl2br w:val="nil"/>
              <w:tr2bl w:val="nil"/>
            </w:tcBorders>
            <w:noWrap w:val="0"/>
            <w:vAlign w:val="center"/>
          </w:tcPr>
          <w:p w14:paraId="0D0B9B5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eastAsia" w:cs="Times New Roman"/>
                <w:color w:val="auto"/>
                <w:highlight w:val="none"/>
                <w:lang w:eastAsia="zh-CN"/>
              </w:rPr>
              <w:drawing>
                <wp:inline distT="0" distB="0" distL="114300" distR="114300">
                  <wp:extent cx="2084705" cy="3706495"/>
                  <wp:effectExtent l="0" t="0" r="10795" b="8255"/>
                  <wp:docPr id="56" name="图片 23" descr="picture_2023_06_27_14_29_11_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3" descr="picture_2023_06_27_14_29_11_796"/>
                          <pic:cNvPicPr>
                            <a:picLocks noChangeAspect="1"/>
                          </pic:cNvPicPr>
                        </pic:nvPicPr>
                        <pic:blipFill>
                          <a:blip r:embed="rId31"/>
                          <a:stretch>
                            <a:fillRect/>
                          </a:stretch>
                        </pic:blipFill>
                        <pic:spPr>
                          <a:xfrm>
                            <a:off x="0" y="0"/>
                            <a:ext cx="2084705" cy="3706495"/>
                          </a:xfrm>
                          <a:prstGeom prst="rect">
                            <a:avLst/>
                          </a:prstGeom>
                          <a:noFill/>
                          <a:ln>
                            <a:noFill/>
                          </a:ln>
                        </pic:spPr>
                      </pic:pic>
                    </a:graphicData>
                  </a:graphic>
                </wp:inline>
              </w:drawing>
            </w:r>
          </w:p>
        </w:tc>
      </w:tr>
      <w:tr w14:paraId="2D91726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187" w:hRule="atLeast"/>
        </w:trPr>
        <w:tc>
          <w:tcPr>
            <w:tcW w:w="1082" w:type="dxa"/>
            <w:tcBorders>
              <w:tl2br w:val="nil"/>
              <w:tr2bl w:val="nil"/>
            </w:tcBorders>
            <w:noWrap w:val="0"/>
            <w:vAlign w:val="center"/>
          </w:tcPr>
          <w:p w14:paraId="322FAD1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灌木层</w:t>
            </w:r>
          </w:p>
        </w:tc>
        <w:tc>
          <w:tcPr>
            <w:tcW w:w="850" w:type="dxa"/>
            <w:tcBorders>
              <w:tl2br w:val="nil"/>
              <w:tr2bl w:val="nil"/>
            </w:tcBorders>
            <w:noWrap w:val="0"/>
            <w:vAlign w:val="center"/>
          </w:tcPr>
          <w:p w14:paraId="7837164C">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 30%</w:t>
            </w:r>
          </w:p>
        </w:tc>
        <w:tc>
          <w:tcPr>
            <w:tcW w:w="3541" w:type="dxa"/>
            <w:gridSpan w:val="3"/>
            <w:tcBorders>
              <w:tl2br w:val="nil"/>
              <w:tr2bl w:val="nil"/>
            </w:tcBorders>
            <w:noWrap w:val="0"/>
            <w:vAlign w:val="center"/>
          </w:tcPr>
          <w:p w14:paraId="46412AE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层均高1.5m，优势种为山鸡椒</w:t>
            </w:r>
            <w:r>
              <w:rPr>
                <w:rFonts w:hint="default" w:cs="Times New Roman"/>
                <w:i/>
                <w:iCs/>
                <w:color w:val="auto"/>
                <w:highlight w:val="none"/>
              </w:rPr>
              <w:t>(Litsea cubeba)</w:t>
            </w:r>
            <w:r>
              <w:rPr>
                <w:rFonts w:hint="default" w:cs="Times New Roman"/>
                <w:color w:val="auto"/>
                <w:highlight w:val="none"/>
              </w:rPr>
              <w:t>，高约1.5-2.5m，盖度20%，</w:t>
            </w:r>
          </w:p>
          <w:p w14:paraId="6941570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主要伴生种有牡荆</w:t>
            </w:r>
            <w:r>
              <w:rPr>
                <w:rFonts w:hint="default" w:cs="Times New Roman"/>
                <w:i/>
                <w:iCs/>
                <w:color w:val="auto"/>
                <w:highlight w:val="none"/>
              </w:rPr>
              <w:t>(Vitex negundovar.cannabifolia)</w:t>
            </w:r>
            <w:r>
              <w:rPr>
                <w:rFonts w:hint="default" w:cs="Times New Roman"/>
                <w:color w:val="auto"/>
                <w:highlight w:val="none"/>
              </w:rPr>
              <w:t>、火棘</w:t>
            </w:r>
            <w:r>
              <w:rPr>
                <w:rFonts w:hint="default" w:cs="Times New Roman"/>
                <w:i/>
                <w:iCs/>
                <w:color w:val="auto"/>
                <w:highlight w:val="none"/>
              </w:rPr>
              <w:t>(Pyracantha fortuneana)</w:t>
            </w:r>
            <w:r>
              <w:rPr>
                <w:rFonts w:hint="default" w:cs="Times New Roman"/>
                <w:color w:val="auto"/>
                <w:highlight w:val="none"/>
              </w:rPr>
              <w:t>、金樱子</w:t>
            </w:r>
            <w:r>
              <w:rPr>
                <w:rFonts w:hint="default" w:cs="Times New Roman"/>
                <w:i/>
                <w:iCs/>
                <w:color w:val="auto"/>
                <w:highlight w:val="none"/>
              </w:rPr>
              <w:t>(Rosa laevigata)</w:t>
            </w:r>
            <w:r>
              <w:rPr>
                <w:rFonts w:hint="default" w:cs="Times New Roman"/>
                <w:color w:val="auto"/>
                <w:highlight w:val="none"/>
              </w:rPr>
              <w:t>、檵木</w:t>
            </w:r>
            <w:r>
              <w:rPr>
                <w:rFonts w:hint="default" w:cs="Times New Roman"/>
                <w:i/>
                <w:iCs/>
                <w:color w:val="auto"/>
                <w:highlight w:val="none"/>
              </w:rPr>
              <w:t>(Loropetalum chinense)</w:t>
            </w:r>
            <w:r>
              <w:rPr>
                <w:rFonts w:hint="default" w:cs="Times New Roman"/>
                <w:color w:val="auto"/>
                <w:highlight w:val="none"/>
              </w:rPr>
              <w:t>等。</w:t>
            </w:r>
          </w:p>
        </w:tc>
        <w:tc>
          <w:tcPr>
            <w:tcW w:w="3292" w:type="dxa"/>
            <w:gridSpan w:val="3"/>
            <w:vMerge w:val="continue"/>
            <w:tcBorders>
              <w:tl2br w:val="nil"/>
              <w:tr2bl w:val="nil"/>
            </w:tcBorders>
            <w:noWrap w:val="0"/>
            <w:vAlign w:val="center"/>
          </w:tcPr>
          <w:p w14:paraId="02F9000A">
            <w:pPr>
              <w:adjustRightInd w:val="0"/>
              <w:snapToGrid w:val="0"/>
              <w:jc w:val="center"/>
              <w:rPr>
                <w:rFonts w:ascii="Arial"/>
                <w:color w:val="auto"/>
                <w:sz w:val="21"/>
                <w:highlight w:val="none"/>
              </w:rPr>
            </w:pPr>
          </w:p>
        </w:tc>
      </w:tr>
      <w:tr w14:paraId="0BF7D6F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254" w:hRule="atLeast"/>
        </w:trPr>
        <w:tc>
          <w:tcPr>
            <w:tcW w:w="1082" w:type="dxa"/>
            <w:tcBorders>
              <w:tl2br w:val="nil"/>
              <w:tr2bl w:val="nil"/>
            </w:tcBorders>
            <w:noWrap w:val="0"/>
            <w:vAlign w:val="center"/>
          </w:tcPr>
          <w:p w14:paraId="3007673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草本层</w:t>
            </w:r>
          </w:p>
        </w:tc>
        <w:tc>
          <w:tcPr>
            <w:tcW w:w="850" w:type="dxa"/>
            <w:tcBorders>
              <w:tl2br w:val="nil"/>
              <w:tr2bl w:val="nil"/>
            </w:tcBorders>
            <w:noWrap w:val="0"/>
            <w:vAlign w:val="center"/>
          </w:tcPr>
          <w:p w14:paraId="3AD117A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 15%</w:t>
            </w:r>
          </w:p>
        </w:tc>
        <w:tc>
          <w:tcPr>
            <w:tcW w:w="3541" w:type="dxa"/>
            <w:gridSpan w:val="3"/>
            <w:tcBorders>
              <w:tl2br w:val="nil"/>
              <w:tr2bl w:val="nil"/>
            </w:tcBorders>
            <w:noWrap w:val="0"/>
            <w:vAlign w:val="center"/>
          </w:tcPr>
          <w:p w14:paraId="19DA97F5">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层均高0.5m，优势种为千里光</w:t>
            </w:r>
            <w:r>
              <w:rPr>
                <w:rFonts w:hint="default" w:cs="Times New Roman"/>
                <w:i/>
                <w:iCs/>
                <w:color w:val="auto"/>
                <w:highlight w:val="none"/>
              </w:rPr>
              <w:t>(Senecio scandens)</w:t>
            </w:r>
            <w:r>
              <w:rPr>
                <w:rFonts w:hint="default" w:cs="Times New Roman"/>
                <w:color w:val="auto"/>
                <w:highlight w:val="none"/>
              </w:rPr>
              <w:t>，高约0.4-0.7m，盖度10% ，主要伴生种有狗脊</w:t>
            </w:r>
            <w:r>
              <w:rPr>
                <w:rFonts w:hint="default" w:cs="Times New Roman"/>
                <w:i/>
                <w:iCs/>
                <w:color w:val="auto"/>
                <w:highlight w:val="none"/>
              </w:rPr>
              <w:t>(Woodwardia japonica)</w:t>
            </w:r>
            <w:r>
              <w:rPr>
                <w:rFonts w:hint="default" w:cs="Times New Roman"/>
                <w:color w:val="auto"/>
                <w:highlight w:val="none"/>
              </w:rPr>
              <w:t>、蕨</w:t>
            </w:r>
            <w:r>
              <w:rPr>
                <w:rFonts w:hint="default" w:cs="Times New Roman"/>
                <w:i/>
                <w:iCs/>
                <w:color w:val="auto"/>
                <w:highlight w:val="none"/>
              </w:rPr>
              <w:t>(Pteridium aquilinumvar. latiusculum)</w:t>
            </w:r>
            <w:r>
              <w:rPr>
                <w:rFonts w:hint="default" w:cs="Times New Roman"/>
                <w:color w:val="auto"/>
                <w:highlight w:val="none"/>
              </w:rPr>
              <w:t>、地榆</w:t>
            </w:r>
            <w:r>
              <w:rPr>
                <w:rFonts w:hint="default" w:cs="Times New Roman"/>
                <w:i/>
                <w:iCs/>
                <w:color w:val="auto"/>
                <w:highlight w:val="none"/>
              </w:rPr>
              <w:t>(Sanguisorba officinalis)</w:t>
            </w:r>
            <w:r>
              <w:rPr>
                <w:rFonts w:hint="default" w:cs="Times New Roman"/>
                <w:color w:val="auto"/>
                <w:highlight w:val="none"/>
              </w:rPr>
              <w:t>等。</w:t>
            </w:r>
          </w:p>
        </w:tc>
        <w:tc>
          <w:tcPr>
            <w:tcW w:w="3292" w:type="dxa"/>
            <w:gridSpan w:val="3"/>
            <w:vMerge w:val="continue"/>
            <w:tcBorders>
              <w:tl2br w:val="nil"/>
              <w:tr2bl w:val="nil"/>
            </w:tcBorders>
            <w:noWrap w:val="0"/>
            <w:vAlign w:val="center"/>
          </w:tcPr>
          <w:p w14:paraId="4A00123B">
            <w:pPr>
              <w:adjustRightInd w:val="0"/>
              <w:snapToGrid w:val="0"/>
              <w:jc w:val="center"/>
              <w:rPr>
                <w:rFonts w:ascii="Arial"/>
                <w:color w:val="auto"/>
                <w:sz w:val="21"/>
                <w:highlight w:val="none"/>
              </w:rPr>
            </w:pPr>
          </w:p>
        </w:tc>
      </w:tr>
    </w:tbl>
    <w:p w14:paraId="5AC280A5">
      <w:pPr>
        <w:pStyle w:val="30"/>
        <w:rPr>
          <w:rFonts w:hint="eastAsia"/>
          <w:b/>
          <w:bCs/>
          <w:i/>
          <w:iCs/>
          <w:color w:val="auto"/>
          <w:highlight w:val="none"/>
          <w:lang w:val="en-US" w:eastAsia="zh-CN"/>
        </w:rPr>
      </w:pPr>
      <w:r>
        <w:rPr>
          <w:rFonts w:hint="eastAsia"/>
          <w:b/>
          <w:bCs/>
          <w:color w:val="auto"/>
          <w:highlight w:val="none"/>
          <w:lang w:val="en-US" w:eastAsia="zh-CN"/>
        </w:rPr>
        <w:t>4) 山乌桕林</w:t>
      </w:r>
      <w:r>
        <w:rPr>
          <w:rFonts w:hint="eastAsia"/>
          <w:b/>
          <w:bCs/>
          <w:i/>
          <w:iCs/>
          <w:color w:val="auto"/>
          <w:highlight w:val="none"/>
          <w:lang w:val="en-US" w:eastAsia="zh-CN"/>
        </w:rPr>
        <w:t xml:space="preserve"> (Form.Sapium discolor)</w:t>
      </w:r>
    </w:p>
    <w:p w14:paraId="0634F813">
      <w:pPr>
        <w:pStyle w:val="30"/>
        <w:rPr>
          <w:rFonts w:hint="eastAsia"/>
          <w:color w:val="auto"/>
          <w:highlight w:val="none"/>
          <w:lang w:val="en-US" w:eastAsia="zh-CN"/>
        </w:rPr>
      </w:pPr>
      <w:r>
        <w:rPr>
          <w:rFonts w:hint="eastAsia"/>
          <w:color w:val="auto"/>
          <w:highlight w:val="none"/>
          <w:lang w:val="en-US" w:eastAsia="zh-CN"/>
        </w:rPr>
        <w:t>山乌桕抗性强，多生于山谷或山坡混交林中。山乌桕林在评价区内分布广泛，多分布于山坡中上部。</w:t>
      </w:r>
    </w:p>
    <w:p w14:paraId="0A9093DC">
      <w:pPr>
        <w:pStyle w:val="30"/>
        <w:rPr>
          <w:rFonts w:hint="eastAsia"/>
          <w:color w:val="auto"/>
          <w:highlight w:val="none"/>
          <w:lang w:val="en-US" w:eastAsia="zh-CN"/>
        </w:rPr>
      </w:pPr>
      <w:r>
        <w:rPr>
          <w:rFonts w:hint="eastAsia"/>
          <w:color w:val="auto"/>
          <w:highlight w:val="none"/>
          <w:lang w:val="en-US" w:eastAsia="zh-CN"/>
        </w:rPr>
        <w:t>山乌桕林乔木层郁闭度0.4，层均高2.5m，优势种为山乌桕</w:t>
      </w:r>
      <w:r>
        <w:rPr>
          <w:rFonts w:hint="eastAsia"/>
          <w:i/>
          <w:iCs/>
          <w:color w:val="auto"/>
          <w:highlight w:val="none"/>
          <w:lang w:val="en-US" w:eastAsia="zh-CN"/>
        </w:rPr>
        <w:t>(Sapium discolor)</w:t>
      </w:r>
      <w:r>
        <w:rPr>
          <w:rFonts w:hint="eastAsia"/>
          <w:color w:val="auto"/>
          <w:highlight w:val="none"/>
          <w:lang w:val="en-US" w:eastAsia="zh-CN"/>
        </w:rPr>
        <w:t>， 高约1.5-2m，胸径4cm，盖度30%，主要伴生种有女贞</w:t>
      </w:r>
      <w:r>
        <w:rPr>
          <w:rFonts w:hint="eastAsia"/>
          <w:i/>
          <w:iCs/>
          <w:color w:val="auto"/>
          <w:highlight w:val="none"/>
          <w:lang w:val="en-US" w:eastAsia="zh-CN"/>
        </w:rPr>
        <w:t>(Ligustrum lucidum )</w:t>
      </w:r>
      <w:r>
        <w:rPr>
          <w:rFonts w:hint="eastAsia"/>
          <w:color w:val="auto"/>
          <w:highlight w:val="none"/>
          <w:lang w:val="en-US" w:eastAsia="zh-CN"/>
        </w:rPr>
        <w:t>、楤木</w:t>
      </w:r>
      <w:r>
        <w:rPr>
          <w:rFonts w:hint="eastAsia"/>
          <w:i/>
          <w:iCs/>
          <w:color w:val="auto"/>
          <w:highlight w:val="none"/>
          <w:lang w:val="en-US" w:eastAsia="zh-CN"/>
        </w:rPr>
        <w:t>(Aralia chinensis )</w:t>
      </w:r>
      <w:r>
        <w:rPr>
          <w:rFonts w:hint="eastAsia"/>
          <w:color w:val="auto"/>
          <w:highlight w:val="none"/>
          <w:lang w:val="en-US" w:eastAsia="zh-CN"/>
        </w:rPr>
        <w:t>、锥栗</w:t>
      </w:r>
      <w:r>
        <w:rPr>
          <w:rFonts w:hint="eastAsia"/>
          <w:i/>
          <w:iCs/>
          <w:color w:val="auto"/>
          <w:highlight w:val="none"/>
          <w:lang w:val="en-US" w:eastAsia="zh-CN"/>
        </w:rPr>
        <w:t>(Castanea henryi)</w:t>
      </w:r>
      <w:r>
        <w:rPr>
          <w:rFonts w:hint="eastAsia"/>
          <w:color w:val="auto"/>
          <w:highlight w:val="none"/>
          <w:lang w:val="en-US" w:eastAsia="zh-CN"/>
        </w:rPr>
        <w:t>等。</w:t>
      </w:r>
    </w:p>
    <w:p w14:paraId="47784275">
      <w:pPr>
        <w:pStyle w:val="30"/>
        <w:rPr>
          <w:rFonts w:hint="eastAsia"/>
          <w:color w:val="auto"/>
          <w:highlight w:val="none"/>
          <w:lang w:val="en-US" w:eastAsia="zh-CN"/>
        </w:rPr>
      </w:pPr>
      <w:r>
        <w:rPr>
          <w:rFonts w:hint="eastAsia"/>
          <w:color w:val="auto"/>
          <w:highlight w:val="none"/>
          <w:lang w:val="en-US" w:eastAsia="zh-CN"/>
        </w:rPr>
        <w:t>灌木层盖度25%，层均高1.5m，优势种为小果蔷薇</w:t>
      </w:r>
      <w:r>
        <w:rPr>
          <w:rFonts w:hint="eastAsia"/>
          <w:i/>
          <w:iCs/>
          <w:color w:val="auto"/>
          <w:highlight w:val="none"/>
          <w:lang w:val="en-US" w:eastAsia="zh-CN"/>
        </w:rPr>
        <w:t>(Rosa cymosa)</w:t>
      </w:r>
      <w:r>
        <w:rPr>
          <w:rFonts w:hint="eastAsia"/>
          <w:color w:val="auto"/>
          <w:highlight w:val="none"/>
          <w:lang w:val="en-US" w:eastAsia="zh-CN"/>
        </w:rPr>
        <w:t>，高约1m，盖度15%，主要伴生种有马银花</w:t>
      </w:r>
      <w:r>
        <w:rPr>
          <w:rFonts w:hint="eastAsia"/>
          <w:i/>
          <w:iCs/>
          <w:color w:val="auto"/>
          <w:highlight w:val="none"/>
          <w:lang w:val="en-US" w:eastAsia="zh-CN"/>
        </w:rPr>
        <w:t>(Rhododendron ovatum )</w:t>
      </w:r>
      <w:r>
        <w:rPr>
          <w:rFonts w:hint="eastAsia"/>
          <w:color w:val="auto"/>
          <w:highlight w:val="none"/>
          <w:lang w:val="en-US" w:eastAsia="zh-CN"/>
        </w:rPr>
        <w:t>、山胡椒</w:t>
      </w:r>
      <w:r>
        <w:rPr>
          <w:rFonts w:hint="eastAsia"/>
          <w:i/>
          <w:iCs/>
          <w:color w:val="auto"/>
          <w:highlight w:val="none"/>
          <w:lang w:val="en-US" w:eastAsia="zh-CN"/>
        </w:rPr>
        <w:t>(Lindera glauca )</w:t>
      </w:r>
      <w:r>
        <w:rPr>
          <w:rFonts w:hint="eastAsia"/>
          <w:color w:val="auto"/>
          <w:highlight w:val="none"/>
          <w:lang w:val="en-US" w:eastAsia="zh-CN"/>
        </w:rPr>
        <w:t>、油茶</w:t>
      </w:r>
      <w:r>
        <w:rPr>
          <w:rFonts w:hint="eastAsia"/>
          <w:i/>
          <w:iCs/>
          <w:color w:val="auto"/>
          <w:highlight w:val="none"/>
          <w:lang w:val="en-US" w:eastAsia="zh-CN"/>
        </w:rPr>
        <w:t>(Camellia oleifera )</w:t>
      </w:r>
      <w:r>
        <w:rPr>
          <w:rFonts w:hint="eastAsia"/>
          <w:color w:val="auto"/>
          <w:highlight w:val="none"/>
          <w:lang w:val="en-US" w:eastAsia="zh-CN"/>
        </w:rPr>
        <w:t>、格药柃</w:t>
      </w:r>
      <w:r>
        <w:rPr>
          <w:rFonts w:hint="eastAsia"/>
          <w:i/>
          <w:iCs/>
          <w:color w:val="auto"/>
          <w:highlight w:val="none"/>
          <w:lang w:val="en-US" w:eastAsia="zh-CN"/>
        </w:rPr>
        <w:t>(Eurya muricata )</w:t>
      </w:r>
      <w:r>
        <w:rPr>
          <w:rFonts w:hint="eastAsia"/>
          <w:color w:val="auto"/>
          <w:highlight w:val="none"/>
          <w:lang w:val="en-US" w:eastAsia="zh-CN"/>
        </w:rPr>
        <w:t xml:space="preserve"> 等。</w:t>
      </w:r>
    </w:p>
    <w:p w14:paraId="3D95EABD">
      <w:pPr>
        <w:pStyle w:val="30"/>
        <w:rPr>
          <w:rFonts w:hint="eastAsia"/>
          <w:color w:val="auto"/>
          <w:highlight w:val="none"/>
          <w:lang w:val="en-US" w:eastAsia="zh-CN"/>
        </w:rPr>
      </w:pPr>
      <w:r>
        <w:rPr>
          <w:rFonts w:hint="eastAsia"/>
          <w:color w:val="auto"/>
          <w:highlight w:val="none"/>
          <w:lang w:val="en-US" w:eastAsia="zh-CN"/>
        </w:rPr>
        <w:t>草本层盖度15%，层均高0.5m，优势种为狗脊</w:t>
      </w:r>
      <w:r>
        <w:rPr>
          <w:rFonts w:hint="eastAsia"/>
          <w:i/>
          <w:iCs/>
          <w:color w:val="auto"/>
          <w:highlight w:val="none"/>
          <w:lang w:val="en-US" w:eastAsia="zh-CN"/>
        </w:rPr>
        <w:t>(Woodwardiajaponica )</w:t>
      </w:r>
      <w:r>
        <w:rPr>
          <w:rFonts w:hint="eastAsia"/>
          <w:color w:val="auto"/>
          <w:highlight w:val="none"/>
          <w:lang w:val="en-US" w:eastAsia="zh-CN"/>
        </w:rPr>
        <w:t>，高约0.2-0.3m，盖度10%，主要伴生种有糯米团</w:t>
      </w:r>
      <w:r>
        <w:rPr>
          <w:rFonts w:hint="eastAsia"/>
          <w:i/>
          <w:iCs/>
          <w:color w:val="auto"/>
          <w:highlight w:val="none"/>
          <w:lang w:val="en-US" w:eastAsia="zh-CN"/>
        </w:rPr>
        <w:t>(Abelia chinensis )</w:t>
      </w:r>
      <w:r>
        <w:rPr>
          <w:rFonts w:hint="eastAsia"/>
          <w:color w:val="auto"/>
          <w:highlight w:val="none"/>
          <w:lang w:val="en-US" w:eastAsia="zh-CN"/>
        </w:rPr>
        <w:t>、香薷</w:t>
      </w:r>
      <w:r>
        <w:rPr>
          <w:rFonts w:hint="eastAsia"/>
          <w:i/>
          <w:iCs/>
          <w:color w:val="auto"/>
          <w:highlight w:val="none"/>
          <w:lang w:val="en-US" w:eastAsia="zh-CN"/>
        </w:rPr>
        <w:t>(Elsholtzia ciliata )</w:t>
      </w:r>
      <w:r>
        <w:rPr>
          <w:rFonts w:hint="eastAsia"/>
          <w:color w:val="auto"/>
          <w:highlight w:val="none"/>
          <w:lang w:val="en-US" w:eastAsia="zh-CN"/>
        </w:rPr>
        <w:t>、黄花蒿</w:t>
      </w:r>
      <w:r>
        <w:rPr>
          <w:rFonts w:hint="eastAsia"/>
          <w:i/>
          <w:iCs/>
          <w:color w:val="auto"/>
          <w:highlight w:val="none"/>
          <w:lang w:val="en-US" w:eastAsia="zh-CN"/>
        </w:rPr>
        <w:t>(Artemisia annua )</w:t>
      </w:r>
      <w:r>
        <w:rPr>
          <w:rFonts w:hint="eastAsia"/>
          <w:color w:val="auto"/>
          <w:highlight w:val="none"/>
          <w:lang w:val="en-US" w:eastAsia="zh-CN"/>
        </w:rPr>
        <w:t>、芒</w:t>
      </w:r>
      <w:r>
        <w:rPr>
          <w:rFonts w:hint="eastAsia"/>
          <w:i/>
          <w:iCs/>
          <w:color w:val="auto"/>
          <w:highlight w:val="none"/>
          <w:lang w:val="en-US" w:eastAsia="zh-CN"/>
        </w:rPr>
        <w:t>(Miscanthus sinensis )</w:t>
      </w:r>
      <w:r>
        <w:rPr>
          <w:rFonts w:hint="eastAsia"/>
          <w:color w:val="auto"/>
          <w:highlight w:val="none"/>
          <w:lang w:val="en-US" w:eastAsia="zh-CN"/>
        </w:rPr>
        <w:t xml:space="preserve"> 等。</w:t>
      </w:r>
    </w:p>
    <w:p w14:paraId="1675A8B8">
      <w:pPr>
        <w:pStyle w:val="30"/>
        <w:rPr>
          <w:rFonts w:hint="eastAsia"/>
          <w:color w:val="auto"/>
          <w:highlight w:val="none"/>
          <w:lang w:val="en-US" w:eastAsia="zh-CN"/>
        </w:rPr>
      </w:pPr>
      <w:r>
        <w:rPr>
          <w:rFonts w:hint="eastAsia"/>
          <w:color w:val="auto"/>
          <w:highlight w:val="none"/>
          <w:lang w:val="en-US" w:eastAsia="zh-CN"/>
        </w:rPr>
        <w:t>样方位置：f16风机附近(N26.93716418°，E111.99887753°)；H：510m。</w:t>
      </w:r>
    </w:p>
    <w:tbl>
      <w:tblPr>
        <w:tblStyle w:val="38"/>
        <w:tblW w:w="5000" w:type="pct"/>
        <w:tblInd w:w="2"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029"/>
        <w:gridCol w:w="807"/>
        <w:gridCol w:w="2146"/>
        <w:gridCol w:w="1087"/>
        <w:gridCol w:w="133"/>
        <w:gridCol w:w="952"/>
        <w:gridCol w:w="1088"/>
        <w:gridCol w:w="1093"/>
      </w:tblGrid>
      <w:tr w14:paraId="7137EF0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vMerge w:val="restart"/>
            <w:tcBorders>
              <w:tl2br w:val="nil"/>
              <w:tr2bl w:val="nil"/>
            </w:tcBorders>
            <w:noWrap w:val="0"/>
            <w:vAlign w:val="center"/>
          </w:tcPr>
          <w:p w14:paraId="6CAA6A3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植被类型</w:t>
            </w:r>
          </w:p>
        </w:tc>
        <w:tc>
          <w:tcPr>
            <w:tcW w:w="3107" w:type="dxa"/>
            <w:gridSpan w:val="2"/>
            <w:vMerge w:val="restart"/>
            <w:tcBorders>
              <w:tl2br w:val="nil"/>
              <w:tr2bl w:val="nil"/>
            </w:tcBorders>
            <w:noWrap w:val="0"/>
            <w:vAlign w:val="center"/>
          </w:tcPr>
          <w:p w14:paraId="7EC2479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山乌桕林</w:t>
            </w:r>
            <w:r>
              <w:rPr>
                <w:rFonts w:hint="default" w:cs="Times New Roman"/>
                <w:i/>
                <w:iCs/>
                <w:color w:val="auto"/>
                <w:highlight w:val="none"/>
              </w:rPr>
              <w:t>(Form.Sapium discolor)</w:t>
            </w:r>
          </w:p>
        </w:tc>
        <w:tc>
          <w:tcPr>
            <w:tcW w:w="4576" w:type="dxa"/>
            <w:gridSpan w:val="5"/>
            <w:tcBorders>
              <w:tl2br w:val="nil"/>
              <w:tr2bl w:val="nil"/>
            </w:tcBorders>
            <w:noWrap w:val="0"/>
            <w:vAlign w:val="center"/>
          </w:tcPr>
          <w:p w14:paraId="19F8188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环境特征</w:t>
            </w:r>
          </w:p>
        </w:tc>
      </w:tr>
      <w:tr w14:paraId="2516004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vMerge w:val="continue"/>
            <w:tcBorders>
              <w:tl2br w:val="nil"/>
              <w:tr2bl w:val="nil"/>
            </w:tcBorders>
            <w:noWrap w:val="0"/>
            <w:vAlign w:val="center"/>
          </w:tcPr>
          <w:p w14:paraId="1852451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3107" w:type="dxa"/>
            <w:gridSpan w:val="2"/>
            <w:vMerge w:val="continue"/>
            <w:tcBorders>
              <w:tl2br w:val="nil"/>
              <w:tr2bl w:val="nil"/>
            </w:tcBorders>
            <w:noWrap w:val="0"/>
            <w:vAlign w:val="center"/>
          </w:tcPr>
          <w:p w14:paraId="3A0B058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1143" w:type="dxa"/>
            <w:tcBorders>
              <w:tl2br w:val="nil"/>
              <w:tr2bl w:val="nil"/>
            </w:tcBorders>
            <w:noWrap w:val="0"/>
            <w:vAlign w:val="center"/>
          </w:tcPr>
          <w:p w14:paraId="578B0E1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地形</w:t>
            </w:r>
          </w:p>
        </w:tc>
        <w:tc>
          <w:tcPr>
            <w:tcW w:w="1142" w:type="dxa"/>
            <w:gridSpan w:val="2"/>
            <w:tcBorders>
              <w:tl2br w:val="nil"/>
              <w:tr2bl w:val="nil"/>
            </w:tcBorders>
            <w:noWrap w:val="0"/>
            <w:vAlign w:val="center"/>
          </w:tcPr>
          <w:p w14:paraId="7429104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海拔(m)</w:t>
            </w:r>
          </w:p>
        </w:tc>
        <w:tc>
          <w:tcPr>
            <w:tcW w:w="1143" w:type="dxa"/>
            <w:tcBorders>
              <w:tl2br w:val="nil"/>
              <w:tr2bl w:val="nil"/>
            </w:tcBorders>
            <w:noWrap w:val="0"/>
            <w:vAlign w:val="center"/>
          </w:tcPr>
          <w:p w14:paraId="095B259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坡向</w:t>
            </w:r>
          </w:p>
        </w:tc>
        <w:tc>
          <w:tcPr>
            <w:tcW w:w="1148" w:type="dxa"/>
            <w:tcBorders>
              <w:tl2br w:val="nil"/>
              <w:tr2bl w:val="nil"/>
            </w:tcBorders>
            <w:noWrap w:val="0"/>
            <w:vAlign w:val="center"/>
          </w:tcPr>
          <w:p w14:paraId="5A21A3D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坡度(°)</w:t>
            </w:r>
          </w:p>
        </w:tc>
      </w:tr>
      <w:tr w14:paraId="30E695E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235C072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地点</w:t>
            </w:r>
          </w:p>
        </w:tc>
        <w:tc>
          <w:tcPr>
            <w:tcW w:w="3107" w:type="dxa"/>
            <w:gridSpan w:val="2"/>
            <w:tcBorders>
              <w:tl2br w:val="nil"/>
              <w:tr2bl w:val="nil"/>
            </w:tcBorders>
            <w:noWrap w:val="0"/>
            <w:vAlign w:val="center"/>
          </w:tcPr>
          <w:p w14:paraId="5BAC8A9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eastAsia" w:cs="Times New Roman"/>
                <w:color w:val="auto"/>
                <w:highlight w:val="none"/>
                <w:lang w:val="en-US" w:eastAsia="zh-CN"/>
              </w:rPr>
              <w:t>16#</w:t>
            </w:r>
            <w:r>
              <w:rPr>
                <w:rFonts w:hint="default" w:cs="Times New Roman"/>
                <w:color w:val="auto"/>
                <w:highlight w:val="none"/>
              </w:rPr>
              <w:t>风机附近</w:t>
            </w:r>
          </w:p>
        </w:tc>
        <w:tc>
          <w:tcPr>
            <w:tcW w:w="1143" w:type="dxa"/>
            <w:tcBorders>
              <w:tl2br w:val="nil"/>
              <w:tr2bl w:val="nil"/>
            </w:tcBorders>
            <w:noWrap w:val="0"/>
            <w:vAlign w:val="center"/>
          </w:tcPr>
          <w:p w14:paraId="10EBB8C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山地</w:t>
            </w:r>
          </w:p>
        </w:tc>
        <w:tc>
          <w:tcPr>
            <w:tcW w:w="1142" w:type="dxa"/>
            <w:gridSpan w:val="2"/>
            <w:tcBorders>
              <w:tl2br w:val="nil"/>
              <w:tr2bl w:val="nil"/>
            </w:tcBorders>
            <w:noWrap w:val="0"/>
            <w:vAlign w:val="center"/>
          </w:tcPr>
          <w:p w14:paraId="38872B3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val="en-US" w:eastAsia="zh-CN"/>
              </w:rPr>
            </w:pPr>
            <w:r>
              <w:rPr>
                <w:rFonts w:hint="eastAsia" w:cs="Times New Roman"/>
                <w:color w:val="auto"/>
                <w:highlight w:val="none"/>
                <w:lang w:val="en-US" w:eastAsia="zh-CN"/>
              </w:rPr>
              <w:t>510</w:t>
            </w:r>
          </w:p>
        </w:tc>
        <w:tc>
          <w:tcPr>
            <w:tcW w:w="1143" w:type="dxa"/>
            <w:tcBorders>
              <w:tl2br w:val="nil"/>
              <w:tr2bl w:val="nil"/>
            </w:tcBorders>
            <w:noWrap w:val="0"/>
            <w:vAlign w:val="center"/>
          </w:tcPr>
          <w:p w14:paraId="6079E59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cs="Times New Roman"/>
                <w:color w:val="auto"/>
                <w:highlight w:val="none"/>
                <w:lang w:eastAsia="zh-CN"/>
              </w:rPr>
            </w:pPr>
            <w:r>
              <w:rPr>
                <w:rFonts w:hint="eastAsia" w:cs="Times New Roman"/>
                <w:color w:val="auto"/>
                <w:highlight w:val="none"/>
                <w:lang w:val="en-US" w:eastAsia="zh-CN"/>
              </w:rPr>
              <w:t>W</w:t>
            </w:r>
          </w:p>
        </w:tc>
        <w:tc>
          <w:tcPr>
            <w:tcW w:w="1148" w:type="dxa"/>
            <w:tcBorders>
              <w:tl2br w:val="nil"/>
              <w:tr2bl w:val="nil"/>
            </w:tcBorders>
            <w:noWrap w:val="0"/>
            <w:vAlign w:val="center"/>
          </w:tcPr>
          <w:p w14:paraId="644FF41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25</w:t>
            </w:r>
          </w:p>
        </w:tc>
      </w:tr>
      <w:tr w14:paraId="7D39D32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20EB036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经纬度</w:t>
            </w:r>
          </w:p>
        </w:tc>
        <w:tc>
          <w:tcPr>
            <w:tcW w:w="7683" w:type="dxa"/>
            <w:gridSpan w:val="7"/>
            <w:tcBorders>
              <w:tl2br w:val="nil"/>
              <w:tr2bl w:val="nil"/>
            </w:tcBorders>
            <w:noWrap w:val="0"/>
            <w:vAlign w:val="center"/>
          </w:tcPr>
          <w:p w14:paraId="3CCB957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eastAsia" w:cs="Times New Roman"/>
                <w:color w:val="auto"/>
                <w:highlight w:val="none"/>
                <w:lang w:val="en-US" w:eastAsia="zh-CN"/>
              </w:rPr>
              <w:t>N26.93716418°，E111.99887753°</w:t>
            </w:r>
          </w:p>
        </w:tc>
      </w:tr>
      <w:tr w14:paraId="53C76F8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5A1C43A5">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层次</w:t>
            </w:r>
          </w:p>
        </w:tc>
        <w:tc>
          <w:tcPr>
            <w:tcW w:w="7683" w:type="dxa"/>
            <w:gridSpan w:val="7"/>
            <w:tcBorders>
              <w:tl2br w:val="nil"/>
              <w:tr2bl w:val="nil"/>
            </w:tcBorders>
            <w:noWrap w:val="0"/>
            <w:vAlign w:val="center"/>
          </w:tcPr>
          <w:p w14:paraId="2FE86B7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三层</w:t>
            </w:r>
          </w:p>
        </w:tc>
      </w:tr>
      <w:tr w14:paraId="75B2DCA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636925E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分层</w:t>
            </w:r>
          </w:p>
        </w:tc>
        <w:tc>
          <w:tcPr>
            <w:tcW w:w="850" w:type="dxa"/>
            <w:tcBorders>
              <w:tl2br w:val="nil"/>
              <w:tr2bl w:val="nil"/>
            </w:tcBorders>
            <w:noWrap w:val="0"/>
            <w:vAlign w:val="center"/>
          </w:tcPr>
          <w:p w14:paraId="179329D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w:t>
            </w:r>
          </w:p>
        </w:tc>
        <w:tc>
          <w:tcPr>
            <w:tcW w:w="3541" w:type="dxa"/>
            <w:gridSpan w:val="3"/>
            <w:tcBorders>
              <w:tl2br w:val="nil"/>
              <w:tr2bl w:val="nil"/>
            </w:tcBorders>
            <w:noWrap w:val="0"/>
            <w:vAlign w:val="center"/>
          </w:tcPr>
          <w:p w14:paraId="783C085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种类组成与生长状况</w:t>
            </w:r>
          </w:p>
        </w:tc>
        <w:tc>
          <w:tcPr>
            <w:tcW w:w="3292" w:type="dxa"/>
            <w:gridSpan w:val="3"/>
            <w:tcBorders>
              <w:tl2br w:val="nil"/>
              <w:tr2bl w:val="nil"/>
            </w:tcBorders>
            <w:noWrap w:val="0"/>
            <w:vAlign w:val="center"/>
          </w:tcPr>
          <w:p w14:paraId="6C733F3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考察照片</w:t>
            </w:r>
          </w:p>
        </w:tc>
      </w:tr>
      <w:tr w14:paraId="1A7AFF2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2B3F364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乔木层</w:t>
            </w:r>
          </w:p>
        </w:tc>
        <w:tc>
          <w:tcPr>
            <w:tcW w:w="850" w:type="dxa"/>
            <w:tcBorders>
              <w:tl2br w:val="nil"/>
              <w:tr2bl w:val="nil"/>
            </w:tcBorders>
            <w:noWrap w:val="0"/>
            <w:vAlign w:val="center"/>
          </w:tcPr>
          <w:p w14:paraId="584C4E9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郁闭度0.4</w:t>
            </w:r>
          </w:p>
        </w:tc>
        <w:tc>
          <w:tcPr>
            <w:tcW w:w="3541" w:type="dxa"/>
            <w:gridSpan w:val="3"/>
            <w:tcBorders>
              <w:tl2br w:val="nil"/>
              <w:tr2bl w:val="nil"/>
            </w:tcBorders>
            <w:noWrap w:val="0"/>
            <w:vAlign w:val="center"/>
          </w:tcPr>
          <w:p w14:paraId="71B3409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层均高2.5m，优势种为山乌桕(Sapium discolor)，高约1.5-2m，胸径 4cm，盖度30%，主要伴生种有女贞 (Ligustrum lucidum)、楤木(Aralia chinensis)、锥栗(Castanea henryi)等。</w:t>
            </w:r>
          </w:p>
        </w:tc>
        <w:tc>
          <w:tcPr>
            <w:tcW w:w="3292" w:type="dxa"/>
            <w:gridSpan w:val="3"/>
            <w:vMerge w:val="restart"/>
            <w:tcBorders>
              <w:tl2br w:val="nil"/>
              <w:tr2bl w:val="nil"/>
            </w:tcBorders>
            <w:noWrap w:val="0"/>
            <w:vAlign w:val="center"/>
          </w:tcPr>
          <w:p w14:paraId="40DC0A3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cs="Times New Roman"/>
                <w:color w:val="auto"/>
                <w:highlight w:val="none"/>
                <w:lang w:eastAsia="zh-CN"/>
              </w:rPr>
            </w:pPr>
            <w:r>
              <w:rPr>
                <w:rFonts w:hint="eastAsia" w:cs="Times New Roman"/>
                <w:color w:val="auto"/>
                <w:highlight w:val="none"/>
                <w:lang w:eastAsia="zh-CN"/>
              </w:rPr>
              <w:drawing>
                <wp:anchor distT="0" distB="0" distL="114300" distR="114300" simplePos="0" relativeHeight="251663360" behindDoc="0" locked="0" layoutInCell="1" allowOverlap="1">
                  <wp:simplePos x="0" y="0"/>
                  <wp:positionH relativeFrom="page">
                    <wp:posOffset>18415</wp:posOffset>
                  </wp:positionH>
                  <wp:positionV relativeFrom="page">
                    <wp:posOffset>1010285</wp:posOffset>
                  </wp:positionV>
                  <wp:extent cx="1988185" cy="1118235"/>
                  <wp:effectExtent l="0" t="0" r="12065" b="5715"/>
                  <wp:wrapNone/>
                  <wp:docPr id="52" name="图片 26" descr="picture_2023_06_28_10_43_23_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6" descr="picture_2023_06_28_10_43_23_786"/>
                          <pic:cNvPicPr>
                            <a:picLocks noChangeAspect="1"/>
                          </pic:cNvPicPr>
                        </pic:nvPicPr>
                        <pic:blipFill>
                          <a:blip r:embed="rId32"/>
                          <a:stretch>
                            <a:fillRect/>
                          </a:stretch>
                        </pic:blipFill>
                        <pic:spPr>
                          <a:xfrm>
                            <a:off x="0" y="0"/>
                            <a:ext cx="1988185" cy="1118235"/>
                          </a:xfrm>
                          <a:prstGeom prst="rect">
                            <a:avLst/>
                          </a:prstGeom>
                          <a:noFill/>
                          <a:ln>
                            <a:noFill/>
                          </a:ln>
                        </pic:spPr>
                      </pic:pic>
                    </a:graphicData>
                  </a:graphic>
                </wp:anchor>
              </w:drawing>
            </w:r>
          </w:p>
        </w:tc>
      </w:tr>
      <w:tr w14:paraId="4014453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31BC703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灌木层</w:t>
            </w:r>
          </w:p>
        </w:tc>
        <w:tc>
          <w:tcPr>
            <w:tcW w:w="850" w:type="dxa"/>
            <w:tcBorders>
              <w:tl2br w:val="nil"/>
              <w:tr2bl w:val="nil"/>
            </w:tcBorders>
            <w:noWrap w:val="0"/>
            <w:vAlign w:val="center"/>
          </w:tcPr>
          <w:p w14:paraId="59BC949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层盖度25%</w:t>
            </w:r>
          </w:p>
        </w:tc>
        <w:tc>
          <w:tcPr>
            <w:tcW w:w="3541" w:type="dxa"/>
            <w:gridSpan w:val="3"/>
            <w:tcBorders>
              <w:tl2br w:val="nil"/>
              <w:tr2bl w:val="nil"/>
            </w:tcBorders>
            <w:noWrap w:val="0"/>
            <w:vAlign w:val="center"/>
          </w:tcPr>
          <w:p w14:paraId="15520BD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层均高1.5m，优势种为小果蔷薇</w:t>
            </w:r>
            <w:r>
              <w:rPr>
                <w:rFonts w:hint="default" w:cs="Times New Roman"/>
                <w:i/>
                <w:iCs/>
                <w:color w:val="auto"/>
                <w:highlight w:val="none"/>
              </w:rPr>
              <w:t>(Rosa cymosa)</w:t>
            </w:r>
            <w:r>
              <w:rPr>
                <w:rFonts w:hint="default" w:cs="Times New Roman"/>
                <w:color w:val="auto"/>
                <w:highlight w:val="none"/>
              </w:rPr>
              <w:t>，高约1m，盖度15%， 主要伴生种有马银花</w:t>
            </w:r>
            <w:r>
              <w:rPr>
                <w:rFonts w:hint="default" w:cs="Times New Roman"/>
                <w:i/>
                <w:iCs/>
                <w:color w:val="auto"/>
                <w:highlight w:val="none"/>
              </w:rPr>
              <w:t>(Rhododendron ovatum)</w:t>
            </w:r>
            <w:r>
              <w:rPr>
                <w:rFonts w:hint="default" w:cs="Times New Roman"/>
                <w:color w:val="auto"/>
                <w:highlight w:val="none"/>
              </w:rPr>
              <w:t>、山胡椒</w:t>
            </w:r>
            <w:r>
              <w:rPr>
                <w:rFonts w:hint="default" w:cs="Times New Roman"/>
                <w:i/>
                <w:iCs/>
                <w:color w:val="auto"/>
                <w:highlight w:val="none"/>
              </w:rPr>
              <w:t>(Lindera glauca)</w:t>
            </w:r>
            <w:r>
              <w:rPr>
                <w:rFonts w:hint="default" w:cs="Times New Roman"/>
                <w:color w:val="auto"/>
                <w:highlight w:val="none"/>
              </w:rPr>
              <w:t>、油茶</w:t>
            </w:r>
            <w:r>
              <w:rPr>
                <w:rFonts w:hint="default" w:cs="Times New Roman"/>
                <w:i/>
                <w:iCs/>
                <w:color w:val="auto"/>
                <w:highlight w:val="none"/>
              </w:rPr>
              <w:t>(Camellia oleifera)</w:t>
            </w:r>
            <w:r>
              <w:rPr>
                <w:rFonts w:hint="default" w:cs="Times New Roman"/>
                <w:color w:val="auto"/>
                <w:highlight w:val="none"/>
              </w:rPr>
              <w:t>、格药柃</w:t>
            </w:r>
            <w:r>
              <w:rPr>
                <w:rFonts w:hint="default" w:cs="Times New Roman"/>
                <w:i/>
                <w:iCs/>
                <w:color w:val="auto"/>
                <w:highlight w:val="none"/>
              </w:rPr>
              <w:t>(Eurya muricata)</w:t>
            </w:r>
            <w:r>
              <w:rPr>
                <w:rFonts w:hint="default" w:cs="Times New Roman"/>
                <w:color w:val="auto"/>
                <w:highlight w:val="none"/>
              </w:rPr>
              <w:t>等。</w:t>
            </w:r>
          </w:p>
        </w:tc>
        <w:tc>
          <w:tcPr>
            <w:tcW w:w="3292" w:type="dxa"/>
            <w:gridSpan w:val="3"/>
            <w:vMerge w:val="continue"/>
            <w:tcBorders>
              <w:tl2br w:val="nil"/>
              <w:tr2bl w:val="nil"/>
            </w:tcBorders>
            <w:noWrap w:val="0"/>
            <w:vAlign w:val="center"/>
          </w:tcPr>
          <w:p w14:paraId="4112381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rPr>
                <w:rFonts w:ascii="Arial"/>
                <w:color w:val="auto"/>
                <w:sz w:val="21"/>
                <w:highlight w:val="none"/>
              </w:rPr>
            </w:pPr>
          </w:p>
        </w:tc>
      </w:tr>
      <w:tr w14:paraId="028216A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0B5A1F45">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草本层</w:t>
            </w:r>
          </w:p>
        </w:tc>
        <w:tc>
          <w:tcPr>
            <w:tcW w:w="850" w:type="dxa"/>
            <w:tcBorders>
              <w:tl2br w:val="nil"/>
              <w:tr2bl w:val="nil"/>
            </w:tcBorders>
            <w:noWrap w:val="0"/>
            <w:vAlign w:val="center"/>
          </w:tcPr>
          <w:p w14:paraId="252F8E6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层盖度15%</w:t>
            </w:r>
          </w:p>
        </w:tc>
        <w:tc>
          <w:tcPr>
            <w:tcW w:w="3541" w:type="dxa"/>
            <w:gridSpan w:val="3"/>
            <w:tcBorders>
              <w:tl2br w:val="nil"/>
              <w:tr2bl w:val="nil"/>
            </w:tcBorders>
            <w:noWrap w:val="0"/>
            <w:vAlign w:val="center"/>
          </w:tcPr>
          <w:p w14:paraId="0103733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层均高0.5m，优势种为狗脊</w:t>
            </w:r>
            <w:r>
              <w:rPr>
                <w:rFonts w:hint="default" w:cs="Times New Roman"/>
                <w:i/>
                <w:iCs/>
                <w:color w:val="auto"/>
                <w:highlight w:val="none"/>
              </w:rPr>
              <w:t>(Woodwardia japonica)</w:t>
            </w:r>
            <w:r>
              <w:rPr>
                <w:rFonts w:hint="default" w:cs="Times New Roman"/>
                <w:color w:val="auto"/>
                <w:highlight w:val="none"/>
              </w:rPr>
              <w:t>，高约0.2-0.3m，盖度10%，主要伴生种有 糯米条</w:t>
            </w:r>
            <w:r>
              <w:rPr>
                <w:rFonts w:hint="default" w:cs="Times New Roman"/>
                <w:i/>
                <w:iCs/>
                <w:color w:val="auto"/>
                <w:highlight w:val="none"/>
              </w:rPr>
              <w:t>(Abelia chinensis)</w:t>
            </w:r>
            <w:r>
              <w:rPr>
                <w:rFonts w:hint="default" w:cs="Times New Roman"/>
                <w:color w:val="auto"/>
                <w:highlight w:val="none"/>
              </w:rPr>
              <w:t>、香薷</w:t>
            </w:r>
            <w:r>
              <w:rPr>
                <w:rFonts w:hint="default" w:cs="Times New Roman"/>
                <w:i/>
                <w:iCs/>
                <w:color w:val="auto"/>
                <w:highlight w:val="none"/>
              </w:rPr>
              <w:t>(Elsholtzia ciliata)</w:t>
            </w:r>
            <w:r>
              <w:rPr>
                <w:rFonts w:hint="default" w:cs="Times New Roman"/>
                <w:color w:val="auto"/>
                <w:highlight w:val="none"/>
              </w:rPr>
              <w:t>、黄花蒿</w:t>
            </w:r>
            <w:r>
              <w:rPr>
                <w:rFonts w:hint="default" w:cs="Times New Roman"/>
                <w:i/>
                <w:iCs/>
                <w:color w:val="auto"/>
                <w:highlight w:val="none"/>
              </w:rPr>
              <w:t>(Artemisia annua)</w:t>
            </w:r>
            <w:r>
              <w:rPr>
                <w:rFonts w:hint="default" w:cs="Times New Roman"/>
                <w:color w:val="auto"/>
                <w:highlight w:val="none"/>
              </w:rPr>
              <w:t>、芒</w:t>
            </w:r>
            <w:r>
              <w:rPr>
                <w:rFonts w:hint="default" w:cs="Times New Roman"/>
                <w:i/>
                <w:iCs/>
                <w:color w:val="auto"/>
                <w:highlight w:val="none"/>
              </w:rPr>
              <w:t>(Miscanthus sinensis)</w:t>
            </w:r>
            <w:r>
              <w:rPr>
                <w:rFonts w:hint="default" w:cs="Times New Roman"/>
                <w:color w:val="auto"/>
                <w:highlight w:val="none"/>
              </w:rPr>
              <w:t>等。</w:t>
            </w:r>
          </w:p>
        </w:tc>
        <w:tc>
          <w:tcPr>
            <w:tcW w:w="3292" w:type="dxa"/>
            <w:gridSpan w:val="3"/>
            <w:vMerge w:val="continue"/>
            <w:tcBorders>
              <w:tl2br w:val="nil"/>
              <w:tr2bl w:val="nil"/>
            </w:tcBorders>
            <w:noWrap w:val="0"/>
            <w:vAlign w:val="center"/>
          </w:tcPr>
          <w:p w14:paraId="2C5D2DDE">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rPr>
                <w:rFonts w:ascii="Arial"/>
                <w:color w:val="auto"/>
                <w:sz w:val="21"/>
                <w:highlight w:val="none"/>
              </w:rPr>
            </w:pPr>
          </w:p>
        </w:tc>
      </w:tr>
    </w:tbl>
    <w:p w14:paraId="059E13FD">
      <w:pPr>
        <w:pStyle w:val="30"/>
        <w:rPr>
          <w:rFonts w:hint="eastAsia"/>
          <w:b/>
          <w:bCs/>
          <w:color w:val="auto"/>
          <w:highlight w:val="none"/>
          <w:lang w:val="en-US" w:eastAsia="zh-CN"/>
        </w:rPr>
      </w:pPr>
      <w:r>
        <w:rPr>
          <w:rFonts w:hint="eastAsia"/>
          <w:b/>
          <w:bCs/>
          <w:color w:val="auto"/>
          <w:highlight w:val="none"/>
          <w:lang w:val="en-US" w:eastAsia="zh-CN"/>
        </w:rPr>
        <w:t>5)锥栗林 (Form.</w:t>
      </w:r>
      <w:r>
        <w:rPr>
          <w:rFonts w:hint="eastAsia"/>
          <w:b/>
          <w:bCs/>
          <w:i/>
          <w:iCs/>
          <w:color w:val="auto"/>
          <w:highlight w:val="none"/>
          <w:lang w:val="en-US" w:eastAsia="zh-CN"/>
        </w:rPr>
        <w:t>Castanea henryi</w:t>
      </w:r>
      <w:r>
        <w:rPr>
          <w:rFonts w:hint="eastAsia"/>
          <w:b/>
          <w:bCs/>
          <w:color w:val="auto"/>
          <w:highlight w:val="none"/>
          <w:lang w:val="en-US" w:eastAsia="zh-CN"/>
        </w:rPr>
        <w:t>)</w:t>
      </w:r>
    </w:p>
    <w:p w14:paraId="71299099">
      <w:pPr>
        <w:pStyle w:val="30"/>
        <w:rPr>
          <w:rFonts w:hint="eastAsia"/>
          <w:color w:val="auto"/>
          <w:highlight w:val="none"/>
          <w:lang w:val="en-US" w:eastAsia="zh-CN"/>
        </w:rPr>
      </w:pPr>
      <w:r>
        <w:rPr>
          <w:rFonts w:hint="eastAsia"/>
          <w:color w:val="auto"/>
          <w:highlight w:val="none"/>
          <w:lang w:val="en-US" w:eastAsia="zh-CN"/>
        </w:rPr>
        <w:t>锥栗是中国重要的木本粮食食物之一，生于海拔100-1800米的丘陵与山地，常见于落叶或常绿的混交林中。锥栗林多分布于山坡中上部。</w:t>
      </w:r>
    </w:p>
    <w:p w14:paraId="5D767312">
      <w:pPr>
        <w:pStyle w:val="30"/>
        <w:rPr>
          <w:rFonts w:hint="eastAsia"/>
          <w:color w:val="auto"/>
          <w:highlight w:val="none"/>
          <w:lang w:val="en-US" w:eastAsia="zh-CN"/>
        </w:rPr>
      </w:pPr>
      <w:r>
        <w:rPr>
          <w:rFonts w:hint="eastAsia"/>
          <w:color w:val="auto"/>
          <w:highlight w:val="none"/>
          <w:lang w:val="en-US" w:eastAsia="zh-CN"/>
        </w:rPr>
        <w:t>锥栗林乔木层郁闭度0.4，层均高2m，优势种为锥栗</w:t>
      </w:r>
      <w:r>
        <w:rPr>
          <w:rFonts w:hint="eastAsia"/>
          <w:i/>
          <w:iCs/>
          <w:color w:val="auto"/>
          <w:highlight w:val="none"/>
          <w:lang w:val="en-US" w:eastAsia="zh-CN"/>
        </w:rPr>
        <w:t>(Castanea henryi)</w:t>
      </w:r>
      <w:r>
        <w:rPr>
          <w:rFonts w:hint="eastAsia"/>
          <w:color w:val="auto"/>
          <w:highlight w:val="none"/>
          <w:lang w:val="en-US" w:eastAsia="zh-CN"/>
        </w:rPr>
        <w:t>，高约2-2.5m，胸径3-6cm，盖度40%，主要伴生种有山乌桕</w:t>
      </w:r>
      <w:r>
        <w:rPr>
          <w:rFonts w:hint="eastAsia"/>
          <w:i/>
          <w:iCs/>
          <w:color w:val="auto"/>
          <w:highlight w:val="none"/>
          <w:lang w:val="en-US" w:eastAsia="zh-CN"/>
        </w:rPr>
        <w:t>(Sapium discolor)</w:t>
      </w:r>
      <w:r>
        <w:rPr>
          <w:rFonts w:hint="eastAsia"/>
          <w:color w:val="auto"/>
          <w:highlight w:val="none"/>
          <w:lang w:val="en-US" w:eastAsia="zh-CN"/>
        </w:rPr>
        <w:t>、檫木</w:t>
      </w:r>
      <w:r>
        <w:rPr>
          <w:rFonts w:hint="eastAsia"/>
          <w:i/>
          <w:iCs/>
          <w:color w:val="auto"/>
          <w:highlight w:val="none"/>
          <w:lang w:val="en-US" w:eastAsia="zh-CN"/>
        </w:rPr>
        <w:t>(Sassafras tzumu)</w:t>
      </w:r>
      <w:r>
        <w:rPr>
          <w:rFonts w:hint="eastAsia"/>
          <w:color w:val="auto"/>
          <w:highlight w:val="none"/>
          <w:lang w:val="en-US" w:eastAsia="zh-CN"/>
        </w:rPr>
        <w:t>等。</w:t>
      </w:r>
    </w:p>
    <w:p w14:paraId="5DB4CC7F">
      <w:pPr>
        <w:pStyle w:val="30"/>
        <w:rPr>
          <w:rFonts w:hint="eastAsia"/>
          <w:color w:val="auto"/>
          <w:highlight w:val="none"/>
          <w:lang w:val="en-US" w:eastAsia="zh-CN"/>
        </w:rPr>
      </w:pPr>
      <w:r>
        <w:rPr>
          <w:rFonts w:hint="eastAsia"/>
          <w:color w:val="auto"/>
          <w:highlight w:val="none"/>
          <w:lang w:val="en-US" w:eastAsia="zh-CN"/>
        </w:rPr>
        <w:t>灌木层盖度20%，层均高0.8m ，优势种为火棘</w:t>
      </w:r>
      <w:r>
        <w:rPr>
          <w:rFonts w:hint="eastAsia"/>
          <w:i/>
          <w:iCs/>
          <w:color w:val="auto"/>
          <w:highlight w:val="none"/>
          <w:lang w:val="en-US" w:eastAsia="zh-CN"/>
        </w:rPr>
        <w:t>(Pyracantha fortuneana)</w:t>
      </w:r>
      <w:r>
        <w:rPr>
          <w:rFonts w:hint="eastAsia"/>
          <w:color w:val="auto"/>
          <w:highlight w:val="none"/>
          <w:lang w:val="en-US" w:eastAsia="zh-CN"/>
        </w:rPr>
        <w:t>，高约0.8-1m，盖度10%，主要伴生种有高粱泡</w:t>
      </w:r>
      <w:r>
        <w:rPr>
          <w:rFonts w:hint="eastAsia"/>
          <w:i/>
          <w:iCs/>
          <w:color w:val="auto"/>
          <w:highlight w:val="none"/>
          <w:lang w:val="en-US" w:eastAsia="zh-CN"/>
        </w:rPr>
        <w:t>(Rubus lambertianus)</w:t>
      </w:r>
      <w:r>
        <w:rPr>
          <w:rFonts w:hint="eastAsia"/>
          <w:color w:val="auto"/>
          <w:highlight w:val="none"/>
          <w:lang w:val="en-US" w:eastAsia="zh-CN"/>
        </w:rPr>
        <w:t>、细齿叶柃</w:t>
      </w:r>
      <w:r>
        <w:rPr>
          <w:rFonts w:hint="eastAsia"/>
          <w:i/>
          <w:iCs/>
          <w:color w:val="auto"/>
          <w:highlight w:val="none"/>
          <w:lang w:val="en-US" w:eastAsia="zh-CN"/>
        </w:rPr>
        <w:t>(Eurya nitida)</w:t>
      </w:r>
      <w:r>
        <w:rPr>
          <w:rFonts w:hint="eastAsia"/>
          <w:color w:val="auto"/>
          <w:highlight w:val="none"/>
          <w:lang w:val="en-US" w:eastAsia="zh-CN"/>
        </w:rPr>
        <w:t>、复盆子</w:t>
      </w:r>
      <w:r>
        <w:rPr>
          <w:rFonts w:hint="eastAsia"/>
          <w:i/>
          <w:iCs/>
          <w:color w:val="auto"/>
          <w:highlight w:val="none"/>
          <w:lang w:val="en-US" w:eastAsia="zh-CN"/>
        </w:rPr>
        <w:t>(Rubus idaeus)</w:t>
      </w:r>
      <w:r>
        <w:rPr>
          <w:rFonts w:hint="eastAsia"/>
          <w:color w:val="auto"/>
          <w:highlight w:val="none"/>
          <w:lang w:val="en-US" w:eastAsia="zh-CN"/>
        </w:rPr>
        <w:t>、盐肤木</w:t>
      </w:r>
      <w:r>
        <w:rPr>
          <w:rFonts w:hint="eastAsia"/>
          <w:i/>
          <w:iCs/>
          <w:color w:val="auto"/>
          <w:highlight w:val="none"/>
          <w:lang w:val="en-US" w:eastAsia="zh-CN"/>
        </w:rPr>
        <w:t>(Rhus chinensis)</w:t>
      </w:r>
      <w:r>
        <w:rPr>
          <w:rFonts w:hint="eastAsia"/>
          <w:color w:val="auto"/>
          <w:highlight w:val="none"/>
          <w:lang w:val="en-US" w:eastAsia="zh-CN"/>
        </w:rPr>
        <w:t>等。</w:t>
      </w:r>
    </w:p>
    <w:p w14:paraId="02BF41D1">
      <w:pPr>
        <w:pStyle w:val="30"/>
        <w:rPr>
          <w:rFonts w:hint="eastAsia"/>
          <w:color w:val="auto"/>
          <w:highlight w:val="none"/>
          <w:lang w:val="en-US" w:eastAsia="zh-CN"/>
        </w:rPr>
      </w:pPr>
      <w:r>
        <w:rPr>
          <w:rFonts w:hint="eastAsia"/>
          <w:color w:val="auto"/>
          <w:highlight w:val="none"/>
          <w:lang w:val="en-US" w:eastAsia="zh-CN"/>
        </w:rPr>
        <w:t>草本层盖度15%，层均高0.8m，优势种为芒</w:t>
      </w:r>
      <w:r>
        <w:rPr>
          <w:rFonts w:hint="eastAsia"/>
          <w:i/>
          <w:iCs/>
          <w:color w:val="auto"/>
          <w:highlight w:val="none"/>
          <w:lang w:val="en-US" w:eastAsia="zh-CN"/>
        </w:rPr>
        <w:t>(Miscanthus sinensis)</w:t>
      </w:r>
      <w:r>
        <w:rPr>
          <w:rFonts w:hint="eastAsia"/>
          <w:color w:val="auto"/>
          <w:highlight w:val="none"/>
          <w:lang w:val="en-US" w:eastAsia="zh-CN"/>
        </w:rPr>
        <w:t>，高约0.5m，盖度10%，主要伴生种有地榆</w:t>
      </w:r>
      <w:r>
        <w:rPr>
          <w:rFonts w:hint="eastAsia"/>
          <w:i/>
          <w:iCs/>
          <w:color w:val="auto"/>
          <w:highlight w:val="none"/>
          <w:lang w:val="en-US" w:eastAsia="zh-CN"/>
        </w:rPr>
        <w:t>(Sanguisorba oficinalis)</w:t>
      </w:r>
      <w:r>
        <w:rPr>
          <w:rFonts w:hint="eastAsia"/>
          <w:color w:val="auto"/>
          <w:highlight w:val="none"/>
          <w:lang w:val="en-US" w:eastAsia="zh-CN"/>
        </w:rPr>
        <w:t>、三脉紫菀</w:t>
      </w:r>
      <w:r>
        <w:rPr>
          <w:rFonts w:hint="eastAsia"/>
          <w:i/>
          <w:iCs/>
          <w:color w:val="auto"/>
          <w:highlight w:val="none"/>
          <w:lang w:val="en-US" w:eastAsia="zh-CN"/>
        </w:rPr>
        <w:t>(Aster ageratoides)</w:t>
      </w:r>
      <w:r>
        <w:rPr>
          <w:rFonts w:hint="eastAsia"/>
          <w:color w:val="auto"/>
          <w:highlight w:val="none"/>
          <w:lang w:val="en-US" w:eastAsia="zh-CN"/>
        </w:rPr>
        <w:t>、千里光</w:t>
      </w:r>
      <w:r>
        <w:rPr>
          <w:rFonts w:hint="eastAsia"/>
          <w:i/>
          <w:iCs/>
          <w:color w:val="auto"/>
          <w:highlight w:val="none"/>
          <w:lang w:val="en-US" w:eastAsia="zh-CN"/>
        </w:rPr>
        <w:t>(Senecio scandens)</w:t>
      </w:r>
      <w:r>
        <w:rPr>
          <w:rFonts w:hint="eastAsia"/>
          <w:color w:val="auto"/>
          <w:highlight w:val="none"/>
          <w:lang w:val="en-US" w:eastAsia="zh-CN"/>
        </w:rPr>
        <w:t>等。</w:t>
      </w:r>
    </w:p>
    <w:p w14:paraId="0FC9D632">
      <w:pPr>
        <w:pStyle w:val="30"/>
        <w:rPr>
          <w:rFonts w:hint="eastAsia"/>
          <w:color w:val="auto"/>
          <w:highlight w:val="none"/>
          <w:lang w:val="en-US" w:eastAsia="zh-CN"/>
        </w:rPr>
      </w:pPr>
      <w:r>
        <w:rPr>
          <w:rFonts w:hint="eastAsia"/>
          <w:color w:val="auto"/>
          <w:highlight w:val="none"/>
          <w:lang w:val="en-US" w:eastAsia="zh-CN"/>
        </w:rPr>
        <w:t>样方位置：18#风机附近(N26.92098894°，E111.99908137°)；H：509m。</w:t>
      </w:r>
    </w:p>
    <w:tbl>
      <w:tblPr>
        <w:tblStyle w:val="38"/>
        <w:tblW w:w="5000" w:type="pct"/>
        <w:tblInd w:w="2"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029"/>
        <w:gridCol w:w="807"/>
        <w:gridCol w:w="2146"/>
        <w:gridCol w:w="1087"/>
        <w:gridCol w:w="133"/>
        <w:gridCol w:w="952"/>
        <w:gridCol w:w="1088"/>
        <w:gridCol w:w="1093"/>
      </w:tblGrid>
      <w:tr w14:paraId="72C3DA7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vMerge w:val="restart"/>
            <w:tcBorders>
              <w:tl2br w:val="nil"/>
              <w:tr2bl w:val="nil"/>
            </w:tcBorders>
            <w:noWrap w:val="0"/>
            <w:vAlign w:val="center"/>
          </w:tcPr>
          <w:p w14:paraId="3886D63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植被类型</w:t>
            </w:r>
          </w:p>
        </w:tc>
        <w:tc>
          <w:tcPr>
            <w:tcW w:w="3107" w:type="dxa"/>
            <w:gridSpan w:val="2"/>
            <w:vMerge w:val="restart"/>
            <w:tcBorders>
              <w:tl2br w:val="nil"/>
              <w:tr2bl w:val="nil"/>
            </w:tcBorders>
            <w:noWrap w:val="0"/>
            <w:vAlign w:val="center"/>
          </w:tcPr>
          <w:p w14:paraId="7504F5B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锥栗林</w:t>
            </w:r>
            <w:r>
              <w:rPr>
                <w:rFonts w:hint="default" w:cs="Times New Roman"/>
                <w:i/>
                <w:iCs/>
                <w:color w:val="auto"/>
                <w:highlight w:val="none"/>
              </w:rPr>
              <w:t>(Form.Castanea henryi)</w:t>
            </w:r>
          </w:p>
        </w:tc>
        <w:tc>
          <w:tcPr>
            <w:tcW w:w="4576" w:type="dxa"/>
            <w:gridSpan w:val="5"/>
            <w:tcBorders>
              <w:tl2br w:val="nil"/>
              <w:tr2bl w:val="nil"/>
            </w:tcBorders>
            <w:noWrap w:val="0"/>
            <w:vAlign w:val="center"/>
          </w:tcPr>
          <w:p w14:paraId="172C6C7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环境特征</w:t>
            </w:r>
          </w:p>
        </w:tc>
      </w:tr>
      <w:tr w14:paraId="62C755C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vMerge w:val="continue"/>
            <w:tcBorders>
              <w:tl2br w:val="nil"/>
              <w:tr2bl w:val="nil"/>
            </w:tcBorders>
            <w:noWrap w:val="0"/>
            <w:vAlign w:val="center"/>
          </w:tcPr>
          <w:p w14:paraId="400934A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3107" w:type="dxa"/>
            <w:gridSpan w:val="2"/>
            <w:vMerge w:val="continue"/>
            <w:tcBorders>
              <w:tl2br w:val="nil"/>
              <w:tr2bl w:val="nil"/>
            </w:tcBorders>
            <w:noWrap w:val="0"/>
            <w:vAlign w:val="center"/>
          </w:tcPr>
          <w:p w14:paraId="3AF4B6F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1143" w:type="dxa"/>
            <w:tcBorders>
              <w:tl2br w:val="nil"/>
              <w:tr2bl w:val="nil"/>
            </w:tcBorders>
            <w:noWrap w:val="0"/>
            <w:vAlign w:val="center"/>
          </w:tcPr>
          <w:p w14:paraId="5F3347C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地形</w:t>
            </w:r>
          </w:p>
        </w:tc>
        <w:tc>
          <w:tcPr>
            <w:tcW w:w="1142" w:type="dxa"/>
            <w:gridSpan w:val="2"/>
            <w:tcBorders>
              <w:tl2br w:val="nil"/>
              <w:tr2bl w:val="nil"/>
            </w:tcBorders>
            <w:noWrap w:val="0"/>
            <w:vAlign w:val="center"/>
          </w:tcPr>
          <w:p w14:paraId="3B6D523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海拔(m)</w:t>
            </w:r>
          </w:p>
        </w:tc>
        <w:tc>
          <w:tcPr>
            <w:tcW w:w="1143" w:type="dxa"/>
            <w:tcBorders>
              <w:tl2br w:val="nil"/>
              <w:tr2bl w:val="nil"/>
            </w:tcBorders>
            <w:noWrap w:val="0"/>
            <w:vAlign w:val="center"/>
          </w:tcPr>
          <w:p w14:paraId="0982F0FC">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坡向</w:t>
            </w:r>
          </w:p>
        </w:tc>
        <w:tc>
          <w:tcPr>
            <w:tcW w:w="1148" w:type="dxa"/>
            <w:tcBorders>
              <w:tl2br w:val="nil"/>
              <w:tr2bl w:val="nil"/>
            </w:tcBorders>
            <w:noWrap w:val="0"/>
            <w:vAlign w:val="center"/>
          </w:tcPr>
          <w:p w14:paraId="0963306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坡度(°)</w:t>
            </w:r>
          </w:p>
        </w:tc>
      </w:tr>
      <w:tr w14:paraId="40C100F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639ED2C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地点</w:t>
            </w:r>
          </w:p>
        </w:tc>
        <w:tc>
          <w:tcPr>
            <w:tcW w:w="3107" w:type="dxa"/>
            <w:gridSpan w:val="2"/>
            <w:tcBorders>
              <w:tl2br w:val="nil"/>
              <w:tr2bl w:val="nil"/>
            </w:tcBorders>
            <w:noWrap w:val="0"/>
            <w:vAlign w:val="center"/>
          </w:tcPr>
          <w:p w14:paraId="67FEC53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lang w:val="en-US" w:eastAsia="zh-CN"/>
              </w:rPr>
              <w:t>18#</w:t>
            </w:r>
            <w:r>
              <w:rPr>
                <w:rFonts w:hint="default" w:cs="Times New Roman"/>
                <w:color w:val="auto"/>
                <w:highlight w:val="none"/>
              </w:rPr>
              <w:t>风机附近</w:t>
            </w:r>
          </w:p>
        </w:tc>
        <w:tc>
          <w:tcPr>
            <w:tcW w:w="1143" w:type="dxa"/>
            <w:tcBorders>
              <w:tl2br w:val="nil"/>
              <w:tr2bl w:val="nil"/>
            </w:tcBorders>
            <w:noWrap w:val="0"/>
            <w:vAlign w:val="center"/>
          </w:tcPr>
          <w:p w14:paraId="786E8C3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山地</w:t>
            </w:r>
          </w:p>
        </w:tc>
        <w:tc>
          <w:tcPr>
            <w:tcW w:w="1142" w:type="dxa"/>
            <w:gridSpan w:val="2"/>
            <w:tcBorders>
              <w:tl2br w:val="nil"/>
              <w:tr2bl w:val="nil"/>
            </w:tcBorders>
            <w:noWrap w:val="0"/>
            <w:vAlign w:val="center"/>
          </w:tcPr>
          <w:p w14:paraId="44E6FAD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val="en-US" w:eastAsia="zh-CN"/>
              </w:rPr>
            </w:pPr>
            <w:r>
              <w:rPr>
                <w:rFonts w:hint="default" w:cs="Times New Roman"/>
                <w:color w:val="auto"/>
                <w:highlight w:val="none"/>
                <w:lang w:val="en-US" w:eastAsia="zh-CN"/>
              </w:rPr>
              <w:t>509</w:t>
            </w:r>
          </w:p>
        </w:tc>
        <w:tc>
          <w:tcPr>
            <w:tcW w:w="1143" w:type="dxa"/>
            <w:tcBorders>
              <w:tl2br w:val="nil"/>
              <w:tr2bl w:val="nil"/>
            </w:tcBorders>
            <w:noWrap w:val="0"/>
            <w:vAlign w:val="center"/>
          </w:tcPr>
          <w:p w14:paraId="5484303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eastAsia="zh-CN"/>
              </w:rPr>
            </w:pPr>
            <w:r>
              <w:rPr>
                <w:rFonts w:hint="default" w:cs="Times New Roman"/>
                <w:color w:val="auto"/>
                <w:highlight w:val="none"/>
                <w:lang w:val="en-US" w:eastAsia="zh-CN"/>
              </w:rPr>
              <w:t>W</w:t>
            </w:r>
          </w:p>
        </w:tc>
        <w:tc>
          <w:tcPr>
            <w:tcW w:w="1148" w:type="dxa"/>
            <w:tcBorders>
              <w:tl2br w:val="nil"/>
              <w:tr2bl w:val="nil"/>
            </w:tcBorders>
            <w:noWrap w:val="0"/>
            <w:vAlign w:val="center"/>
          </w:tcPr>
          <w:p w14:paraId="1CB1F76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val="en-US" w:eastAsia="zh-CN"/>
              </w:rPr>
            </w:pPr>
            <w:r>
              <w:rPr>
                <w:rFonts w:hint="default" w:cs="Times New Roman"/>
                <w:color w:val="auto"/>
                <w:highlight w:val="none"/>
                <w:lang w:val="en-US" w:eastAsia="zh-CN"/>
              </w:rPr>
              <w:t>25</w:t>
            </w:r>
          </w:p>
        </w:tc>
      </w:tr>
      <w:tr w14:paraId="3764293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trPr>
        <w:tc>
          <w:tcPr>
            <w:tcW w:w="1082" w:type="dxa"/>
            <w:tcBorders>
              <w:tl2br w:val="nil"/>
              <w:tr2bl w:val="nil"/>
            </w:tcBorders>
            <w:noWrap w:val="0"/>
            <w:vAlign w:val="center"/>
          </w:tcPr>
          <w:p w14:paraId="1B82DDE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经纬度</w:t>
            </w:r>
          </w:p>
        </w:tc>
        <w:tc>
          <w:tcPr>
            <w:tcW w:w="7683" w:type="dxa"/>
            <w:gridSpan w:val="7"/>
            <w:tcBorders>
              <w:tl2br w:val="nil"/>
              <w:tr2bl w:val="nil"/>
            </w:tcBorders>
            <w:noWrap w:val="0"/>
            <w:vAlign w:val="center"/>
          </w:tcPr>
          <w:p w14:paraId="2E0AB22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lang w:val="en-US" w:eastAsia="zh-CN"/>
              </w:rPr>
              <w:t>N26.92098894°，</w:t>
            </w:r>
            <w:r>
              <w:rPr>
                <w:rFonts w:hint="eastAsia" w:cs="Times New Roman"/>
                <w:color w:val="auto"/>
                <w:highlight w:val="none"/>
                <w:lang w:val="en-US" w:eastAsia="zh-CN"/>
              </w:rPr>
              <w:t>E</w:t>
            </w:r>
            <w:r>
              <w:rPr>
                <w:rFonts w:hint="default" w:cs="Times New Roman"/>
                <w:color w:val="auto"/>
                <w:highlight w:val="none"/>
                <w:lang w:val="en-US" w:eastAsia="zh-CN"/>
              </w:rPr>
              <w:t>111.99908137°</w:t>
            </w:r>
          </w:p>
        </w:tc>
      </w:tr>
      <w:tr w14:paraId="523B06C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6E7FC4E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层次</w:t>
            </w:r>
          </w:p>
        </w:tc>
        <w:tc>
          <w:tcPr>
            <w:tcW w:w="7683" w:type="dxa"/>
            <w:gridSpan w:val="7"/>
            <w:tcBorders>
              <w:tl2br w:val="nil"/>
              <w:tr2bl w:val="nil"/>
            </w:tcBorders>
            <w:noWrap w:val="0"/>
            <w:vAlign w:val="center"/>
          </w:tcPr>
          <w:p w14:paraId="478004A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三层</w:t>
            </w:r>
          </w:p>
        </w:tc>
      </w:tr>
      <w:tr w14:paraId="19E8FB8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0A7C8DC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分层</w:t>
            </w:r>
          </w:p>
        </w:tc>
        <w:tc>
          <w:tcPr>
            <w:tcW w:w="850" w:type="dxa"/>
            <w:tcBorders>
              <w:tl2br w:val="nil"/>
              <w:tr2bl w:val="nil"/>
            </w:tcBorders>
            <w:noWrap w:val="0"/>
            <w:vAlign w:val="center"/>
          </w:tcPr>
          <w:p w14:paraId="0FDA9B9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w:t>
            </w:r>
          </w:p>
        </w:tc>
        <w:tc>
          <w:tcPr>
            <w:tcW w:w="3541" w:type="dxa"/>
            <w:gridSpan w:val="3"/>
            <w:tcBorders>
              <w:tl2br w:val="nil"/>
              <w:tr2bl w:val="nil"/>
            </w:tcBorders>
            <w:noWrap w:val="0"/>
            <w:vAlign w:val="center"/>
          </w:tcPr>
          <w:p w14:paraId="4B29D4B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种类组成与生长状况</w:t>
            </w:r>
          </w:p>
        </w:tc>
        <w:tc>
          <w:tcPr>
            <w:tcW w:w="3292" w:type="dxa"/>
            <w:gridSpan w:val="3"/>
            <w:tcBorders>
              <w:tl2br w:val="nil"/>
              <w:tr2bl w:val="nil"/>
            </w:tcBorders>
            <w:noWrap w:val="0"/>
            <w:vAlign w:val="center"/>
          </w:tcPr>
          <w:p w14:paraId="0B63E26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考察照片</w:t>
            </w:r>
          </w:p>
        </w:tc>
      </w:tr>
      <w:tr w14:paraId="125A8F3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3B0AF3B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乔木层</w:t>
            </w:r>
          </w:p>
        </w:tc>
        <w:tc>
          <w:tcPr>
            <w:tcW w:w="850" w:type="dxa"/>
            <w:tcBorders>
              <w:tl2br w:val="nil"/>
              <w:tr2bl w:val="nil"/>
            </w:tcBorders>
            <w:noWrap w:val="0"/>
            <w:vAlign w:val="center"/>
          </w:tcPr>
          <w:p w14:paraId="10112B4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郁闭度0.4</w:t>
            </w:r>
          </w:p>
        </w:tc>
        <w:tc>
          <w:tcPr>
            <w:tcW w:w="3541" w:type="dxa"/>
            <w:gridSpan w:val="3"/>
            <w:tcBorders>
              <w:tl2br w:val="nil"/>
              <w:tr2bl w:val="nil"/>
            </w:tcBorders>
            <w:noWrap w:val="0"/>
            <w:vAlign w:val="center"/>
          </w:tcPr>
          <w:p w14:paraId="51F4B4B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层均高2m，优势种为锥栗</w:t>
            </w:r>
            <w:r>
              <w:rPr>
                <w:rFonts w:hint="default" w:cs="Times New Roman"/>
                <w:i/>
                <w:iCs/>
                <w:color w:val="auto"/>
                <w:highlight w:val="none"/>
              </w:rPr>
              <w:t>(Castanea henryi)</w:t>
            </w:r>
            <w:r>
              <w:rPr>
                <w:rFonts w:hint="default" w:cs="Times New Roman"/>
                <w:color w:val="auto"/>
                <w:highlight w:val="none"/>
              </w:rPr>
              <w:t>，高约2-2.5m，胸径3-6cm，盖度40%，主要伴生种有山乌桕</w:t>
            </w:r>
            <w:r>
              <w:rPr>
                <w:rFonts w:hint="default" w:cs="Times New Roman"/>
                <w:i/>
                <w:iCs/>
                <w:color w:val="auto"/>
                <w:highlight w:val="none"/>
              </w:rPr>
              <w:t>(Sapium discolor)</w:t>
            </w:r>
            <w:r>
              <w:rPr>
                <w:rFonts w:hint="default" w:cs="Times New Roman"/>
                <w:color w:val="auto"/>
                <w:highlight w:val="none"/>
              </w:rPr>
              <w:t>、檫木</w:t>
            </w:r>
            <w:r>
              <w:rPr>
                <w:rFonts w:hint="default" w:cs="Times New Roman"/>
                <w:i/>
                <w:iCs/>
                <w:color w:val="auto"/>
                <w:highlight w:val="none"/>
              </w:rPr>
              <w:t>(Sassafras tzumu)</w:t>
            </w:r>
            <w:r>
              <w:rPr>
                <w:rFonts w:hint="default" w:cs="Times New Roman"/>
                <w:color w:val="auto"/>
                <w:highlight w:val="none"/>
              </w:rPr>
              <w:t>等。</w:t>
            </w:r>
          </w:p>
        </w:tc>
        <w:tc>
          <w:tcPr>
            <w:tcW w:w="3292" w:type="dxa"/>
            <w:gridSpan w:val="3"/>
            <w:vMerge w:val="restart"/>
            <w:tcBorders>
              <w:tl2br w:val="nil"/>
              <w:tr2bl w:val="nil"/>
            </w:tcBorders>
            <w:noWrap w:val="0"/>
            <w:vAlign w:val="center"/>
          </w:tcPr>
          <w:p w14:paraId="793A020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eastAsia="zh-CN"/>
              </w:rPr>
            </w:pPr>
            <w:r>
              <w:rPr>
                <w:rFonts w:hint="default" w:cs="Times New Roman"/>
                <w:color w:val="auto"/>
                <w:highlight w:val="none"/>
                <w:lang w:eastAsia="zh-CN"/>
              </w:rPr>
              <w:drawing>
                <wp:inline distT="0" distB="0" distL="114300" distR="114300">
                  <wp:extent cx="2048510" cy="1151890"/>
                  <wp:effectExtent l="0" t="0" r="8890" b="10160"/>
                  <wp:docPr id="53" name="图片 24" descr="picture_2023_06_28_10_13_36_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4" descr="picture_2023_06_28_10_13_36_159"/>
                          <pic:cNvPicPr>
                            <a:picLocks noChangeAspect="1"/>
                          </pic:cNvPicPr>
                        </pic:nvPicPr>
                        <pic:blipFill>
                          <a:blip r:embed="rId33"/>
                          <a:stretch>
                            <a:fillRect/>
                          </a:stretch>
                        </pic:blipFill>
                        <pic:spPr>
                          <a:xfrm>
                            <a:off x="0" y="0"/>
                            <a:ext cx="2048510" cy="1151890"/>
                          </a:xfrm>
                          <a:prstGeom prst="rect">
                            <a:avLst/>
                          </a:prstGeom>
                          <a:noFill/>
                          <a:ln>
                            <a:noFill/>
                          </a:ln>
                        </pic:spPr>
                      </pic:pic>
                    </a:graphicData>
                  </a:graphic>
                </wp:inline>
              </w:drawing>
            </w:r>
          </w:p>
        </w:tc>
      </w:tr>
      <w:tr w14:paraId="1A4BEA3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0B19D4AC">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灌木层</w:t>
            </w:r>
          </w:p>
        </w:tc>
        <w:tc>
          <w:tcPr>
            <w:tcW w:w="850" w:type="dxa"/>
            <w:tcBorders>
              <w:tl2br w:val="nil"/>
              <w:tr2bl w:val="nil"/>
            </w:tcBorders>
            <w:noWrap w:val="0"/>
            <w:vAlign w:val="center"/>
          </w:tcPr>
          <w:p w14:paraId="5BACD07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层盖度20%</w:t>
            </w:r>
          </w:p>
        </w:tc>
        <w:tc>
          <w:tcPr>
            <w:tcW w:w="3541" w:type="dxa"/>
            <w:gridSpan w:val="3"/>
            <w:tcBorders>
              <w:tl2br w:val="nil"/>
              <w:tr2bl w:val="nil"/>
            </w:tcBorders>
            <w:noWrap w:val="0"/>
            <w:vAlign w:val="center"/>
          </w:tcPr>
          <w:p w14:paraId="64F74E3C">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层均高0.8m，优势种为火棘</w:t>
            </w:r>
            <w:r>
              <w:rPr>
                <w:rFonts w:hint="default" w:cs="Times New Roman"/>
                <w:i/>
                <w:iCs/>
                <w:color w:val="auto"/>
                <w:highlight w:val="none"/>
              </w:rPr>
              <w:t>(Pyracantha fortuneana)</w:t>
            </w:r>
            <w:r>
              <w:rPr>
                <w:rFonts w:hint="default" w:cs="Times New Roman"/>
                <w:color w:val="auto"/>
                <w:highlight w:val="none"/>
              </w:rPr>
              <w:t>，高约0.8-1m，盖度10%，主要伴生种有高粱泡</w:t>
            </w:r>
            <w:r>
              <w:rPr>
                <w:rFonts w:hint="default" w:cs="Times New Roman"/>
                <w:i/>
                <w:iCs/>
                <w:color w:val="auto"/>
                <w:highlight w:val="none"/>
              </w:rPr>
              <w:t>(Rubus lambertianus)</w:t>
            </w:r>
            <w:r>
              <w:rPr>
                <w:rFonts w:hint="default" w:cs="Times New Roman"/>
                <w:color w:val="auto"/>
                <w:highlight w:val="none"/>
              </w:rPr>
              <w:t>、细齿叶柃</w:t>
            </w:r>
            <w:r>
              <w:rPr>
                <w:rFonts w:hint="default" w:cs="Times New Roman"/>
                <w:i/>
                <w:iCs/>
                <w:color w:val="auto"/>
                <w:highlight w:val="none"/>
              </w:rPr>
              <w:t>(Eurya  nitida)</w:t>
            </w:r>
            <w:r>
              <w:rPr>
                <w:rFonts w:hint="default" w:cs="Times New Roman"/>
                <w:color w:val="auto"/>
                <w:highlight w:val="none"/>
              </w:rPr>
              <w:t>、复盆子</w:t>
            </w:r>
            <w:r>
              <w:rPr>
                <w:rFonts w:hint="default" w:cs="Times New Roman"/>
                <w:i/>
                <w:iCs/>
                <w:color w:val="auto"/>
                <w:highlight w:val="none"/>
              </w:rPr>
              <w:t>(Rubus idaeus)</w:t>
            </w:r>
            <w:r>
              <w:rPr>
                <w:rFonts w:hint="default" w:cs="Times New Roman"/>
                <w:color w:val="auto"/>
                <w:highlight w:val="none"/>
              </w:rPr>
              <w:t>、盐肤木</w:t>
            </w:r>
            <w:r>
              <w:rPr>
                <w:rFonts w:hint="default" w:cs="Times New Roman"/>
                <w:i/>
                <w:iCs/>
                <w:color w:val="auto"/>
                <w:highlight w:val="none"/>
              </w:rPr>
              <w:t>(Rhus chinensis)</w:t>
            </w:r>
            <w:r>
              <w:rPr>
                <w:rFonts w:hint="default" w:cs="Times New Roman"/>
                <w:color w:val="auto"/>
                <w:highlight w:val="none"/>
              </w:rPr>
              <w:t>等。</w:t>
            </w:r>
          </w:p>
        </w:tc>
        <w:tc>
          <w:tcPr>
            <w:tcW w:w="3292" w:type="dxa"/>
            <w:gridSpan w:val="3"/>
            <w:vMerge w:val="continue"/>
            <w:tcBorders>
              <w:tl2br w:val="nil"/>
              <w:tr2bl w:val="nil"/>
            </w:tcBorders>
            <w:noWrap w:val="0"/>
            <w:vAlign w:val="center"/>
          </w:tcPr>
          <w:p w14:paraId="4BD8DC0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rPr>
                <w:rFonts w:hint="default" w:ascii="Times New Roman" w:hAnsi="Times New Roman" w:eastAsia="宋体" w:cs="Times New Roman"/>
                <w:color w:val="auto"/>
                <w:sz w:val="21"/>
                <w:szCs w:val="21"/>
                <w:highlight w:val="none"/>
              </w:rPr>
            </w:pPr>
          </w:p>
        </w:tc>
      </w:tr>
      <w:tr w14:paraId="35FC0B9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563658EC">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草本层</w:t>
            </w:r>
          </w:p>
        </w:tc>
        <w:tc>
          <w:tcPr>
            <w:tcW w:w="850" w:type="dxa"/>
            <w:tcBorders>
              <w:tl2br w:val="nil"/>
              <w:tr2bl w:val="nil"/>
            </w:tcBorders>
            <w:noWrap w:val="0"/>
            <w:vAlign w:val="center"/>
          </w:tcPr>
          <w:p w14:paraId="44F2576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层盖度15%</w:t>
            </w:r>
          </w:p>
        </w:tc>
        <w:tc>
          <w:tcPr>
            <w:tcW w:w="3541" w:type="dxa"/>
            <w:gridSpan w:val="3"/>
            <w:tcBorders>
              <w:tl2br w:val="nil"/>
              <w:tr2bl w:val="nil"/>
            </w:tcBorders>
            <w:noWrap w:val="0"/>
            <w:vAlign w:val="center"/>
          </w:tcPr>
          <w:p w14:paraId="25F0E14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层均高0.8m，优势种为芒</w:t>
            </w:r>
            <w:r>
              <w:rPr>
                <w:rFonts w:hint="default" w:cs="Times New Roman"/>
                <w:i/>
                <w:iCs/>
                <w:color w:val="auto"/>
                <w:highlight w:val="none"/>
              </w:rPr>
              <w:t>(Miscanthus sinensis)</w:t>
            </w:r>
            <w:r>
              <w:rPr>
                <w:rFonts w:hint="default" w:cs="Times New Roman"/>
                <w:color w:val="auto"/>
                <w:highlight w:val="none"/>
              </w:rPr>
              <w:t>，高约0.5m，盖度10%，主要伴生种有地榆</w:t>
            </w:r>
            <w:r>
              <w:rPr>
                <w:rFonts w:hint="default" w:cs="Times New Roman"/>
                <w:i/>
                <w:iCs/>
                <w:color w:val="auto"/>
                <w:highlight w:val="none"/>
              </w:rPr>
              <w:t>(Sanguisorba officinalis)</w:t>
            </w:r>
            <w:r>
              <w:rPr>
                <w:rFonts w:hint="default" w:cs="Times New Roman"/>
                <w:color w:val="auto"/>
                <w:highlight w:val="none"/>
              </w:rPr>
              <w:t>、三脉紫菀</w:t>
            </w:r>
            <w:r>
              <w:rPr>
                <w:rFonts w:hint="default" w:cs="Times New Roman"/>
                <w:i/>
                <w:iCs/>
                <w:color w:val="auto"/>
                <w:highlight w:val="none"/>
              </w:rPr>
              <w:t>(Aster ageratoides)</w:t>
            </w:r>
            <w:r>
              <w:rPr>
                <w:rFonts w:hint="default" w:cs="Times New Roman"/>
                <w:color w:val="auto"/>
                <w:highlight w:val="none"/>
              </w:rPr>
              <w:t>、千里光</w:t>
            </w:r>
            <w:r>
              <w:rPr>
                <w:rFonts w:hint="default" w:cs="Times New Roman"/>
                <w:i/>
                <w:iCs/>
                <w:color w:val="auto"/>
                <w:highlight w:val="none"/>
              </w:rPr>
              <w:t>(Senecio scandens)</w:t>
            </w:r>
            <w:r>
              <w:rPr>
                <w:rFonts w:hint="default" w:cs="Times New Roman"/>
                <w:color w:val="auto"/>
                <w:highlight w:val="none"/>
              </w:rPr>
              <w:t>等。</w:t>
            </w:r>
          </w:p>
        </w:tc>
        <w:tc>
          <w:tcPr>
            <w:tcW w:w="3292" w:type="dxa"/>
            <w:gridSpan w:val="3"/>
            <w:vMerge w:val="continue"/>
            <w:tcBorders>
              <w:tl2br w:val="nil"/>
              <w:tr2bl w:val="nil"/>
            </w:tcBorders>
            <w:noWrap w:val="0"/>
            <w:vAlign w:val="center"/>
          </w:tcPr>
          <w:p w14:paraId="316AB9B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rPr>
                <w:rFonts w:hint="default" w:ascii="Times New Roman" w:hAnsi="Times New Roman" w:eastAsia="宋体" w:cs="Times New Roman"/>
                <w:color w:val="auto"/>
                <w:sz w:val="21"/>
                <w:szCs w:val="21"/>
                <w:highlight w:val="none"/>
              </w:rPr>
            </w:pPr>
          </w:p>
        </w:tc>
      </w:tr>
    </w:tbl>
    <w:p w14:paraId="0C2115F3">
      <w:pPr>
        <w:pStyle w:val="30"/>
        <w:rPr>
          <w:rFonts w:hint="eastAsia"/>
          <w:color w:val="auto"/>
          <w:highlight w:val="none"/>
          <w:lang w:val="en-US" w:eastAsia="zh-CN"/>
        </w:rPr>
      </w:pPr>
      <w:r>
        <w:rPr>
          <w:rFonts w:hint="eastAsia"/>
          <w:color w:val="auto"/>
          <w:highlight w:val="none"/>
          <w:lang w:val="en-US" w:eastAsia="zh-CN"/>
        </w:rPr>
        <w:t>(三)竹林</w:t>
      </w:r>
    </w:p>
    <w:p w14:paraId="69335FF5">
      <w:pPr>
        <w:pStyle w:val="30"/>
        <w:rPr>
          <w:rFonts w:hint="eastAsia"/>
          <w:i/>
          <w:iCs/>
          <w:color w:val="auto"/>
          <w:highlight w:val="none"/>
          <w:lang w:val="en-US" w:eastAsia="zh-CN"/>
        </w:rPr>
      </w:pPr>
      <w:r>
        <w:rPr>
          <w:rFonts w:hint="eastAsia"/>
          <w:color w:val="auto"/>
          <w:highlight w:val="none"/>
          <w:lang w:val="en-US" w:eastAsia="zh-CN"/>
        </w:rPr>
        <w:t>6)毛竹林</w:t>
      </w:r>
      <w:r>
        <w:rPr>
          <w:rFonts w:hint="eastAsia"/>
          <w:i/>
          <w:iCs/>
          <w:color w:val="auto"/>
          <w:highlight w:val="none"/>
          <w:lang w:val="en-US" w:eastAsia="zh-CN"/>
        </w:rPr>
        <w:t>(Form.Phyllostachys heterocyclacv.Pubescens)</w:t>
      </w:r>
    </w:p>
    <w:p w14:paraId="1CCE882A">
      <w:pPr>
        <w:pStyle w:val="30"/>
        <w:rPr>
          <w:rFonts w:hint="eastAsia"/>
          <w:color w:val="auto"/>
          <w:highlight w:val="none"/>
          <w:lang w:val="en-US" w:eastAsia="zh-CN"/>
        </w:rPr>
      </w:pPr>
      <w:r>
        <w:rPr>
          <w:rFonts w:hint="eastAsia"/>
          <w:color w:val="auto"/>
          <w:highlight w:val="none"/>
          <w:lang w:val="en-US" w:eastAsia="zh-CN"/>
        </w:rPr>
        <w:t>毛竹为单轴散生的竹类植物，是中国栽培悠久、面积最广、经济价值也是最重要的竹种。毛竹林在评价区分布广泛。</w:t>
      </w:r>
    </w:p>
    <w:p w14:paraId="3F340B76">
      <w:pPr>
        <w:pStyle w:val="30"/>
        <w:rPr>
          <w:rFonts w:hint="eastAsia"/>
          <w:color w:val="auto"/>
          <w:highlight w:val="none"/>
          <w:lang w:val="en-US" w:eastAsia="zh-CN"/>
        </w:rPr>
      </w:pPr>
      <w:r>
        <w:rPr>
          <w:rFonts w:hint="eastAsia"/>
          <w:color w:val="auto"/>
          <w:highlight w:val="none"/>
          <w:lang w:val="en-US" w:eastAsia="zh-CN"/>
        </w:rPr>
        <w:t>毛竹林乔木层郁闭度0.6，层均高8m，优势种为毛竹</w:t>
      </w:r>
      <w:r>
        <w:rPr>
          <w:rFonts w:hint="eastAsia"/>
          <w:i/>
          <w:iCs/>
          <w:color w:val="auto"/>
          <w:highlight w:val="none"/>
          <w:lang w:val="en-US" w:eastAsia="zh-CN"/>
        </w:rPr>
        <w:t>(Phyllostachys heterocyclacv.Pubescens)</w:t>
      </w:r>
      <w:r>
        <w:rPr>
          <w:rFonts w:hint="eastAsia"/>
          <w:color w:val="auto"/>
          <w:highlight w:val="none"/>
          <w:lang w:val="en-US" w:eastAsia="zh-CN"/>
        </w:rPr>
        <w:t>，高约7-10m，秆径3-6cm，盖度50%，主要伴生种有化香树</w:t>
      </w:r>
      <w:r>
        <w:rPr>
          <w:rFonts w:hint="eastAsia"/>
          <w:i/>
          <w:iCs/>
          <w:color w:val="auto"/>
          <w:highlight w:val="none"/>
          <w:lang w:val="en-US" w:eastAsia="zh-CN"/>
        </w:rPr>
        <w:t>(Platycarya strobilacea)</w:t>
      </w:r>
      <w:r>
        <w:rPr>
          <w:rFonts w:hint="eastAsia"/>
          <w:color w:val="auto"/>
          <w:highlight w:val="none"/>
          <w:lang w:val="en-US" w:eastAsia="zh-CN"/>
        </w:rPr>
        <w:t>、马尾松</w:t>
      </w:r>
      <w:r>
        <w:rPr>
          <w:rFonts w:hint="eastAsia"/>
          <w:i/>
          <w:iCs/>
          <w:color w:val="auto"/>
          <w:highlight w:val="none"/>
          <w:lang w:val="en-US" w:eastAsia="zh-CN"/>
        </w:rPr>
        <w:t>(Pinus massoniana)</w:t>
      </w:r>
      <w:r>
        <w:rPr>
          <w:rFonts w:hint="eastAsia"/>
          <w:color w:val="auto"/>
          <w:highlight w:val="none"/>
          <w:lang w:val="en-US" w:eastAsia="zh-CN"/>
        </w:rPr>
        <w:t>等。</w:t>
      </w:r>
    </w:p>
    <w:p w14:paraId="1503EC96">
      <w:pPr>
        <w:pStyle w:val="30"/>
        <w:rPr>
          <w:rFonts w:hint="eastAsia"/>
          <w:color w:val="auto"/>
          <w:highlight w:val="none"/>
          <w:lang w:val="en-US" w:eastAsia="zh-CN"/>
        </w:rPr>
      </w:pPr>
      <w:r>
        <w:rPr>
          <w:rFonts w:hint="eastAsia"/>
          <w:color w:val="auto"/>
          <w:highlight w:val="none"/>
          <w:lang w:val="en-US" w:eastAsia="zh-CN"/>
        </w:rPr>
        <w:t>灌木层盖度25%，层均高0.8m，优势种为牡荆</w:t>
      </w:r>
      <w:r>
        <w:rPr>
          <w:rFonts w:hint="eastAsia"/>
          <w:i/>
          <w:iCs/>
          <w:color w:val="auto"/>
          <w:highlight w:val="none"/>
          <w:lang w:val="en-US" w:eastAsia="zh-CN"/>
        </w:rPr>
        <w:t>(Vitex negundovar.cannabifolia)</w:t>
      </w:r>
      <w:r>
        <w:rPr>
          <w:rFonts w:hint="eastAsia"/>
          <w:color w:val="auto"/>
          <w:highlight w:val="none"/>
          <w:lang w:val="en-US" w:eastAsia="zh-CN"/>
        </w:rPr>
        <w:t>，高约0.7-1m，盖度15%，主要伴生种有复盆子</w:t>
      </w:r>
      <w:r>
        <w:rPr>
          <w:rFonts w:hint="eastAsia"/>
          <w:i/>
          <w:iCs/>
          <w:color w:val="auto"/>
          <w:highlight w:val="none"/>
          <w:lang w:val="en-US" w:eastAsia="zh-CN"/>
        </w:rPr>
        <w:t>(Rubus idaeus)</w:t>
      </w:r>
      <w:r>
        <w:rPr>
          <w:rFonts w:hint="eastAsia"/>
          <w:color w:val="auto"/>
          <w:highlight w:val="none"/>
          <w:lang w:val="en-US" w:eastAsia="zh-CN"/>
        </w:rPr>
        <w:t>、檵木</w:t>
      </w:r>
      <w:r>
        <w:rPr>
          <w:rFonts w:hint="eastAsia"/>
          <w:i/>
          <w:iCs/>
          <w:color w:val="auto"/>
          <w:highlight w:val="none"/>
          <w:lang w:val="en-US" w:eastAsia="zh-CN"/>
        </w:rPr>
        <w:t>(Loropetalum chinense)</w:t>
      </w:r>
      <w:r>
        <w:rPr>
          <w:rFonts w:hint="eastAsia"/>
          <w:color w:val="auto"/>
          <w:highlight w:val="none"/>
          <w:lang w:val="en-US" w:eastAsia="zh-CN"/>
        </w:rPr>
        <w:t>、山鸡椒</w:t>
      </w:r>
      <w:r>
        <w:rPr>
          <w:rFonts w:hint="eastAsia"/>
          <w:i/>
          <w:iCs/>
          <w:color w:val="auto"/>
          <w:highlight w:val="none"/>
          <w:lang w:val="en-US" w:eastAsia="zh-CN"/>
        </w:rPr>
        <w:t>(Litsea cubeba)</w:t>
      </w:r>
      <w:r>
        <w:rPr>
          <w:rFonts w:hint="eastAsia"/>
          <w:color w:val="auto"/>
          <w:highlight w:val="none"/>
          <w:lang w:val="en-US" w:eastAsia="zh-CN"/>
        </w:rPr>
        <w:t>、苎麻</w:t>
      </w:r>
      <w:r>
        <w:rPr>
          <w:rFonts w:hint="eastAsia"/>
          <w:i/>
          <w:iCs/>
          <w:color w:val="auto"/>
          <w:highlight w:val="none"/>
          <w:lang w:val="en-US" w:eastAsia="zh-CN"/>
        </w:rPr>
        <w:t>(Boehmerianivea)</w:t>
      </w:r>
      <w:r>
        <w:rPr>
          <w:rFonts w:hint="eastAsia"/>
          <w:color w:val="auto"/>
          <w:highlight w:val="none"/>
          <w:lang w:val="en-US" w:eastAsia="zh-CN"/>
        </w:rPr>
        <w:t>等。</w:t>
      </w:r>
    </w:p>
    <w:p w14:paraId="002276D3">
      <w:pPr>
        <w:pStyle w:val="30"/>
        <w:rPr>
          <w:rFonts w:hint="eastAsia"/>
          <w:color w:val="auto"/>
          <w:highlight w:val="none"/>
          <w:lang w:val="en-US" w:eastAsia="zh-CN"/>
        </w:rPr>
      </w:pPr>
      <w:r>
        <w:rPr>
          <w:rFonts w:hint="eastAsia"/>
          <w:color w:val="auto"/>
          <w:highlight w:val="none"/>
          <w:lang w:val="en-US" w:eastAsia="zh-CN"/>
        </w:rPr>
        <w:t>草本层盖度20%，层均高0.5m，优势种为蕨</w:t>
      </w:r>
      <w:r>
        <w:rPr>
          <w:rFonts w:hint="eastAsia"/>
          <w:i/>
          <w:iCs/>
          <w:color w:val="auto"/>
          <w:highlight w:val="none"/>
          <w:lang w:val="en-US" w:eastAsia="zh-CN"/>
        </w:rPr>
        <w:t>(Pteridium aquilinumvar.latiusculum)</w:t>
      </w:r>
      <w:r>
        <w:rPr>
          <w:rFonts w:hint="eastAsia"/>
          <w:color w:val="auto"/>
          <w:highlight w:val="none"/>
          <w:lang w:val="en-US" w:eastAsia="zh-CN"/>
        </w:rPr>
        <w:t>，高约0.3-0.5m，盖度15%，主要伴生种有千里光</w:t>
      </w:r>
      <w:r>
        <w:rPr>
          <w:rFonts w:hint="eastAsia"/>
          <w:i/>
          <w:iCs/>
          <w:color w:val="auto"/>
          <w:highlight w:val="none"/>
          <w:lang w:val="en-US" w:eastAsia="zh-CN"/>
        </w:rPr>
        <w:t>(Senecio scandens)</w:t>
      </w:r>
      <w:r>
        <w:rPr>
          <w:rFonts w:hint="eastAsia"/>
          <w:color w:val="auto"/>
          <w:highlight w:val="none"/>
          <w:lang w:val="en-US" w:eastAsia="zh-CN"/>
        </w:rPr>
        <w:t>、香薷</w:t>
      </w:r>
      <w:r>
        <w:rPr>
          <w:rFonts w:hint="eastAsia"/>
          <w:i/>
          <w:iCs/>
          <w:color w:val="auto"/>
          <w:highlight w:val="none"/>
          <w:lang w:val="en-US" w:eastAsia="zh-CN"/>
        </w:rPr>
        <w:t>(Elsholtzia ciliata)</w:t>
      </w:r>
      <w:r>
        <w:rPr>
          <w:rFonts w:hint="eastAsia"/>
          <w:color w:val="auto"/>
          <w:highlight w:val="none"/>
          <w:lang w:val="en-US" w:eastAsia="zh-CN"/>
        </w:rPr>
        <w:t>、糯米团</w:t>
      </w:r>
      <w:r>
        <w:rPr>
          <w:rFonts w:hint="eastAsia"/>
          <w:i/>
          <w:iCs/>
          <w:color w:val="auto"/>
          <w:highlight w:val="none"/>
          <w:lang w:val="en-US" w:eastAsia="zh-CN"/>
        </w:rPr>
        <w:t>(Abelia chinensis)</w:t>
      </w:r>
      <w:r>
        <w:rPr>
          <w:rFonts w:hint="eastAsia"/>
          <w:color w:val="auto"/>
          <w:highlight w:val="none"/>
          <w:lang w:val="en-US" w:eastAsia="zh-CN"/>
        </w:rPr>
        <w:t>等。</w:t>
      </w:r>
    </w:p>
    <w:p w14:paraId="0341EBFD">
      <w:pPr>
        <w:pStyle w:val="30"/>
        <w:rPr>
          <w:rFonts w:hint="eastAsia"/>
          <w:color w:val="auto"/>
          <w:highlight w:val="none"/>
          <w:lang w:val="en-US" w:eastAsia="zh-CN"/>
        </w:rPr>
      </w:pPr>
      <w:r>
        <w:rPr>
          <w:rFonts w:hint="eastAsia"/>
          <w:color w:val="auto"/>
          <w:highlight w:val="none"/>
          <w:lang w:val="en-US" w:eastAsia="zh-CN"/>
        </w:rPr>
        <w:t>样方位置：3#风机附近 (N26.93120515°，E111.92354500°)；H：330m</w:t>
      </w:r>
    </w:p>
    <w:tbl>
      <w:tblPr>
        <w:tblStyle w:val="38"/>
        <w:tblW w:w="5000" w:type="pct"/>
        <w:tblInd w:w="2"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029"/>
        <w:gridCol w:w="807"/>
        <w:gridCol w:w="2146"/>
        <w:gridCol w:w="1087"/>
        <w:gridCol w:w="133"/>
        <w:gridCol w:w="952"/>
        <w:gridCol w:w="1088"/>
        <w:gridCol w:w="1093"/>
      </w:tblGrid>
      <w:tr w14:paraId="1EA8270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vMerge w:val="restart"/>
            <w:tcBorders>
              <w:tl2br w:val="nil"/>
              <w:tr2bl w:val="nil"/>
            </w:tcBorders>
            <w:noWrap w:val="0"/>
            <w:vAlign w:val="center"/>
          </w:tcPr>
          <w:p w14:paraId="5D3E7B4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植被类型</w:t>
            </w:r>
          </w:p>
        </w:tc>
        <w:tc>
          <w:tcPr>
            <w:tcW w:w="3107" w:type="dxa"/>
            <w:gridSpan w:val="2"/>
            <w:vMerge w:val="restart"/>
            <w:tcBorders>
              <w:tl2br w:val="nil"/>
              <w:tr2bl w:val="nil"/>
            </w:tcBorders>
            <w:noWrap w:val="0"/>
            <w:vAlign w:val="center"/>
          </w:tcPr>
          <w:p w14:paraId="132A720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毛竹林</w:t>
            </w:r>
            <w:r>
              <w:rPr>
                <w:rFonts w:hint="default" w:cs="Times New Roman"/>
                <w:i/>
                <w:iCs/>
                <w:color w:val="auto"/>
                <w:highlight w:val="none"/>
              </w:rPr>
              <w:t>(Form.Phyllostachys heterocyclacv.Pubescens)</w:t>
            </w:r>
          </w:p>
        </w:tc>
        <w:tc>
          <w:tcPr>
            <w:tcW w:w="4576" w:type="dxa"/>
            <w:gridSpan w:val="5"/>
            <w:tcBorders>
              <w:tl2br w:val="nil"/>
              <w:tr2bl w:val="nil"/>
            </w:tcBorders>
            <w:noWrap w:val="0"/>
            <w:vAlign w:val="center"/>
          </w:tcPr>
          <w:p w14:paraId="61814E6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环境特征</w:t>
            </w:r>
          </w:p>
        </w:tc>
      </w:tr>
      <w:tr w14:paraId="17DEF17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vMerge w:val="continue"/>
            <w:tcBorders>
              <w:tl2br w:val="nil"/>
              <w:tr2bl w:val="nil"/>
            </w:tcBorders>
            <w:noWrap w:val="0"/>
            <w:vAlign w:val="center"/>
          </w:tcPr>
          <w:p w14:paraId="20D450B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3107" w:type="dxa"/>
            <w:gridSpan w:val="2"/>
            <w:vMerge w:val="continue"/>
            <w:tcBorders>
              <w:tl2br w:val="nil"/>
              <w:tr2bl w:val="nil"/>
            </w:tcBorders>
            <w:noWrap w:val="0"/>
            <w:vAlign w:val="center"/>
          </w:tcPr>
          <w:p w14:paraId="61712EF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1143" w:type="dxa"/>
            <w:tcBorders>
              <w:tl2br w:val="nil"/>
              <w:tr2bl w:val="nil"/>
            </w:tcBorders>
            <w:noWrap w:val="0"/>
            <w:vAlign w:val="center"/>
          </w:tcPr>
          <w:p w14:paraId="29A4DC6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地形</w:t>
            </w:r>
          </w:p>
        </w:tc>
        <w:tc>
          <w:tcPr>
            <w:tcW w:w="1142" w:type="dxa"/>
            <w:gridSpan w:val="2"/>
            <w:tcBorders>
              <w:tl2br w:val="nil"/>
              <w:tr2bl w:val="nil"/>
            </w:tcBorders>
            <w:noWrap w:val="0"/>
            <w:vAlign w:val="center"/>
          </w:tcPr>
          <w:p w14:paraId="5E8D585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海拔(m)</w:t>
            </w:r>
          </w:p>
        </w:tc>
        <w:tc>
          <w:tcPr>
            <w:tcW w:w="1143" w:type="dxa"/>
            <w:tcBorders>
              <w:tl2br w:val="nil"/>
              <w:tr2bl w:val="nil"/>
            </w:tcBorders>
            <w:noWrap w:val="0"/>
            <w:vAlign w:val="center"/>
          </w:tcPr>
          <w:p w14:paraId="54CF93E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坡向</w:t>
            </w:r>
          </w:p>
        </w:tc>
        <w:tc>
          <w:tcPr>
            <w:tcW w:w="1148" w:type="dxa"/>
            <w:tcBorders>
              <w:tl2br w:val="nil"/>
              <w:tr2bl w:val="nil"/>
            </w:tcBorders>
            <w:noWrap w:val="0"/>
            <w:vAlign w:val="center"/>
          </w:tcPr>
          <w:p w14:paraId="1396D89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坡度(°)</w:t>
            </w:r>
          </w:p>
        </w:tc>
      </w:tr>
      <w:tr w14:paraId="3AFB7DC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456DB00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地点</w:t>
            </w:r>
          </w:p>
        </w:tc>
        <w:tc>
          <w:tcPr>
            <w:tcW w:w="3107" w:type="dxa"/>
            <w:gridSpan w:val="2"/>
            <w:tcBorders>
              <w:tl2br w:val="nil"/>
              <w:tr2bl w:val="nil"/>
            </w:tcBorders>
            <w:noWrap w:val="0"/>
            <w:vAlign w:val="center"/>
          </w:tcPr>
          <w:p w14:paraId="774DA68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eastAsia" w:cs="Times New Roman"/>
                <w:color w:val="auto"/>
                <w:highlight w:val="none"/>
                <w:lang w:val="en-US" w:eastAsia="zh-CN"/>
              </w:rPr>
              <w:t>3#</w:t>
            </w:r>
            <w:r>
              <w:rPr>
                <w:rFonts w:hint="default" w:cs="Times New Roman"/>
                <w:color w:val="auto"/>
                <w:highlight w:val="none"/>
              </w:rPr>
              <w:t>风机附近</w:t>
            </w:r>
          </w:p>
        </w:tc>
        <w:tc>
          <w:tcPr>
            <w:tcW w:w="1143" w:type="dxa"/>
            <w:tcBorders>
              <w:tl2br w:val="nil"/>
              <w:tr2bl w:val="nil"/>
            </w:tcBorders>
            <w:noWrap w:val="0"/>
            <w:vAlign w:val="center"/>
          </w:tcPr>
          <w:p w14:paraId="0946145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山地</w:t>
            </w:r>
          </w:p>
        </w:tc>
        <w:tc>
          <w:tcPr>
            <w:tcW w:w="1142" w:type="dxa"/>
            <w:gridSpan w:val="2"/>
            <w:tcBorders>
              <w:tl2br w:val="nil"/>
              <w:tr2bl w:val="nil"/>
            </w:tcBorders>
            <w:noWrap w:val="0"/>
            <w:vAlign w:val="center"/>
          </w:tcPr>
          <w:p w14:paraId="55CEC2F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val="en-US" w:eastAsia="zh-CN"/>
              </w:rPr>
            </w:pPr>
            <w:r>
              <w:rPr>
                <w:rFonts w:hint="eastAsia" w:cs="Times New Roman"/>
                <w:color w:val="auto"/>
                <w:highlight w:val="none"/>
                <w:lang w:val="en-US" w:eastAsia="zh-CN"/>
              </w:rPr>
              <w:t>330</w:t>
            </w:r>
          </w:p>
        </w:tc>
        <w:tc>
          <w:tcPr>
            <w:tcW w:w="1143" w:type="dxa"/>
            <w:tcBorders>
              <w:tl2br w:val="nil"/>
              <w:tr2bl w:val="nil"/>
            </w:tcBorders>
            <w:noWrap w:val="0"/>
            <w:vAlign w:val="center"/>
          </w:tcPr>
          <w:p w14:paraId="6B960C5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val="en-US" w:eastAsia="zh-CN"/>
              </w:rPr>
            </w:pPr>
            <w:r>
              <w:rPr>
                <w:rFonts w:hint="eastAsia" w:cs="Times New Roman"/>
                <w:color w:val="auto"/>
                <w:highlight w:val="none"/>
                <w:lang w:val="en-US" w:eastAsia="zh-CN"/>
              </w:rPr>
              <w:t>SE</w:t>
            </w:r>
          </w:p>
        </w:tc>
        <w:tc>
          <w:tcPr>
            <w:tcW w:w="1148" w:type="dxa"/>
            <w:tcBorders>
              <w:tl2br w:val="nil"/>
              <w:tr2bl w:val="nil"/>
            </w:tcBorders>
            <w:noWrap w:val="0"/>
            <w:vAlign w:val="center"/>
          </w:tcPr>
          <w:p w14:paraId="32EDC9C5">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20</w:t>
            </w:r>
          </w:p>
        </w:tc>
      </w:tr>
      <w:tr w14:paraId="63A70C7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121CF01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经纬度</w:t>
            </w:r>
          </w:p>
        </w:tc>
        <w:tc>
          <w:tcPr>
            <w:tcW w:w="7683" w:type="dxa"/>
            <w:gridSpan w:val="7"/>
            <w:tcBorders>
              <w:tl2br w:val="nil"/>
              <w:tr2bl w:val="nil"/>
            </w:tcBorders>
            <w:noWrap w:val="0"/>
            <w:vAlign w:val="center"/>
          </w:tcPr>
          <w:p w14:paraId="080A421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eastAsia" w:cs="Times New Roman"/>
                <w:color w:val="auto"/>
                <w:highlight w:val="none"/>
                <w:lang w:val="en-US" w:eastAsia="zh-CN"/>
              </w:rPr>
              <w:t>N26.93120515°，E111.92354500°</w:t>
            </w:r>
          </w:p>
        </w:tc>
      </w:tr>
      <w:tr w14:paraId="52E4071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1ACBCC3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层次</w:t>
            </w:r>
          </w:p>
        </w:tc>
        <w:tc>
          <w:tcPr>
            <w:tcW w:w="7683" w:type="dxa"/>
            <w:gridSpan w:val="7"/>
            <w:tcBorders>
              <w:tl2br w:val="nil"/>
              <w:tr2bl w:val="nil"/>
            </w:tcBorders>
            <w:noWrap w:val="0"/>
            <w:vAlign w:val="center"/>
          </w:tcPr>
          <w:p w14:paraId="5BB0C14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三层</w:t>
            </w:r>
          </w:p>
        </w:tc>
      </w:tr>
      <w:tr w14:paraId="6796033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6665042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分层</w:t>
            </w:r>
          </w:p>
        </w:tc>
        <w:tc>
          <w:tcPr>
            <w:tcW w:w="850" w:type="dxa"/>
            <w:tcBorders>
              <w:tl2br w:val="nil"/>
              <w:tr2bl w:val="nil"/>
            </w:tcBorders>
            <w:noWrap w:val="0"/>
            <w:vAlign w:val="center"/>
          </w:tcPr>
          <w:p w14:paraId="5EFFAA6C">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w:t>
            </w:r>
          </w:p>
        </w:tc>
        <w:tc>
          <w:tcPr>
            <w:tcW w:w="3541" w:type="dxa"/>
            <w:gridSpan w:val="3"/>
            <w:tcBorders>
              <w:tl2br w:val="nil"/>
              <w:tr2bl w:val="nil"/>
            </w:tcBorders>
            <w:noWrap w:val="0"/>
            <w:vAlign w:val="center"/>
          </w:tcPr>
          <w:p w14:paraId="489687B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种类组成与生长状况</w:t>
            </w:r>
          </w:p>
        </w:tc>
        <w:tc>
          <w:tcPr>
            <w:tcW w:w="3292" w:type="dxa"/>
            <w:gridSpan w:val="3"/>
            <w:tcBorders>
              <w:tl2br w:val="nil"/>
              <w:tr2bl w:val="nil"/>
            </w:tcBorders>
            <w:noWrap w:val="0"/>
            <w:vAlign w:val="center"/>
          </w:tcPr>
          <w:p w14:paraId="44E059A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考察照片</w:t>
            </w:r>
          </w:p>
        </w:tc>
      </w:tr>
      <w:tr w14:paraId="1D90685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3686416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乔木层</w:t>
            </w:r>
          </w:p>
        </w:tc>
        <w:tc>
          <w:tcPr>
            <w:tcW w:w="850" w:type="dxa"/>
            <w:tcBorders>
              <w:tl2br w:val="nil"/>
              <w:tr2bl w:val="nil"/>
            </w:tcBorders>
            <w:noWrap w:val="0"/>
            <w:vAlign w:val="center"/>
          </w:tcPr>
          <w:p w14:paraId="2E5B0E0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郁闭度 0.6</w:t>
            </w:r>
          </w:p>
        </w:tc>
        <w:tc>
          <w:tcPr>
            <w:tcW w:w="3541" w:type="dxa"/>
            <w:gridSpan w:val="3"/>
            <w:tcBorders>
              <w:tl2br w:val="nil"/>
              <w:tr2bl w:val="nil"/>
            </w:tcBorders>
            <w:noWrap w:val="0"/>
            <w:vAlign w:val="center"/>
          </w:tcPr>
          <w:p w14:paraId="447632D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层均高8m，优势种为毛竹</w:t>
            </w:r>
            <w:r>
              <w:rPr>
                <w:rFonts w:hint="default" w:cs="Times New Roman"/>
                <w:i/>
                <w:iCs/>
                <w:color w:val="auto"/>
                <w:highlight w:val="none"/>
              </w:rPr>
              <w:t>(Phyllostachys heterocyclacv.Pubescens)</w:t>
            </w:r>
            <w:r>
              <w:rPr>
                <w:rFonts w:hint="default" w:cs="Times New Roman"/>
                <w:color w:val="auto"/>
                <w:highlight w:val="none"/>
              </w:rPr>
              <w:t>，高约7-10m，秆径3-6cm，盖度50%，主要伴生种有化香树</w:t>
            </w:r>
            <w:r>
              <w:rPr>
                <w:rFonts w:hint="default" w:cs="Times New Roman"/>
                <w:i/>
                <w:iCs/>
                <w:color w:val="auto"/>
                <w:highlight w:val="none"/>
              </w:rPr>
              <w:t>(Platycarya strobilacea)</w:t>
            </w:r>
            <w:r>
              <w:rPr>
                <w:rFonts w:hint="default" w:cs="Times New Roman"/>
                <w:color w:val="auto"/>
                <w:highlight w:val="none"/>
              </w:rPr>
              <w:t>、马尾松</w:t>
            </w:r>
            <w:r>
              <w:rPr>
                <w:rFonts w:hint="default" w:cs="Times New Roman"/>
                <w:i/>
                <w:iCs/>
                <w:color w:val="auto"/>
                <w:highlight w:val="none"/>
              </w:rPr>
              <w:t>(Pinus massoniana)</w:t>
            </w:r>
            <w:r>
              <w:rPr>
                <w:rFonts w:hint="default" w:cs="Times New Roman"/>
                <w:color w:val="auto"/>
                <w:highlight w:val="none"/>
              </w:rPr>
              <w:t>等。</w:t>
            </w:r>
          </w:p>
        </w:tc>
        <w:tc>
          <w:tcPr>
            <w:tcW w:w="3292" w:type="dxa"/>
            <w:gridSpan w:val="3"/>
            <w:vMerge w:val="restart"/>
            <w:tcBorders>
              <w:tl2br w:val="nil"/>
              <w:tr2bl w:val="nil"/>
            </w:tcBorders>
            <w:noWrap w:val="0"/>
            <w:vAlign w:val="center"/>
          </w:tcPr>
          <w:p w14:paraId="33B1DC4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cs="Times New Roman"/>
                <w:color w:val="auto"/>
                <w:highlight w:val="none"/>
                <w:lang w:eastAsia="zh-CN"/>
              </w:rPr>
            </w:pPr>
            <w:r>
              <w:rPr>
                <w:rFonts w:hint="eastAsia" w:cs="Times New Roman"/>
                <w:color w:val="auto"/>
                <w:highlight w:val="none"/>
                <w:lang w:eastAsia="zh-CN"/>
              </w:rPr>
              <w:drawing>
                <wp:inline distT="0" distB="0" distL="114300" distR="114300">
                  <wp:extent cx="2048510" cy="1151890"/>
                  <wp:effectExtent l="0" t="0" r="8890" b="10160"/>
                  <wp:docPr id="51" name="图片 25" descr="picture_2023_06_27_13_11_24_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5" descr="picture_2023_06_27_13_11_24_985"/>
                          <pic:cNvPicPr>
                            <a:picLocks noChangeAspect="1"/>
                          </pic:cNvPicPr>
                        </pic:nvPicPr>
                        <pic:blipFill>
                          <a:blip r:embed="rId34"/>
                          <a:stretch>
                            <a:fillRect/>
                          </a:stretch>
                        </pic:blipFill>
                        <pic:spPr>
                          <a:xfrm>
                            <a:off x="0" y="0"/>
                            <a:ext cx="2048510" cy="1151890"/>
                          </a:xfrm>
                          <a:prstGeom prst="rect">
                            <a:avLst/>
                          </a:prstGeom>
                          <a:noFill/>
                          <a:ln>
                            <a:noFill/>
                          </a:ln>
                        </pic:spPr>
                      </pic:pic>
                    </a:graphicData>
                  </a:graphic>
                </wp:inline>
              </w:drawing>
            </w:r>
          </w:p>
          <w:p w14:paraId="1ABC658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cs="Times New Roman"/>
                <w:color w:val="auto"/>
                <w:highlight w:val="none"/>
                <w:lang w:eastAsia="zh-CN"/>
              </w:rPr>
            </w:pPr>
            <w:r>
              <w:rPr>
                <w:rFonts w:hint="eastAsia" w:cs="Times New Roman"/>
                <w:color w:val="auto"/>
                <w:highlight w:val="none"/>
                <w:lang w:eastAsia="zh-CN"/>
              </w:rPr>
              <w:drawing>
                <wp:inline distT="0" distB="0" distL="114300" distR="114300">
                  <wp:extent cx="1999615" cy="1124585"/>
                  <wp:effectExtent l="0" t="0" r="635" b="18415"/>
                  <wp:docPr id="49" name="图片 26" descr="picture_2023_06_27_14_03_42_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6" descr="picture_2023_06_27_14_03_42_181"/>
                          <pic:cNvPicPr>
                            <a:picLocks noChangeAspect="1"/>
                          </pic:cNvPicPr>
                        </pic:nvPicPr>
                        <pic:blipFill>
                          <a:blip r:embed="rId35"/>
                          <a:stretch>
                            <a:fillRect/>
                          </a:stretch>
                        </pic:blipFill>
                        <pic:spPr>
                          <a:xfrm>
                            <a:off x="0" y="0"/>
                            <a:ext cx="1999615" cy="1124585"/>
                          </a:xfrm>
                          <a:prstGeom prst="rect">
                            <a:avLst/>
                          </a:prstGeom>
                          <a:noFill/>
                          <a:ln>
                            <a:noFill/>
                          </a:ln>
                        </pic:spPr>
                      </pic:pic>
                    </a:graphicData>
                  </a:graphic>
                </wp:inline>
              </w:drawing>
            </w:r>
          </w:p>
        </w:tc>
      </w:tr>
      <w:tr w14:paraId="38347B4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43B0100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灌木层</w:t>
            </w:r>
          </w:p>
        </w:tc>
        <w:tc>
          <w:tcPr>
            <w:tcW w:w="850" w:type="dxa"/>
            <w:tcBorders>
              <w:tl2br w:val="nil"/>
              <w:tr2bl w:val="nil"/>
            </w:tcBorders>
            <w:noWrap w:val="0"/>
            <w:vAlign w:val="center"/>
          </w:tcPr>
          <w:p w14:paraId="76E6A00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 25%</w:t>
            </w:r>
          </w:p>
        </w:tc>
        <w:tc>
          <w:tcPr>
            <w:tcW w:w="3541" w:type="dxa"/>
            <w:gridSpan w:val="3"/>
            <w:tcBorders>
              <w:tl2br w:val="nil"/>
              <w:tr2bl w:val="nil"/>
            </w:tcBorders>
            <w:noWrap w:val="0"/>
            <w:vAlign w:val="center"/>
          </w:tcPr>
          <w:p w14:paraId="3D5F702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层均高0.8m，优势种为牡荆</w:t>
            </w:r>
            <w:r>
              <w:rPr>
                <w:rFonts w:hint="default" w:cs="Times New Roman"/>
                <w:i/>
                <w:iCs/>
                <w:color w:val="auto"/>
                <w:highlight w:val="none"/>
              </w:rPr>
              <w:t>(Vitex negundovar.cannabifolia)</w:t>
            </w:r>
            <w:r>
              <w:rPr>
                <w:rFonts w:hint="default" w:cs="Times New Roman"/>
                <w:color w:val="auto"/>
                <w:highlight w:val="none"/>
              </w:rPr>
              <w:t>，高约0.7-1m，盖度15%，主要伴生种有复 盆子</w:t>
            </w:r>
            <w:r>
              <w:rPr>
                <w:rFonts w:hint="default" w:cs="Times New Roman"/>
                <w:i/>
                <w:iCs/>
                <w:color w:val="auto"/>
                <w:highlight w:val="none"/>
              </w:rPr>
              <w:t>(Rubus idaeus)</w:t>
            </w:r>
            <w:r>
              <w:rPr>
                <w:rFonts w:hint="default" w:cs="Times New Roman"/>
                <w:color w:val="auto"/>
                <w:highlight w:val="none"/>
              </w:rPr>
              <w:t>、檵木</w:t>
            </w:r>
            <w:r>
              <w:rPr>
                <w:rFonts w:hint="default" w:cs="Times New Roman"/>
                <w:i/>
                <w:iCs/>
                <w:color w:val="auto"/>
                <w:highlight w:val="none"/>
              </w:rPr>
              <w:t>(Loropetalum chinense)</w:t>
            </w:r>
            <w:r>
              <w:rPr>
                <w:rFonts w:hint="default" w:cs="Times New Roman"/>
                <w:color w:val="auto"/>
                <w:highlight w:val="none"/>
              </w:rPr>
              <w:t>、山鸡椒</w:t>
            </w:r>
            <w:r>
              <w:rPr>
                <w:rFonts w:hint="default" w:cs="Times New Roman"/>
                <w:i/>
                <w:iCs/>
                <w:color w:val="auto"/>
                <w:highlight w:val="none"/>
              </w:rPr>
              <w:t>(Litsea cubeba)</w:t>
            </w:r>
            <w:r>
              <w:rPr>
                <w:rFonts w:hint="default" w:cs="Times New Roman"/>
                <w:color w:val="auto"/>
                <w:highlight w:val="none"/>
              </w:rPr>
              <w:t>、苎麻</w:t>
            </w:r>
            <w:r>
              <w:rPr>
                <w:rFonts w:hint="default" w:cs="Times New Roman"/>
                <w:i/>
                <w:iCs/>
                <w:color w:val="auto"/>
                <w:highlight w:val="none"/>
              </w:rPr>
              <w:t>(Boehmeria nivea)</w:t>
            </w:r>
            <w:r>
              <w:rPr>
                <w:rFonts w:hint="default" w:cs="Times New Roman"/>
                <w:color w:val="auto"/>
                <w:highlight w:val="none"/>
              </w:rPr>
              <w:t>等。</w:t>
            </w:r>
          </w:p>
        </w:tc>
        <w:tc>
          <w:tcPr>
            <w:tcW w:w="3292" w:type="dxa"/>
            <w:gridSpan w:val="3"/>
            <w:vMerge w:val="continue"/>
            <w:tcBorders>
              <w:tl2br w:val="nil"/>
              <w:tr2bl w:val="nil"/>
            </w:tcBorders>
            <w:noWrap w:val="0"/>
            <w:vAlign w:val="center"/>
          </w:tcPr>
          <w:p w14:paraId="6ADF11D0">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rPr>
                <w:rFonts w:ascii="Arial"/>
                <w:color w:val="auto"/>
                <w:sz w:val="21"/>
                <w:highlight w:val="none"/>
              </w:rPr>
            </w:pPr>
          </w:p>
        </w:tc>
      </w:tr>
      <w:tr w14:paraId="591B343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3BBF7BE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草本层</w:t>
            </w:r>
          </w:p>
          <w:p w14:paraId="0855961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p w14:paraId="3CA7D7C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850" w:type="dxa"/>
            <w:tcBorders>
              <w:tl2br w:val="nil"/>
              <w:tr2bl w:val="nil"/>
            </w:tcBorders>
            <w:noWrap w:val="0"/>
            <w:vAlign w:val="center"/>
          </w:tcPr>
          <w:p w14:paraId="3094666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 20%</w:t>
            </w:r>
          </w:p>
        </w:tc>
        <w:tc>
          <w:tcPr>
            <w:tcW w:w="3541" w:type="dxa"/>
            <w:gridSpan w:val="3"/>
            <w:tcBorders>
              <w:tl2br w:val="nil"/>
              <w:tr2bl w:val="nil"/>
            </w:tcBorders>
            <w:noWrap w:val="0"/>
            <w:vAlign w:val="center"/>
          </w:tcPr>
          <w:p w14:paraId="424127E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层均高0.5m，优势种为蕨</w:t>
            </w:r>
            <w:r>
              <w:rPr>
                <w:rFonts w:hint="default" w:cs="Times New Roman"/>
                <w:i/>
                <w:iCs/>
                <w:color w:val="auto"/>
                <w:highlight w:val="none"/>
              </w:rPr>
              <w:t>(Pteridium aquilinumvar.latiusculum)</w:t>
            </w:r>
            <w:r>
              <w:rPr>
                <w:rFonts w:hint="default" w:cs="Times New Roman"/>
                <w:color w:val="auto"/>
                <w:highlight w:val="none"/>
              </w:rPr>
              <w:t>，高约0.3-0.5m，盖度15%，主要伴生种有 千里光</w:t>
            </w:r>
            <w:r>
              <w:rPr>
                <w:rFonts w:hint="default" w:cs="Times New Roman"/>
                <w:i/>
                <w:iCs/>
                <w:color w:val="auto"/>
                <w:highlight w:val="none"/>
              </w:rPr>
              <w:t>(Senecio scandens)</w:t>
            </w:r>
            <w:r>
              <w:rPr>
                <w:rFonts w:hint="default" w:cs="Times New Roman"/>
                <w:color w:val="auto"/>
                <w:highlight w:val="none"/>
              </w:rPr>
              <w:t>、香薷</w:t>
            </w:r>
            <w:r>
              <w:rPr>
                <w:rFonts w:hint="default" w:cs="Times New Roman"/>
                <w:i/>
                <w:iCs/>
                <w:color w:val="auto"/>
                <w:highlight w:val="none"/>
              </w:rPr>
              <w:t>(Elsholtzia ciliata)</w:t>
            </w:r>
            <w:r>
              <w:rPr>
                <w:rFonts w:hint="default" w:cs="Times New Roman"/>
                <w:color w:val="auto"/>
                <w:highlight w:val="none"/>
              </w:rPr>
              <w:t>、糯米条</w:t>
            </w:r>
            <w:r>
              <w:rPr>
                <w:rFonts w:hint="default" w:cs="Times New Roman"/>
                <w:i/>
                <w:iCs/>
                <w:color w:val="auto"/>
                <w:highlight w:val="none"/>
              </w:rPr>
              <w:t>(Abelia chinensis)</w:t>
            </w:r>
            <w:r>
              <w:rPr>
                <w:rFonts w:hint="default" w:cs="Times New Roman"/>
                <w:color w:val="auto"/>
                <w:highlight w:val="none"/>
              </w:rPr>
              <w:t>等。</w:t>
            </w:r>
          </w:p>
        </w:tc>
        <w:tc>
          <w:tcPr>
            <w:tcW w:w="3292" w:type="dxa"/>
            <w:gridSpan w:val="3"/>
            <w:vMerge w:val="continue"/>
            <w:tcBorders>
              <w:tl2br w:val="nil"/>
              <w:tr2bl w:val="nil"/>
            </w:tcBorders>
            <w:noWrap w:val="0"/>
            <w:vAlign w:val="center"/>
          </w:tcPr>
          <w:p w14:paraId="476C2C18">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rPr>
                <w:rFonts w:ascii="Arial"/>
                <w:color w:val="auto"/>
                <w:sz w:val="21"/>
                <w:highlight w:val="none"/>
              </w:rPr>
            </w:pPr>
          </w:p>
        </w:tc>
      </w:tr>
    </w:tbl>
    <w:p w14:paraId="1111AC95">
      <w:pPr>
        <w:pStyle w:val="30"/>
        <w:rPr>
          <w:rFonts w:hint="eastAsia"/>
          <w:color w:val="auto"/>
          <w:highlight w:val="none"/>
          <w:lang w:val="en-US" w:eastAsia="zh-CN"/>
        </w:rPr>
      </w:pPr>
      <w:r>
        <w:rPr>
          <w:rFonts w:hint="eastAsia"/>
          <w:color w:val="auto"/>
          <w:highlight w:val="none"/>
          <w:lang w:val="en-US" w:eastAsia="zh-CN"/>
        </w:rPr>
        <w:t>7)水竹林</w:t>
      </w:r>
      <w:r>
        <w:rPr>
          <w:rFonts w:hint="eastAsia"/>
          <w:i/>
          <w:iCs/>
          <w:color w:val="auto"/>
          <w:highlight w:val="none"/>
          <w:lang w:val="en-US" w:eastAsia="zh-CN"/>
        </w:rPr>
        <w:t>(Form.Phyllostachys heteroclada)</w:t>
      </w:r>
    </w:p>
    <w:p w14:paraId="3DBC7DFB">
      <w:pPr>
        <w:pStyle w:val="30"/>
        <w:rPr>
          <w:rFonts w:hint="eastAsia"/>
          <w:color w:val="auto"/>
          <w:highlight w:val="none"/>
          <w:lang w:val="en-US" w:eastAsia="zh-CN"/>
        </w:rPr>
      </w:pPr>
      <w:r>
        <w:rPr>
          <w:rFonts w:hint="eastAsia"/>
          <w:color w:val="auto"/>
          <w:highlight w:val="none"/>
          <w:lang w:val="en-US" w:eastAsia="zh-CN"/>
        </w:rPr>
        <w:t>水竹多生于河流两岸及山谷中，为长江流域及其以南最常见的野生竹种。水 竹竹材韧性好，宜编制各种生活及生产用具。水竹林多分布于平缓荒地及小路两 边，升压站附近分布较多。</w:t>
      </w:r>
    </w:p>
    <w:p w14:paraId="101267A5">
      <w:pPr>
        <w:pStyle w:val="30"/>
        <w:rPr>
          <w:rFonts w:hint="eastAsia"/>
          <w:color w:val="auto"/>
          <w:highlight w:val="none"/>
          <w:lang w:val="en-US" w:eastAsia="zh-CN"/>
        </w:rPr>
      </w:pPr>
      <w:r>
        <w:rPr>
          <w:rFonts w:hint="eastAsia"/>
          <w:color w:val="auto"/>
          <w:highlight w:val="none"/>
          <w:lang w:val="en-US" w:eastAsia="zh-CN"/>
        </w:rPr>
        <w:t>水竹林乔木层郁闭度0.5，层均高1.2m，为单优势种，高约1.0-1.4m，秆径2-3cm，盖度50%。</w:t>
      </w:r>
    </w:p>
    <w:p w14:paraId="2A4B49AE">
      <w:pPr>
        <w:pStyle w:val="30"/>
        <w:rPr>
          <w:rFonts w:hint="eastAsia"/>
          <w:color w:val="auto"/>
          <w:highlight w:val="none"/>
          <w:lang w:val="en-US" w:eastAsia="zh-CN"/>
        </w:rPr>
      </w:pPr>
      <w:r>
        <w:rPr>
          <w:rFonts w:hint="eastAsia"/>
          <w:color w:val="auto"/>
          <w:highlight w:val="none"/>
          <w:lang w:val="en-US" w:eastAsia="zh-CN"/>
        </w:rPr>
        <w:t>灌木层盖度15%，层均高0.8m，无优势种，散生有地菍</w:t>
      </w:r>
      <w:r>
        <w:rPr>
          <w:rFonts w:hint="eastAsia"/>
          <w:i/>
          <w:iCs/>
          <w:color w:val="auto"/>
          <w:highlight w:val="none"/>
          <w:lang w:val="en-US" w:eastAsia="zh-CN"/>
        </w:rPr>
        <w:t>(Melastoma dodecandrum)</w:t>
      </w:r>
      <w:r>
        <w:rPr>
          <w:rFonts w:hint="eastAsia"/>
          <w:color w:val="auto"/>
          <w:highlight w:val="none"/>
          <w:lang w:val="en-US" w:eastAsia="zh-CN"/>
        </w:rPr>
        <w:t>、常山</w:t>
      </w:r>
      <w:r>
        <w:rPr>
          <w:rFonts w:hint="eastAsia"/>
          <w:i/>
          <w:iCs/>
          <w:color w:val="auto"/>
          <w:highlight w:val="none"/>
          <w:lang w:val="en-US" w:eastAsia="zh-CN"/>
        </w:rPr>
        <w:t>(Dichroafebrifuga)</w:t>
      </w:r>
      <w:r>
        <w:rPr>
          <w:rFonts w:hint="eastAsia"/>
          <w:color w:val="auto"/>
          <w:highlight w:val="none"/>
          <w:lang w:val="en-US" w:eastAsia="zh-CN"/>
        </w:rPr>
        <w:t>。</w:t>
      </w:r>
    </w:p>
    <w:p w14:paraId="32115F15">
      <w:pPr>
        <w:pStyle w:val="30"/>
        <w:rPr>
          <w:rFonts w:hint="eastAsia"/>
          <w:color w:val="auto"/>
          <w:highlight w:val="none"/>
          <w:lang w:val="en-US" w:eastAsia="zh-CN"/>
        </w:rPr>
      </w:pPr>
      <w:r>
        <w:rPr>
          <w:rFonts w:hint="eastAsia"/>
          <w:color w:val="auto"/>
          <w:highlight w:val="none"/>
          <w:lang w:val="en-US" w:eastAsia="zh-CN"/>
        </w:rPr>
        <w:t>草本层盖度10%，层均高0.5m，优势种为芒</w:t>
      </w:r>
      <w:r>
        <w:rPr>
          <w:rFonts w:hint="eastAsia"/>
          <w:i/>
          <w:iCs/>
          <w:color w:val="auto"/>
          <w:highlight w:val="none"/>
          <w:lang w:val="en-US" w:eastAsia="zh-CN"/>
        </w:rPr>
        <w:t>(Miscanthus sinensis)</w:t>
      </w:r>
      <w:r>
        <w:rPr>
          <w:rFonts w:hint="eastAsia"/>
          <w:color w:val="auto"/>
          <w:highlight w:val="none"/>
          <w:lang w:val="en-US" w:eastAsia="zh-CN"/>
        </w:rPr>
        <w:t>，高约0.5m，盖度5%，主要伴生种有芒萁</w:t>
      </w:r>
      <w:r>
        <w:rPr>
          <w:rFonts w:hint="eastAsia"/>
          <w:i/>
          <w:iCs/>
          <w:color w:val="auto"/>
          <w:highlight w:val="none"/>
          <w:lang w:val="en-US" w:eastAsia="zh-CN"/>
        </w:rPr>
        <w:t>(Dicranopteris dichotoma)</w:t>
      </w:r>
      <w:r>
        <w:rPr>
          <w:rFonts w:hint="eastAsia"/>
          <w:color w:val="auto"/>
          <w:highlight w:val="none"/>
          <w:lang w:val="en-US" w:eastAsia="zh-CN"/>
        </w:rPr>
        <w:t>、兰香草</w:t>
      </w:r>
      <w:r>
        <w:rPr>
          <w:rFonts w:hint="eastAsia"/>
          <w:i/>
          <w:iCs/>
          <w:color w:val="auto"/>
          <w:highlight w:val="none"/>
          <w:lang w:val="en-US" w:eastAsia="zh-CN"/>
        </w:rPr>
        <w:t>(Caryopteris incana)</w:t>
      </w:r>
      <w:r>
        <w:rPr>
          <w:rFonts w:hint="eastAsia"/>
          <w:color w:val="auto"/>
          <w:highlight w:val="none"/>
          <w:lang w:val="en-US" w:eastAsia="zh-CN"/>
        </w:rPr>
        <w:t>等。层外植物主要有菝葜</w:t>
      </w:r>
      <w:r>
        <w:rPr>
          <w:rFonts w:hint="eastAsia"/>
          <w:i/>
          <w:iCs/>
          <w:color w:val="auto"/>
          <w:highlight w:val="none"/>
          <w:lang w:val="en-US" w:eastAsia="zh-CN"/>
        </w:rPr>
        <w:t>(Smilax china)</w:t>
      </w:r>
      <w:r>
        <w:rPr>
          <w:rFonts w:hint="eastAsia"/>
          <w:color w:val="auto"/>
          <w:highlight w:val="none"/>
          <w:lang w:val="en-US" w:eastAsia="zh-CN"/>
        </w:rPr>
        <w:t>等。</w:t>
      </w:r>
    </w:p>
    <w:p w14:paraId="5549AA84">
      <w:pPr>
        <w:pStyle w:val="30"/>
        <w:rPr>
          <w:rFonts w:hint="eastAsia"/>
          <w:color w:val="auto"/>
          <w:highlight w:val="none"/>
          <w:lang w:val="en-US" w:eastAsia="zh-CN"/>
        </w:rPr>
      </w:pPr>
      <w:r>
        <w:rPr>
          <w:rFonts w:hint="eastAsia"/>
          <w:color w:val="auto"/>
          <w:highlight w:val="none"/>
          <w:lang w:val="en-US" w:eastAsia="zh-CN"/>
        </w:rPr>
        <w:t>样方位置：升压站东南侧(N26.92234972°，E111.90441549°)；H：309m。</w:t>
      </w:r>
    </w:p>
    <w:tbl>
      <w:tblPr>
        <w:tblStyle w:val="38"/>
        <w:tblW w:w="5000" w:type="pct"/>
        <w:tblInd w:w="2"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983"/>
        <w:gridCol w:w="870"/>
        <w:gridCol w:w="1308"/>
        <w:gridCol w:w="863"/>
        <w:gridCol w:w="862"/>
        <w:gridCol w:w="68"/>
        <w:gridCol w:w="797"/>
        <w:gridCol w:w="2584"/>
      </w:tblGrid>
      <w:tr w14:paraId="34AF91C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02" w:type="dxa"/>
            <w:vMerge w:val="restart"/>
            <w:tcBorders>
              <w:tl2br w:val="nil"/>
              <w:tr2bl w:val="nil"/>
            </w:tcBorders>
            <w:noWrap w:val="0"/>
            <w:vAlign w:val="center"/>
          </w:tcPr>
          <w:p w14:paraId="43EAEFEC">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植被类型</w:t>
            </w:r>
          </w:p>
        </w:tc>
        <w:tc>
          <w:tcPr>
            <w:tcW w:w="2219" w:type="dxa"/>
            <w:gridSpan w:val="2"/>
            <w:vMerge w:val="restart"/>
            <w:tcBorders>
              <w:tl2br w:val="nil"/>
              <w:tr2bl w:val="nil"/>
            </w:tcBorders>
            <w:noWrap w:val="0"/>
            <w:vAlign w:val="center"/>
          </w:tcPr>
          <w:p w14:paraId="1C727055">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水竹林</w:t>
            </w:r>
            <w:r>
              <w:rPr>
                <w:rFonts w:hint="default" w:cs="Times New Roman"/>
                <w:i/>
                <w:iCs/>
                <w:color w:val="auto"/>
                <w:highlight w:val="none"/>
              </w:rPr>
              <w:t>(Form.Phyllostachysheteroclada)</w:t>
            </w:r>
          </w:p>
        </w:tc>
        <w:tc>
          <w:tcPr>
            <w:tcW w:w="5273" w:type="dxa"/>
            <w:gridSpan w:val="5"/>
            <w:tcBorders>
              <w:tl2br w:val="nil"/>
              <w:tr2bl w:val="nil"/>
            </w:tcBorders>
            <w:noWrap w:val="0"/>
            <w:vAlign w:val="center"/>
          </w:tcPr>
          <w:p w14:paraId="7540DA3C">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环境特征</w:t>
            </w:r>
          </w:p>
        </w:tc>
      </w:tr>
      <w:tr w14:paraId="7534783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02" w:type="dxa"/>
            <w:vMerge w:val="continue"/>
            <w:tcBorders>
              <w:tl2br w:val="nil"/>
              <w:tr2bl w:val="nil"/>
            </w:tcBorders>
            <w:noWrap w:val="0"/>
            <w:vAlign w:val="center"/>
          </w:tcPr>
          <w:p w14:paraId="1A2250E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2219" w:type="dxa"/>
            <w:gridSpan w:val="2"/>
            <w:vMerge w:val="continue"/>
            <w:tcBorders>
              <w:tl2br w:val="nil"/>
              <w:tr2bl w:val="nil"/>
            </w:tcBorders>
            <w:noWrap w:val="0"/>
            <w:vAlign w:val="center"/>
          </w:tcPr>
          <w:p w14:paraId="2376FC1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880" w:type="dxa"/>
            <w:tcBorders>
              <w:tl2br w:val="nil"/>
              <w:tr2bl w:val="nil"/>
            </w:tcBorders>
            <w:noWrap w:val="0"/>
            <w:vAlign w:val="center"/>
          </w:tcPr>
          <w:p w14:paraId="3C57BF7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地形</w:t>
            </w:r>
          </w:p>
        </w:tc>
        <w:tc>
          <w:tcPr>
            <w:tcW w:w="879" w:type="dxa"/>
            <w:tcBorders>
              <w:tl2br w:val="nil"/>
              <w:tr2bl w:val="nil"/>
            </w:tcBorders>
            <w:noWrap w:val="0"/>
            <w:vAlign w:val="center"/>
          </w:tcPr>
          <w:p w14:paraId="2A3A2F6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海拔(m)</w:t>
            </w:r>
          </w:p>
        </w:tc>
        <w:tc>
          <w:tcPr>
            <w:tcW w:w="880" w:type="dxa"/>
            <w:gridSpan w:val="2"/>
            <w:tcBorders>
              <w:tl2br w:val="nil"/>
              <w:tr2bl w:val="nil"/>
            </w:tcBorders>
            <w:noWrap w:val="0"/>
            <w:vAlign w:val="center"/>
          </w:tcPr>
          <w:p w14:paraId="4F36C9A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坡向</w:t>
            </w:r>
          </w:p>
        </w:tc>
        <w:tc>
          <w:tcPr>
            <w:tcW w:w="2634" w:type="dxa"/>
            <w:tcBorders>
              <w:tl2br w:val="nil"/>
              <w:tr2bl w:val="nil"/>
            </w:tcBorders>
            <w:noWrap w:val="0"/>
            <w:vAlign w:val="center"/>
          </w:tcPr>
          <w:p w14:paraId="1999417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坡度(°)</w:t>
            </w:r>
          </w:p>
        </w:tc>
      </w:tr>
      <w:tr w14:paraId="6E8113D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02" w:type="dxa"/>
            <w:tcBorders>
              <w:tl2br w:val="nil"/>
              <w:tr2bl w:val="nil"/>
            </w:tcBorders>
            <w:noWrap w:val="0"/>
            <w:vAlign w:val="center"/>
          </w:tcPr>
          <w:p w14:paraId="6C9051A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地点</w:t>
            </w:r>
          </w:p>
        </w:tc>
        <w:tc>
          <w:tcPr>
            <w:tcW w:w="2219" w:type="dxa"/>
            <w:gridSpan w:val="2"/>
            <w:tcBorders>
              <w:tl2br w:val="nil"/>
              <w:tr2bl w:val="nil"/>
            </w:tcBorders>
            <w:noWrap w:val="0"/>
            <w:vAlign w:val="center"/>
          </w:tcPr>
          <w:p w14:paraId="24EC008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eastAsia="zh-CN"/>
              </w:rPr>
            </w:pPr>
            <w:r>
              <w:rPr>
                <w:rFonts w:hint="default" w:cs="Times New Roman"/>
                <w:color w:val="auto"/>
                <w:highlight w:val="none"/>
              </w:rPr>
              <w:t>升压站</w:t>
            </w:r>
            <w:r>
              <w:rPr>
                <w:rFonts w:hint="default" w:cs="Times New Roman"/>
                <w:color w:val="auto"/>
                <w:highlight w:val="none"/>
                <w:lang w:eastAsia="zh-CN"/>
              </w:rPr>
              <w:t>东南侧</w:t>
            </w:r>
          </w:p>
        </w:tc>
        <w:tc>
          <w:tcPr>
            <w:tcW w:w="880" w:type="dxa"/>
            <w:tcBorders>
              <w:tl2br w:val="nil"/>
              <w:tr2bl w:val="nil"/>
            </w:tcBorders>
            <w:noWrap w:val="0"/>
            <w:vAlign w:val="center"/>
          </w:tcPr>
          <w:p w14:paraId="73FF5AE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eastAsia="zh-CN"/>
              </w:rPr>
            </w:pPr>
            <w:r>
              <w:rPr>
                <w:rFonts w:hint="default" w:cs="Times New Roman"/>
                <w:color w:val="auto"/>
                <w:highlight w:val="none"/>
                <w:lang w:eastAsia="zh-CN"/>
              </w:rPr>
              <w:t>山地</w:t>
            </w:r>
          </w:p>
        </w:tc>
        <w:tc>
          <w:tcPr>
            <w:tcW w:w="879" w:type="dxa"/>
            <w:tcBorders>
              <w:tl2br w:val="nil"/>
              <w:tr2bl w:val="nil"/>
            </w:tcBorders>
            <w:noWrap w:val="0"/>
            <w:vAlign w:val="center"/>
          </w:tcPr>
          <w:p w14:paraId="650C12F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366</w:t>
            </w:r>
          </w:p>
        </w:tc>
        <w:tc>
          <w:tcPr>
            <w:tcW w:w="880" w:type="dxa"/>
            <w:gridSpan w:val="2"/>
            <w:tcBorders>
              <w:tl2br w:val="nil"/>
              <w:tr2bl w:val="nil"/>
            </w:tcBorders>
            <w:noWrap w:val="0"/>
            <w:vAlign w:val="center"/>
          </w:tcPr>
          <w:p w14:paraId="72549FA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val="en-US" w:eastAsia="zh-CN"/>
              </w:rPr>
            </w:pPr>
            <w:r>
              <w:rPr>
                <w:rFonts w:hint="default" w:cs="Times New Roman"/>
                <w:color w:val="auto"/>
                <w:highlight w:val="none"/>
                <w:lang w:val="en-US" w:eastAsia="zh-CN"/>
              </w:rPr>
              <w:t>S</w:t>
            </w:r>
          </w:p>
        </w:tc>
        <w:tc>
          <w:tcPr>
            <w:tcW w:w="2634" w:type="dxa"/>
            <w:tcBorders>
              <w:tl2br w:val="nil"/>
              <w:tr2bl w:val="nil"/>
            </w:tcBorders>
            <w:noWrap w:val="0"/>
            <w:vAlign w:val="center"/>
          </w:tcPr>
          <w:p w14:paraId="4EC17B4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val="en-US" w:eastAsia="zh-CN"/>
              </w:rPr>
            </w:pPr>
            <w:r>
              <w:rPr>
                <w:rFonts w:hint="default" w:cs="Times New Roman"/>
                <w:color w:val="auto"/>
                <w:highlight w:val="none"/>
                <w:lang w:val="en-US" w:eastAsia="zh-CN"/>
              </w:rPr>
              <w:t>15</w:t>
            </w:r>
          </w:p>
        </w:tc>
      </w:tr>
      <w:tr w14:paraId="4F60E7B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02" w:type="dxa"/>
            <w:tcBorders>
              <w:tl2br w:val="nil"/>
              <w:tr2bl w:val="nil"/>
            </w:tcBorders>
            <w:noWrap w:val="0"/>
            <w:vAlign w:val="center"/>
          </w:tcPr>
          <w:p w14:paraId="057EE72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经纬度</w:t>
            </w:r>
          </w:p>
        </w:tc>
        <w:tc>
          <w:tcPr>
            <w:tcW w:w="7492" w:type="dxa"/>
            <w:gridSpan w:val="7"/>
            <w:tcBorders>
              <w:tl2br w:val="nil"/>
              <w:tr2bl w:val="nil"/>
            </w:tcBorders>
            <w:noWrap w:val="0"/>
            <w:vAlign w:val="center"/>
          </w:tcPr>
          <w:p w14:paraId="5932203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lang w:val="en-US" w:eastAsia="zh-CN"/>
              </w:rPr>
              <w:t>N26.92234972°，E111.90441549°</w:t>
            </w:r>
          </w:p>
        </w:tc>
      </w:tr>
      <w:tr w14:paraId="6C06375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02" w:type="dxa"/>
            <w:tcBorders>
              <w:tl2br w:val="nil"/>
              <w:tr2bl w:val="nil"/>
            </w:tcBorders>
            <w:noWrap w:val="0"/>
            <w:vAlign w:val="center"/>
          </w:tcPr>
          <w:p w14:paraId="7CE85F7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层次</w:t>
            </w:r>
          </w:p>
        </w:tc>
        <w:tc>
          <w:tcPr>
            <w:tcW w:w="7492" w:type="dxa"/>
            <w:gridSpan w:val="7"/>
            <w:tcBorders>
              <w:tl2br w:val="nil"/>
              <w:tr2bl w:val="nil"/>
            </w:tcBorders>
            <w:noWrap w:val="0"/>
            <w:vAlign w:val="center"/>
          </w:tcPr>
          <w:p w14:paraId="23EEAF9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三层</w:t>
            </w:r>
          </w:p>
        </w:tc>
      </w:tr>
      <w:tr w14:paraId="507E404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trPr>
        <w:tc>
          <w:tcPr>
            <w:tcW w:w="1002" w:type="dxa"/>
            <w:tcBorders>
              <w:tl2br w:val="nil"/>
              <w:tr2bl w:val="nil"/>
            </w:tcBorders>
            <w:noWrap w:val="0"/>
            <w:vAlign w:val="center"/>
          </w:tcPr>
          <w:p w14:paraId="7D09855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分层</w:t>
            </w:r>
          </w:p>
        </w:tc>
        <w:tc>
          <w:tcPr>
            <w:tcW w:w="886" w:type="dxa"/>
            <w:tcBorders>
              <w:tl2br w:val="nil"/>
              <w:tr2bl w:val="nil"/>
            </w:tcBorders>
            <w:noWrap w:val="0"/>
            <w:vAlign w:val="center"/>
          </w:tcPr>
          <w:p w14:paraId="1FDB468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w:t>
            </w:r>
          </w:p>
        </w:tc>
        <w:tc>
          <w:tcPr>
            <w:tcW w:w="3161" w:type="dxa"/>
            <w:gridSpan w:val="4"/>
            <w:tcBorders>
              <w:tl2br w:val="nil"/>
              <w:tr2bl w:val="nil"/>
            </w:tcBorders>
            <w:noWrap w:val="0"/>
            <w:vAlign w:val="center"/>
          </w:tcPr>
          <w:p w14:paraId="47835FD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种类组成与生长状况</w:t>
            </w:r>
          </w:p>
        </w:tc>
        <w:tc>
          <w:tcPr>
            <w:tcW w:w="3445" w:type="dxa"/>
            <w:gridSpan w:val="2"/>
            <w:tcBorders>
              <w:tl2br w:val="nil"/>
              <w:tr2bl w:val="nil"/>
            </w:tcBorders>
            <w:noWrap w:val="0"/>
            <w:vAlign w:val="center"/>
          </w:tcPr>
          <w:p w14:paraId="65AAC57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考察照片</w:t>
            </w:r>
          </w:p>
        </w:tc>
      </w:tr>
      <w:tr w14:paraId="7F5107D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trPr>
        <w:tc>
          <w:tcPr>
            <w:tcW w:w="1002" w:type="dxa"/>
            <w:tcBorders>
              <w:tl2br w:val="nil"/>
              <w:tr2bl w:val="nil"/>
            </w:tcBorders>
            <w:noWrap w:val="0"/>
            <w:vAlign w:val="center"/>
          </w:tcPr>
          <w:p w14:paraId="17A5711C">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乔木层</w:t>
            </w:r>
          </w:p>
        </w:tc>
        <w:tc>
          <w:tcPr>
            <w:tcW w:w="886" w:type="dxa"/>
            <w:tcBorders>
              <w:tl2br w:val="nil"/>
              <w:tr2bl w:val="nil"/>
            </w:tcBorders>
            <w:noWrap w:val="0"/>
            <w:vAlign w:val="center"/>
          </w:tcPr>
          <w:p w14:paraId="2307165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郁闭度 0.5</w:t>
            </w:r>
          </w:p>
        </w:tc>
        <w:tc>
          <w:tcPr>
            <w:tcW w:w="3161" w:type="dxa"/>
            <w:gridSpan w:val="4"/>
            <w:tcBorders>
              <w:tl2br w:val="nil"/>
              <w:tr2bl w:val="nil"/>
            </w:tcBorders>
            <w:noWrap w:val="0"/>
            <w:vAlign w:val="center"/>
          </w:tcPr>
          <w:p w14:paraId="75156A45">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层均高1.2m，为单优势种，高约1.0-1.4m，秆径2-3cm，盖度50%。</w:t>
            </w:r>
          </w:p>
        </w:tc>
        <w:tc>
          <w:tcPr>
            <w:tcW w:w="3445" w:type="dxa"/>
            <w:gridSpan w:val="2"/>
            <w:vMerge w:val="restart"/>
            <w:tcBorders>
              <w:tl2br w:val="nil"/>
              <w:tr2bl w:val="nil"/>
            </w:tcBorders>
            <w:noWrap w:val="0"/>
            <w:vAlign w:val="center"/>
          </w:tcPr>
          <w:p w14:paraId="1EFCE22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eastAsia="zh-CN"/>
              </w:rPr>
            </w:pPr>
            <w:r>
              <w:rPr>
                <w:rFonts w:hint="default" w:cs="Times New Roman"/>
                <w:color w:val="auto"/>
                <w:highlight w:val="none"/>
                <w:lang w:eastAsia="zh-CN"/>
              </w:rPr>
              <w:drawing>
                <wp:inline distT="0" distB="0" distL="114300" distR="114300">
                  <wp:extent cx="2145665" cy="1207135"/>
                  <wp:effectExtent l="0" t="0" r="6985" b="12065"/>
                  <wp:docPr id="48" name="图片 27" descr="picture_2023_06_27_10_33_52_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7" descr="picture_2023_06_27_10_33_52_351"/>
                          <pic:cNvPicPr>
                            <a:picLocks noChangeAspect="1"/>
                          </pic:cNvPicPr>
                        </pic:nvPicPr>
                        <pic:blipFill>
                          <a:blip r:embed="rId36"/>
                          <a:stretch>
                            <a:fillRect/>
                          </a:stretch>
                        </pic:blipFill>
                        <pic:spPr>
                          <a:xfrm>
                            <a:off x="0" y="0"/>
                            <a:ext cx="2145665" cy="1207135"/>
                          </a:xfrm>
                          <a:prstGeom prst="rect">
                            <a:avLst/>
                          </a:prstGeom>
                          <a:noFill/>
                          <a:ln>
                            <a:noFill/>
                          </a:ln>
                        </pic:spPr>
                      </pic:pic>
                    </a:graphicData>
                  </a:graphic>
                </wp:inline>
              </w:drawing>
            </w:r>
          </w:p>
        </w:tc>
      </w:tr>
      <w:tr w14:paraId="3C5B38A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02" w:type="dxa"/>
            <w:tcBorders>
              <w:tl2br w:val="nil"/>
              <w:tr2bl w:val="nil"/>
            </w:tcBorders>
            <w:noWrap w:val="0"/>
            <w:vAlign w:val="center"/>
          </w:tcPr>
          <w:p w14:paraId="4C61ADA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灌木层</w:t>
            </w:r>
          </w:p>
        </w:tc>
        <w:tc>
          <w:tcPr>
            <w:tcW w:w="886" w:type="dxa"/>
            <w:tcBorders>
              <w:tl2br w:val="nil"/>
              <w:tr2bl w:val="nil"/>
            </w:tcBorders>
            <w:noWrap w:val="0"/>
            <w:vAlign w:val="center"/>
          </w:tcPr>
          <w:p w14:paraId="04438F4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 15%</w:t>
            </w:r>
          </w:p>
        </w:tc>
        <w:tc>
          <w:tcPr>
            <w:tcW w:w="3161" w:type="dxa"/>
            <w:gridSpan w:val="4"/>
            <w:tcBorders>
              <w:tl2br w:val="nil"/>
              <w:tr2bl w:val="nil"/>
            </w:tcBorders>
            <w:noWrap w:val="0"/>
            <w:vAlign w:val="center"/>
          </w:tcPr>
          <w:p w14:paraId="696E145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层均高0.8m，无优势种，散生有地菍</w:t>
            </w:r>
            <w:r>
              <w:rPr>
                <w:rFonts w:hint="default" w:cs="Times New Roman"/>
                <w:i/>
                <w:iCs/>
                <w:color w:val="auto"/>
                <w:highlight w:val="none"/>
              </w:rPr>
              <w:t>(Melastoma dodecandrum)</w:t>
            </w:r>
            <w:r>
              <w:rPr>
                <w:rFonts w:hint="default" w:cs="Times New Roman"/>
                <w:color w:val="auto"/>
                <w:highlight w:val="none"/>
              </w:rPr>
              <w:t>、常山</w:t>
            </w:r>
            <w:r>
              <w:rPr>
                <w:rFonts w:hint="default" w:cs="Times New Roman"/>
                <w:i/>
                <w:iCs/>
                <w:color w:val="auto"/>
                <w:highlight w:val="none"/>
              </w:rPr>
              <w:t>(Dichroafebrifuga)</w:t>
            </w:r>
            <w:r>
              <w:rPr>
                <w:rFonts w:hint="default" w:cs="Times New Roman"/>
                <w:color w:val="auto"/>
                <w:highlight w:val="none"/>
              </w:rPr>
              <w:t>。</w:t>
            </w:r>
          </w:p>
        </w:tc>
        <w:tc>
          <w:tcPr>
            <w:tcW w:w="3445" w:type="dxa"/>
            <w:gridSpan w:val="2"/>
            <w:vMerge w:val="continue"/>
            <w:tcBorders>
              <w:tl2br w:val="nil"/>
              <w:tr2bl w:val="nil"/>
            </w:tcBorders>
            <w:noWrap w:val="0"/>
            <w:vAlign w:val="center"/>
          </w:tcPr>
          <w:p w14:paraId="51F51D3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r>
      <w:tr w14:paraId="510D8F8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02" w:type="dxa"/>
            <w:tcBorders>
              <w:tl2br w:val="nil"/>
              <w:tr2bl w:val="nil"/>
            </w:tcBorders>
            <w:noWrap w:val="0"/>
            <w:vAlign w:val="center"/>
          </w:tcPr>
          <w:p w14:paraId="271B52B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草本层</w:t>
            </w:r>
          </w:p>
        </w:tc>
        <w:tc>
          <w:tcPr>
            <w:tcW w:w="886" w:type="dxa"/>
            <w:tcBorders>
              <w:tl2br w:val="nil"/>
              <w:tr2bl w:val="nil"/>
            </w:tcBorders>
            <w:noWrap w:val="0"/>
            <w:vAlign w:val="center"/>
          </w:tcPr>
          <w:p w14:paraId="2F10FA8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 10%</w:t>
            </w:r>
          </w:p>
        </w:tc>
        <w:tc>
          <w:tcPr>
            <w:tcW w:w="3161" w:type="dxa"/>
            <w:gridSpan w:val="4"/>
            <w:tcBorders>
              <w:tl2br w:val="nil"/>
              <w:tr2bl w:val="nil"/>
            </w:tcBorders>
            <w:noWrap w:val="0"/>
            <w:vAlign w:val="center"/>
          </w:tcPr>
          <w:p w14:paraId="77802D5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层均高0.5m，优势种为芒</w:t>
            </w:r>
            <w:r>
              <w:rPr>
                <w:rFonts w:hint="default" w:cs="Times New Roman"/>
                <w:i/>
                <w:iCs/>
                <w:color w:val="auto"/>
                <w:highlight w:val="none"/>
              </w:rPr>
              <w:t>(Miscanthus sinensis)</w:t>
            </w:r>
            <w:r>
              <w:rPr>
                <w:rFonts w:hint="default" w:cs="Times New Roman"/>
                <w:color w:val="auto"/>
                <w:highlight w:val="none"/>
              </w:rPr>
              <w:t>，高约0.5m，盖度5%，主要伴生种有芒萁</w:t>
            </w:r>
            <w:r>
              <w:rPr>
                <w:rFonts w:hint="default" w:cs="Times New Roman"/>
                <w:i/>
                <w:iCs/>
                <w:color w:val="auto"/>
                <w:highlight w:val="none"/>
              </w:rPr>
              <w:t>(Dicranopteris dichotoma)</w:t>
            </w:r>
            <w:r>
              <w:rPr>
                <w:rFonts w:hint="default" w:cs="Times New Roman"/>
                <w:color w:val="auto"/>
                <w:highlight w:val="none"/>
              </w:rPr>
              <w:t xml:space="preserve">、兰香草 </w:t>
            </w:r>
            <w:r>
              <w:rPr>
                <w:rFonts w:hint="default" w:cs="Times New Roman"/>
                <w:i/>
                <w:iCs/>
                <w:color w:val="auto"/>
                <w:highlight w:val="none"/>
              </w:rPr>
              <w:t>(Caryopteris incana)</w:t>
            </w:r>
            <w:r>
              <w:rPr>
                <w:rFonts w:hint="default" w:cs="Times New Roman"/>
                <w:color w:val="auto"/>
                <w:highlight w:val="none"/>
              </w:rPr>
              <w:t>等。</w:t>
            </w:r>
          </w:p>
        </w:tc>
        <w:tc>
          <w:tcPr>
            <w:tcW w:w="3445" w:type="dxa"/>
            <w:gridSpan w:val="2"/>
            <w:vMerge w:val="continue"/>
            <w:tcBorders>
              <w:tl2br w:val="nil"/>
              <w:tr2bl w:val="nil"/>
            </w:tcBorders>
            <w:noWrap w:val="0"/>
            <w:vAlign w:val="center"/>
          </w:tcPr>
          <w:p w14:paraId="23689BC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r>
      <w:tr w14:paraId="2E8FF1E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02" w:type="dxa"/>
            <w:tcBorders>
              <w:tl2br w:val="nil"/>
              <w:tr2bl w:val="nil"/>
            </w:tcBorders>
            <w:noWrap w:val="0"/>
            <w:vAlign w:val="center"/>
          </w:tcPr>
          <w:p w14:paraId="0BC38FF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层外植物</w:t>
            </w:r>
          </w:p>
        </w:tc>
        <w:tc>
          <w:tcPr>
            <w:tcW w:w="7492" w:type="dxa"/>
            <w:gridSpan w:val="7"/>
            <w:tcBorders>
              <w:tl2br w:val="nil"/>
              <w:tr2bl w:val="nil"/>
            </w:tcBorders>
            <w:noWrap w:val="0"/>
            <w:vAlign w:val="center"/>
          </w:tcPr>
          <w:p w14:paraId="33A4B77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层外植物主要有菝葜</w:t>
            </w:r>
            <w:r>
              <w:rPr>
                <w:rFonts w:hint="default" w:cs="Times New Roman"/>
                <w:i/>
                <w:iCs/>
                <w:color w:val="auto"/>
                <w:highlight w:val="none"/>
              </w:rPr>
              <w:t>(Smilax china)</w:t>
            </w:r>
            <w:r>
              <w:rPr>
                <w:rFonts w:hint="default" w:cs="Times New Roman"/>
                <w:color w:val="auto"/>
                <w:highlight w:val="none"/>
              </w:rPr>
              <w:t>等。</w:t>
            </w:r>
          </w:p>
        </w:tc>
      </w:tr>
    </w:tbl>
    <w:p w14:paraId="27F686E3">
      <w:pPr>
        <w:pStyle w:val="30"/>
        <w:rPr>
          <w:rFonts w:hint="eastAsia"/>
          <w:b/>
          <w:bCs/>
          <w:color w:val="auto"/>
          <w:highlight w:val="none"/>
          <w:lang w:val="en-US" w:eastAsia="zh-CN"/>
        </w:rPr>
      </w:pPr>
      <w:r>
        <w:rPr>
          <w:rFonts w:hint="eastAsia"/>
          <w:b/>
          <w:bCs/>
          <w:color w:val="auto"/>
          <w:highlight w:val="none"/>
          <w:lang w:val="en-US" w:eastAsia="zh-CN"/>
        </w:rPr>
        <w:t>灌丛和灌草丛</w:t>
      </w:r>
    </w:p>
    <w:p w14:paraId="31D29A77">
      <w:pPr>
        <w:pStyle w:val="30"/>
        <w:rPr>
          <w:rFonts w:hint="eastAsia"/>
          <w:color w:val="auto"/>
          <w:highlight w:val="none"/>
          <w:lang w:val="en-US" w:eastAsia="zh-CN"/>
        </w:rPr>
      </w:pPr>
      <w:r>
        <w:rPr>
          <w:rFonts w:hint="eastAsia"/>
          <w:color w:val="auto"/>
          <w:highlight w:val="none"/>
          <w:lang w:val="en-US" w:eastAsia="zh-CN"/>
        </w:rPr>
        <w:t>灌丛和灌草丛是评价区内最为常见的植被类型之一。在低山区，其形成多为 当地森林植被破坏后产生的；在山脊区，其形成多为环境条件恶劣而产生的。</w:t>
      </w:r>
    </w:p>
    <w:p w14:paraId="0760EB4F">
      <w:pPr>
        <w:pStyle w:val="30"/>
        <w:rPr>
          <w:rFonts w:hint="eastAsia"/>
          <w:b/>
          <w:bCs/>
          <w:color w:val="auto"/>
          <w:highlight w:val="none"/>
          <w:lang w:val="en-US" w:eastAsia="zh-CN"/>
        </w:rPr>
      </w:pPr>
      <w:r>
        <w:rPr>
          <w:rFonts w:hint="eastAsia"/>
          <w:b/>
          <w:bCs/>
          <w:color w:val="auto"/>
          <w:highlight w:val="none"/>
          <w:lang w:val="en-US" w:eastAsia="zh-CN"/>
        </w:rPr>
        <w:t>(四)灌丛</w:t>
      </w:r>
    </w:p>
    <w:p w14:paraId="30A8BC5F">
      <w:pPr>
        <w:pStyle w:val="30"/>
        <w:rPr>
          <w:rFonts w:hint="eastAsia"/>
          <w:color w:val="auto"/>
          <w:highlight w:val="none"/>
          <w:lang w:val="en-US" w:eastAsia="zh-CN"/>
        </w:rPr>
      </w:pPr>
      <w:r>
        <w:rPr>
          <w:rFonts w:hint="eastAsia"/>
          <w:color w:val="auto"/>
          <w:highlight w:val="none"/>
          <w:lang w:val="en-US" w:eastAsia="zh-CN"/>
        </w:rPr>
        <w:t>8)檵木灌丛</w:t>
      </w:r>
      <w:r>
        <w:rPr>
          <w:rFonts w:hint="eastAsia"/>
          <w:i/>
          <w:iCs/>
          <w:color w:val="auto"/>
          <w:highlight w:val="none"/>
          <w:lang w:val="en-US" w:eastAsia="zh-CN"/>
        </w:rPr>
        <w:t>(Form.Loropetalum chinense)</w:t>
      </w:r>
    </w:p>
    <w:p w14:paraId="633AD0B3">
      <w:pPr>
        <w:pStyle w:val="30"/>
        <w:rPr>
          <w:rFonts w:hint="eastAsia"/>
          <w:color w:val="auto"/>
          <w:highlight w:val="none"/>
          <w:lang w:val="en-US" w:eastAsia="zh-CN"/>
        </w:rPr>
      </w:pPr>
      <w:r>
        <w:rPr>
          <w:rFonts w:hint="eastAsia"/>
          <w:color w:val="auto"/>
          <w:highlight w:val="none"/>
          <w:lang w:val="en-US" w:eastAsia="zh-CN"/>
        </w:rPr>
        <w:t>檵木多生于山野及丘陵灌丛中，喜阳，有较强的耐阴性。檵木灌丛在评价区分布广泛，常见于林下及林缘处。</w:t>
      </w:r>
    </w:p>
    <w:p w14:paraId="6A1AD0CE">
      <w:pPr>
        <w:pStyle w:val="30"/>
        <w:rPr>
          <w:rFonts w:hint="eastAsia"/>
          <w:color w:val="auto"/>
          <w:highlight w:val="none"/>
          <w:lang w:val="en-US" w:eastAsia="zh-CN"/>
        </w:rPr>
      </w:pPr>
      <w:r>
        <w:rPr>
          <w:rFonts w:hint="eastAsia"/>
          <w:color w:val="auto"/>
          <w:highlight w:val="none"/>
          <w:lang w:val="en-US" w:eastAsia="zh-CN"/>
        </w:rPr>
        <w:t>灌木层盖度35%，层均高2m，优势种为檵木</w:t>
      </w:r>
      <w:r>
        <w:rPr>
          <w:rFonts w:hint="eastAsia"/>
          <w:i/>
          <w:iCs/>
          <w:color w:val="auto"/>
          <w:highlight w:val="none"/>
          <w:lang w:val="en-US" w:eastAsia="zh-CN"/>
        </w:rPr>
        <w:t>(Loropetalum chinense)</w:t>
      </w:r>
      <w:r>
        <w:rPr>
          <w:rFonts w:hint="eastAsia"/>
          <w:color w:val="auto"/>
          <w:highlight w:val="none"/>
          <w:lang w:val="en-US" w:eastAsia="zh-CN"/>
        </w:rPr>
        <w:t>，高约2-2.5m，盖度35%，主要伴生种有马银花</w:t>
      </w:r>
      <w:r>
        <w:rPr>
          <w:rFonts w:hint="eastAsia"/>
          <w:i/>
          <w:iCs/>
          <w:color w:val="auto"/>
          <w:highlight w:val="none"/>
          <w:lang w:val="en-US" w:eastAsia="zh-CN"/>
        </w:rPr>
        <w:t>(Rhododendron ovatum)</w:t>
      </w:r>
      <w:r>
        <w:rPr>
          <w:rFonts w:hint="eastAsia"/>
          <w:color w:val="auto"/>
          <w:highlight w:val="none"/>
          <w:lang w:val="en-US" w:eastAsia="zh-CN"/>
        </w:rPr>
        <w:t>、短柄枹栎</w:t>
      </w:r>
      <w:r>
        <w:rPr>
          <w:rFonts w:hint="eastAsia"/>
          <w:i/>
          <w:iCs/>
          <w:color w:val="auto"/>
          <w:highlight w:val="none"/>
          <w:lang w:val="en-US" w:eastAsia="zh-CN"/>
        </w:rPr>
        <w:t>(Quercus serratavar.brevipetiolata)</w:t>
      </w:r>
      <w:r>
        <w:rPr>
          <w:rFonts w:hint="eastAsia"/>
          <w:color w:val="auto"/>
          <w:highlight w:val="none"/>
          <w:lang w:val="en-US" w:eastAsia="zh-CN"/>
        </w:rPr>
        <w:t>、胡颓子</w:t>
      </w:r>
      <w:r>
        <w:rPr>
          <w:rFonts w:hint="eastAsia"/>
          <w:i/>
          <w:iCs/>
          <w:color w:val="auto"/>
          <w:highlight w:val="none"/>
          <w:lang w:val="en-US" w:eastAsia="zh-CN"/>
        </w:rPr>
        <w:t>(Elaeagnus pungens)</w:t>
      </w:r>
      <w:r>
        <w:rPr>
          <w:rFonts w:hint="eastAsia"/>
          <w:color w:val="auto"/>
          <w:highlight w:val="none"/>
          <w:lang w:val="en-US" w:eastAsia="zh-CN"/>
        </w:rPr>
        <w:t>、杜鹃</w:t>
      </w:r>
      <w:r>
        <w:rPr>
          <w:rFonts w:hint="eastAsia"/>
          <w:i/>
          <w:iCs/>
          <w:color w:val="auto"/>
          <w:highlight w:val="none"/>
          <w:lang w:val="en-US" w:eastAsia="zh-CN"/>
        </w:rPr>
        <w:t>(Rhododendron simsii)</w:t>
      </w:r>
      <w:r>
        <w:rPr>
          <w:rFonts w:hint="eastAsia"/>
          <w:color w:val="auto"/>
          <w:highlight w:val="none"/>
          <w:lang w:val="en-US" w:eastAsia="zh-CN"/>
        </w:rPr>
        <w:t>等。</w:t>
      </w:r>
    </w:p>
    <w:p w14:paraId="4CA7937F">
      <w:pPr>
        <w:pStyle w:val="30"/>
        <w:rPr>
          <w:rFonts w:hint="eastAsia"/>
          <w:color w:val="auto"/>
          <w:highlight w:val="none"/>
          <w:lang w:val="en-US" w:eastAsia="zh-CN"/>
        </w:rPr>
      </w:pPr>
      <w:r>
        <w:rPr>
          <w:rFonts w:hint="eastAsia"/>
          <w:color w:val="auto"/>
          <w:highlight w:val="none"/>
          <w:lang w:val="en-US" w:eastAsia="zh-CN"/>
        </w:rPr>
        <w:t>草本层盖度30%，层均高0.8m，优势种为三脉紫菀</w:t>
      </w:r>
      <w:r>
        <w:rPr>
          <w:rFonts w:hint="eastAsia"/>
          <w:i/>
          <w:iCs/>
          <w:color w:val="auto"/>
          <w:highlight w:val="none"/>
          <w:lang w:val="en-US" w:eastAsia="zh-CN"/>
        </w:rPr>
        <w:t>(Aster ageratoides)</w:t>
      </w:r>
      <w:r>
        <w:rPr>
          <w:rFonts w:hint="eastAsia"/>
          <w:color w:val="auto"/>
          <w:highlight w:val="none"/>
          <w:lang w:val="en-US" w:eastAsia="zh-CN"/>
        </w:rPr>
        <w:t>，高约0.5m，盖度20%，主要伴生种有兰香草</w:t>
      </w:r>
      <w:r>
        <w:rPr>
          <w:rFonts w:hint="eastAsia"/>
          <w:i/>
          <w:iCs/>
          <w:color w:val="auto"/>
          <w:highlight w:val="none"/>
          <w:lang w:val="en-US" w:eastAsia="zh-CN"/>
        </w:rPr>
        <w:t>(Caryopteris incana)</w:t>
      </w:r>
      <w:r>
        <w:rPr>
          <w:rFonts w:hint="eastAsia"/>
          <w:color w:val="auto"/>
          <w:highlight w:val="none"/>
          <w:lang w:val="en-US" w:eastAsia="zh-CN"/>
        </w:rPr>
        <w:t>、乌毛蕨</w:t>
      </w:r>
      <w:r>
        <w:rPr>
          <w:rFonts w:hint="eastAsia"/>
          <w:i/>
          <w:iCs/>
          <w:color w:val="auto"/>
          <w:highlight w:val="none"/>
          <w:lang w:val="en-US" w:eastAsia="zh-CN"/>
        </w:rPr>
        <w:t>(Blechnum orientale)</w:t>
      </w:r>
      <w:r>
        <w:rPr>
          <w:rFonts w:hint="eastAsia"/>
          <w:color w:val="auto"/>
          <w:highlight w:val="none"/>
          <w:lang w:val="en-US" w:eastAsia="zh-CN"/>
        </w:rPr>
        <w:t>、芒萁</w:t>
      </w:r>
      <w:r>
        <w:rPr>
          <w:rFonts w:hint="eastAsia"/>
          <w:i/>
          <w:iCs/>
          <w:color w:val="auto"/>
          <w:highlight w:val="none"/>
          <w:lang w:val="en-US" w:eastAsia="zh-CN"/>
        </w:rPr>
        <w:t>(Dicranopteris dichotoma)</w:t>
      </w:r>
      <w:r>
        <w:rPr>
          <w:rFonts w:hint="eastAsia"/>
          <w:color w:val="auto"/>
          <w:highlight w:val="none"/>
          <w:lang w:val="en-US" w:eastAsia="zh-CN"/>
        </w:rPr>
        <w:t>等。</w:t>
      </w:r>
    </w:p>
    <w:p w14:paraId="07FE261B">
      <w:pPr>
        <w:pStyle w:val="30"/>
        <w:rPr>
          <w:rFonts w:hint="eastAsia"/>
          <w:color w:val="auto"/>
          <w:highlight w:val="none"/>
          <w:lang w:val="en-US" w:eastAsia="zh-CN"/>
        </w:rPr>
      </w:pPr>
      <w:r>
        <w:rPr>
          <w:rFonts w:hint="eastAsia"/>
          <w:color w:val="auto"/>
          <w:highlight w:val="none"/>
          <w:lang w:val="en-US" w:eastAsia="zh-CN"/>
        </w:rPr>
        <w:t>样方位置：5#弃渣场附近(N26.94561914°，E111.93326533°)；H：379m</w:t>
      </w:r>
    </w:p>
    <w:tbl>
      <w:tblPr>
        <w:tblStyle w:val="38"/>
        <w:tblW w:w="8765" w:type="dxa"/>
        <w:tblInd w:w="2"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082"/>
        <w:gridCol w:w="850"/>
        <w:gridCol w:w="2257"/>
        <w:gridCol w:w="1143"/>
        <w:gridCol w:w="141"/>
        <w:gridCol w:w="1001"/>
        <w:gridCol w:w="1143"/>
        <w:gridCol w:w="1148"/>
      </w:tblGrid>
      <w:tr w14:paraId="04A7592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1082" w:type="dxa"/>
            <w:vMerge w:val="restart"/>
            <w:tcBorders>
              <w:tl2br w:val="nil"/>
              <w:tr2bl w:val="nil"/>
            </w:tcBorders>
            <w:noWrap w:val="0"/>
            <w:vAlign w:val="center"/>
          </w:tcPr>
          <w:p w14:paraId="3532F1BB">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cs="Times New Roman"/>
                <w:color w:val="auto"/>
                <w:highlight w:val="none"/>
              </w:rPr>
            </w:pPr>
            <w:r>
              <w:rPr>
                <w:rFonts w:hint="default" w:cs="Times New Roman"/>
                <w:color w:val="auto"/>
                <w:highlight w:val="none"/>
              </w:rPr>
              <w:t>植被类型</w:t>
            </w:r>
          </w:p>
        </w:tc>
        <w:tc>
          <w:tcPr>
            <w:tcW w:w="3107" w:type="dxa"/>
            <w:gridSpan w:val="2"/>
            <w:vMerge w:val="restart"/>
            <w:tcBorders>
              <w:tl2br w:val="nil"/>
              <w:tr2bl w:val="nil"/>
            </w:tcBorders>
            <w:noWrap w:val="0"/>
            <w:vAlign w:val="center"/>
          </w:tcPr>
          <w:p w14:paraId="591E1A93">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cs="Times New Roman"/>
                <w:color w:val="auto"/>
                <w:highlight w:val="none"/>
              </w:rPr>
            </w:pPr>
            <w:r>
              <w:rPr>
                <w:rFonts w:hint="default" w:cs="Times New Roman"/>
                <w:color w:val="auto"/>
                <w:highlight w:val="none"/>
              </w:rPr>
              <w:t>檵木灌丛</w:t>
            </w:r>
            <w:r>
              <w:rPr>
                <w:rFonts w:hint="default" w:cs="Times New Roman"/>
                <w:i/>
                <w:iCs/>
                <w:color w:val="auto"/>
                <w:highlight w:val="none"/>
              </w:rPr>
              <w:t>(Form.Loropetalumchinense)</w:t>
            </w:r>
          </w:p>
        </w:tc>
        <w:tc>
          <w:tcPr>
            <w:tcW w:w="4576" w:type="dxa"/>
            <w:gridSpan w:val="5"/>
            <w:tcBorders>
              <w:tl2br w:val="nil"/>
              <w:tr2bl w:val="nil"/>
            </w:tcBorders>
            <w:noWrap w:val="0"/>
            <w:vAlign w:val="center"/>
          </w:tcPr>
          <w:p w14:paraId="74676D8B">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cs="Times New Roman"/>
                <w:color w:val="auto"/>
                <w:highlight w:val="none"/>
              </w:rPr>
            </w:pPr>
            <w:r>
              <w:rPr>
                <w:rFonts w:hint="default" w:cs="Times New Roman"/>
                <w:color w:val="auto"/>
                <w:highlight w:val="none"/>
              </w:rPr>
              <w:t>环境特征</w:t>
            </w:r>
          </w:p>
        </w:tc>
      </w:tr>
      <w:tr w14:paraId="757CC85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1082" w:type="dxa"/>
            <w:vMerge w:val="continue"/>
            <w:tcBorders>
              <w:tl2br w:val="nil"/>
              <w:tr2bl w:val="nil"/>
            </w:tcBorders>
            <w:noWrap w:val="0"/>
            <w:vAlign w:val="center"/>
          </w:tcPr>
          <w:p w14:paraId="2D2F6BBA">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cs="Times New Roman"/>
                <w:color w:val="auto"/>
                <w:highlight w:val="none"/>
              </w:rPr>
            </w:pPr>
          </w:p>
        </w:tc>
        <w:tc>
          <w:tcPr>
            <w:tcW w:w="3107" w:type="dxa"/>
            <w:gridSpan w:val="2"/>
            <w:vMerge w:val="continue"/>
            <w:tcBorders>
              <w:tl2br w:val="nil"/>
              <w:tr2bl w:val="nil"/>
            </w:tcBorders>
            <w:noWrap w:val="0"/>
            <w:vAlign w:val="center"/>
          </w:tcPr>
          <w:p w14:paraId="098F2B06">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cs="Times New Roman"/>
                <w:color w:val="auto"/>
                <w:highlight w:val="none"/>
              </w:rPr>
            </w:pPr>
          </w:p>
        </w:tc>
        <w:tc>
          <w:tcPr>
            <w:tcW w:w="1143" w:type="dxa"/>
            <w:tcBorders>
              <w:tl2br w:val="nil"/>
              <w:tr2bl w:val="nil"/>
            </w:tcBorders>
            <w:noWrap w:val="0"/>
            <w:vAlign w:val="center"/>
          </w:tcPr>
          <w:p w14:paraId="680C7A12">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cs="Times New Roman"/>
                <w:color w:val="auto"/>
                <w:highlight w:val="none"/>
              </w:rPr>
            </w:pPr>
            <w:r>
              <w:rPr>
                <w:rFonts w:hint="default" w:cs="Times New Roman"/>
                <w:color w:val="auto"/>
                <w:highlight w:val="none"/>
              </w:rPr>
              <w:t>地形</w:t>
            </w:r>
          </w:p>
        </w:tc>
        <w:tc>
          <w:tcPr>
            <w:tcW w:w="1142" w:type="dxa"/>
            <w:gridSpan w:val="2"/>
            <w:tcBorders>
              <w:tl2br w:val="nil"/>
              <w:tr2bl w:val="nil"/>
            </w:tcBorders>
            <w:noWrap w:val="0"/>
            <w:vAlign w:val="center"/>
          </w:tcPr>
          <w:p w14:paraId="1DA9E2A2">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cs="Times New Roman"/>
                <w:color w:val="auto"/>
                <w:highlight w:val="none"/>
              </w:rPr>
            </w:pPr>
            <w:r>
              <w:rPr>
                <w:rFonts w:hint="default" w:cs="Times New Roman"/>
                <w:color w:val="auto"/>
                <w:highlight w:val="none"/>
              </w:rPr>
              <w:t>海拔(m)</w:t>
            </w:r>
          </w:p>
        </w:tc>
        <w:tc>
          <w:tcPr>
            <w:tcW w:w="1143" w:type="dxa"/>
            <w:tcBorders>
              <w:tl2br w:val="nil"/>
              <w:tr2bl w:val="nil"/>
            </w:tcBorders>
            <w:noWrap w:val="0"/>
            <w:vAlign w:val="center"/>
          </w:tcPr>
          <w:p w14:paraId="5ED8186A">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cs="Times New Roman"/>
                <w:color w:val="auto"/>
                <w:highlight w:val="none"/>
              </w:rPr>
            </w:pPr>
            <w:r>
              <w:rPr>
                <w:rFonts w:hint="default" w:cs="Times New Roman"/>
                <w:color w:val="auto"/>
                <w:highlight w:val="none"/>
              </w:rPr>
              <w:t>坡向</w:t>
            </w:r>
          </w:p>
        </w:tc>
        <w:tc>
          <w:tcPr>
            <w:tcW w:w="1148" w:type="dxa"/>
            <w:tcBorders>
              <w:tl2br w:val="nil"/>
              <w:tr2bl w:val="nil"/>
            </w:tcBorders>
            <w:noWrap w:val="0"/>
            <w:vAlign w:val="center"/>
          </w:tcPr>
          <w:p w14:paraId="35A30AF2">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cs="Times New Roman"/>
                <w:color w:val="auto"/>
                <w:highlight w:val="none"/>
              </w:rPr>
            </w:pPr>
            <w:r>
              <w:rPr>
                <w:rFonts w:hint="default" w:cs="Times New Roman"/>
                <w:color w:val="auto"/>
                <w:highlight w:val="none"/>
              </w:rPr>
              <w:t>坡度(°)</w:t>
            </w:r>
          </w:p>
        </w:tc>
      </w:tr>
      <w:tr w14:paraId="3D2B0C9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1082" w:type="dxa"/>
            <w:tcBorders>
              <w:tl2br w:val="nil"/>
              <w:tr2bl w:val="nil"/>
            </w:tcBorders>
            <w:noWrap w:val="0"/>
            <w:vAlign w:val="center"/>
          </w:tcPr>
          <w:p w14:paraId="4993FF46">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cs="Times New Roman"/>
                <w:color w:val="auto"/>
                <w:highlight w:val="none"/>
              </w:rPr>
            </w:pPr>
            <w:r>
              <w:rPr>
                <w:rFonts w:hint="default" w:cs="Times New Roman"/>
                <w:color w:val="auto"/>
                <w:highlight w:val="none"/>
              </w:rPr>
              <w:t>地点</w:t>
            </w:r>
          </w:p>
        </w:tc>
        <w:tc>
          <w:tcPr>
            <w:tcW w:w="3107" w:type="dxa"/>
            <w:gridSpan w:val="2"/>
            <w:tcBorders>
              <w:tl2br w:val="nil"/>
              <w:tr2bl w:val="nil"/>
            </w:tcBorders>
            <w:noWrap w:val="0"/>
            <w:vAlign w:val="center"/>
          </w:tcPr>
          <w:p w14:paraId="0AD44C61">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cs="Times New Roman"/>
                <w:color w:val="auto"/>
                <w:highlight w:val="none"/>
              </w:rPr>
            </w:pPr>
            <w:r>
              <w:rPr>
                <w:rFonts w:hint="default" w:cs="Times New Roman"/>
                <w:color w:val="auto"/>
                <w:highlight w:val="none"/>
              </w:rPr>
              <w:t>5#弃渣场附近</w:t>
            </w:r>
          </w:p>
        </w:tc>
        <w:tc>
          <w:tcPr>
            <w:tcW w:w="1143" w:type="dxa"/>
            <w:tcBorders>
              <w:tl2br w:val="nil"/>
              <w:tr2bl w:val="nil"/>
            </w:tcBorders>
            <w:noWrap w:val="0"/>
            <w:vAlign w:val="center"/>
          </w:tcPr>
          <w:p w14:paraId="228D216A">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eastAsia" w:cs="Times New Roman"/>
                <w:color w:val="auto"/>
                <w:highlight w:val="none"/>
                <w:lang w:eastAsia="zh-CN"/>
              </w:rPr>
            </w:pPr>
            <w:r>
              <w:rPr>
                <w:rFonts w:hint="eastAsia" w:cs="Times New Roman"/>
                <w:color w:val="auto"/>
                <w:highlight w:val="none"/>
                <w:lang w:eastAsia="zh-CN"/>
              </w:rPr>
              <w:t>平地</w:t>
            </w:r>
          </w:p>
        </w:tc>
        <w:tc>
          <w:tcPr>
            <w:tcW w:w="1142" w:type="dxa"/>
            <w:gridSpan w:val="2"/>
            <w:tcBorders>
              <w:tl2br w:val="nil"/>
              <w:tr2bl w:val="nil"/>
            </w:tcBorders>
            <w:noWrap w:val="0"/>
            <w:vAlign w:val="center"/>
          </w:tcPr>
          <w:p w14:paraId="727ED697">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cs="Times New Roman"/>
                <w:color w:val="auto"/>
                <w:highlight w:val="none"/>
                <w:lang w:val="en-US" w:eastAsia="zh-CN"/>
              </w:rPr>
            </w:pPr>
            <w:r>
              <w:rPr>
                <w:rFonts w:hint="eastAsia" w:cs="Times New Roman"/>
                <w:color w:val="auto"/>
                <w:highlight w:val="none"/>
                <w:lang w:val="en-US" w:eastAsia="zh-CN"/>
              </w:rPr>
              <w:t>379</w:t>
            </w:r>
          </w:p>
        </w:tc>
        <w:tc>
          <w:tcPr>
            <w:tcW w:w="1143" w:type="dxa"/>
            <w:tcBorders>
              <w:tl2br w:val="nil"/>
              <w:tr2bl w:val="nil"/>
            </w:tcBorders>
            <w:noWrap w:val="0"/>
            <w:vAlign w:val="center"/>
          </w:tcPr>
          <w:p w14:paraId="244C834B">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cs="Times New Roman"/>
                <w:color w:val="auto"/>
                <w:highlight w:val="none"/>
                <w:lang w:val="en-US" w:eastAsia="zh-CN"/>
              </w:rPr>
            </w:pPr>
            <w:r>
              <w:rPr>
                <w:rFonts w:hint="eastAsia" w:cs="Times New Roman"/>
                <w:color w:val="auto"/>
                <w:highlight w:val="none"/>
                <w:lang w:val="en-US" w:eastAsia="zh-CN"/>
              </w:rPr>
              <w:t>S</w:t>
            </w:r>
          </w:p>
        </w:tc>
        <w:tc>
          <w:tcPr>
            <w:tcW w:w="1148" w:type="dxa"/>
            <w:tcBorders>
              <w:tl2br w:val="nil"/>
              <w:tr2bl w:val="nil"/>
            </w:tcBorders>
            <w:noWrap w:val="0"/>
            <w:vAlign w:val="center"/>
          </w:tcPr>
          <w:p w14:paraId="2F98A953">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eastAsia="宋体" w:cs="Times New Roman"/>
                <w:color w:val="auto"/>
                <w:highlight w:val="none"/>
                <w:lang w:val="en-US" w:eastAsia="zh-CN"/>
              </w:rPr>
            </w:pPr>
            <w:r>
              <w:rPr>
                <w:rFonts w:hint="eastAsia" w:cs="Times New Roman"/>
                <w:color w:val="auto"/>
                <w:highlight w:val="none"/>
                <w:lang w:val="en-US" w:eastAsia="zh-CN"/>
              </w:rPr>
              <w:t>15</w:t>
            </w:r>
          </w:p>
        </w:tc>
      </w:tr>
      <w:tr w14:paraId="7D6CEB6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1082" w:type="dxa"/>
            <w:tcBorders>
              <w:tl2br w:val="nil"/>
              <w:tr2bl w:val="nil"/>
            </w:tcBorders>
            <w:noWrap w:val="0"/>
            <w:vAlign w:val="center"/>
          </w:tcPr>
          <w:p w14:paraId="42DBEC2E">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cs="Times New Roman"/>
                <w:color w:val="auto"/>
                <w:highlight w:val="none"/>
              </w:rPr>
            </w:pPr>
            <w:r>
              <w:rPr>
                <w:rFonts w:hint="default" w:cs="Times New Roman"/>
                <w:color w:val="auto"/>
                <w:highlight w:val="none"/>
              </w:rPr>
              <w:t>经纬度</w:t>
            </w:r>
          </w:p>
        </w:tc>
        <w:tc>
          <w:tcPr>
            <w:tcW w:w="7683" w:type="dxa"/>
            <w:gridSpan w:val="7"/>
            <w:tcBorders>
              <w:tl2br w:val="nil"/>
              <w:tr2bl w:val="nil"/>
            </w:tcBorders>
            <w:noWrap w:val="0"/>
            <w:vAlign w:val="center"/>
          </w:tcPr>
          <w:p w14:paraId="426CCEE0">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cs="Times New Roman"/>
                <w:color w:val="auto"/>
                <w:highlight w:val="none"/>
              </w:rPr>
            </w:pPr>
            <w:r>
              <w:rPr>
                <w:rFonts w:hint="eastAsia" w:cs="Times New Roman"/>
                <w:color w:val="auto"/>
                <w:highlight w:val="none"/>
                <w:lang w:val="en-US" w:eastAsia="zh-CN"/>
              </w:rPr>
              <w:t>N26.94561914°，E111.93326533°</w:t>
            </w:r>
          </w:p>
        </w:tc>
      </w:tr>
      <w:tr w14:paraId="08B3649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1082" w:type="dxa"/>
            <w:tcBorders>
              <w:tl2br w:val="nil"/>
              <w:tr2bl w:val="nil"/>
            </w:tcBorders>
            <w:noWrap w:val="0"/>
            <w:vAlign w:val="center"/>
          </w:tcPr>
          <w:p w14:paraId="10C7A392">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cs="Times New Roman"/>
                <w:color w:val="auto"/>
                <w:highlight w:val="none"/>
              </w:rPr>
            </w:pPr>
            <w:r>
              <w:rPr>
                <w:rFonts w:hint="default" w:cs="Times New Roman"/>
                <w:color w:val="auto"/>
                <w:highlight w:val="none"/>
              </w:rPr>
              <w:t>层次</w:t>
            </w:r>
          </w:p>
        </w:tc>
        <w:tc>
          <w:tcPr>
            <w:tcW w:w="7683" w:type="dxa"/>
            <w:gridSpan w:val="7"/>
            <w:tcBorders>
              <w:tl2br w:val="nil"/>
              <w:tr2bl w:val="nil"/>
            </w:tcBorders>
            <w:noWrap w:val="0"/>
            <w:vAlign w:val="center"/>
          </w:tcPr>
          <w:p w14:paraId="1B6341CE">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cs="Times New Roman"/>
                <w:color w:val="auto"/>
                <w:highlight w:val="none"/>
              </w:rPr>
            </w:pPr>
            <w:r>
              <w:rPr>
                <w:rFonts w:hint="default" w:cs="Times New Roman"/>
                <w:color w:val="auto"/>
                <w:highlight w:val="none"/>
              </w:rPr>
              <w:t>二层</w:t>
            </w:r>
          </w:p>
        </w:tc>
      </w:tr>
      <w:tr w14:paraId="2AF53DB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1082" w:type="dxa"/>
            <w:tcBorders>
              <w:tl2br w:val="nil"/>
              <w:tr2bl w:val="nil"/>
            </w:tcBorders>
            <w:noWrap w:val="0"/>
            <w:vAlign w:val="center"/>
          </w:tcPr>
          <w:p w14:paraId="6F739D6A">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cs="Times New Roman"/>
                <w:color w:val="auto"/>
                <w:highlight w:val="none"/>
              </w:rPr>
            </w:pPr>
            <w:r>
              <w:rPr>
                <w:rFonts w:hint="default" w:cs="Times New Roman"/>
                <w:color w:val="auto"/>
                <w:highlight w:val="none"/>
              </w:rPr>
              <w:t>分层</w:t>
            </w:r>
          </w:p>
        </w:tc>
        <w:tc>
          <w:tcPr>
            <w:tcW w:w="850" w:type="dxa"/>
            <w:tcBorders>
              <w:tl2br w:val="nil"/>
              <w:tr2bl w:val="nil"/>
            </w:tcBorders>
            <w:noWrap w:val="0"/>
            <w:vAlign w:val="center"/>
          </w:tcPr>
          <w:p w14:paraId="260BD98B">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cs="Times New Roman"/>
                <w:color w:val="auto"/>
                <w:highlight w:val="none"/>
              </w:rPr>
            </w:pPr>
            <w:r>
              <w:rPr>
                <w:rFonts w:hint="default" w:cs="Times New Roman"/>
                <w:color w:val="auto"/>
                <w:highlight w:val="none"/>
              </w:rPr>
              <w:t>层盖度</w:t>
            </w:r>
          </w:p>
        </w:tc>
        <w:tc>
          <w:tcPr>
            <w:tcW w:w="3541" w:type="dxa"/>
            <w:gridSpan w:val="3"/>
            <w:tcBorders>
              <w:tl2br w:val="nil"/>
              <w:tr2bl w:val="nil"/>
            </w:tcBorders>
            <w:noWrap w:val="0"/>
            <w:vAlign w:val="center"/>
          </w:tcPr>
          <w:p w14:paraId="7D4F5784">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cs="Times New Roman"/>
                <w:color w:val="auto"/>
                <w:highlight w:val="none"/>
              </w:rPr>
            </w:pPr>
            <w:r>
              <w:rPr>
                <w:rFonts w:hint="default" w:cs="Times New Roman"/>
                <w:color w:val="auto"/>
                <w:highlight w:val="none"/>
              </w:rPr>
              <w:t>种类组成与生长状况</w:t>
            </w:r>
          </w:p>
        </w:tc>
        <w:tc>
          <w:tcPr>
            <w:tcW w:w="3292" w:type="dxa"/>
            <w:gridSpan w:val="3"/>
            <w:tcBorders>
              <w:tl2br w:val="nil"/>
              <w:tr2bl w:val="nil"/>
            </w:tcBorders>
            <w:noWrap w:val="0"/>
            <w:vAlign w:val="center"/>
          </w:tcPr>
          <w:p w14:paraId="2DEB517F">
            <w:pPr>
              <w:pStyle w:val="23"/>
              <w:keepNext w:val="0"/>
              <w:keepLines w:val="0"/>
              <w:pageBreakBefore w:val="0"/>
              <w:widowControl/>
              <w:kinsoku/>
              <w:wordWrap/>
              <w:overflowPunct/>
              <w:topLinePunct w:val="0"/>
              <w:autoSpaceDE/>
              <w:autoSpaceDN/>
              <w:bidi w:val="0"/>
              <w:adjustRightInd w:val="0"/>
              <w:snapToGrid w:val="0"/>
              <w:spacing w:line="240" w:lineRule="auto"/>
              <w:jc w:val="center"/>
              <w:textAlignment w:val="auto"/>
              <w:rPr>
                <w:rFonts w:hint="default" w:cs="Times New Roman"/>
                <w:color w:val="auto"/>
                <w:highlight w:val="none"/>
              </w:rPr>
            </w:pPr>
            <w:r>
              <w:rPr>
                <w:rFonts w:hint="default" w:cs="Times New Roman"/>
                <w:color w:val="auto"/>
                <w:highlight w:val="none"/>
              </w:rPr>
              <w:t>考察照片</w:t>
            </w:r>
          </w:p>
        </w:tc>
      </w:tr>
      <w:tr w14:paraId="1A06F65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499" w:hRule="atLeast"/>
        </w:trPr>
        <w:tc>
          <w:tcPr>
            <w:tcW w:w="1082" w:type="dxa"/>
            <w:tcBorders>
              <w:tl2br w:val="nil"/>
              <w:tr2bl w:val="nil"/>
            </w:tcBorders>
            <w:noWrap w:val="0"/>
            <w:vAlign w:val="center"/>
          </w:tcPr>
          <w:p w14:paraId="7B404DB5">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灌木层</w:t>
            </w:r>
          </w:p>
        </w:tc>
        <w:tc>
          <w:tcPr>
            <w:tcW w:w="850" w:type="dxa"/>
            <w:tcBorders>
              <w:tl2br w:val="nil"/>
              <w:tr2bl w:val="nil"/>
            </w:tcBorders>
            <w:noWrap w:val="0"/>
            <w:vAlign w:val="center"/>
          </w:tcPr>
          <w:p w14:paraId="0EE65A6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 35%</w:t>
            </w:r>
          </w:p>
        </w:tc>
        <w:tc>
          <w:tcPr>
            <w:tcW w:w="3541" w:type="dxa"/>
            <w:gridSpan w:val="3"/>
            <w:tcBorders>
              <w:tl2br w:val="nil"/>
              <w:tr2bl w:val="nil"/>
            </w:tcBorders>
            <w:noWrap w:val="0"/>
            <w:vAlign w:val="center"/>
          </w:tcPr>
          <w:p w14:paraId="436B827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层均高2m，优势种为檵木</w:t>
            </w:r>
            <w:r>
              <w:rPr>
                <w:rFonts w:hint="default" w:cs="Times New Roman"/>
                <w:i/>
                <w:iCs/>
                <w:color w:val="auto"/>
                <w:highlight w:val="none"/>
              </w:rPr>
              <w:t>(Loropetalum   chinense)</w:t>
            </w:r>
            <w:r>
              <w:rPr>
                <w:rFonts w:hint="default" w:cs="Times New Roman"/>
                <w:color w:val="auto"/>
                <w:highlight w:val="none"/>
              </w:rPr>
              <w:t>，高约2-2.5m，盖度35%，主要伴生种有马银花</w:t>
            </w:r>
            <w:r>
              <w:rPr>
                <w:rFonts w:hint="default" w:cs="Times New Roman"/>
                <w:i/>
                <w:iCs/>
                <w:color w:val="auto"/>
                <w:highlight w:val="none"/>
              </w:rPr>
              <w:t>(Rhododendron ovatum)</w:t>
            </w:r>
            <w:r>
              <w:rPr>
                <w:rFonts w:hint="default" w:cs="Times New Roman"/>
                <w:color w:val="auto"/>
                <w:highlight w:val="none"/>
              </w:rPr>
              <w:t>、短柄枹栎</w:t>
            </w:r>
            <w:r>
              <w:rPr>
                <w:rFonts w:hint="default" w:cs="Times New Roman"/>
                <w:i/>
                <w:iCs/>
                <w:color w:val="auto"/>
                <w:highlight w:val="none"/>
              </w:rPr>
              <w:t>(Quercusserratavar. brevipetiolata)</w:t>
            </w:r>
            <w:r>
              <w:rPr>
                <w:rFonts w:hint="default" w:cs="Times New Roman"/>
                <w:color w:val="auto"/>
                <w:highlight w:val="none"/>
              </w:rPr>
              <w:t>、胡颓子</w:t>
            </w:r>
            <w:r>
              <w:rPr>
                <w:rFonts w:hint="default" w:cs="Times New Roman"/>
                <w:i/>
                <w:iCs/>
                <w:color w:val="auto"/>
                <w:highlight w:val="none"/>
              </w:rPr>
              <w:t>(Elaeagnuspungens)</w:t>
            </w:r>
            <w:r>
              <w:rPr>
                <w:rFonts w:hint="default" w:cs="Times New Roman"/>
                <w:color w:val="auto"/>
                <w:highlight w:val="none"/>
              </w:rPr>
              <w:t>、杜鹃</w:t>
            </w:r>
            <w:r>
              <w:rPr>
                <w:rFonts w:hint="default" w:cs="Times New Roman"/>
                <w:i/>
                <w:iCs/>
                <w:color w:val="auto"/>
                <w:highlight w:val="none"/>
              </w:rPr>
              <w:t>(Rhododendron simsii)</w:t>
            </w:r>
            <w:r>
              <w:rPr>
                <w:rFonts w:hint="default" w:cs="Times New Roman"/>
                <w:color w:val="auto"/>
                <w:highlight w:val="none"/>
              </w:rPr>
              <w:t>等。</w:t>
            </w:r>
          </w:p>
        </w:tc>
        <w:tc>
          <w:tcPr>
            <w:tcW w:w="3292" w:type="dxa"/>
            <w:gridSpan w:val="3"/>
            <w:vMerge w:val="restart"/>
            <w:tcBorders>
              <w:tl2br w:val="nil"/>
              <w:tr2bl w:val="nil"/>
            </w:tcBorders>
            <w:noWrap w:val="0"/>
            <w:vAlign w:val="top"/>
          </w:tcPr>
          <w:p w14:paraId="65F9014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p w14:paraId="309CB2A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p w14:paraId="363577E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p w14:paraId="53EBDFA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p w14:paraId="26B5FCA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cs="Times New Roman"/>
                <w:color w:val="auto"/>
                <w:highlight w:val="none"/>
                <w:lang w:eastAsia="zh-CN"/>
              </w:rPr>
            </w:pPr>
            <w:r>
              <w:rPr>
                <w:rFonts w:hint="eastAsia" w:cs="Times New Roman"/>
                <w:color w:val="auto"/>
                <w:highlight w:val="none"/>
                <w:lang w:eastAsia="zh-CN"/>
              </w:rPr>
              <w:drawing>
                <wp:inline distT="0" distB="0" distL="114300" distR="114300">
                  <wp:extent cx="2048510" cy="1151890"/>
                  <wp:effectExtent l="0" t="0" r="8890" b="10160"/>
                  <wp:docPr id="50" name="图片 28" descr="picture_2023_06_28_08_45_42_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8" descr="picture_2023_06_28_08_45_42_371"/>
                          <pic:cNvPicPr>
                            <a:picLocks noChangeAspect="1"/>
                          </pic:cNvPicPr>
                        </pic:nvPicPr>
                        <pic:blipFill>
                          <a:blip r:embed="rId37"/>
                          <a:stretch>
                            <a:fillRect/>
                          </a:stretch>
                        </pic:blipFill>
                        <pic:spPr>
                          <a:xfrm>
                            <a:off x="0" y="0"/>
                            <a:ext cx="2048510" cy="1151890"/>
                          </a:xfrm>
                          <a:prstGeom prst="rect">
                            <a:avLst/>
                          </a:prstGeom>
                          <a:noFill/>
                          <a:ln>
                            <a:noFill/>
                          </a:ln>
                        </pic:spPr>
                      </pic:pic>
                    </a:graphicData>
                  </a:graphic>
                </wp:inline>
              </w:drawing>
            </w:r>
          </w:p>
        </w:tc>
      </w:tr>
      <w:tr w14:paraId="62BEB70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1943" w:hRule="atLeast"/>
        </w:trPr>
        <w:tc>
          <w:tcPr>
            <w:tcW w:w="1082" w:type="dxa"/>
            <w:tcBorders>
              <w:tl2br w:val="nil"/>
              <w:tr2bl w:val="nil"/>
            </w:tcBorders>
            <w:noWrap w:val="0"/>
            <w:vAlign w:val="center"/>
          </w:tcPr>
          <w:p w14:paraId="4136A3B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草本层</w:t>
            </w:r>
          </w:p>
        </w:tc>
        <w:tc>
          <w:tcPr>
            <w:tcW w:w="850" w:type="dxa"/>
            <w:tcBorders>
              <w:tl2br w:val="nil"/>
              <w:tr2bl w:val="nil"/>
            </w:tcBorders>
            <w:noWrap w:val="0"/>
            <w:vAlign w:val="center"/>
          </w:tcPr>
          <w:p w14:paraId="086B39F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 30%</w:t>
            </w:r>
          </w:p>
        </w:tc>
        <w:tc>
          <w:tcPr>
            <w:tcW w:w="3541" w:type="dxa"/>
            <w:gridSpan w:val="3"/>
            <w:tcBorders>
              <w:tl2br w:val="nil"/>
              <w:tr2bl w:val="nil"/>
            </w:tcBorders>
            <w:noWrap w:val="0"/>
            <w:vAlign w:val="center"/>
          </w:tcPr>
          <w:p w14:paraId="12BC5475">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层均高0.8m，优势种为三脉紫菀</w:t>
            </w:r>
            <w:r>
              <w:rPr>
                <w:rFonts w:hint="default" w:cs="Times New Roman"/>
                <w:i/>
                <w:iCs/>
                <w:color w:val="auto"/>
                <w:highlight w:val="none"/>
              </w:rPr>
              <w:t>(Aster ageratoides)</w:t>
            </w:r>
            <w:r>
              <w:rPr>
                <w:rFonts w:hint="default" w:cs="Times New Roman"/>
                <w:color w:val="auto"/>
                <w:highlight w:val="none"/>
              </w:rPr>
              <w:t>，高约0.5m，盖度20%，主要伴生种有兰香草</w:t>
            </w:r>
            <w:r>
              <w:rPr>
                <w:rFonts w:hint="default" w:cs="Times New Roman"/>
                <w:i/>
                <w:iCs/>
                <w:color w:val="auto"/>
                <w:highlight w:val="none"/>
              </w:rPr>
              <w:t>(Caryopteris incana)</w:t>
            </w:r>
            <w:r>
              <w:rPr>
                <w:rFonts w:hint="default" w:cs="Times New Roman"/>
                <w:color w:val="auto"/>
                <w:highlight w:val="none"/>
              </w:rPr>
              <w:t>、乌毛蕨</w:t>
            </w:r>
            <w:r>
              <w:rPr>
                <w:rFonts w:hint="default" w:cs="Times New Roman"/>
                <w:i/>
                <w:iCs/>
                <w:color w:val="auto"/>
                <w:highlight w:val="none"/>
              </w:rPr>
              <w:t>(Blechnum orientale)</w:t>
            </w:r>
            <w:r>
              <w:rPr>
                <w:rFonts w:hint="default" w:cs="Times New Roman"/>
                <w:color w:val="auto"/>
                <w:highlight w:val="none"/>
              </w:rPr>
              <w:t>、芒萁</w:t>
            </w:r>
            <w:r>
              <w:rPr>
                <w:rFonts w:hint="default" w:cs="Times New Roman"/>
                <w:i/>
                <w:iCs/>
                <w:color w:val="auto"/>
                <w:highlight w:val="none"/>
              </w:rPr>
              <w:t>(Dicranopteris dichotoma)</w:t>
            </w:r>
            <w:r>
              <w:rPr>
                <w:rFonts w:hint="default" w:cs="Times New Roman"/>
                <w:color w:val="auto"/>
                <w:highlight w:val="none"/>
              </w:rPr>
              <w:t>等。</w:t>
            </w:r>
          </w:p>
        </w:tc>
        <w:tc>
          <w:tcPr>
            <w:tcW w:w="3292" w:type="dxa"/>
            <w:gridSpan w:val="3"/>
            <w:vMerge w:val="continue"/>
            <w:tcBorders>
              <w:tl2br w:val="nil"/>
              <w:tr2bl w:val="nil"/>
            </w:tcBorders>
            <w:noWrap w:val="0"/>
            <w:vAlign w:val="top"/>
          </w:tcPr>
          <w:p w14:paraId="166A865D">
            <w:pPr>
              <w:rPr>
                <w:rFonts w:ascii="Arial"/>
                <w:color w:val="auto"/>
                <w:sz w:val="21"/>
                <w:highlight w:val="none"/>
              </w:rPr>
            </w:pPr>
          </w:p>
        </w:tc>
      </w:tr>
    </w:tbl>
    <w:p w14:paraId="05B0D29E">
      <w:pPr>
        <w:pStyle w:val="30"/>
        <w:rPr>
          <w:rFonts w:hint="eastAsia"/>
          <w:b/>
          <w:bCs/>
          <w:color w:val="auto"/>
          <w:highlight w:val="none"/>
          <w:lang w:val="en-US" w:eastAsia="zh-CN"/>
        </w:rPr>
      </w:pPr>
      <w:r>
        <w:rPr>
          <w:rFonts w:hint="eastAsia"/>
          <w:b/>
          <w:bCs/>
          <w:color w:val="auto"/>
          <w:highlight w:val="none"/>
          <w:lang w:val="en-US" w:eastAsia="zh-CN"/>
        </w:rPr>
        <w:t>9)山茶灌丛</w:t>
      </w:r>
      <w:r>
        <w:rPr>
          <w:rFonts w:hint="eastAsia"/>
          <w:b/>
          <w:bCs/>
          <w:i/>
          <w:iCs/>
          <w:color w:val="auto"/>
          <w:highlight w:val="none"/>
          <w:lang w:val="en-US" w:eastAsia="zh-CN"/>
        </w:rPr>
        <w:t>(Form.Camelliajaponica)</w:t>
      </w:r>
    </w:p>
    <w:p w14:paraId="0682A052">
      <w:pPr>
        <w:pStyle w:val="30"/>
        <w:rPr>
          <w:rFonts w:hint="eastAsia"/>
          <w:color w:val="auto"/>
          <w:highlight w:val="none"/>
          <w:lang w:val="en-US" w:eastAsia="zh-CN"/>
        </w:rPr>
      </w:pPr>
      <w:r>
        <w:rPr>
          <w:rFonts w:hint="eastAsia"/>
          <w:color w:val="auto"/>
          <w:highlight w:val="none"/>
          <w:lang w:val="en-US" w:eastAsia="zh-CN"/>
        </w:rPr>
        <w:t>山茶野生种多为单瓣白色，栽培种的山茶多重瓣、花色艳丽。山茶灌丛在评价区分布广泛，是评价区内优势灌丛。</w:t>
      </w:r>
    </w:p>
    <w:p w14:paraId="46099CAB">
      <w:pPr>
        <w:pStyle w:val="30"/>
        <w:rPr>
          <w:rFonts w:hint="eastAsia"/>
          <w:color w:val="auto"/>
          <w:highlight w:val="none"/>
          <w:lang w:val="en-US" w:eastAsia="zh-CN"/>
        </w:rPr>
      </w:pPr>
      <w:r>
        <w:rPr>
          <w:rFonts w:hint="eastAsia"/>
          <w:color w:val="auto"/>
          <w:highlight w:val="none"/>
          <w:lang w:val="en-US" w:eastAsia="zh-CN"/>
        </w:rPr>
        <w:t>灌木层盖度35%，层均高1.5m，优势种为山茶</w:t>
      </w:r>
      <w:r>
        <w:rPr>
          <w:rFonts w:hint="eastAsia"/>
          <w:i/>
          <w:iCs/>
          <w:color w:val="auto"/>
          <w:highlight w:val="none"/>
          <w:lang w:val="en-US" w:eastAsia="zh-CN"/>
        </w:rPr>
        <w:t>(Camelliajaponica)</w:t>
      </w:r>
      <w:r>
        <w:rPr>
          <w:rFonts w:hint="eastAsia"/>
          <w:color w:val="auto"/>
          <w:highlight w:val="none"/>
          <w:lang w:val="en-US" w:eastAsia="zh-CN"/>
        </w:rPr>
        <w:t>，高约1-2m，盖度30%，主要伴生种有油茶</w:t>
      </w:r>
      <w:r>
        <w:rPr>
          <w:rFonts w:hint="eastAsia"/>
          <w:i/>
          <w:iCs/>
          <w:color w:val="auto"/>
          <w:highlight w:val="none"/>
          <w:lang w:val="en-US" w:eastAsia="zh-CN"/>
        </w:rPr>
        <w:t>(Camellia oleifera)</w:t>
      </w:r>
      <w:r>
        <w:rPr>
          <w:rFonts w:hint="eastAsia"/>
          <w:color w:val="auto"/>
          <w:highlight w:val="none"/>
          <w:lang w:val="en-US" w:eastAsia="zh-CN"/>
        </w:rPr>
        <w:t>、乌药</w:t>
      </w:r>
      <w:r>
        <w:rPr>
          <w:rFonts w:hint="eastAsia"/>
          <w:i/>
          <w:iCs/>
          <w:color w:val="auto"/>
          <w:highlight w:val="none"/>
          <w:lang w:val="en-US" w:eastAsia="zh-CN"/>
        </w:rPr>
        <w:t>(Lindera aggregata)</w:t>
      </w:r>
      <w:r>
        <w:rPr>
          <w:rFonts w:hint="eastAsia"/>
          <w:color w:val="auto"/>
          <w:highlight w:val="none"/>
          <w:lang w:val="en-US" w:eastAsia="zh-CN"/>
        </w:rPr>
        <w:t>、苎麻</w:t>
      </w:r>
      <w:r>
        <w:rPr>
          <w:rFonts w:hint="eastAsia"/>
          <w:i/>
          <w:iCs/>
          <w:color w:val="auto"/>
          <w:highlight w:val="none"/>
          <w:lang w:val="en-US" w:eastAsia="zh-CN"/>
        </w:rPr>
        <w:t>(Boehmerianivea)</w:t>
      </w:r>
      <w:r>
        <w:rPr>
          <w:rFonts w:hint="eastAsia"/>
          <w:color w:val="auto"/>
          <w:highlight w:val="none"/>
          <w:lang w:val="en-US" w:eastAsia="zh-CN"/>
        </w:rPr>
        <w:t>、格药柃</w:t>
      </w:r>
      <w:r>
        <w:rPr>
          <w:rFonts w:hint="eastAsia"/>
          <w:i/>
          <w:iCs/>
          <w:color w:val="auto"/>
          <w:highlight w:val="none"/>
          <w:lang w:val="en-US" w:eastAsia="zh-CN"/>
        </w:rPr>
        <w:t>(Eurya muricata)</w:t>
      </w:r>
      <w:r>
        <w:rPr>
          <w:rFonts w:hint="eastAsia"/>
          <w:color w:val="auto"/>
          <w:highlight w:val="none"/>
          <w:lang w:val="en-US" w:eastAsia="zh-CN"/>
        </w:rPr>
        <w:t>等。</w:t>
      </w:r>
    </w:p>
    <w:p w14:paraId="4748C406">
      <w:pPr>
        <w:pStyle w:val="30"/>
        <w:rPr>
          <w:rFonts w:hint="eastAsia"/>
          <w:color w:val="auto"/>
          <w:highlight w:val="none"/>
          <w:lang w:val="en-US" w:eastAsia="zh-CN"/>
        </w:rPr>
      </w:pPr>
      <w:r>
        <w:rPr>
          <w:rFonts w:hint="eastAsia"/>
          <w:color w:val="auto"/>
          <w:highlight w:val="none"/>
          <w:lang w:val="en-US" w:eastAsia="zh-CN"/>
        </w:rPr>
        <w:t>草本层盖度25%，层均高0.3m，优势种为蕨</w:t>
      </w:r>
      <w:r>
        <w:rPr>
          <w:rFonts w:hint="eastAsia"/>
          <w:i/>
          <w:iCs/>
          <w:color w:val="auto"/>
          <w:highlight w:val="none"/>
          <w:lang w:val="en-US" w:eastAsia="zh-CN"/>
        </w:rPr>
        <w:t>(Pteridium aquilinumvar.latiusculum)</w:t>
      </w:r>
      <w:r>
        <w:rPr>
          <w:rFonts w:hint="eastAsia"/>
          <w:color w:val="auto"/>
          <w:highlight w:val="none"/>
          <w:lang w:val="en-US" w:eastAsia="zh-CN"/>
        </w:rPr>
        <w:t>，高约0.2-0.5m，盖度15%，主要伴生种有乌毛蕨</w:t>
      </w:r>
      <w:r>
        <w:rPr>
          <w:rFonts w:hint="eastAsia"/>
          <w:i/>
          <w:iCs/>
          <w:color w:val="auto"/>
          <w:highlight w:val="none"/>
          <w:lang w:val="en-US" w:eastAsia="zh-CN"/>
        </w:rPr>
        <w:t>(Blechnum orientale)</w:t>
      </w:r>
      <w:r>
        <w:rPr>
          <w:rFonts w:hint="eastAsia"/>
          <w:color w:val="auto"/>
          <w:highlight w:val="none"/>
          <w:lang w:val="en-US" w:eastAsia="zh-CN"/>
        </w:rPr>
        <w:t>、千里光</w:t>
      </w:r>
      <w:r>
        <w:rPr>
          <w:rFonts w:hint="eastAsia"/>
          <w:i/>
          <w:iCs/>
          <w:color w:val="auto"/>
          <w:highlight w:val="none"/>
          <w:lang w:val="en-US" w:eastAsia="zh-CN"/>
        </w:rPr>
        <w:t>(Senecio scandens)</w:t>
      </w:r>
      <w:r>
        <w:rPr>
          <w:rFonts w:hint="eastAsia"/>
          <w:color w:val="auto"/>
          <w:highlight w:val="none"/>
          <w:lang w:val="en-US" w:eastAsia="zh-CN"/>
        </w:rPr>
        <w:t>、兰香草</w:t>
      </w:r>
      <w:r>
        <w:rPr>
          <w:rFonts w:hint="eastAsia"/>
          <w:i/>
          <w:iCs/>
          <w:color w:val="auto"/>
          <w:highlight w:val="none"/>
          <w:lang w:val="en-US" w:eastAsia="zh-CN"/>
        </w:rPr>
        <w:t>(Caryopteris incana)</w:t>
      </w:r>
      <w:r>
        <w:rPr>
          <w:rFonts w:hint="eastAsia"/>
          <w:color w:val="auto"/>
          <w:highlight w:val="none"/>
          <w:lang w:val="en-US" w:eastAsia="zh-CN"/>
        </w:rPr>
        <w:t>等。</w:t>
      </w:r>
    </w:p>
    <w:p w14:paraId="1AFFA8D6">
      <w:pPr>
        <w:pStyle w:val="30"/>
        <w:rPr>
          <w:rFonts w:hint="eastAsia"/>
          <w:color w:val="auto"/>
          <w:highlight w:val="none"/>
          <w:lang w:val="en-US" w:eastAsia="zh-CN"/>
        </w:rPr>
      </w:pPr>
      <w:r>
        <w:rPr>
          <w:rFonts w:hint="eastAsia"/>
          <w:color w:val="auto"/>
          <w:highlight w:val="none"/>
          <w:lang w:val="en-US" w:eastAsia="zh-CN"/>
        </w:rPr>
        <w:t>样方位置：5#风机新建道路附近(N26.93373276°，E111.93056166°)；H：365m。</w:t>
      </w:r>
    </w:p>
    <w:tbl>
      <w:tblPr>
        <w:tblStyle w:val="38"/>
        <w:tblW w:w="5000" w:type="pct"/>
        <w:tblInd w:w="2"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028"/>
        <w:gridCol w:w="807"/>
        <w:gridCol w:w="2145"/>
        <w:gridCol w:w="1074"/>
        <w:gridCol w:w="147"/>
        <w:gridCol w:w="936"/>
        <w:gridCol w:w="1085"/>
        <w:gridCol w:w="1114"/>
      </w:tblGrid>
      <w:tr w14:paraId="0197AC3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vMerge w:val="restart"/>
            <w:tcBorders>
              <w:tl2br w:val="nil"/>
              <w:tr2bl w:val="nil"/>
            </w:tcBorders>
            <w:noWrap w:val="0"/>
            <w:vAlign w:val="center"/>
          </w:tcPr>
          <w:p w14:paraId="7F6EBC5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植被类型</w:t>
            </w:r>
          </w:p>
        </w:tc>
        <w:tc>
          <w:tcPr>
            <w:tcW w:w="3107" w:type="dxa"/>
            <w:gridSpan w:val="2"/>
            <w:vMerge w:val="restart"/>
            <w:tcBorders>
              <w:tl2br w:val="nil"/>
              <w:tr2bl w:val="nil"/>
            </w:tcBorders>
            <w:noWrap w:val="0"/>
            <w:vAlign w:val="center"/>
          </w:tcPr>
          <w:p w14:paraId="5255129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山茶灌丛</w:t>
            </w:r>
            <w:r>
              <w:rPr>
                <w:rFonts w:hint="default" w:cs="Times New Roman"/>
                <w:i/>
                <w:iCs/>
                <w:color w:val="auto"/>
                <w:highlight w:val="none"/>
              </w:rPr>
              <w:t>(Form.Camelliajaponica)</w:t>
            </w:r>
          </w:p>
        </w:tc>
        <w:tc>
          <w:tcPr>
            <w:tcW w:w="4576" w:type="dxa"/>
            <w:gridSpan w:val="5"/>
            <w:tcBorders>
              <w:tl2br w:val="nil"/>
              <w:tr2bl w:val="nil"/>
            </w:tcBorders>
            <w:noWrap w:val="0"/>
            <w:vAlign w:val="center"/>
          </w:tcPr>
          <w:p w14:paraId="28B9B00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环境特征</w:t>
            </w:r>
          </w:p>
        </w:tc>
      </w:tr>
      <w:tr w14:paraId="25F52D5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vMerge w:val="continue"/>
            <w:tcBorders>
              <w:tl2br w:val="nil"/>
              <w:tr2bl w:val="nil"/>
            </w:tcBorders>
            <w:noWrap w:val="0"/>
            <w:vAlign w:val="center"/>
          </w:tcPr>
          <w:p w14:paraId="0F561CA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3107" w:type="dxa"/>
            <w:gridSpan w:val="2"/>
            <w:vMerge w:val="continue"/>
            <w:tcBorders>
              <w:tl2br w:val="nil"/>
              <w:tr2bl w:val="nil"/>
            </w:tcBorders>
            <w:noWrap w:val="0"/>
            <w:vAlign w:val="center"/>
          </w:tcPr>
          <w:p w14:paraId="6199901C">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1143" w:type="dxa"/>
            <w:tcBorders>
              <w:tl2br w:val="nil"/>
              <w:tr2bl w:val="nil"/>
            </w:tcBorders>
            <w:noWrap w:val="0"/>
            <w:vAlign w:val="center"/>
          </w:tcPr>
          <w:p w14:paraId="1B3089A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地形</w:t>
            </w:r>
          </w:p>
        </w:tc>
        <w:tc>
          <w:tcPr>
            <w:tcW w:w="1142" w:type="dxa"/>
            <w:gridSpan w:val="2"/>
            <w:tcBorders>
              <w:tl2br w:val="nil"/>
              <w:tr2bl w:val="nil"/>
            </w:tcBorders>
            <w:noWrap w:val="0"/>
            <w:vAlign w:val="center"/>
          </w:tcPr>
          <w:p w14:paraId="4884107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海拔(m)</w:t>
            </w:r>
          </w:p>
        </w:tc>
        <w:tc>
          <w:tcPr>
            <w:tcW w:w="1143" w:type="dxa"/>
            <w:tcBorders>
              <w:tl2br w:val="nil"/>
              <w:tr2bl w:val="nil"/>
            </w:tcBorders>
            <w:noWrap w:val="0"/>
            <w:vAlign w:val="center"/>
          </w:tcPr>
          <w:p w14:paraId="3AFC370C">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坡向</w:t>
            </w:r>
          </w:p>
        </w:tc>
        <w:tc>
          <w:tcPr>
            <w:tcW w:w="1148" w:type="dxa"/>
            <w:tcBorders>
              <w:tl2br w:val="nil"/>
              <w:tr2bl w:val="nil"/>
            </w:tcBorders>
            <w:noWrap w:val="0"/>
            <w:vAlign w:val="center"/>
          </w:tcPr>
          <w:p w14:paraId="657FEDD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坡度(°)</w:t>
            </w:r>
          </w:p>
        </w:tc>
      </w:tr>
      <w:tr w14:paraId="57E79E2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510" w:hRule="atLeast"/>
        </w:trPr>
        <w:tc>
          <w:tcPr>
            <w:tcW w:w="1082" w:type="dxa"/>
            <w:tcBorders>
              <w:tl2br w:val="nil"/>
              <w:tr2bl w:val="nil"/>
            </w:tcBorders>
            <w:noWrap w:val="0"/>
            <w:vAlign w:val="center"/>
          </w:tcPr>
          <w:p w14:paraId="2731D03C">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地点</w:t>
            </w:r>
          </w:p>
        </w:tc>
        <w:tc>
          <w:tcPr>
            <w:tcW w:w="3107" w:type="dxa"/>
            <w:gridSpan w:val="2"/>
            <w:tcBorders>
              <w:tl2br w:val="nil"/>
              <w:tr2bl w:val="nil"/>
            </w:tcBorders>
            <w:noWrap w:val="0"/>
            <w:vAlign w:val="center"/>
          </w:tcPr>
          <w:p w14:paraId="639F2F9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eastAsia" w:cs="Times New Roman"/>
                <w:color w:val="auto"/>
                <w:highlight w:val="none"/>
                <w:lang w:val="en-US" w:eastAsia="zh-CN"/>
              </w:rPr>
              <w:t>5#风机</w:t>
            </w:r>
            <w:r>
              <w:rPr>
                <w:rFonts w:hint="default" w:cs="Times New Roman"/>
                <w:color w:val="auto"/>
                <w:highlight w:val="none"/>
              </w:rPr>
              <w:t>新建道路附近</w:t>
            </w:r>
          </w:p>
        </w:tc>
        <w:tc>
          <w:tcPr>
            <w:tcW w:w="1143" w:type="dxa"/>
            <w:tcBorders>
              <w:tl2br w:val="nil"/>
              <w:tr2bl w:val="nil"/>
            </w:tcBorders>
            <w:noWrap w:val="0"/>
            <w:vAlign w:val="center"/>
          </w:tcPr>
          <w:p w14:paraId="5565337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山地</w:t>
            </w:r>
          </w:p>
        </w:tc>
        <w:tc>
          <w:tcPr>
            <w:tcW w:w="1142" w:type="dxa"/>
            <w:gridSpan w:val="2"/>
            <w:tcBorders>
              <w:tl2br w:val="nil"/>
              <w:tr2bl w:val="nil"/>
            </w:tcBorders>
            <w:noWrap w:val="0"/>
            <w:vAlign w:val="center"/>
          </w:tcPr>
          <w:p w14:paraId="24B4BCD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val="en-US" w:eastAsia="zh-CN"/>
              </w:rPr>
            </w:pPr>
            <w:r>
              <w:rPr>
                <w:rFonts w:hint="eastAsia" w:cs="Times New Roman"/>
                <w:color w:val="auto"/>
                <w:highlight w:val="none"/>
                <w:lang w:val="en-US" w:eastAsia="zh-CN"/>
              </w:rPr>
              <w:t>365</w:t>
            </w:r>
          </w:p>
        </w:tc>
        <w:tc>
          <w:tcPr>
            <w:tcW w:w="1143" w:type="dxa"/>
            <w:tcBorders>
              <w:tl2br w:val="nil"/>
              <w:tr2bl w:val="nil"/>
            </w:tcBorders>
            <w:noWrap w:val="0"/>
            <w:vAlign w:val="center"/>
          </w:tcPr>
          <w:p w14:paraId="463AE1B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cs="Times New Roman"/>
                <w:color w:val="auto"/>
                <w:highlight w:val="none"/>
                <w:lang w:eastAsia="zh-CN"/>
              </w:rPr>
            </w:pPr>
            <w:r>
              <w:rPr>
                <w:rFonts w:hint="eastAsia" w:cs="Times New Roman"/>
                <w:color w:val="auto"/>
                <w:highlight w:val="none"/>
                <w:lang w:val="en-US" w:eastAsia="zh-CN"/>
              </w:rPr>
              <w:t>N</w:t>
            </w:r>
          </w:p>
        </w:tc>
        <w:tc>
          <w:tcPr>
            <w:tcW w:w="1148" w:type="dxa"/>
            <w:tcBorders>
              <w:tl2br w:val="nil"/>
              <w:tr2bl w:val="nil"/>
            </w:tcBorders>
            <w:noWrap w:val="0"/>
            <w:vAlign w:val="center"/>
          </w:tcPr>
          <w:p w14:paraId="0C1BB43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15</w:t>
            </w:r>
          </w:p>
        </w:tc>
      </w:tr>
      <w:tr w14:paraId="4834D0F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80" w:hRule="atLeast"/>
        </w:trPr>
        <w:tc>
          <w:tcPr>
            <w:tcW w:w="1082" w:type="dxa"/>
            <w:tcBorders>
              <w:tl2br w:val="nil"/>
              <w:tr2bl w:val="nil"/>
            </w:tcBorders>
            <w:noWrap w:val="0"/>
            <w:vAlign w:val="center"/>
          </w:tcPr>
          <w:p w14:paraId="2714217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经纬度</w:t>
            </w:r>
          </w:p>
        </w:tc>
        <w:tc>
          <w:tcPr>
            <w:tcW w:w="7683" w:type="dxa"/>
            <w:gridSpan w:val="7"/>
            <w:tcBorders>
              <w:tl2br w:val="nil"/>
              <w:tr2bl w:val="nil"/>
            </w:tcBorders>
            <w:noWrap w:val="0"/>
            <w:vAlign w:val="center"/>
          </w:tcPr>
          <w:p w14:paraId="507DD865">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eastAsia" w:cs="Times New Roman"/>
                <w:color w:val="auto"/>
                <w:highlight w:val="none"/>
                <w:lang w:val="en-US" w:eastAsia="zh-CN"/>
              </w:rPr>
              <w:t>N26.93373276°，E111.93056166°</w:t>
            </w:r>
          </w:p>
        </w:tc>
      </w:tr>
      <w:tr w14:paraId="5D370E3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570" w:hRule="atLeast"/>
        </w:trPr>
        <w:tc>
          <w:tcPr>
            <w:tcW w:w="1082" w:type="dxa"/>
            <w:tcBorders>
              <w:tl2br w:val="nil"/>
              <w:tr2bl w:val="nil"/>
            </w:tcBorders>
            <w:noWrap w:val="0"/>
            <w:vAlign w:val="center"/>
          </w:tcPr>
          <w:p w14:paraId="55F69345">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层次</w:t>
            </w:r>
          </w:p>
        </w:tc>
        <w:tc>
          <w:tcPr>
            <w:tcW w:w="7683" w:type="dxa"/>
            <w:gridSpan w:val="7"/>
            <w:tcBorders>
              <w:tl2br w:val="nil"/>
              <w:tr2bl w:val="nil"/>
            </w:tcBorders>
            <w:noWrap w:val="0"/>
            <w:vAlign w:val="center"/>
          </w:tcPr>
          <w:p w14:paraId="457B7E0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二层</w:t>
            </w:r>
          </w:p>
        </w:tc>
      </w:tr>
      <w:tr w14:paraId="09D1FA1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1082" w:type="dxa"/>
            <w:tcBorders>
              <w:tl2br w:val="nil"/>
              <w:tr2bl w:val="nil"/>
            </w:tcBorders>
            <w:noWrap w:val="0"/>
            <w:vAlign w:val="center"/>
          </w:tcPr>
          <w:p w14:paraId="246C81E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分层</w:t>
            </w:r>
          </w:p>
        </w:tc>
        <w:tc>
          <w:tcPr>
            <w:tcW w:w="850" w:type="dxa"/>
            <w:tcBorders>
              <w:tl2br w:val="nil"/>
              <w:tr2bl w:val="nil"/>
            </w:tcBorders>
            <w:noWrap w:val="0"/>
            <w:vAlign w:val="center"/>
          </w:tcPr>
          <w:p w14:paraId="51B41B2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w:t>
            </w:r>
          </w:p>
        </w:tc>
        <w:tc>
          <w:tcPr>
            <w:tcW w:w="3541" w:type="dxa"/>
            <w:gridSpan w:val="3"/>
            <w:tcBorders>
              <w:tl2br w:val="nil"/>
              <w:tr2bl w:val="nil"/>
            </w:tcBorders>
            <w:noWrap w:val="0"/>
            <w:vAlign w:val="center"/>
          </w:tcPr>
          <w:p w14:paraId="1E454EB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种类组成与生长状况</w:t>
            </w:r>
          </w:p>
        </w:tc>
        <w:tc>
          <w:tcPr>
            <w:tcW w:w="3292" w:type="dxa"/>
            <w:gridSpan w:val="3"/>
            <w:tcBorders>
              <w:tl2br w:val="nil"/>
              <w:tr2bl w:val="nil"/>
            </w:tcBorders>
            <w:noWrap w:val="0"/>
            <w:vAlign w:val="center"/>
          </w:tcPr>
          <w:p w14:paraId="1729280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考察照片</w:t>
            </w:r>
          </w:p>
        </w:tc>
      </w:tr>
      <w:tr w14:paraId="201ECA3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12BD541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灌木层</w:t>
            </w:r>
          </w:p>
        </w:tc>
        <w:tc>
          <w:tcPr>
            <w:tcW w:w="850" w:type="dxa"/>
            <w:tcBorders>
              <w:tl2br w:val="nil"/>
              <w:tr2bl w:val="nil"/>
            </w:tcBorders>
            <w:noWrap w:val="0"/>
            <w:vAlign w:val="center"/>
          </w:tcPr>
          <w:p w14:paraId="41BA068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层盖度35%</w:t>
            </w:r>
          </w:p>
        </w:tc>
        <w:tc>
          <w:tcPr>
            <w:tcW w:w="3541" w:type="dxa"/>
            <w:gridSpan w:val="3"/>
            <w:tcBorders>
              <w:tl2br w:val="nil"/>
              <w:tr2bl w:val="nil"/>
            </w:tcBorders>
            <w:noWrap w:val="0"/>
            <w:vAlign w:val="center"/>
          </w:tcPr>
          <w:p w14:paraId="6A4E250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层均高1.5m，优势种为山茶</w:t>
            </w:r>
            <w:r>
              <w:rPr>
                <w:rFonts w:hint="default" w:cs="Times New Roman"/>
                <w:i/>
                <w:iCs/>
                <w:color w:val="auto"/>
                <w:highlight w:val="none"/>
              </w:rPr>
              <w:t>(Camellia japonica)</w:t>
            </w:r>
            <w:r>
              <w:rPr>
                <w:rFonts w:hint="default" w:cs="Times New Roman"/>
                <w:color w:val="auto"/>
                <w:highlight w:val="none"/>
              </w:rPr>
              <w:t>，高约1-2m，盖度30%，主 要伴生种有油茶</w:t>
            </w:r>
            <w:r>
              <w:rPr>
                <w:rFonts w:hint="default" w:cs="Times New Roman"/>
                <w:i/>
                <w:iCs/>
                <w:color w:val="auto"/>
                <w:highlight w:val="none"/>
              </w:rPr>
              <w:t>(Camellia oleifera)</w:t>
            </w:r>
            <w:r>
              <w:rPr>
                <w:rFonts w:hint="default" w:cs="Times New Roman"/>
                <w:color w:val="auto"/>
                <w:highlight w:val="none"/>
              </w:rPr>
              <w:t>、乌药</w:t>
            </w:r>
            <w:r>
              <w:rPr>
                <w:rFonts w:hint="default" w:cs="Times New Roman"/>
                <w:i/>
                <w:iCs/>
                <w:color w:val="auto"/>
                <w:highlight w:val="none"/>
              </w:rPr>
              <w:t>(Lindera aggregata)</w:t>
            </w:r>
            <w:r>
              <w:rPr>
                <w:rFonts w:hint="default" w:cs="Times New Roman"/>
                <w:color w:val="auto"/>
                <w:highlight w:val="none"/>
              </w:rPr>
              <w:t>、苎麻</w:t>
            </w:r>
            <w:r>
              <w:rPr>
                <w:rFonts w:hint="default" w:cs="Times New Roman"/>
                <w:i/>
                <w:iCs/>
                <w:color w:val="auto"/>
                <w:highlight w:val="none"/>
              </w:rPr>
              <w:t>(Boehmeria nivea)</w:t>
            </w:r>
            <w:r>
              <w:rPr>
                <w:rFonts w:hint="default" w:cs="Times New Roman"/>
                <w:color w:val="auto"/>
                <w:highlight w:val="none"/>
              </w:rPr>
              <w:t>、格药柃</w:t>
            </w:r>
            <w:r>
              <w:rPr>
                <w:rFonts w:hint="default" w:cs="Times New Roman"/>
                <w:i/>
                <w:iCs/>
                <w:color w:val="auto"/>
                <w:highlight w:val="none"/>
              </w:rPr>
              <w:tab/>
            </w:r>
            <w:r>
              <w:rPr>
                <w:rFonts w:hint="default" w:cs="Times New Roman"/>
                <w:i/>
                <w:iCs/>
                <w:color w:val="auto"/>
                <w:highlight w:val="none"/>
              </w:rPr>
              <w:t>(Eurya muricata)</w:t>
            </w:r>
            <w:r>
              <w:rPr>
                <w:rFonts w:hint="default" w:cs="Times New Roman"/>
                <w:color w:val="auto"/>
                <w:highlight w:val="none"/>
              </w:rPr>
              <w:t>等。</w:t>
            </w:r>
          </w:p>
        </w:tc>
        <w:tc>
          <w:tcPr>
            <w:tcW w:w="3292" w:type="dxa"/>
            <w:gridSpan w:val="3"/>
            <w:vMerge w:val="restart"/>
            <w:tcBorders>
              <w:tl2br w:val="nil"/>
              <w:tr2bl w:val="nil"/>
            </w:tcBorders>
            <w:noWrap w:val="0"/>
            <w:vAlign w:val="center"/>
          </w:tcPr>
          <w:p w14:paraId="2790B51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cs="Times New Roman"/>
                <w:color w:val="auto"/>
                <w:highlight w:val="none"/>
                <w:lang w:eastAsia="zh-CN"/>
              </w:rPr>
            </w:pPr>
            <w:r>
              <w:rPr>
                <w:rFonts w:hint="eastAsia" w:cs="Times New Roman"/>
                <w:color w:val="auto"/>
                <w:highlight w:val="none"/>
                <w:lang w:eastAsia="zh-CN"/>
              </w:rPr>
              <w:drawing>
                <wp:inline distT="0" distB="0" distL="114300" distR="114300">
                  <wp:extent cx="1999615" cy="1124585"/>
                  <wp:effectExtent l="0" t="0" r="635" b="18415"/>
                  <wp:docPr id="45" name="图片 29" descr="picture_2023_06_27_11_19_26_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9" descr="picture_2023_06_27_11_19_26_823"/>
                          <pic:cNvPicPr>
                            <a:picLocks noChangeAspect="1"/>
                          </pic:cNvPicPr>
                        </pic:nvPicPr>
                        <pic:blipFill>
                          <a:blip r:embed="rId38"/>
                          <a:stretch>
                            <a:fillRect/>
                          </a:stretch>
                        </pic:blipFill>
                        <pic:spPr>
                          <a:xfrm>
                            <a:off x="0" y="0"/>
                            <a:ext cx="1999615" cy="1124585"/>
                          </a:xfrm>
                          <a:prstGeom prst="rect">
                            <a:avLst/>
                          </a:prstGeom>
                          <a:noFill/>
                          <a:ln>
                            <a:noFill/>
                          </a:ln>
                        </pic:spPr>
                      </pic:pic>
                    </a:graphicData>
                  </a:graphic>
                </wp:inline>
              </w:drawing>
            </w:r>
          </w:p>
          <w:p w14:paraId="7920E82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cs="Times New Roman"/>
                <w:color w:val="auto"/>
                <w:highlight w:val="none"/>
                <w:lang w:eastAsia="zh-CN"/>
              </w:rPr>
            </w:pPr>
            <w:r>
              <w:rPr>
                <w:rFonts w:hint="eastAsia" w:cs="Times New Roman"/>
                <w:color w:val="auto"/>
                <w:highlight w:val="none"/>
                <w:lang w:eastAsia="zh-CN"/>
              </w:rPr>
              <w:drawing>
                <wp:inline distT="0" distB="0" distL="114300" distR="114300">
                  <wp:extent cx="1999615" cy="1124585"/>
                  <wp:effectExtent l="0" t="0" r="635" b="18415"/>
                  <wp:docPr id="46" name="图片 30" descr="picture_2023_06_27_11_34_56_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0" descr="picture_2023_06_27_11_34_56_889"/>
                          <pic:cNvPicPr>
                            <a:picLocks noChangeAspect="1"/>
                          </pic:cNvPicPr>
                        </pic:nvPicPr>
                        <pic:blipFill>
                          <a:blip r:embed="rId39"/>
                          <a:stretch>
                            <a:fillRect/>
                          </a:stretch>
                        </pic:blipFill>
                        <pic:spPr>
                          <a:xfrm>
                            <a:off x="0" y="0"/>
                            <a:ext cx="1999615" cy="1124585"/>
                          </a:xfrm>
                          <a:prstGeom prst="rect">
                            <a:avLst/>
                          </a:prstGeom>
                          <a:noFill/>
                          <a:ln>
                            <a:noFill/>
                          </a:ln>
                        </pic:spPr>
                      </pic:pic>
                    </a:graphicData>
                  </a:graphic>
                </wp:inline>
              </w:drawing>
            </w:r>
          </w:p>
        </w:tc>
      </w:tr>
      <w:tr w14:paraId="69A3606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33E5935C">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草本层</w:t>
            </w:r>
          </w:p>
        </w:tc>
        <w:tc>
          <w:tcPr>
            <w:tcW w:w="850" w:type="dxa"/>
            <w:tcBorders>
              <w:tl2br w:val="nil"/>
              <w:tr2bl w:val="nil"/>
            </w:tcBorders>
            <w:noWrap w:val="0"/>
            <w:vAlign w:val="center"/>
          </w:tcPr>
          <w:p w14:paraId="34D7A4D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层盖度25%</w:t>
            </w:r>
          </w:p>
        </w:tc>
        <w:tc>
          <w:tcPr>
            <w:tcW w:w="3541" w:type="dxa"/>
            <w:gridSpan w:val="3"/>
            <w:tcBorders>
              <w:tl2br w:val="nil"/>
              <w:tr2bl w:val="nil"/>
            </w:tcBorders>
            <w:noWrap w:val="0"/>
            <w:vAlign w:val="center"/>
          </w:tcPr>
          <w:p w14:paraId="5787B33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层均高0.3m，优势种为蕨</w:t>
            </w:r>
            <w:r>
              <w:rPr>
                <w:rFonts w:hint="default" w:cs="Times New Roman"/>
                <w:i/>
                <w:iCs/>
                <w:color w:val="auto"/>
                <w:highlight w:val="none"/>
              </w:rPr>
              <w:t>(Pteridium aquilinumvar.latiusculum)</w:t>
            </w:r>
            <w:r>
              <w:rPr>
                <w:rFonts w:hint="default" w:cs="Times New Roman"/>
                <w:color w:val="auto"/>
                <w:highlight w:val="none"/>
              </w:rPr>
              <w:t>，高约0.2-0.5m，盖度15%，主要伴生种有 乌毛蕨</w:t>
            </w:r>
            <w:r>
              <w:rPr>
                <w:rFonts w:hint="default" w:cs="Times New Roman"/>
                <w:i/>
                <w:iCs/>
                <w:color w:val="auto"/>
                <w:highlight w:val="none"/>
              </w:rPr>
              <w:t>(Blechnum orientale)</w:t>
            </w:r>
            <w:r>
              <w:rPr>
                <w:rFonts w:hint="default" w:cs="Times New Roman"/>
                <w:color w:val="auto"/>
                <w:highlight w:val="none"/>
              </w:rPr>
              <w:t xml:space="preserve">、千里光 </w:t>
            </w:r>
            <w:r>
              <w:rPr>
                <w:rFonts w:hint="default" w:cs="Times New Roman"/>
                <w:i/>
                <w:iCs/>
                <w:color w:val="auto"/>
                <w:highlight w:val="none"/>
              </w:rPr>
              <w:t>(Senecio scandens)</w:t>
            </w:r>
            <w:r>
              <w:rPr>
                <w:rFonts w:hint="default" w:cs="Times New Roman"/>
                <w:color w:val="auto"/>
                <w:highlight w:val="none"/>
              </w:rPr>
              <w:t>、兰香草</w:t>
            </w:r>
            <w:r>
              <w:rPr>
                <w:rFonts w:hint="default" w:cs="Times New Roman"/>
                <w:i/>
                <w:iCs/>
                <w:color w:val="auto"/>
                <w:highlight w:val="none"/>
              </w:rPr>
              <w:t>(Caryopteris incana)</w:t>
            </w:r>
            <w:r>
              <w:rPr>
                <w:rFonts w:hint="default" w:cs="Times New Roman"/>
                <w:color w:val="auto"/>
                <w:highlight w:val="none"/>
              </w:rPr>
              <w:t>等。</w:t>
            </w:r>
          </w:p>
        </w:tc>
        <w:tc>
          <w:tcPr>
            <w:tcW w:w="3292" w:type="dxa"/>
            <w:gridSpan w:val="3"/>
            <w:vMerge w:val="continue"/>
            <w:tcBorders>
              <w:tl2br w:val="nil"/>
              <w:tr2bl w:val="nil"/>
            </w:tcBorders>
            <w:noWrap w:val="0"/>
            <w:vAlign w:val="center"/>
          </w:tcPr>
          <w:p w14:paraId="4542955A">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rPr>
                <w:rFonts w:ascii="Arial"/>
                <w:color w:val="auto"/>
                <w:sz w:val="21"/>
                <w:highlight w:val="none"/>
              </w:rPr>
            </w:pPr>
          </w:p>
        </w:tc>
      </w:tr>
    </w:tbl>
    <w:p w14:paraId="6FD34AEB">
      <w:pPr>
        <w:pStyle w:val="30"/>
        <w:rPr>
          <w:rFonts w:hint="eastAsia"/>
          <w:b/>
          <w:bCs/>
          <w:color w:val="auto"/>
          <w:highlight w:val="none"/>
          <w:lang w:val="en-US" w:eastAsia="zh-CN"/>
        </w:rPr>
      </w:pPr>
      <w:r>
        <w:rPr>
          <w:rFonts w:hint="eastAsia"/>
          <w:b/>
          <w:bCs/>
          <w:color w:val="auto"/>
          <w:highlight w:val="none"/>
          <w:lang w:val="en-US" w:eastAsia="zh-CN"/>
        </w:rPr>
        <w:t>10) 金樱子灌丛</w:t>
      </w:r>
      <w:r>
        <w:rPr>
          <w:rFonts w:hint="eastAsia"/>
          <w:b/>
          <w:bCs/>
          <w:i/>
          <w:iCs/>
          <w:color w:val="auto"/>
          <w:highlight w:val="none"/>
          <w:lang w:val="en-US" w:eastAsia="zh-CN"/>
        </w:rPr>
        <w:t>(Form.Rosalaevigata)</w:t>
      </w:r>
    </w:p>
    <w:p w14:paraId="04035A3F">
      <w:pPr>
        <w:pStyle w:val="30"/>
        <w:rPr>
          <w:rFonts w:hint="eastAsia"/>
          <w:color w:val="auto"/>
          <w:highlight w:val="none"/>
          <w:lang w:val="en-US" w:eastAsia="zh-CN"/>
        </w:rPr>
      </w:pPr>
      <w:r>
        <w:rPr>
          <w:rFonts w:hint="eastAsia"/>
          <w:color w:val="auto"/>
          <w:highlight w:val="none"/>
          <w:lang w:val="en-US" w:eastAsia="zh-CN"/>
        </w:rPr>
        <w:t>金樱子喜生于向阳的山野、田边、溪畔灌木丛中，海拔200-1600m。金樱子灌丛多见于小路两边。</w:t>
      </w:r>
    </w:p>
    <w:p w14:paraId="1BBB64A8">
      <w:pPr>
        <w:pStyle w:val="30"/>
        <w:rPr>
          <w:rFonts w:hint="eastAsia"/>
          <w:color w:val="auto"/>
          <w:highlight w:val="none"/>
          <w:lang w:val="en-US" w:eastAsia="zh-CN"/>
        </w:rPr>
      </w:pPr>
      <w:r>
        <w:rPr>
          <w:rFonts w:hint="eastAsia"/>
          <w:color w:val="auto"/>
          <w:highlight w:val="none"/>
          <w:lang w:val="en-US" w:eastAsia="zh-CN"/>
        </w:rPr>
        <w:t>灌木层盖度 25%，层均高1.5m，优势种为金樱子</w:t>
      </w:r>
      <w:r>
        <w:rPr>
          <w:rFonts w:hint="eastAsia"/>
          <w:i/>
          <w:iCs/>
          <w:color w:val="auto"/>
          <w:highlight w:val="none"/>
          <w:lang w:val="en-US" w:eastAsia="zh-CN"/>
        </w:rPr>
        <w:t>(Rosalaevigata)</w:t>
      </w:r>
      <w:r>
        <w:rPr>
          <w:rFonts w:hint="eastAsia"/>
          <w:color w:val="auto"/>
          <w:highlight w:val="none"/>
          <w:lang w:val="en-US" w:eastAsia="zh-CN"/>
        </w:rPr>
        <w:t>，高约1-2m，盖度20%，主要伴生种有檵木</w:t>
      </w:r>
      <w:r>
        <w:rPr>
          <w:rFonts w:hint="eastAsia"/>
          <w:i/>
          <w:iCs/>
          <w:color w:val="auto"/>
          <w:highlight w:val="none"/>
          <w:lang w:val="en-US" w:eastAsia="zh-CN"/>
        </w:rPr>
        <w:t>(Loropetalum chinense)</w:t>
      </w:r>
      <w:r>
        <w:rPr>
          <w:rFonts w:hint="eastAsia"/>
          <w:color w:val="auto"/>
          <w:highlight w:val="none"/>
          <w:lang w:val="en-US" w:eastAsia="zh-CN"/>
        </w:rPr>
        <w:t>、油茶</w:t>
      </w:r>
      <w:r>
        <w:rPr>
          <w:rFonts w:hint="eastAsia"/>
          <w:i/>
          <w:iCs/>
          <w:color w:val="auto"/>
          <w:highlight w:val="none"/>
          <w:lang w:val="en-US" w:eastAsia="zh-CN"/>
        </w:rPr>
        <w:t>(Camellia oleifera)</w:t>
      </w:r>
      <w:r>
        <w:rPr>
          <w:rFonts w:hint="eastAsia"/>
          <w:color w:val="auto"/>
          <w:highlight w:val="none"/>
          <w:lang w:val="en-US" w:eastAsia="zh-CN"/>
        </w:rPr>
        <w:t>、山油麻</w:t>
      </w:r>
      <w:r>
        <w:rPr>
          <w:rFonts w:hint="eastAsia"/>
          <w:i/>
          <w:iCs/>
          <w:color w:val="auto"/>
          <w:highlight w:val="none"/>
          <w:lang w:val="en-US" w:eastAsia="zh-CN"/>
        </w:rPr>
        <w:t>(Trema cannabinavar.dielsiana)</w:t>
      </w:r>
      <w:r>
        <w:rPr>
          <w:rFonts w:hint="eastAsia"/>
          <w:color w:val="auto"/>
          <w:highlight w:val="none"/>
          <w:lang w:val="en-US" w:eastAsia="zh-CN"/>
        </w:rPr>
        <w:t>、算盘子</w:t>
      </w:r>
      <w:r>
        <w:rPr>
          <w:rFonts w:hint="eastAsia"/>
          <w:i/>
          <w:iCs/>
          <w:color w:val="auto"/>
          <w:highlight w:val="none"/>
          <w:lang w:val="en-US" w:eastAsia="zh-CN"/>
        </w:rPr>
        <w:t>(Glochidion puberum)</w:t>
      </w:r>
      <w:r>
        <w:rPr>
          <w:rFonts w:hint="eastAsia"/>
          <w:color w:val="auto"/>
          <w:highlight w:val="none"/>
          <w:lang w:val="en-US" w:eastAsia="zh-CN"/>
        </w:rPr>
        <w:t>等。</w:t>
      </w:r>
    </w:p>
    <w:p w14:paraId="2914587E">
      <w:pPr>
        <w:pStyle w:val="30"/>
        <w:rPr>
          <w:rFonts w:hint="eastAsia"/>
          <w:color w:val="auto"/>
          <w:highlight w:val="none"/>
          <w:lang w:val="en-US" w:eastAsia="zh-CN"/>
        </w:rPr>
      </w:pPr>
      <w:r>
        <w:rPr>
          <w:rFonts w:hint="eastAsia"/>
          <w:color w:val="auto"/>
          <w:highlight w:val="none"/>
          <w:lang w:val="en-US" w:eastAsia="zh-CN"/>
        </w:rPr>
        <w:t>草本层盖度30%，层均高0.5m，优势种为香薷</w:t>
      </w:r>
      <w:r>
        <w:rPr>
          <w:rFonts w:hint="eastAsia"/>
          <w:i/>
          <w:iCs/>
          <w:color w:val="auto"/>
          <w:highlight w:val="none"/>
          <w:lang w:val="en-US" w:eastAsia="zh-CN"/>
        </w:rPr>
        <w:t>(Elsholtzia ciliata)</w:t>
      </w:r>
      <w:r>
        <w:rPr>
          <w:rFonts w:hint="eastAsia"/>
          <w:color w:val="auto"/>
          <w:highlight w:val="none"/>
          <w:lang w:val="en-US" w:eastAsia="zh-CN"/>
        </w:rPr>
        <w:t>，高约0.3-0.5m，盖度30%，主要伴生种有狗牙根</w:t>
      </w:r>
      <w:r>
        <w:rPr>
          <w:rFonts w:hint="eastAsia"/>
          <w:i/>
          <w:iCs/>
          <w:color w:val="auto"/>
          <w:highlight w:val="none"/>
          <w:lang w:val="en-US" w:eastAsia="zh-CN"/>
        </w:rPr>
        <w:t>(Cynodon dactylon)</w:t>
      </w:r>
      <w:r>
        <w:rPr>
          <w:rFonts w:hint="eastAsia"/>
          <w:color w:val="auto"/>
          <w:highlight w:val="none"/>
          <w:lang w:val="en-US" w:eastAsia="zh-CN"/>
        </w:rPr>
        <w:t>、芒</w:t>
      </w:r>
      <w:r>
        <w:rPr>
          <w:rFonts w:hint="eastAsia"/>
          <w:i/>
          <w:iCs/>
          <w:color w:val="auto"/>
          <w:highlight w:val="none"/>
          <w:lang w:val="en-US" w:eastAsia="zh-CN"/>
        </w:rPr>
        <w:t>(Miscanthus sinensis)</w:t>
      </w:r>
      <w:r>
        <w:rPr>
          <w:rFonts w:hint="eastAsia"/>
          <w:color w:val="auto"/>
          <w:highlight w:val="none"/>
          <w:lang w:val="en-US" w:eastAsia="zh-CN"/>
        </w:rPr>
        <w:t>、地榆</w:t>
      </w:r>
      <w:r>
        <w:rPr>
          <w:rFonts w:hint="eastAsia"/>
          <w:i/>
          <w:iCs/>
          <w:color w:val="auto"/>
          <w:highlight w:val="none"/>
          <w:lang w:val="en-US" w:eastAsia="zh-CN"/>
        </w:rPr>
        <w:t>(Sanguisorba oficinalis)</w:t>
      </w:r>
      <w:r>
        <w:rPr>
          <w:rFonts w:hint="eastAsia"/>
          <w:color w:val="auto"/>
          <w:highlight w:val="none"/>
          <w:lang w:val="en-US" w:eastAsia="zh-CN"/>
        </w:rPr>
        <w:t>等。</w:t>
      </w:r>
    </w:p>
    <w:p w14:paraId="0B711B34">
      <w:pPr>
        <w:pStyle w:val="30"/>
        <w:rPr>
          <w:rFonts w:hint="eastAsia"/>
          <w:color w:val="auto"/>
          <w:highlight w:val="none"/>
          <w:lang w:val="en-US" w:eastAsia="zh-CN"/>
        </w:rPr>
      </w:pPr>
      <w:r>
        <w:rPr>
          <w:rFonts w:hint="eastAsia"/>
          <w:color w:val="auto"/>
          <w:highlight w:val="none"/>
          <w:lang w:val="en-US" w:eastAsia="zh-CN"/>
        </w:rPr>
        <w:t>样方位置：9#风机附近(N26.95148177°，E111.95592999°)；H：318m</w:t>
      </w:r>
    </w:p>
    <w:tbl>
      <w:tblPr>
        <w:tblStyle w:val="38"/>
        <w:tblW w:w="8765" w:type="dxa"/>
        <w:tblInd w:w="2"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082"/>
        <w:gridCol w:w="850"/>
        <w:gridCol w:w="2257"/>
        <w:gridCol w:w="1143"/>
        <w:gridCol w:w="141"/>
        <w:gridCol w:w="1001"/>
        <w:gridCol w:w="1143"/>
        <w:gridCol w:w="1148"/>
      </w:tblGrid>
      <w:tr w14:paraId="25342C3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1082" w:type="dxa"/>
            <w:vMerge w:val="restart"/>
            <w:tcBorders>
              <w:tl2br w:val="nil"/>
              <w:tr2bl w:val="nil"/>
            </w:tcBorders>
            <w:noWrap w:val="0"/>
            <w:vAlign w:val="center"/>
          </w:tcPr>
          <w:p w14:paraId="2B48CA1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植被类型</w:t>
            </w:r>
          </w:p>
        </w:tc>
        <w:tc>
          <w:tcPr>
            <w:tcW w:w="3107" w:type="dxa"/>
            <w:gridSpan w:val="2"/>
            <w:vMerge w:val="restart"/>
            <w:tcBorders>
              <w:tl2br w:val="nil"/>
              <w:tr2bl w:val="nil"/>
            </w:tcBorders>
            <w:noWrap w:val="0"/>
            <w:vAlign w:val="center"/>
          </w:tcPr>
          <w:p w14:paraId="26C6DD2C">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金樱子灌丛</w:t>
            </w:r>
            <w:r>
              <w:rPr>
                <w:rFonts w:hint="default" w:cs="Times New Roman"/>
                <w:i/>
                <w:iCs/>
                <w:color w:val="auto"/>
                <w:highlight w:val="none"/>
              </w:rPr>
              <w:t>(Form.Rosalaevigata)</w:t>
            </w:r>
          </w:p>
        </w:tc>
        <w:tc>
          <w:tcPr>
            <w:tcW w:w="4576" w:type="dxa"/>
            <w:gridSpan w:val="5"/>
            <w:tcBorders>
              <w:tl2br w:val="nil"/>
              <w:tr2bl w:val="nil"/>
            </w:tcBorders>
            <w:noWrap w:val="0"/>
            <w:vAlign w:val="center"/>
          </w:tcPr>
          <w:p w14:paraId="2BCE0B3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环境特征</w:t>
            </w:r>
          </w:p>
        </w:tc>
      </w:tr>
      <w:tr w14:paraId="3D425D4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1082" w:type="dxa"/>
            <w:vMerge w:val="continue"/>
            <w:tcBorders>
              <w:tl2br w:val="nil"/>
              <w:tr2bl w:val="nil"/>
            </w:tcBorders>
            <w:noWrap w:val="0"/>
            <w:vAlign w:val="center"/>
          </w:tcPr>
          <w:p w14:paraId="168CB7A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3107" w:type="dxa"/>
            <w:gridSpan w:val="2"/>
            <w:vMerge w:val="continue"/>
            <w:tcBorders>
              <w:tl2br w:val="nil"/>
              <w:tr2bl w:val="nil"/>
            </w:tcBorders>
            <w:noWrap w:val="0"/>
            <w:vAlign w:val="center"/>
          </w:tcPr>
          <w:p w14:paraId="2E945F3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1143" w:type="dxa"/>
            <w:tcBorders>
              <w:tl2br w:val="nil"/>
              <w:tr2bl w:val="nil"/>
            </w:tcBorders>
            <w:noWrap w:val="0"/>
            <w:vAlign w:val="center"/>
          </w:tcPr>
          <w:p w14:paraId="1C20D12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地形</w:t>
            </w:r>
          </w:p>
        </w:tc>
        <w:tc>
          <w:tcPr>
            <w:tcW w:w="1142" w:type="dxa"/>
            <w:gridSpan w:val="2"/>
            <w:tcBorders>
              <w:tl2br w:val="nil"/>
              <w:tr2bl w:val="nil"/>
            </w:tcBorders>
            <w:noWrap w:val="0"/>
            <w:vAlign w:val="center"/>
          </w:tcPr>
          <w:p w14:paraId="1CD68E8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海拔(m)</w:t>
            </w:r>
          </w:p>
        </w:tc>
        <w:tc>
          <w:tcPr>
            <w:tcW w:w="1143" w:type="dxa"/>
            <w:tcBorders>
              <w:tl2br w:val="nil"/>
              <w:tr2bl w:val="nil"/>
            </w:tcBorders>
            <w:noWrap w:val="0"/>
            <w:vAlign w:val="center"/>
          </w:tcPr>
          <w:p w14:paraId="5A75487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坡向</w:t>
            </w:r>
          </w:p>
        </w:tc>
        <w:tc>
          <w:tcPr>
            <w:tcW w:w="1148" w:type="dxa"/>
            <w:tcBorders>
              <w:tl2br w:val="nil"/>
              <w:tr2bl w:val="nil"/>
            </w:tcBorders>
            <w:noWrap w:val="0"/>
            <w:vAlign w:val="center"/>
          </w:tcPr>
          <w:p w14:paraId="135302B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坡度(°)</w:t>
            </w:r>
          </w:p>
        </w:tc>
      </w:tr>
      <w:tr w14:paraId="2D75BFA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1082" w:type="dxa"/>
            <w:tcBorders>
              <w:tl2br w:val="nil"/>
              <w:tr2bl w:val="nil"/>
            </w:tcBorders>
            <w:noWrap w:val="0"/>
            <w:vAlign w:val="center"/>
          </w:tcPr>
          <w:p w14:paraId="414E4AC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地点</w:t>
            </w:r>
          </w:p>
        </w:tc>
        <w:tc>
          <w:tcPr>
            <w:tcW w:w="3107" w:type="dxa"/>
            <w:gridSpan w:val="2"/>
            <w:tcBorders>
              <w:tl2br w:val="nil"/>
              <w:tr2bl w:val="nil"/>
            </w:tcBorders>
            <w:noWrap w:val="0"/>
            <w:vAlign w:val="center"/>
          </w:tcPr>
          <w:p w14:paraId="47D622C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lang w:val="en-US" w:eastAsia="zh-CN"/>
              </w:rPr>
              <w:t>9#</w:t>
            </w:r>
            <w:r>
              <w:rPr>
                <w:rFonts w:hint="default" w:cs="Times New Roman"/>
                <w:color w:val="auto"/>
                <w:highlight w:val="none"/>
              </w:rPr>
              <w:t xml:space="preserve"> 风机附近</w:t>
            </w:r>
          </w:p>
        </w:tc>
        <w:tc>
          <w:tcPr>
            <w:tcW w:w="1143" w:type="dxa"/>
            <w:tcBorders>
              <w:tl2br w:val="nil"/>
              <w:tr2bl w:val="nil"/>
            </w:tcBorders>
            <w:noWrap w:val="0"/>
            <w:vAlign w:val="center"/>
          </w:tcPr>
          <w:p w14:paraId="3DF4ADC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山地</w:t>
            </w:r>
          </w:p>
        </w:tc>
        <w:tc>
          <w:tcPr>
            <w:tcW w:w="1142" w:type="dxa"/>
            <w:gridSpan w:val="2"/>
            <w:tcBorders>
              <w:tl2br w:val="nil"/>
              <w:tr2bl w:val="nil"/>
            </w:tcBorders>
            <w:noWrap w:val="0"/>
            <w:vAlign w:val="center"/>
          </w:tcPr>
          <w:p w14:paraId="1B5DBA6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val="en-US" w:eastAsia="zh-CN"/>
              </w:rPr>
            </w:pPr>
            <w:r>
              <w:rPr>
                <w:rFonts w:hint="eastAsia" w:cs="Times New Roman"/>
                <w:color w:val="auto"/>
                <w:highlight w:val="none"/>
                <w:lang w:val="en-US" w:eastAsia="zh-CN"/>
              </w:rPr>
              <w:t>318</w:t>
            </w:r>
          </w:p>
        </w:tc>
        <w:tc>
          <w:tcPr>
            <w:tcW w:w="1143" w:type="dxa"/>
            <w:tcBorders>
              <w:tl2br w:val="nil"/>
              <w:tr2bl w:val="nil"/>
            </w:tcBorders>
            <w:noWrap w:val="0"/>
            <w:vAlign w:val="center"/>
          </w:tcPr>
          <w:p w14:paraId="7A254FA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cs="Times New Roman"/>
                <w:color w:val="auto"/>
                <w:highlight w:val="none"/>
                <w:lang w:eastAsia="zh-CN"/>
              </w:rPr>
            </w:pPr>
            <w:r>
              <w:rPr>
                <w:rFonts w:hint="eastAsia" w:cs="Times New Roman"/>
                <w:color w:val="auto"/>
                <w:highlight w:val="none"/>
                <w:lang w:val="en-US" w:eastAsia="zh-CN"/>
              </w:rPr>
              <w:t>S</w:t>
            </w:r>
          </w:p>
        </w:tc>
        <w:tc>
          <w:tcPr>
            <w:tcW w:w="1148" w:type="dxa"/>
            <w:tcBorders>
              <w:tl2br w:val="nil"/>
              <w:tr2bl w:val="nil"/>
            </w:tcBorders>
            <w:noWrap w:val="0"/>
            <w:vAlign w:val="center"/>
          </w:tcPr>
          <w:p w14:paraId="553E111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15</w:t>
            </w:r>
          </w:p>
        </w:tc>
      </w:tr>
      <w:tr w14:paraId="41473DE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1082" w:type="dxa"/>
            <w:tcBorders>
              <w:tl2br w:val="nil"/>
              <w:tr2bl w:val="nil"/>
            </w:tcBorders>
            <w:noWrap w:val="0"/>
            <w:vAlign w:val="center"/>
          </w:tcPr>
          <w:p w14:paraId="1A9F097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经纬度</w:t>
            </w:r>
          </w:p>
        </w:tc>
        <w:tc>
          <w:tcPr>
            <w:tcW w:w="7683" w:type="dxa"/>
            <w:gridSpan w:val="7"/>
            <w:tcBorders>
              <w:tl2br w:val="nil"/>
              <w:tr2bl w:val="nil"/>
            </w:tcBorders>
            <w:noWrap w:val="0"/>
            <w:vAlign w:val="center"/>
          </w:tcPr>
          <w:p w14:paraId="6698C345">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lang w:val="en-US" w:eastAsia="zh-CN"/>
              </w:rPr>
              <w:t>N26.95148177°，E111.95592999°</w:t>
            </w:r>
          </w:p>
        </w:tc>
      </w:tr>
      <w:tr w14:paraId="511BE40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1082" w:type="dxa"/>
            <w:tcBorders>
              <w:tl2br w:val="nil"/>
              <w:tr2bl w:val="nil"/>
            </w:tcBorders>
            <w:noWrap w:val="0"/>
            <w:vAlign w:val="center"/>
          </w:tcPr>
          <w:p w14:paraId="7C50EAF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层次</w:t>
            </w:r>
          </w:p>
        </w:tc>
        <w:tc>
          <w:tcPr>
            <w:tcW w:w="7683" w:type="dxa"/>
            <w:gridSpan w:val="7"/>
            <w:tcBorders>
              <w:tl2br w:val="nil"/>
              <w:tr2bl w:val="nil"/>
            </w:tcBorders>
            <w:noWrap w:val="0"/>
            <w:vAlign w:val="center"/>
          </w:tcPr>
          <w:p w14:paraId="7291DD9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二层</w:t>
            </w:r>
          </w:p>
        </w:tc>
      </w:tr>
      <w:tr w14:paraId="0A68955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1082" w:type="dxa"/>
            <w:tcBorders>
              <w:tl2br w:val="nil"/>
              <w:tr2bl w:val="nil"/>
            </w:tcBorders>
            <w:noWrap w:val="0"/>
            <w:vAlign w:val="center"/>
          </w:tcPr>
          <w:p w14:paraId="68084A8C">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分层</w:t>
            </w:r>
          </w:p>
        </w:tc>
        <w:tc>
          <w:tcPr>
            <w:tcW w:w="850" w:type="dxa"/>
            <w:tcBorders>
              <w:tl2br w:val="nil"/>
              <w:tr2bl w:val="nil"/>
            </w:tcBorders>
            <w:noWrap w:val="0"/>
            <w:vAlign w:val="center"/>
          </w:tcPr>
          <w:p w14:paraId="156024D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w:t>
            </w:r>
          </w:p>
        </w:tc>
        <w:tc>
          <w:tcPr>
            <w:tcW w:w="3541" w:type="dxa"/>
            <w:gridSpan w:val="3"/>
            <w:tcBorders>
              <w:tl2br w:val="nil"/>
              <w:tr2bl w:val="nil"/>
            </w:tcBorders>
            <w:noWrap w:val="0"/>
            <w:vAlign w:val="center"/>
          </w:tcPr>
          <w:p w14:paraId="022AA1E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种类组成与生长状况</w:t>
            </w:r>
          </w:p>
        </w:tc>
        <w:tc>
          <w:tcPr>
            <w:tcW w:w="3292" w:type="dxa"/>
            <w:gridSpan w:val="3"/>
            <w:tcBorders>
              <w:tl2br w:val="nil"/>
              <w:tr2bl w:val="nil"/>
            </w:tcBorders>
            <w:noWrap w:val="0"/>
            <w:vAlign w:val="center"/>
          </w:tcPr>
          <w:p w14:paraId="1545ADD5">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考察照片</w:t>
            </w:r>
          </w:p>
        </w:tc>
      </w:tr>
      <w:tr w14:paraId="7025D6C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187" w:hRule="atLeast"/>
        </w:trPr>
        <w:tc>
          <w:tcPr>
            <w:tcW w:w="1082" w:type="dxa"/>
            <w:tcBorders>
              <w:tl2br w:val="nil"/>
              <w:tr2bl w:val="nil"/>
            </w:tcBorders>
            <w:noWrap w:val="0"/>
            <w:vAlign w:val="center"/>
          </w:tcPr>
          <w:p w14:paraId="0439F4A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灌木层</w:t>
            </w:r>
          </w:p>
        </w:tc>
        <w:tc>
          <w:tcPr>
            <w:tcW w:w="850" w:type="dxa"/>
            <w:tcBorders>
              <w:tl2br w:val="nil"/>
              <w:tr2bl w:val="nil"/>
            </w:tcBorders>
            <w:noWrap w:val="0"/>
            <w:vAlign w:val="center"/>
          </w:tcPr>
          <w:p w14:paraId="7255499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层盖度25%</w:t>
            </w:r>
          </w:p>
        </w:tc>
        <w:tc>
          <w:tcPr>
            <w:tcW w:w="3541" w:type="dxa"/>
            <w:gridSpan w:val="3"/>
            <w:tcBorders>
              <w:tl2br w:val="nil"/>
              <w:tr2bl w:val="nil"/>
            </w:tcBorders>
            <w:noWrap w:val="0"/>
            <w:vAlign w:val="center"/>
          </w:tcPr>
          <w:p w14:paraId="70495A8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i/>
                <w:iCs/>
                <w:color w:val="auto"/>
                <w:highlight w:val="none"/>
              </w:rPr>
            </w:pPr>
            <w:r>
              <w:rPr>
                <w:rFonts w:hint="default" w:cs="Times New Roman"/>
                <w:color w:val="auto"/>
                <w:highlight w:val="none"/>
              </w:rPr>
              <w:t>层均高1.5m，优势种为金樱子</w:t>
            </w:r>
            <w:r>
              <w:rPr>
                <w:rFonts w:hint="default" w:cs="Times New Roman"/>
                <w:i/>
                <w:iCs/>
                <w:color w:val="auto"/>
                <w:highlight w:val="none"/>
              </w:rPr>
              <w:t>(Rosalaevigata)</w:t>
            </w:r>
            <w:r>
              <w:rPr>
                <w:rFonts w:hint="default" w:cs="Times New Roman"/>
                <w:color w:val="auto"/>
                <w:highlight w:val="none"/>
              </w:rPr>
              <w:t>，高约1-2m，盖度20%， 主要伴生种有檵木</w:t>
            </w:r>
            <w:r>
              <w:rPr>
                <w:rFonts w:hint="default" w:cs="Times New Roman"/>
                <w:i/>
                <w:iCs/>
                <w:color w:val="auto"/>
                <w:highlight w:val="none"/>
              </w:rPr>
              <w:t>(Loropetalum chinense)</w:t>
            </w:r>
            <w:r>
              <w:rPr>
                <w:rFonts w:hint="default" w:cs="Times New Roman"/>
                <w:color w:val="auto"/>
                <w:highlight w:val="none"/>
              </w:rPr>
              <w:t>、油茶</w:t>
            </w:r>
            <w:r>
              <w:rPr>
                <w:rFonts w:hint="default" w:cs="Times New Roman"/>
                <w:i/>
                <w:iCs/>
                <w:color w:val="auto"/>
                <w:highlight w:val="none"/>
              </w:rPr>
              <w:t>(Camellia oleifera)</w:t>
            </w:r>
            <w:r>
              <w:rPr>
                <w:rFonts w:hint="default" w:cs="Times New Roman"/>
                <w:color w:val="auto"/>
                <w:highlight w:val="none"/>
              </w:rPr>
              <w:t>、山 油麻</w:t>
            </w:r>
            <w:r>
              <w:rPr>
                <w:rFonts w:hint="default" w:cs="Times New Roman"/>
                <w:i/>
                <w:iCs/>
                <w:color w:val="auto"/>
                <w:highlight w:val="none"/>
              </w:rPr>
              <w:t>(Tremacannabinavar.</w:t>
            </w:r>
          </w:p>
          <w:p w14:paraId="5181530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i/>
                <w:iCs/>
                <w:color w:val="auto"/>
                <w:highlight w:val="none"/>
              </w:rPr>
              <w:t>dielsiana)</w:t>
            </w:r>
            <w:r>
              <w:rPr>
                <w:rFonts w:hint="default" w:cs="Times New Roman"/>
                <w:color w:val="auto"/>
                <w:highlight w:val="none"/>
              </w:rPr>
              <w:t>、算盘子</w:t>
            </w:r>
            <w:r>
              <w:rPr>
                <w:rFonts w:hint="default" w:cs="Times New Roman"/>
                <w:i/>
                <w:iCs/>
                <w:color w:val="auto"/>
                <w:highlight w:val="none"/>
              </w:rPr>
              <w:t>(Glochidion puberum)</w:t>
            </w:r>
            <w:r>
              <w:rPr>
                <w:rFonts w:hint="default" w:cs="Times New Roman"/>
                <w:color w:val="auto"/>
                <w:highlight w:val="none"/>
              </w:rPr>
              <w:t xml:space="preserve"> 等。</w:t>
            </w:r>
          </w:p>
        </w:tc>
        <w:tc>
          <w:tcPr>
            <w:tcW w:w="3292" w:type="dxa"/>
            <w:gridSpan w:val="3"/>
            <w:vMerge w:val="restart"/>
            <w:tcBorders>
              <w:tl2br w:val="nil"/>
              <w:tr2bl w:val="nil"/>
            </w:tcBorders>
            <w:noWrap w:val="0"/>
            <w:vAlign w:val="center"/>
          </w:tcPr>
          <w:p w14:paraId="6EAEDBD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eastAsia="zh-CN"/>
              </w:rPr>
            </w:pPr>
            <w:r>
              <w:rPr>
                <w:rFonts w:hint="default" w:cs="Times New Roman"/>
                <w:color w:val="auto"/>
                <w:highlight w:val="none"/>
                <w:lang w:eastAsia="zh-CN"/>
              </w:rPr>
              <w:drawing>
                <wp:inline distT="0" distB="0" distL="114300" distR="114300">
                  <wp:extent cx="2048510" cy="1151890"/>
                  <wp:effectExtent l="0" t="0" r="8890" b="10160"/>
                  <wp:docPr id="54" name="图片 31" descr="picture_2023_06_28_10_13_23_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1" descr="picture_2023_06_28_10_13_23_820"/>
                          <pic:cNvPicPr>
                            <a:picLocks noChangeAspect="1"/>
                          </pic:cNvPicPr>
                        </pic:nvPicPr>
                        <pic:blipFill>
                          <a:blip r:embed="rId40"/>
                          <a:stretch>
                            <a:fillRect/>
                          </a:stretch>
                        </pic:blipFill>
                        <pic:spPr>
                          <a:xfrm>
                            <a:off x="0" y="0"/>
                            <a:ext cx="2048510" cy="1151890"/>
                          </a:xfrm>
                          <a:prstGeom prst="rect">
                            <a:avLst/>
                          </a:prstGeom>
                          <a:noFill/>
                          <a:ln>
                            <a:noFill/>
                          </a:ln>
                        </pic:spPr>
                      </pic:pic>
                    </a:graphicData>
                  </a:graphic>
                </wp:inline>
              </w:drawing>
            </w:r>
          </w:p>
        </w:tc>
      </w:tr>
      <w:tr w14:paraId="47B1812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1942" w:hRule="atLeast"/>
        </w:trPr>
        <w:tc>
          <w:tcPr>
            <w:tcW w:w="1082" w:type="dxa"/>
            <w:tcBorders>
              <w:tl2br w:val="nil"/>
              <w:tr2bl w:val="nil"/>
            </w:tcBorders>
            <w:noWrap w:val="0"/>
            <w:vAlign w:val="center"/>
          </w:tcPr>
          <w:p w14:paraId="6E3BEBC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草本层</w:t>
            </w:r>
          </w:p>
        </w:tc>
        <w:tc>
          <w:tcPr>
            <w:tcW w:w="850" w:type="dxa"/>
            <w:tcBorders>
              <w:tl2br w:val="nil"/>
              <w:tr2bl w:val="nil"/>
            </w:tcBorders>
            <w:noWrap w:val="0"/>
            <w:vAlign w:val="center"/>
          </w:tcPr>
          <w:p w14:paraId="1A23065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层盖度30%</w:t>
            </w:r>
          </w:p>
        </w:tc>
        <w:tc>
          <w:tcPr>
            <w:tcW w:w="3541" w:type="dxa"/>
            <w:gridSpan w:val="3"/>
            <w:tcBorders>
              <w:tl2br w:val="nil"/>
              <w:tr2bl w:val="nil"/>
            </w:tcBorders>
            <w:noWrap w:val="0"/>
            <w:vAlign w:val="center"/>
          </w:tcPr>
          <w:p w14:paraId="1C2B90E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层均高0.5m，优势种为香薷</w:t>
            </w:r>
            <w:r>
              <w:rPr>
                <w:rFonts w:hint="default" w:cs="Times New Roman"/>
                <w:i/>
                <w:iCs/>
                <w:color w:val="auto"/>
                <w:highlight w:val="none"/>
              </w:rPr>
              <w:t>(Elsholtzia ciliata)</w:t>
            </w:r>
            <w:r>
              <w:rPr>
                <w:rFonts w:hint="default" w:cs="Times New Roman"/>
                <w:color w:val="auto"/>
                <w:highlight w:val="none"/>
              </w:rPr>
              <w:t>，高约0.3-0.5m，盖度30%，主要伴生种有狗牙根</w:t>
            </w:r>
            <w:r>
              <w:rPr>
                <w:rFonts w:hint="default" w:cs="Times New Roman"/>
                <w:i/>
                <w:iCs/>
                <w:color w:val="auto"/>
                <w:highlight w:val="none"/>
              </w:rPr>
              <w:t>(Cynodon dactylon)</w:t>
            </w:r>
            <w:r>
              <w:rPr>
                <w:rFonts w:hint="default" w:cs="Times New Roman"/>
                <w:color w:val="auto"/>
                <w:highlight w:val="none"/>
              </w:rPr>
              <w:t>、芒</w:t>
            </w:r>
            <w:r>
              <w:rPr>
                <w:rFonts w:hint="default" w:cs="Times New Roman"/>
                <w:i/>
                <w:iCs/>
                <w:color w:val="auto"/>
                <w:highlight w:val="none"/>
              </w:rPr>
              <w:t>(Miscanthus sinensis)</w:t>
            </w:r>
            <w:r>
              <w:rPr>
                <w:rFonts w:hint="default" w:cs="Times New Roman"/>
                <w:color w:val="auto"/>
                <w:highlight w:val="none"/>
              </w:rPr>
              <w:t>、地榆</w:t>
            </w:r>
            <w:r>
              <w:rPr>
                <w:rFonts w:hint="default" w:cs="Times New Roman"/>
                <w:i/>
                <w:iCs/>
                <w:color w:val="auto"/>
                <w:highlight w:val="none"/>
              </w:rPr>
              <w:t>(Sanguisorba officinalis)</w:t>
            </w:r>
            <w:r>
              <w:rPr>
                <w:rFonts w:hint="default" w:cs="Times New Roman"/>
                <w:color w:val="auto"/>
                <w:highlight w:val="none"/>
              </w:rPr>
              <w:t>等。</w:t>
            </w:r>
          </w:p>
        </w:tc>
        <w:tc>
          <w:tcPr>
            <w:tcW w:w="3292" w:type="dxa"/>
            <w:gridSpan w:val="3"/>
            <w:vMerge w:val="continue"/>
            <w:tcBorders>
              <w:tl2br w:val="nil"/>
              <w:tr2bl w:val="nil"/>
            </w:tcBorders>
            <w:noWrap w:val="0"/>
            <w:vAlign w:val="center"/>
          </w:tcPr>
          <w:p w14:paraId="425D64A8">
            <w:pPr>
              <w:keepNext w:val="0"/>
              <w:keepLines w:val="0"/>
              <w:pageBreakBefore w:val="0"/>
              <w:kinsoku/>
              <w:wordWrap/>
              <w:overflowPunct/>
              <w:topLinePunct w:val="0"/>
              <w:autoSpaceDE/>
              <w:autoSpaceDN/>
              <w:bidi w:val="0"/>
              <w:adjustRightInd w:val="0"/>
              <w:snapToGrid w:val="0"/>
              <w:spacing w:line="240" w:lineRule="auto"/>
              <w:ind w:left="0" w:right="0" w:firstLine="0"/>
              <w:jc w:val="center"/>
              <w:rPr>
                <w:rFonts w:hint="default" w:ascii="Times New Roman" w:hAnsi="Times New Roman" w:eastAsia="宋体" w:cs="Times New Roman"/>
                <w:color w:val="auto"/>
                <w:sz w:val="21"/>
                <w:szCs w:val="21"/>
                <w:highlight w:val="none"/>
              </w:rPr>
            </w:pPr>
          </w:p>
        </w:tc>
      </w:tr>
    </w:tbl>
    <w:p w14:paraId="4BDBD784">
      <w:pPr>
        <w:pStyle w:val="30"/>
        <w:rPr>
          <w:rFonts w:hint="eastAsia"/>
          <w:b/>
          <w:bCs/>
          <w:color w:val="auto"/>
          <w:highlight w:val="none"/>
          <w:lang w:val="en-US" w:eastAsia="zh-CN"/>
        </w:rPr>
      </w:pPr>
      <w:r>
        <w:rPr>
          <w:rFonts w:hint="eastAsia"/>
          <w:b/>
          <w:bCs/>
          <w:color w:val="auto"/>
          <w:highlight w:val="none"/>
          <w:lang w:val="en-US" w:eastAsia="zh-CN"/>
        </w:rPr>
        <w:t>11)短柄枹栎灌丛</w:t>
      </w:r>
      <w:r>
        <w:rPr>
          <w:rFonts w:hint="eastAsia"/>
          <w:b/>
          <w:bCs/>
          <w:i/>
          <w:iCs/>
          <w:color w:val="auto"/>
          <w:highlight w:val="none"/>
          <w:lang w:val="en-US" w:eastAsia="zh-CN"/>
        </w:rPr>
        <w:t>(Form.Quercusserratavar.brevipetiolata)</w:t>
      </w:r>
    </w:p>
    <w:p w14:paraId="1C9BC9E8">
      <w:pPr>
        <w:pStyle w:val="30"/>
        <w:rPr>
          <w:rFonts w:hint="eastAsia"/>
          <w:color w:val="auto"/>
          <w:highlight w:val="none"/>
          <w:lang w:val="en-US" w:eastAsia="zh-CN"/>
        </w:rPr>
      </w:pPr>
      <w:r>
        <w:rPr>
          <w:rFonts w:hint="eastAsia"/>
          <w:color w:val="auto"/>
          <w:highlight w:val="none"/>
          <w:lang w:val="en-US" w:eastAsia="zh-CN"/>
        </w:rPr>
        <w:t>短柄枹栎适应性强，在海拔60-2000m山地广泛分布。短柄枹栎灌丛在评价区分布广泛。</w:t>
      </w:r>
    </w:p>
    <w:p w14:paraId="6149C229">
      <w:pPr>
        <w:pStyle w:val="30"/>
        <w:rPr>
          <w:rFonts w:hint="eastAsia"/>
          <w:color w:val="auto"/>
          <w:highlight w:val="none"/>
          <w:lang w:val="en-US" w:eastAsia="zh-CN"/>
        </w:rPr>
      </w:pPr>
      <w:r>
        <w:rPr>
          <w:rFonts w:hint="eastAsia"/>
          <w:color w:val="auto"/>
          <w:highlight w:val="none"/>
          <w:lang w:val="en-US" w:eastAsia="zh-CN"/>
        </w:rPr>
        <w:t>灌木层盖度40%，层均高1.5m，优势种为短柄枹栎</w:t>
      </w:r>
      <w:r>
        <w:rPr>
          <w:rFonts w:hint="eastAsia"/>
          <w:i/>
          <w:iCs/>
          <w:color w:val="auto"/>
          <w:highlight w:val="none"/>
          <w:lang w:val="en-US" w:eastAsia="zh-CN"/>
        </w:rPr>
        <w:t>(Quercus serratavar.brevipetiolata)</w:t>
      </w:r>
      <w:r>
        <w:rPr>
          <w:rFonts w:hint="eastAsia"/>
          <w:color w:val="auto"/>
          <w:highlight w:val="none"/>
          <w:lang w:val="en-US" w:eastAsia="zh-CN"/>
        </w:rPr>
        <w:t>，高约1.4-1.6m，盖度40%，主要伴生种有油茶</w:t>
      </w:r>
      <w:r>
        <w:rPr>
          <w:rFonts w:hint="eastAsia"/>
          <w:i/>
          <w:iCs/>
          <w:color w:val="auto"/>
          <w:highlight w:val="none"/>
          <w:lang w:val="en-US" w:eastAsia="zh-CN"/>
        </w:rPr>
        <w:t>(Camellia oleifera)</w:t>
      </w:r>
      <w:r>
        <w:rPr>
          <w:rFonts w:hint="eastAsia"/>
          <w:color w:val="auto"/>
          <w:highlight w:val="none"/>
          <w:lang w:val="en-US" w:eastAsia="zh-CN"/>
        </w:rPr>
        <w:t>、马棘</w:t>
      </w:r>
      <w:r>
        <w:rPr>
          <w:rFonts w:hint="eastAsia"/>
          <w:i/>
          <w:iCs/>
          <w:color w:val="auto"/>
          <w:highlight w:val="none"/>
          <w:lang w:val="en-US" w:eastAsia="zh-CN"/>
        </w:rPr>
        <w:t>(Indigofera pseudotinctoria)</w:t>
      </w:r>
      <w:r>
        <w:rPr>
          <w:rFonts w:hint="eastAsia"/>
          <w:color w:val="auto"/>
          <w:highlight w:val="none"/>
          <w:lang w:val="en-US" w:eastAsia="zh-CN"/>
        </w:rPr>
        <w:t>、山胡椒</w:t>
      </w:r>
      <w:r>
        <w:rPr>
          <w:rFonts w:hint="eastAsia"/>
          <w:i/>
          <w:iCs/>
          <w:color w:val="auto"/>
          <w:highlight w:val="none"/>
          <w:lang w:val="en-US" w:eastAsia="zh-CN"/>
        </w:rPr>
        <w:t>(Lindera glauca)</w:t>
      </w:r>
      <w:r>
        <w:rPr>
          <w:rFonts w:hint="eastAsia"/>
          <w:color w:val="auto"/>
          <w:highlight w:val="none"/>
          <w:lang w:val="en-US" w:eastAsia="zh-CN"/>
        </w:rPr>
        <w:t>等。</w:t>
      </w:r>
    </w:p>
    <w:p w14:paraId="1EEC8CED">
      <w:pPr>
        <w:pStyle w:val="30"/>
        <w:rPr>
          <w:rFonts w:hint="eastAsia"/>
          <w:color w:val="auto"/>
          <w:highlight w:val="none"/>
          <w:lang w:val="en-US" w:eastAsia="zh-CN"/>
        </w:rPr>
      </w:pPr>
      <w:r>
        <w:rPr>
          <w:rFonts w:hint="eastAsia"/>
          <w:color w:val="auto"/>
          <w:highlight w:val="none"/>
          <w:lang w:val="en-US" w:eastAsia="zh-CN"/>
        </w:rPr>
        <w:t>草本层盖度20%，层均高0.5m，优势种为蕨</w:t>
      </w:r>
      <w:r>
        <w:rPr>
          <w:rFonts w:hint="eastAsia"/>
          <w:i/>
          <w:iCs/>
          <w:color w:val="auto"/>
          <w:highlight w:val="none"/>
          <w:lang w:val="en-US" w:eastAsia="zh-CN"/>
        </w:rPr>
        <w:t>(Pteridiumaquilinumvar.latiusculum)</w:t>
      </w:r>
      <w:r>
        <w:rPr>
          <w:rFonts w:hint="eastAsia"/>
          <w:color w:val="auto"/>
          <w:highlight w:val="none"/>
          <w:lang w:val="en-US" w:eastAsia="zh-CN"/>
        </w:rPr>
        <w:t>，高约0.4-0.7m，盖度15%，主要伴生种有芒</w:t>
      </w:r>
      <w:r>
        <w:rPr>
          <w:rFonts w:hint="eastAsia"/>
          <w:i/>
          <w:iCs/>
          <w:color w:val="auto"/>
          <w:highlight w:val="none"/>
          <w:lang w:val="en-US" w:eastAsia="zh-CN"/>
        </w:rPr>
        <w:t>(Miscanthus sinensis)</w:t>
      </w:r>
      <w:r>
        <w:rPr>
          <w:rFonts w:hint="eastAsia"/>
          <w:color w:val="auto"/>
          <w:highlight w:val="none"/>
          <w:lang w:val="en-US" w:eastAsia="zh-CN"/>
        </w:rPr>
        <w:t>、香薷</w:t>
      </w:r>
      <w:r>
        <w:rPr>
          <w:rFonts w:hint="eastAsia"/>
          <w:i/>
          <w:iCs/>
          <w:color w:val="auto"/>
          <w:highlight w:val="none"/>
          <w:lang w:val="en-US" w:eastAsia="zh-CN"/>
        </w:rPr>
        <w:t>(Elsholtzia ciliata)</w:t>
      </w:r>
      <w:r>
        <w:rPr>
          <w:rFonts w:hint="eastAsia"/>
          <w:color w:val="auto"/>
          <w:highlight w:val="none"/>
          <w:lang w:val="en-US" w:eastAsia="zh-CN"/>
        </w:rPr>
        <w:t>、地榆</w:t>
      </w:r>
      <w:r>
        <w:rPr>
          <w:rFonts w:hint="eastAsia"/>
          <w:i/>
          <w:iCs/>
          <w:color w:val="auto"/>
          <w:highlight w:val="none"/>
          <w:lang w:val="en-US" w:eastAsia="zh-CN"/>
        </w:rPr>
        <w:t>(Sanguisorba oficinalis)</w:t>
      </w:r>
      <w:r>
        <w:rPr>
          <w:rFonts w:hint="eastAsia"/>
          <w:color w:val="auto"/>
          <w:highlight w:val="none"/>
          <w:lang w:val="en-US" w:eastAsia="zh-CN"/>
        </w:rPr>
        <w:t>等。</w:t>
      </w:r>
    </w:p>
    <w:p w14:paraId="45C708E4">
      <w:pPr>
        <w:pStyle w:val="30"/>
        <w:rPr>
          <w:rFonts w:hint="eastAsia"/>
          <w:color w:val="auto"/>
          <w:highlight w:val="none"/>
          <w:lang w:val="en-US" w:eastAsia="zh-CN"/>
        </w:rPr>
      </w:pPr>
      <w:r>
        <w:rPr>
          <w:rFonts w:hint="eastAsia"/>
          <w:color w:val="auto"/>
          <w:highlight w:val="none"/>
          <w:lang w:val="en-US" w:eastAsia="zh-CN"/>
        </w:rPr>
        <w:t>样方位置：12风机新建道路旁(N26.94996115°，E111.96964145°)；H：284m</w:t>
      </w:r>
    </w:p>
    <w:tbl>
      <w:tblPr>
        <w:tblStyle w:val="38"/>
        <w:tblW w:w="8765" w:type="dxa"/>
        <w:tblInd w:w="2"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082"/>
        <w:gridCol w:w="850"/>
        <w:gridCol w:w="2257"/>
        <w:gridCol w:w="1143"/>
        <w:gridCol w:w="141"/>
        <w:gridCol w:w="1001"/>
        <w:gridCol w:w="1143"/>
        <w:gridCol w:w="1148"/>
      </w:tblGrid>
      <w:tr w14:paraId="3846E1C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1082" w:type="dxa"/>
            <w:vMerge w:val="restart"/>
            <w:tcBorders>
              <w:tl2br w:val="nil"/>
              <w:tr2bl w:val="nil"/>
            </w:tcBorders>
            <w:noWrap w:val="0"/>
            <w:vAlign w:val="center"/>
          </w:tcPr>
          <w:p w14:paraId="0D7F3CE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植被类型</w:t>
            </w:r>
          </w:p>
        </w:tc>
        <w:tc>
          <w:tcPr>
            <w:tcW w:w="3107" w:type="dxa"/>
            <w:gridSpan w:val="2"/>
            <w:vMerge w:val="restart"/>
            <w:tcBorders>
              <w:tl2br w:val="nil"/>
              <w:tr2bl w:val="nil"/>
            </w:tcBorders>
            <w:noWrap w:val="0"/>
            <w:vAlign w:val="center"/>
          </w:tcPr>
          <w:p w14:paraId="3332974C">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短柄枹栎灌丛</w:t>
            </w:r>
            <w:r>
              <w:rPr>
                <w:rFonts w:hint="default" w:cs="Times New Roman"/>
                <w:i/>
                <w:iCs/>
                <w:color w:val="auto"/>
                <w:highlight w:val="none"/>
              </w:rPr>
              <w:t>(Form.Quercusserratavar.revipetiolata)</w:t>
            </w:r>
          </w:p>
        </w:tc>
        <w:tc>
          <w:tcPr>
            <w:tcW w:w="4576" w:type="dxa"/>
            <w:gridSpan w:val="5"/>
            <w:tcBorders>
              <w:tl2br w:val="nil"/>
              <w:tr2bl w:val="nil"/>
            </w:tcBorders>
            <w:noWrap w:val="0"/>
            <w:vAlign w:val="center"/>
          </w:tcPr>
          <w:p w14:paraId="7D0A35E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环境特征</w:t>
            </w:r>
          </w:p>
        </w:tc>
      </w:tr>
      <w:tr w14:paraId="41D149E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1082" w:type="dxa"/>
            <w:vMerge w:val="continue"/>
            <w:tcBorders>
              <w:tl2br w:val="nil"/>
              <w:tr2bl w:val="nil"/>
            </w:tcBorders>
            <w:noWrap w:val="0"/>
            <w:vAlign w:val="center"/>
          </w:tcPr>
          <w:p w14:paraId="1668DA6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3107" w:type="dxa"/>
            <w:gridSpan w:val="2"/>
            <w:vMerge w:val="continue"/>
            <w:tcBorders>
              <w:tl2br w:val="nil"/>
              <w:tr2bl w:val="nil"/>
            </w:tcBorders>
            <w:noWrap w:val="0"/>
            <w:vAlign w:val="center"/>
          </w:tcPr>
          <w:p w14:paraId="45C503F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1143" w:type="dxa"/>
            <w:tcBorders>
              <w:tl2br w:val="nil"/>
              <w:tr2bl w:val="nil"/>
            </w:tcBorders>
            <w:noWrap w:val="0"/>
            <w:vAlign w:val="center"/>
          </w:tcPr>
          <w:p w14:paraId="6CCDAFA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地形</w:t>
            </w:r>
          </w:p>
        </w:tc>
        <w:tc>
          <w:tcPr>
            <w:tcW w:w="1142" w:type="dxa"/>
            <w:gridSpan w:val="2"/>
            <w:tcBorders>
              <w:tl2br w:val="nil"/>
              <w:tr2bl w:val="nil"/>
            </w:tcBorders>
            <w:noWrap w:val="0"/>
            <w:vAlign w:val="center"/>
          </w:tcPr>
          <w:p w14:paraId="383D94E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海拔(m)</w:t>
            </w:r>
          </w:p>
        </w:tc>
        <w:tc>
          <w:tcPr>
            <w:tcW w:w="1143" w:type="dxa"/>
            <w:tcBorders>
              <w:tl2br w:val="nil"/>
              <w:tr2bl w:val="nil"/>
            </w:tcBorders>
            <w:noWrap w:val="0"/>
            <w:vAlign w:val="center"/>
          </w:tcPr>
          <w:p w14:paraId="50BE90B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坡向</w:t>
            </w:r>
          </w:p>
        </w:tc>
        <w:tc>
          <w:tcPr>
            <w:tcW w:w="1148" w:type="dxa"/>
            <w:tcBorders>
              <w:tl2br w:val="nil"/>
              <w:tr2bl w:val="nil"/>
            </w:tcBorders>
            <w:noWrap w:val="0"/>
            <w:vAlign w:val="center"/>
          </w:tcPr>
          <w:p w14:paraId="29ACDBD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坡度(°)</w:t>
            </w:r>
          </w:p>
        </w:tc>
      </w:tr>
      <w:tr w14:paraId="19C6436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1082" w:type="dxa"/>
            <w:tcBorders>
              <w:tl2br w:val="nil"/>
              <w:tr2bl w:val="nil"/>
            </w:tcBorders>
            <w:noWrap w:val="0"/>
            <w:vAlign w:val="center"/>
          </w:tcPr>
          <w:p w14:paraId="2CEF964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地点</w:t>
            </w:r>
          </w:p>
        </w:tc>
        <w:tc>
          <w:tcPr>
            <w:tcW w:w="3107" w:type="dxa"/>
            <w:gridSpan w:val="2"/>
            <w:tcBorders>
              <w:tl2br w:val="nil"/>
              <w:tr2bl w:val="nil"/>
            </w:tcBorders>
            <w:noWrap w:val="0"/>
            <w:vAlign w:val="center"/>
          </w:tcPr>
          <w:p w14:paraId="71A55A8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val="en-US" w:eastAsia="zh-CN"/>
              </w:rPr>
            </w:pPr>
            <w:r>
              <w:rPr>
                <w:rFonts w:hint="default" w:cs="Times New Roman"/>
                <w:color w:val="auto"/>
                <w:highlight w:val="none"/>
                <w:lang w:val="en-US" w:eastAsia="zh-CN"/>
              </w:rPr>
              <w:t>12#风机新建道路旁</w:t>
            </w:r>
          </w:p>
        </w:tc>
        <w:tc>
          <w:tcPr>
            <w:tcW w:w="1143" w:type="dxa"/>
            <w:tcBorders>
              <w:tl2br w:val="nil"/>
              <w:tr2bl w:val="nil"/>
            </w:tcBorders>
            <w:noWrap w:val="0"/>
            <w:vAlign w:val="center"/>
          </w:tcPr>
          <w:p w14:paraId="63E018F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山地</w:t>
            </w:r>
          </w:p>
        </w:tc>
        <w:tc>
          <w:tcPr>
            <w:tcW w:w="1142" w:type="dxa"/>
            <w:gridSpan w:val="2"/>
            <w:tcBorders>
              <w:tl2br w:val="nil"/>
              <w:tr2bl w:val="nil"/>
            </w:tcBorders>
            <w:noWrap w:val="0"/>
            <w:vAlign w:val="center"/>
          </w:tcPr>
          <w:p w14:paraId="2B72F4D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val="en-US" w:eastAsia="zh-CN"/>
              </w:rPr>
            </w:pPr>
            <w:r>
              <w:rPr>
                <w:rFonts w:hint="default" w:cs="Times New Roman"/>
                <w:color w:val="auto"/>
                <w:highlight w:val="none"/>
                <w:lang w:val="en-US" w:eastAsia="zh-CN"/>
              </w:rPr>
              <w:t>284</w:t>
            </w:r>
          </w:p>
        </w:tc>
        <w:tc>
          <w:tcPr>
            <w:tcW w:w="1143" w:type="dxa"/>
            <w:tcBorders>
              <w:tl2br w:val="nil"/>
              <w:tr2bl w:val="nil"/>
            </w:tcBorders>
            <w:noWrap w:val="0"/>
            <w:vAlign w:val="center"/>
          </w:tcPr>
          <w:p w14:paraId="626AF505">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eastAsia="zh-CN"/>
              </w:rPr>
            </w:pPr>
            <w:r>
              <w:rPr>
                <w:rFonts w:hint="default" w:cs="Times New Roman"/>
                <w:color w:val="auto"/>
                <w:highlight w:val="none"/>
                <w:lang w:val="en-US" w:eastAsia="zh-CN"/>
              </w:rPr>
              <w:t>S</w:t>
            </w:r>
          </w:p>
        </w:tc>
        <w:tc>
          <w:tcPr>
            <w:tcW w:w="1148" w:type="dxa"/>
            <w:tcBorders>
              <w:tl2br w:val="nil"/>
              <w:tr2bl w:val="nil"/>
            </w:tcBorders>
            <w:noWrap w:val="0"/>
            <w:vAlign w:val="center"/>
          </w:tcPr>
          <w:p w14:paraId="71FADCC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10</w:t>
            </w:r>
          </w:p>
        </w:tc>
      </w:tr>
      <w:tr w14:paraId="26CF164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1082" w:type="dxa"/>
            <w:tcBorders>
              <w:tl2br w:val="nil"/>
              <w:tr2bl w:val="nil"/>
            </w:tcBorders>
            <w:noWrap w:val="0"/>
            <w:vAlign w:val="center"/>
          </w:tcPr>
          <w:p w14:paraId="7004801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经纬度</w:t>
            </w:r>
          </w:p>
        </w:tc>
        <w:tc>
          <w:tcPr>
            <w:tcW w:w="7683" w:type="dxa"/>
            <w:gridSpan w:val="7"/>
            <w:tcBorders>
              <w:tl2br w:val="nil"/>
              <w:tr2bl w:val="nil"/>
            </w:tcBorders>
            <w:noWrap w:val="0"/>
            <w:vAlign w:val="center"/>
          </w:tcPr>
          <w:p w14:paraId="6B87B99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lang w:val="en-US" w:eastAsia="zh-CN"/>
              </w:rPr>
              <w:t>N26.94996115°，E111.96964145°</w:t>
            </w:r>
          </w:p>
        </w:tc>
      </w:tr>
      <w:tr w14:paraId="3A4FE58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1082" w:type="dxa"/>
            <w:tcBorders>
              <w:tl2br w:val="nil"/>
              <w:tr2bl w:val="nil"/>
            </w:tcBorders>
            <w:noWrap w:val="0"/>
            <w:vAlign w:val="center"/>
          </w:tcPr>
          <w:p w14:paraId="3597F6D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层次</w:t>
            </w:r>
          </w:p>
        </w:tc>
        <w:tc>
          <w:tcPr>
            <w:tcW w:w="7683" w:type="dxa"/>
            <w:gridSpan w:val="7"/>
            <w:tcBorders>
              <w:tl2br w:val="nil"/>
              <w:tr2bl w:val="nil"/>
            </w:tcBorders>
            <w:noWrap w:val="0"/>
            <w:vAlign w:val="center"/>
          </w:tcPr>
          <w:p w14:paraId="756237D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二层</w:t>
            </w:r>
          </w:p>
        </w:tc>
      </w:tr>
      <w:tr w14:paraId="414FFB3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1082" w:type="dxa"/>
            <w:tcBorders>
              <w:tl2br w:val="nil"/>
              <w:tr2bl w:val="nil"/>
            </w:tcBorders>
            <w:noWrap w:val="0"/>
            <w:vAlign w:val="center"/>
          </w:tcPr>
          <w:p w14:paraId="5D6BF87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分层</w:t>
            </w:r>
          </w:p>
        </w:tc>
        <w:tc>
          <w:tcPr>
            <w:tcW w:w="850" w:type="dxa"/>
            <w:tcBorders>
              <w:tl2br w:val="nil"/>
              <w:tr2bl w:val="nil"/>
            </w:tcBorders>
            <w:noWrap w:val="0"/>
            <w:vAlign w:val="center"/>
          </w:tcPr>
          <w:p w14:paraId="5AF22D4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w:t>
            </w:r>
          </w:p>
        </w:tc>
        <w:tc>
          <w:tcPr>
            <w:tcW w:w="3541" w:type="dxa"/>
            <w:gridSpan w:val="3"/>
            <w:tcBorders>
              <w:tl2br w:val="nil"/>
              <w:tr2bl w:val="nil"/>
            </w:tcBorders>
            <w:noWrap w:val="0"/>
            <w:vAlign w:val="center"/>
          </w:tcPr>
          <w:p w14:paraId="6CD9BD9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种类组成与生长状况</w:t>
            </w:r>
          </w:p>
        </w:tc>
        <w:tc>
          <w:tcPr>
            <w:tcW w:w="3292" w:type="dxa"/>
            <w:gridSpan w:val="3"/>
            <w:tcBorders>
              <w:tl2br w:val="nil"/>
              <w:tr2bl w:val="nil"/>
            </w:tcBorders>
            <w:noWrap w:val="0"/>
            <w:vAlign w:val="center"/>
          </w:tcPr>
          <w:p w14:paraId="26CC681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考察照片</w:t>
            </w:r>
          </w:p>
        </w:tc>
      </w:tr>
      <w:tr w14:paraId="2359CC4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187" w:hRule="atLeast"/>
        </w:trPr>
        <w:tc>
          <w:tcPr>
            <w:tcW w:w="1082" w:type="dxa"/>
            <w:tcBorders>
              <w:tl2br w:val="nil"/>
              <w:tr2bl w:val="nil"/>
            </w:tcBorders>
            <w:noWrap w:val="0"/>
            <w:vAlign w:val="center"/>
          </w:tcPr>
          <w:p w14:paraId="5694E6A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灌木层</w:t>
            </w:r>
          </w:p>
        </w:tc>
        <w:tc>
          <w:tcPr>
            <w:tcW w:w="850" w:type="dxa"/>
            <w:tcBorders>
              <w:tl2br w:val="nil"/>
              <w:tr2bl w:val="nil"/>
            </w:tcBorders>
            <w:noWrap w:val="0"/>
            <w:vAlign w:val="center"/>
          </w:tcPr>
          <w:p w14:paraId="6005F615">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层盖度40%</w:t>
            </w:r>
          </w:p>
        </w:tc>
        <w:tc>
          <w:tcPr>
            <w:tcW w:w="3541" w:type="dxa"/>
            <w:gridSpan w:val="3"/>
            <w:tcBorders>
              <w:tl2br w:val="nil"/>
              <w:tr2bl w:val="nil"/>
            </w:tcBorders>
            <w:noWrap w:val="0"/>
            <w:vAlign w:val="center"/>
          </w:tcPr>
          <w:p w14:paraId="4822780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层均高1.5m，优势种为短柄枹栎</w:t>
            </w:r>
            <w:r>
              <w:rPr>
                <w:rFonts w:hint="default" w:cs="Times New Roman"/>
                <w:i/>
                <w:iCs/>
                <w:color w:val="auto"/>
                <w:highlight w:val="none"/>
              </w:rPr>
              <w:t>(Quercusserratavar.brevipetiolata)</w:t>
            </w:r>
            <w:r>
              <w:rPr>
                <w:rFonts w:hint="default" w:cs="Times New Roman"/>
                <w:color w:val="auto"/>
                <w:highlight w:val="none"/>
              </w:rPr>
              <w:t>，高约 1.4-1.6m，盖度40%，主要伴生种有油茶</w:t>
            </w:r>
            <w:r>
              <w:rPr>
                <w:rFonts w:hint="default" w:cs="Times New Roman"/>
                <w:i/>
                <w:iCs/>
                <w:color w:val="auto"/>
                <w:highlight w:val="none"/>
              </w:rPr>
              <w:t>(Camellia oleifera)</w:t>
            </w:r>
            <w:r>
              <w:rPr>
                <w:rFonts w:hint="default" w:cs="Times New Roman"/>
                <w:color w:val="auto"/>
                <w:highlight w:val="none"/>
              </w:rPr>
              <w:t>、马棘</w:t>
            </w:r>
            <w:r>
              <w:rPr>
                <w:rFonts w:hint="default" w:cs="Times New Roman"/>
                <w:i/>
                <w:iCs/>
                <w:color w:val="auto"/>
                <w:highlight w:val="none"/>
              </w:rPr>
              <w:t>(Indigofera pseudotinctoria)</w:t>
            </w:r>
            <w:r>
              <w:rPr>
                <w:rFonts w:hint="default" w:cs="Times New Roman"/>
                <w:color w:val="auto"/>
                <w:highlight w:val="none"/>
              </w:rPr>
              <w:t>、山胡椒</w:t>
            </w:r>
            <w:r>
              <w:rPr>
                <w:rFonts w:hint="default" w:cs="Times New Roman"/>
                <w:i/>
                <w:iCs/>
                <w:color w:val="auto"/>
                <w:highlight w:val="none"/>
              </w:rPr>
              <w:t>(Lindera glauca)</w:t>
            </w:r>
            <w:r>
              <w:rPr>
                <w:rFonts w:hint="default" w:cs="Times New Roman"/>
                <w:color w:val="auto"/>
                <w:highlight w:val="none"/>
              </w:rPr>
              <w:t>等。</w:t>
            </w:r>
          </w:p>
        </w:tc>
        <w:tc>
          <w:tcPr>
            <w:tcW w:w="3292" w:type="dxa"/>
            <w:gridSpan w:val="3"/>
            <w:vMerge w:val="restart"/>
            <w:tcBorders>
              <w:tl2br w:val="nil"/>
              <w:tr2bl w:val="nil"/>
            </w:tcBorders>
            <w:noWrap w:val="0"/>
            <w:vAlign w:val="center"/>
          </w:tcPr>
          <w:p w14:paraId="1845A11C">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lang w:eastAsia="zh-CN"/>
              </w:rPr>
            </w:pPr>
            <w:r>
              <w:rPr>
                <w:rFonts w:hint="default" w:cs="Times New Roman"/>
                <w:color w:val="auto"/>
                <w:highlight w:val="none"/>
                <w:lang w:eastAsia="zh-CN"/>
              </w:rPr>
              <w:drawing>
                <wp:inline distT="0" distB="0" distL="114300" distR="114300">
                  <wp:extent cx="2048510" cy="1151890"/>
                  <wp:effectExtent l="0" t="0" r="8890" b="10160"/>
                  <wp:docPr id="47" name="图片 32" descr="picture_2023_06_28_09_51_29_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2" descr="picture_2023_06_28_09_51_29_989"/>
                          <pic:cNvPicPr>
                            <a:picLocks noChangeAspect="1"/>
                          </pic:cNvPicPr>
                        </pic:nvPicPr>
                        <pic:blipFill>
                          <a:blip r:embed="rId41"/>
                          <a:stretch>
                            <a:fillRect/>
                          </a:stretch>
                        </pic:blipFill>
                        <pic:spPr>
                          <a:xfrm>
                            <a:off x="0" y="0"/>
                            <a:ext cx="2048510" cy="1151890"/>
                          </a:xfrm>
                          <a:prstGeom prst="rect">
                            <a:avLst/>
                          </a:prstGeom>
                          <a:noFill/>
                          <a:ln>
                            <a:noFill/>
                          </a:ln>
                        </pic:spPr>
                      </pic:pic>
                    </a:graphicData>
                  </a:graphic>
                </wp:inline>
              </w:drawing>
            </w:r>
          </w:p>
        </w:tc>
      </w:tr>
      <w:tr w14:paraId="7210504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1942" w:hRule="atLeast"/>
        </w:trPr>
        <w:tc>
          <w:tcPr>
            <w:tcW w:w="1082" w:type="dxa"/>
            <w:tcBorders>
              <w:tl2br w:val="nil"/>
              <w:tr2bl w:val="nil"/>
            </w:tcBorders>
            <w:noWrap w:val="0"/>
            <w:vAlign w:val="center"/>
          </w:tcPr>
          <w:p w14:paraId="01DA602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草本层</w:t>
            </w:r>
          </w:p>
        </w:tc>
        <w:tc>
          <w:tcPr>
            <w:tcW w:w="850" w:type="dxa"/>
            <w:tcBorders>
              <w:tl2br w:val="nil"/>
              <w:tr2bl w:val="nil"/>
            </w:tcBorders>
            <w:noWrap w:val="0"/>
            <w:vAlign w:val="center"/>
          </w:tcPr>
          <w:p w14:paraId="03E423D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层盖度20%</w:t>
            </w:r>
          </w:p>
        </w:tc>
        <w:tc>
          <w:tcPr>
            <w:tcW w:w="3541" w:type="dxa"/>
            <w:gridSpan w:val="3"/>
            <w:tcBorders>
              <w:tl2br w:val="nil"/>
              <w:tr2bl w:val="nil"/>
            </w:tcBorders>
            <w:noWrap w:val="0"/>
            <w:vAlign w:val="center"/>
          </w:tcPr>
          <w:p w14:paraId="1F7AC2D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层均高0.5m，优势种为蕨</w:t>
            </w:r>
            <w:r>
              <w:rPr>
                <w:rFonts w:hint="default" w:cs="Times New Roman"/>
                <w:i/>
                <w:iCs/>
                <w:color w:val="auto"/>
                <w:highlight w:val="none"/>
              </w:rPr>
              <w:t>(Pteridium aquilinumvar.latiusculum)</w:t>
            </w:r>
            <w:r>
              <w:rPr>
                <w:rFonts w:hint="default" w:cs="Times New Roman"/>
                <w:color w:val="auto"/>
                <w:highlight w:val="none"/>
              </w:rPr>
              <w:t xml:space="preserve">，高约0.4-0.7m，盖度15%，主要伴生种有芒 </w:t>
            </w:r>
            <w:r>
              <w:rPr>
                <w:rFonts w:hint="default" w:cs="Times New Roman"/>
                <w:i/>
                <w:iCs/>
                <w:color w:val="auto"/>
                <w:highlight w:val="none"/>
              </w:rPr>
              <w:t>(Miscanthus sinensis)</w:t>
            </w:r>
            <w:r>
              <w:rPr>
                <w:rFonts w:hint="default" w:cs="Times New Roman"/>
                <w:color w:val="auto"/>
                <w:highlight w:val="none"/>
              </w:rPr>
              <w:t>、香薷</w:t>
            </w:r>
            <w:r>
              <w:rPr>
                <w:rFonts w:hint="default" w:cs="Times New Roman"/>
                <w:i/>
                <w:iCs/>
                <w:color w:val="auto"/>
                <w:highlight w:val="none"/>
              </w:rPr>
              <w:tab/>
            </w:r>
            <w:r>
              <w:rPr>
                <w:rFonts w:hint="default" w:cs="Times New Roman"/>
                <w:i/>
                <w:iCs/>
                <w:color w:val="auto"/>
                <w:highlight w:val="none"/>
              </w:rPr>
              <w:t>(Elsholtzia    ciliata)</w:t>
            </w:r>
            <w:r>
              <w:rPr>
                <w:rFonts w:hint="default" w:cs="Times New Roman"/>
                <w:color w:val="auto"/>
                <w:highlight w:val="none"/>
              </w:rPr>
              <w:t>、地榆</w:t>
            </w:r>
            <w:r>
              <w:rPr>
                <w:rFonts w:hint="default" w:cs="Times New Roman"/>
                <w:i/>
                <w:iCs/>
                <w:color w:val="auto"/>
                <w:highlight w:val="none"/>
              </w:rPr>
              <w:t>(Sanguisorba officinalis)</w:t>
            </w:r>
            <w:r>
              <w:rPr>
                <w:rFonts w:hint="default" w:cs="Times New Roman"/>
                <w:color w:val="auto"/>
                <w:highlight w:val="none"/>
              </w:rPr>
              <w:t>等。</w:t>
            </w:r>
          </w:p>
        </w:tc>
        <w:tc>
          <w:tcPr>
            <w:tcW w:w="3292" w:type="dxa"/>
            <w:gridSpan w:val="3"/>
            <w:vMerge w:val="continue"/>
            <w:tcBorders>
              <w:tl2br w:val="nil"/>
              <w:tr2bl w:val="nil"/>
            </w:tcBorders>
            <w:noWrap w:val="0"/>
            <w:vAlign w:val="center"/>
          </w:tcPr>
          <w:p w14:paraId="2CE41C2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jc w:val="center"/>
              <w:rPr>
                <w:rFonts w:hint="default" w:ascii="Times New Roman" w:hAnsi="Times New Roman" w:eastAsia="宋体" w:cs="Times New Roman"/>
                <w:color w:val="auto"/>
                <w:sz w:val="21"/>
                <w:szCs w:val="21"/>
                <w:highlight w:val="none"/>
              </w:rPr>
            </w:pPr>
          </w:p>
        </w:tc>
      </w:tr>
    </w:tbl>
    <w:p w14:paraId="1EDCA7B8">
      <w:pPr>
        <w:pStyle w:val="30"/>
        <w:rPr>
          <w:rFonts w:hint="eastAsia"/>
          <w:b/>
          <w:bCs/>
          <w:color w:val="auto"/>
          <w:highlight w:val="none"/>
          <w:lang w:val="en-US" w:eastAsia="zh-CN"/>
        </w:rPr>
      </w:pPr>
      <w:r>
        <w:rPr>
          <w:rFonts w:hint="eastAsia"/>
          <w:b/>
          <w:bCs/>
          <w:color w:val="auto"/>
          <w:highlight w:val="none"/>
          <w:lang w:val="en-US" w:eastAsia="zh-CN"/>
        </w:rPr>
        <w:t>(五)灌草丛</w:t>
      </w:r>
    </w:p>
    <w:p w14:paraId="3DBBD5A3">
      <w:pPr>
        <w:pStyle w:val="30"/>
        <w:rPr>
          <w:rFonts w:hint="eastAsia"/>
          <w:b/>
          <w:bCs/>
          <w:color w:val="auto"/>
          <w:highlight w:val="none"/>
          <w:lang w:val="en-US" w:eastAsia="zh-CN"/>
        </w:rPr>
      </w:pPr>
      <w:r>
        <w:rPr>
          <w:rFonts w:hint="eastAsia"/>
          <w:b/>
          <w:bCs/>
          <w:color w:val="auto"/>
          <w:highlight w:val="none"/>
          <w:lang w:val="en-US" w:eastAsia="zh-CN"/>
        </w:rPr>
        <w:t>12)芒萁灌草丛</w:t>
      </w:r>
      <w:r>
        <w:rPr>
          <w:rFonts w:hint="eastAsia"/>
          <w:b/>
          <w:bCs/>
          <w:i/>
          <w:iCs/>
          <w:color w:val="auto"/>
          <w:highlight w:val="none"/>
          <w:lang w:val="en-US" w:eastAsia="zh-CN"/>
        </w:rPr>
        <w:t>(Form.Dicranopteris dichotoma)</w:t>
      </w:r>
    </w:p>
    <w:p w14:paraId="0984E3FE">
      <w:pPr>
        <w:pStyle w:val="30"/>
        <w:rPr>
          <w:rFonts w:hint="eastAsia"/>
          <w:color w:val="auto"/>
          <w:highlight w:val="none"/>
          <w:lang w:val="en-US" w:eastAsia="zh-CN"/>
        </w:rPr>
      </w:pPr>
      <w:r>
        <w:rPr>
          <w:rFonts w:hint="eastAsia"/>
          <w:color w:val="auto"/>
          <w:highlight w:val="none"/>
          <w:lang w:val="en-US" w:eastAsia="zh-CN"/>
        </w:rPr>
        <w:t>芒萁适应能力强，生强酸性土的荒坡或林缘，在森林砍伐后或放荒后的坡地</w:t>
      </w:r>
    </w:p>
    <w:p w14:paraId="37DAE59F">
      <w:pPr>
        <w:pStyle w:val="30"/>
        <w:rPr>
          <w:rFonts w:hint="eastAsia"/>
          <w:color w:val="auto"/>
          <w:highlight w:val="none"/>
          <w:lang w:val="en-US" w:eastAsia="zh-CN"/>
        </w:rPr>
      </w:pPr>
      <w:r>
        <w:rPr>
          <w:rFonts w:hint="eastAsia"/>
          <w:color w:val="auto"/>
          <w:highlight w:val="none"/>
          <w:lang w:val="en-US" w:eastAsia="zh-CN"/>
        </w:rPr>
        <w:t>上常成优势的中草群落。芒萁灌草丛在评价区分布广泛，常见于林下及边坡处。</w:t>
      </w:r>
    </w:p>
    <w:p w14:paraId="5631C363">
      <w:pPr>
        <w:pStyle w:val="30"/>
        <w:rPr>
          <w:rFonts w:hint="eastAsia"/>
          <w:color w:val="auto"/>
          <w:highlight w:val="none"/>
          <w:lang w:val="en-US" w:eastAsia="zh-CN"/>
        </w:rPr>
      </w:pPr>
      <w:r>
        <w:rPr>
          <w:rFonts w:hint="eastAsia"/>
          <w:color w:val="auto"/>
          <w:highlight w:val="none"/>
          <w:lang w:val="en-US" w:eastAsia="zh-CN"/>
        </w:rPr>
        <w:t>草本层盖度25%，层均高0.4m，优势种为芒萁</w:t>
      </w:r>
      <w:r>
        <w:rPr>
          <w:rFonts w:hint="eastAsia"/>
          <w:i/>
          <w:iCs/>
          <w:color w:val="auto"/>
          <w:highlight w:val="none"/>
          <w:lang w:val="en-US" w:eastAsia="zh-CN"/>
        </w:rPr>
        <w:t>(Dicranopteris dichotoma)</w:t>
      </w:r>
      <w:r>
        <w:rPr>
          <w:rFonts w:hint="eastAsia"/>
          <w:color w:val="auto"/>
          <w:highlight w:val="none"/>
          <w:lang w:val="en-US" w:eastAsia="zh-CN"/>
        </w:rPr>
        <w:t>，高约0.2-0.4m，盖度25%，主要伴生种有乌蕨</w:t>
      </w:r>
      <w:r>
        <w:rPr>
          <w:rFonts w:hint="eastAsia"/>
          <w:i/>
          <w:iCs/>
          <w:color w:val="auto"/>
          <w:highlight w:val="none"/>
          <w:lang w:val="en-US" w:eastAsia="zh-CN"/>
        </w:rPr>
        <w:t>(Stenoloma chusanum)</w:t>
      </w:r>
      <w:r>
        <w:rPr>
          <w:rFonts w:hint="eastAsia"/>
          <w:color w:val="auto"/>
          <w:highlight w:val="none"/>
          <w:lang w:val="en-US" w:eastAsia="zh-CN"/>
        </w:rPr>
        <w:t>、地榆</w:t>
      </w:r>
      <w:r>
        <w:rPr>
          <w:rFonts w:hint="eastAsia"/>
          <w:i/>
          <w:iCs/>
          <w:color w:val="auto"/>
          <w:highlight w:val="none"/>
          <w:lang w:val="en-US" w:eastAsia="zh-CN"/>
        </w:rPr>
        <w:t>(Sanguisorba oficinalis)</w:t>
      </w:r>
      <w:r>
        <w:rPr>
          <w:rFonts w:hint="eastAsia"/>
          <w:color w:val="auto"/>
          <w:highlight w:val="none"/>
          <w:lang w:val="en-US" w:eastAsia="zh-CN"/>
        </w:rPr>
        <w:t>、海金沙</w:t>
      </w:r>
      <w:r>
        <w:rPr>
          <w:rFonts w:hint="eastAsia"/>
          <w:i/>
          <w:iCs/>
          <w:color w:val="auto"/>
          <w:highlight w:val="none"/>
          <w:lang w:val="en-US" w:eastAsia="zh-CN"/>
        </w:rPr>
        <w:t>(Lygodium japonicum)</w:t>
      </w:r>
      <w:r>
        <w:rPr>
          <w:rFonts w:hint="eastAsia"/>
          <w:color w:val="auto"/>
          <w:highlight w:val="none"/>
          <w:lang w:val="en-US" w:eastAsia="zh-CN"/>
        </w:rPr>
        <w:t>、酢浆草</w:t>
      </w:r>
      <w:r>
        <w:rPr>
          <w:rFonts w:hint="eastAsia"/>
          <w:i/>
          <w:iCs/>
          <w:color w:val="auto"/>
          <w:highlight w:val="none"/>
          <w:lang w:val="en-US" w:eastAsia="zh-CN"/>
        </w:rPr>
        <w:t>(Oxalis corniculata)</w:t>
      </w:r>
      <w:r>
        <w:rPr>
          <w:rFonts w:hint="eastAsia"/>
          <w:color w:val="auto"/>
          <w:highlight w:val="none"/>
          <w:lang w:val="en-US" w:eastAsia="zh-CN"/>
        </w:rPr>
        <w:t>等。</w:t>
      </w:r>
    </w:p>
    <w:p w14:paraId="49C61F43">
      <w:pPr>
        <w:pStyle w:val="30"/>
        <w:rPr>
          <w:rFonts w:hint="eastAsia"/>
          <w:color w:val="auto"/>
          <w:highlight w:val="none"/>
          <w:lang w:val="en-US" w:eastAsia="zh-CN"/>
        </w:rPr>
      </w:pPr>
      <w:r>
        <w:rPr>
          <w:rFonts w:hint="eastAsia"/>
          <w:color w:val="auto"/>
          <w:highlight w:val="none"/>
          <w:lang w:val="en-US" w:eastAsia="zh-CN"/>
        </w:rPr>
        <w:t>样方位置：6#风机新建道路附近(N26.94373022°，E111.93269134°)；H：369m。</w:t>
      </w:r>
    </w:p>
    <w:tbl>
      <w:tblPr>
        <w:tblStyle w:val="38"/>
        <w:tblW w:w="5000" w:type="pct"/>
        <w:tblInd w:w="2"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029"/>
        <w:gridCol w:w="807"/>
        <w:gridCol w:w="2146"/>
        <w:gridCol w:w="1087"/>
        <w:gridCol w:w="133"/>
        <w:gridCol w:w="952"/>
        <w:gridCol w:w="1088"/>
        <w:gridCol w:w="1093"/>
      </w:tblGrid>
      <w:tr w14:paraId="6C320222">
        <w:tblPrEx>
          <w:tblCellMar>
            <w:top w:w="0" w:type="dxa"/>
            <w:left w:w="0" w:type="dxa"/>
            <w:bottom w:w="0" w:type="dxa"/>
            <w:right w:w="0" w:type="dxa"/>
          </w:tblCellMar>
        </w:tblPrEx>
        <w:trPr>
          <w:trHeight w:val="340" w:hRule="atLeast"/>
        </w:trPr>
        <w:tc>
          <w:tcPr>
            <w:tcW w:w="1082" w:type="dxa"/>
            <w:vMerge w:val="restart"/>
            <w:tcBorders>
              <w:tl2br w:val="nil"/>
              <w:tr2bl w:val="nil"/>
            </w:tcBorders>
            <w:noWrap w:val="0"/>
            <w:vAlign w:val="center"/>
          </w:tcPr>
          <w:p w14:paraId="65AD1A7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植被类型</w:t>
            </w:r>
          </w:p>
        </w:tc>
        <w:tc>
          <w:tcPr>
            <w:tcW w:w="3107" w:type="dxa"/>
            <w:gridSpan w:val="2"/>
            <w:vMerge w:val="restart"/>
            <w:tcBorders>
              <w:tl2br w:val="nil"/>
              <w:tr2bl w:val="nil"/>
            </w:tcBorders>
            <w:noWrap w:val="0"/>
            <w:vAlign w:val="center"/>
          </w:tcPr>
          <w:p w14:paraId="0ACE090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eastAsia" w:cs="Times New Roman"/>
                <w:color w:val="auto"/>
                <w:highlight w:val="none"/>
                <w:lang w:val="en-US" w:eastAsia="zh-CN"/>
              </w:rPr>
              <w:t>芒萁</w:t>
            </w:r>
            <w:r>
              <w:rPr>
                <w:rFonts w:hint="default" w:cs="Times New Roman"/>
                <w:color w:val="auto"/>
                <w:highlight w:val="none"/>
              </w:rPr>
              <w:t>灌草丛</w:t>
            </w:r>
            <w:r>
              <w:rPr>
                <w:rFonts w:hint="default" w:cs="Times New Roman"/>
                <w:i/>
                <w:iCs/>
                <w:color w:val="auto"/>
                <w:highlight w:val="none"/>
              </w:rPr>
              <w:t>(Form.Miscanthus sinensis)</w:t>
            </w:r>
          </w:p>
        </w:tc>
        <w:tc>
          <w:tcPr>
            <w:tcW w:w="4576" w:type="dxa"/>
            <w:gridSpan w:val="5"/>
            <w:tcBorders>
              <w:tl2br w:val="nil"/>
              <w:tr2bl w:val="nil"/>
            </w:tcBorders>
            <w:noWrap w:val="0"/>
            <w:vAlign w:val="center"/>
          </w:tcPr>
          <w:p w14:paraId="17C35C9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环境特征</w:t>
            </w:r>
          </w:p>
        </w:tc>
      </w:tr>
      <w:tr w14:paraId="3C6CB73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vMerge w:val="continue"/>
            <w:tcBorders>
              <w:tl2br w:val="nil"/>
              <w:tr2bl w:val="nil"/>
            </w:tcBorders>
            <w:noWrap w:val="0"/>
            <w:vAlign w:val="center"/>
          </w:tcPr>
          <w:p w14:paraId="7B4B174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3107" w:type="dxa"/>
            <w:gridSpan w:val="2"/>
            <w:vMerge w:val="continue"/>
            <w:tcBorders>
              <w:tl2br w:val="nil"/>
              <w:tr2bl w:val="nil"/>
            </w:tcBorders>
            <w:noWrap w:val="0"/>
            <w:vAlign w:val="center"/>
          </w:tcPr>
          <w:p w14:paraId="10BB5F8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p>
        </w:tc>
        <w:tc>
          <w:tcPr>
            <w:tcW w:w="1143" w:type="dxa"/>
            <w:tcBorders>
              <w:tl2br w:val="nil"/>
              <w:tr2bl w:val="nil"/>
            </w:tcBorders>
            <w:noWrap w:val="0"/>
            <w:vAlign w:val="center"/>
          </w:tcPr>
          <w:p w14:paraId="5F0AF7A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地形</w:t>
            </w:r>
          </w:p>
        </w:tc>
        <w:tc>
          <w:tcPr>
            <w:tcW w:w="1142" w:type="dxa"/>
            <w:gridSpan w:val="2"/>
            <w:tcBorders>
              <w:tl2br w:val="nil"/>
              <w:tr2bl w:val="nil"/>
            </w:tcBorders>
            <w:noWrap w:val="0"/>
            <w:vAlign w:val="center"/>
          </w:tcPr>
          <w:p w14:paraId="6D56602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海拔(m)</w:t>
            </w:r>
          </w:p>
        </w:tc>
        <w:tc>
          <w:tcPr>
            <w:tcW w:w="1143" w:type="dxa"/>
            <w:tcBorders>
              <w:tl2br w:val="nil"/>
              <w:tr2bl w:val="nil"/>
            </w:tcBorders>
            <w:noWrap w:val="0"/>
            <w:vAlign w:val="center"/>
          </w:tcPr>
          <w:p w14:paraId="729A1F7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坡向</w:t>
            </w:r>
          </w:p>
        </w:tc>
        <w:tc>
          <w:tcPr>
            <w:tcW w:w="1148" w:type="dxa"/>
            <w:tcBorders>
              <w:tl2br w:val="nil"/>
              <w:tr2bl w:val="nil"/>
            </w:tcBorders>
            <w:noWrap w:val="0"/>
            <w:vAlign w:val="center"/>
          </w:tcPr>
          <w:p w14:paraId="154AEEA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坡度(°)</w:t>
            </w:r>
          </w:p>
        </w:tc>
      </w:tr>
      <w:tr w14:paraId="5D7CA94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761B8B0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地点</w:t>
            </w:r>
          </w:p>
        </w:tc>
        <w:tc>
          <w:tcPr>
            <w:tcW w:w="3107" w:type="dxa"/>
            <w:gridSpan w:val="2"/>
            <w:tcBorders>
              <w:tl2br w:val="nil"/>
              <w:tr2bl w:val="nil"/>
            </w:tcBorders>
            <w:noWrap w:val="0"/>
            <w:vAlign w:val="center"/>
          </w:tcPr>
          <w:p w14:paraId="450B499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升压站附近</w:t>
            </w:r>
          </w:p>
        </w:tc>
        <w:tc>
          <w:tcPr>
            <w:tcW w:w="1143" w:type="dxa"/>
            <w:tcBorders>
              <w:tl2br w:val="nil"/>
              <w:tr2bl w:val="nil"/>
            </w:tcBorders>
            <w:noWrap w:val="0"/>
            <w:vAlign w:val="center"/>
          </w:tcPr>
          <w:p w14:paraId="58F97EE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平地</w:t>
            </w:r>
          </w:p>
        </w:tc>
        <w:tc>
          <w:tcPr>
            <w:tcW w:w="1142" w:type="dxa"/>
            <w:gridSpan w:val="2"/>
            <w:tcBorders>
              <w:tl2br w:val="nil"/>
              <w:tr2bl w:val="nil"/>
            </w:tcBorders>
            <w:noWrap w:val="0"/>
            <w:vAlign w:val="center"/>
          </w:tcPr>
          <w:p w14:paraId="7703B40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356</w:t>
            </w:r>
          </w:p>
        </w:tc>
        <w:tc>
          <w:tcPr>
            <w:tcW w:w="1143" w:type="dxa"/>
            <w:tcBorders>
              <w:tl2br w:val="nil"/>
              <w:tr2bl w:val="nil"/>
            </w:tcBorders>
            <w:noWrap w:val="0"/>
            <w:vAlign w:val="center"/>
          </w:tcPr>
          <w:p w14:paraId="1004704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eastAsia="宋体" w:cs="Times New Roman"/>
                <w:color w:val="auto"/>
                <w:highlight w:val="none"/>
                <w:lang w:val="en-US" w:eastAsia="zh-CN"/>
              </w:rPr>
            </w:pPr>
            <w:r>
              <w:rPr>
                <w:rFonts w:hint="eastAsia" w:cs="Times New Roman"/>
                <w:color w:val="auto"/>
                <w:highlight w:val="none"/>
                <w:lang w:val="en-US" w:eastAsia="zh-CN"/>
              </w:rPr>
              <w:t>E</w:t>
            </w:r>
          </w:p>
        </w:tc>
        <w:tc>
          <w:tcPr>
            <w:tcW w:w="1148" w:type="dxa"/>
            <w:tcBorders>
              <w:tl2br w:val="nil"/>
              <w:tr2bl w:val="nil"/>
            </w:tcBorders>
            <w:noWrap w:val="0"/>
            <w:vAlign w:val="center"/>
          </w:tcPr>
          <w:p w14:paraId="46A11AD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eastAsia="宋体" w:cs="Times New Roman"/>
                <w:color w:val="auto"/>
                <w:highlight w:val="none"/>
                <w:lang w:val="en-US" w:eastAsia="zh-CN"/>
              </w:rPr>
            </w:pPr>
            <w:r>
              <w:rPr>
                <w:rFonts w:hint="eastAsia" w:cs="Times New Roman"/>
                <w:color w:val="auto"/>
                <w:highlight w:val="none"/>
                <w:lang w:val="en-US" w:eastAsia="zh-CN"/>
              </w:rPr>
              <w:t>20</w:t>
            </w:r>
          </w:p>
        </w:tc>
      </w:tr>
      <w:tr w14:paraId="097DA5E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58D5167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经纬度</w:t>
            </w:r>
          </w:p>
        </w:tc>
        <w:tc>
          <w:tcPr>
            <w:tcW w:w="7683" w:type="dxa"/>
            <w:gridSpan w:val="7"/>
            <w:tcBorders>
              <w:tl2br w:val="nil"/>
              <w:tr2bl w:val="nil"/>
            </w:tcBorders>
            <w:noWrap w:val="0"/>
            <w:vAlign w:val="center"/>
          </w:tcPr>
          <w:p w14:paraId="1CBEF11C">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lang w:val="en-US" w:eastAsia="zh-CN"/>
              </w:rPr>
              <w:t>N26.94373022°，E111.93269134°</w:t>
            </w:r>
          </w:p>
        </w:tc>
      </w:tr>
      <w:tr w14:paraId="1F9F6C2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trPr>
        <w:tc>
          <w:tcPr>
            <w:tcW w:w="1082" w:type="dxa"/>
            <w:tcBorders>
              <w:tl2br w:val="nil"/>
              <w:tr2bl w:val="nil"/>
            </w:tcBorders>
            <w:noWrap w:val="0"/>
            <w:vAlign w:val="center"/>
          </w:tcPr>
          <w:p w14:paraId="454CE5B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层次</w:t>
            </w:r>
          </w:p>
        </w:tc>
        <w:tc>
          <w:tcPr>
            <w:tcW w:w="7683" w:type="dxa"/>
            <w:gridSpan w:val="7"/>
            <w:tcBorders>
              <w:tl2br w:val="nil"/>
              <w:tr2bl w:val="nil"/>
            </w:tcBorders>
            <w:noWrap w:val="0"/>
            <w:vAlign w:val="center"/>
          </w:tcPr>
          <w:p w14:paraId="3ECED8F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一层</w:t>
            </w:r>
          </w:p>
        </w:tc>
      </w:tr>
      <w:tr w14:paraId="5DDDC43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0A80A2E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分层</w:t>
            </w:r>
          </w:p>
        </w:tc>
        <w:tc>
          <w:tcPr>
            <w:tcW w:w="850" w:type="dxa"/>
            <w:tcBorders>
              <w:tl2br w:val="nil"/>
              <w:tr2bl w:val="nil"/>
            </w:tcBorders>
            <w:noWrap w:val="0"/>
            <w:vAlign w:val="center"/>
          </w:tcPr>
          <w:p w14:paraId="6500838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w:t>
            </w:r>
          </w:p>
        </w:tc>
        <w:tc>
          <w:tcPr>
            <w:tcW w:w="3541" w:type="dxa"/>
            <w:gridSpan w:val="3"/>
            <w:tcBorders>
              <w:tl2br w:val="nil"/>
              <w:tr2bl w:val="nil"/>
            </w:tcBorders>
            <w:noWrap w:val="0"/>
            <w:vAlign w:val="center"/>
          </w:tcPr>
          <w:p w14:paraId="591C839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种类组成与生长状况</w:t>
            </w:r>
          </w:p>
        </w:tc>
        <w:tc>
          <w:tcPr>
            <w:tcW w:w="3292" w:type="dxa"/>
            <w:gridSpan w:val="3"/>
            <w:tcBorders>
              <w:tl2br w:val="nil"/>
              <w:tr2bl w:val="nil"/>
            </w:tcBorders>
            <w:noWrap w:val="0"/>
            <w:vAlign w:val="center"/>
          </w:tcPr>
          <w:p w14:paraId="13AB25F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考察照片</w:t>
            </w:r>
          </w:p>
        </w:tc>
      </w:tr>
      <w:tr w14:paraId="51AF1B3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2" w:type="dxa"/>
            <w:tcBorders>
              <w:tl2br w:val="nil"/>
              <w:tr2bl w:val="nil"/>
            </w:tcBorders>
            <w:noWrap w:val="0"/>
            <w:vAlign w:val="center"/>
          </w:tcPr>
          <w:p w14:paraId="7C84F835">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草本层</w:t>
            </w:r>
          </w:p>
        </w:tc>
        <w:tc>
          <w:tcPr>
            <w:tcW w:w="850" w:type="dxa"/>
            <w:tcBorders>
              <w:tl2br w:val="nil"/>
              <w:tr2bl w:val="nil"/>
            </w:tcBorders>
            <w:noWrap w:val="0"/>
            <w:vAlign w:val="center"/>
          </w:tcPr>
          <w:p w14:paraId="696910A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层盖度30%</w:t>
            </w:r>
          </w:p>
        </w:tc>
        <w:tc>
          <w:tcPr>
            <w:tcW w:w="3541" w:type="dxa"/>
            <w:gridSpan w:val="3"/>
            <w:tcBorders>
              <w:tl2br w:val="nil"/>
              <w:tr2bl w:val="nil"/>
            </w:tcBorders>
            <w:noWrap w:val="0"/>
            <w:vAlign w:val="center"/>
          </w:tcPr>
          <w:p w14:paraId="1B6890E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s="Times New Roman"/>
                <w:color w:val="auto"/>
                <w:highlight w:val="none"/>
              </w:rPr>
            </w:pPr>
            <w:r>
              <w:rPr>
                <w:rFonts w:hint="default" w:cs="Times New Roman"/>
                <w:color w:val="auto"/>
                <w:highlight w:val="none"/>
              </w:rPr>
              <w:t>层均高0.5m，优势种为芒</w:t>
            </w:r>
            <w:r>
              <w:rPr>
                <w:rFonts w:hint="default" w:cs="Times New Roman"/>
                <w:i/>
                <w:iCs/>
                <w:color w:val="auto"/>
                <w:highlight w:val="none"/>
              </w:rPr>
              <w:t>(Miscanthus sinensis)</w:t>
            </w:r>
            <w:r>
              <w:rPr>
                <w:rFonts w:hint="default" w:cs="Times New Roman"/>
                <w:color w:val="auto"/>
                <w:highlight w:val="none"/>
              </w:rPr>
              <w:t>，高约0.5-0.7m，盖度25%， 主要伴生种有兰香草</w:t>
            </w:r>
            <w:r>
              <w:rPr>
                <w:rFonts w:hint="default" w:cs="Times New Roman"/>
                <w:i/>
                <w:iCs/>
                <w:color w:val="auto"/>
                <w:highlight w:val="none"/>
              </w:rPr>
              <w:t>(Caryopteris incana)</w:t>
            </w:r>
            <w:r>
              <w:rPr>
                <w:rFonts w:hint="default" w:cs="Times New Roman"/>
                <w:color w:val="auto"/>
                <w:highlight w:val="none"/>
              </w:rPr>
              <w:t>、蕨</w:t>
            </w:r>
            <w:r>
              <w:rPr>
                <w:rFonts w:hint="default" w:cs="Times New Roman"/>
                <w:i/>
                <w:iCs/>
                <w:color w:val="auto"/>
                <w:highlight w:val="none"/>
              </w:rPr>
              <w:t>(Pteridium aquilinumvar.latiusculum)</w:t>
            </w:r>
            <w:r>
              <w:rPr>
                <w:rFonts w:hint="default" w:cs="Times New Roman"/>
                <w:color w:val="auto"/>
                <w:highlight w:val="none"/>
              </w:rPr>
              <w:t>、糯米条</w:t>
            </w:r>
            <w:r>
              <w:rPr>
                <w:rFonts w:hint="default" w:cs="Times New Roman"/>
                <w:i/>
                <w:iCs/>
                <w:color w:val="auto"/>
                <w:highlight w:val="none"/>
              </w:rPr>
              <w:t>(Abelia chinensis)</w:t>
            </w:r>
            <w:r>
              <w:rPr>
                <w:rFonts w:hint="default" w:cs="Times New Roman"/>
                <w:color w:val="auto"/>
                <w:highlight w:val="none"/>
              </w:rPr>
              <w:t>等。</w:t>
            </w:r>
          </w:p>
        </w:tc>
        <w:tc>
          <w:tcPr>
            <w:tcW w:w="3292" w:type="dxa"/>
            <w:gridSpan w:val="3"/>
            <w:tcBorders>
              <w:tl2br w:val="nil"/>
              <w:tr2bl w:val="nil"/>
            </w:tcBorders>
            <w:noWrap w:val="0"/>
            <w:vAlign w:val="center"/>
          </w:tcPr>
          <w:p w14:paraId="68F6ABB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cs="Times New Roman"/>
                <w:color w:val="auto"/>
                <w:highlight w:val="none"/>
                <w:lang w:eastAsia="zh-CN"/>
              </w:rPr>
            </w:pPr>
            <w:r>
              <w:rPr>
                <w:rFonts w:hint="eastAsia" w:cs="Times New Roman"/>
                <w:color w:val="auto"/>
                <w:highlight w:val="none"/>
                <w:lang w:eastAsia="zh-CN"/>
              </w:rPr>
              <w:drawing>
                <wp:inline distT="0" distB="0" distL="114300" distR="114300">
                  <wp:extent cx="2048510" cy="1151890"/>
                  <wp:effectExtent l="0" t="0" r="8890" b="10160"/>
                  <wp:docPr id="44" name="图片 33" descr="picture_2023_06_27_11_25_37_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3" descr="picture_2023_06_27_11_25_37_559"/>
                          <pic:cNvPicPr>
                            <a:picLocks noChangeAspect="1"/>
                          </pic:cNvPicPr>
                        </pic:nvPicPr>
                        <pic:blipFill>
                          <a:blip r:embed="rId42"/>
                          <a:stretch>
                            <a:fillRect/>
                          </a:stretch>
                        </pic:blipFill>
                        <pic:spPr>
                          <a:xfrm>
                            <a:off x="0" y="0"/>
                            <a:ext cx="2048510" cy="1151890"/>
                          </a:xfrm>
                          <a:prstGeom prst="rect">
                            <a:avLst/>
                          </a:prstGeom>
                          <a:noFill/>
                          <a:ln>
                            <a:noFill/>
                          </a:ln>
                        </pic:spPr>
                      </pic:pic>
                    </a:graphicData>
                  </a:graphic>
                </wp:inline>
              </w:drawing>
            </w:r>
          </w:p>
        </w:tc>
      </w:tr>
    </w:tbl>
    <w:p w14:paraId="17D26C19">
      <w:pPr>
        <w:pStyle w:val="30"/>
        <w:rPr>
          <w:rFonts w:hint="eastAsia"/>
          <w:b/>
          <w:bCs/>
          <w:color w:val="auto"/>
          <w:highlight w:val="none"/>
          <w:lang w:val="en-US" w:eastAsia="zh-CN"/>
        </w:rPr>
      </w:pPr>
      <w:r>
        <w:rPr>
          <w:rFonts w:hint="eastAsia"/>
          <w:b/>
          <w:bCs/>
          <w:color w:val="auto"/>
          <w:highlight w:val="none"/>
          <w:lang w:val="en-US" w:eastAsia="zh-CN"/>
        </w:rPr>
        <w:t>13) 芒灌草丛</w:t>
      </w:r>
      <w:r>
        <w:rPr>
          <w:rFonts w:hint="eastAsia"/>
          <w:b/>
          <w:bCs/>
          <w:i/>
          <w:iCs/>
          <w:color w:val="auto"/>
          <w:highlight w:val="none"/>
          <w:lang w:val="en-US" w:eastAsia="zh-CN"/>
        </w:rPr>
        <w:t>(Form.Miscanthus sinensis)</w:t>
      </w:r>
    </w:p>
    <w:p w14:paraId="4D11665D">
      <w:pPr>
        <w:pStyle w:val="30"/>
        <w:rPr>
          <w:rFonts w:hint="eastAsia"/>
          <w:color w:val="auto"/>
          <w:highlight w:val="none"/>
          <w:lang w:val="en-US" w:eastAsia="zh-CN"/>
        </w:rPr>
      </w:pPr>
      <w:r>
        <w:rPr>
          <w:rFonts w:hint="eastAsia"/>
          <w:color w:val="auto"/>
          <w:highlight w:val="none"/>
          <w:lang w:val="en-US" w:eastAsia="zh-CN"/>
        </w:rPr>
        <w:t>芒适应能力强，繁殖能力强，是评价区面积最广的灌草丛。芒灌草丛在评价区分布广泛，在升压站处分布较多。</w:t>
      </w:r>
    </w:p>
    <w:p w14:paraId="39B307EB">
      <w:pPr>
        <w:pStyle w:val="30"/>
        <w:rPr>
          <w:rFonts w:hint="eastAsia"/>
          <w:color w:val="auto"/>
          <w:highlight w:val="none"/>
          <w:lang w:val="en-US" w:eastAsia="zh-CN"/>
        </w:rPr>
      </w:pPr>
      <w:r>
        <w:rPr>
          <w:rFonts w:hint="eastAsia"/>
          <w:color w:val="auto"/>
          <w:highlight w:val="none"/>
          <w:lang w:val="en-US" w:eastAsia="zh-CN"/>
        </w:rPr>
        <w:t>草本层盖度30%，层均高0.5m，优势种为芒</w:t>
      </w:r>
      <w:r>
        <w:rPr>
          <w:rFonts w:hint="eastAsia"/>
          <w:i/>
          <w:iCs/>
          <w:color w:val="auto"/>
          <w:highlight w:val="none"/>
          <w:lang w:val="en-US" w:eastAsia="zh-CN"/>
        </w:rPr>
        <w:t>(Miscanthus sinensis)</w:t>
      </w:r>
      <w:r>
        <w:rPr>
          <w:rFonts w:hint="eastAsia"/>
          <w:color w:val="auto"/>
          <w:highlight w:val="none"/>
          <w:lang w:val="en-US" w:eastAsia="zh-CN"/>
        </w:rPr>
        <w:t>，高约0.5-0.7m，盖度25%，主要伴生种有兰香草</w:t>
      </w:r>
      <w:r>
        <w:rPr>
          <w:rFonts w:hint="eastAsia"/>
          <w:i/>
          <w:iCs/>
          <w:color w:val="auto"/>
          <w:highlight w:val="none"/>
          <w:lang w:val="en-US" w:eastAsia="zh-CN"/>
        </w:rPr>
        <w:t>(Caryopteris incana)</w:t>
      </w:r>
      <w:r>
        <w:rPr>
          <w:rFonts w:hint="eastAsia"/>
          <w:color w:val="auto"/>
          <w:highlight w:val="none"/>
          <w:lang w:val="en-US" w:eastAsia="zh-CN"/>
        </w:rPr>
        <w:t>、蕨</w:t>
      </w:r>
      <w:r>
        <w:rPr>
          <w:rFonts w:hint="eastAsia"/>
          <w:i/>
          <w:iCs/>
          <w:color w:val="auto"/>
          <w:highlight w:val="none"/>
          <w:lang w:val="en-US" w:eastAsia="zh-CN"/>
        </w:rPr>
        <w:t>(Pteridium aquilinumvar.latiusculum)</w:t>
      </w:r>
      <w:r>
        <w:rPr>
          <w:rFonts w:hint="eastAsia"/>
          <w:color w:val="auto"/>
          <w:highlight w:val="none"/>
          <w:lang w:val="en-US" w:eastAsia="zh-CN"/>
        </w:rPr>
        <w:t>、糯米团</w:t>
      </w:r>
      <w:r>
        <w:rPr>
          <w:rFonts w:hint="eastAsia"/>
          <w:i/>
          <w:iCs/>
          <w:color w:val="auto"/>
          <w:highlight w:val="none"/>
          <w:lang w:val="en-US" w:eastAsia="zh-CN"/>
        </w:rPr>
        <w:t>(Abelia chinensis)</w:t>
      </w:r>
      <w:r>
        <w:rPr>
          <w:rFonts w:hint="eastAsia"/>
          <w:color w:val="auto"/>
          <w:highlight w:val="none"/>
          <w:lang w:val="en-US" w:eastAsia="zh-CN"/>
        </w:rPr>
        <w:t>等。</w:t>
      </w:r>
    </w:p>
    <w:p w14:paraId="619129FB">
      <w:pPr>
        <w:pStyle w:val="30"/>
        <w:rPr>
          <w:rFonts w:hint="eastAsia"/>
          <w:color w:val="auto"/>
          <w:highlight w:val="none"/>
          <w:lang w:val="en-US" w:eastAsia="zh-CN"/>
        </w:rPr>
      </w:pPr>
      <w:r>
        <w:rPr>
          <w:rFonts w:hint="eastAsia"/>
          <w:color w:val="auto"/>
          <w:highlight w:val="none"/>
          <w:lang w:val="en-US" w:eastAsia="zh-CN"/>
        </w:rPr>
        <w:t>样方位置：14#风机附近(E111.98620677°，N26.91055177°)；H：366m</w:t>
      </w:r>
    </w:p>
    <w:tbl>
      <w:tblPr>
        <w:tblStyle w:val="38"/>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030"/>
        <w:gridCol w:w="809"/>
        <w:gridCol w:w="2145"/>
        <w:gridCol w:w="1087"/>
        <w:gridCol w:w="134"/>
        <w:gridCol w:w="952"/>
        <w:gridCol w:w="1087"/>
        <w:gridCol w:w="1092"/>
      </w:tblGrid>
      <w:tr w14:paraId="4B6DF6D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82" w:type="dxa"/>
            <w:vMerge w:val="restart"/>
            <w:tcBorders>
              <w:tl2br w:val="nil"/>
              <w:tr2bl w:val="nil"/>
            </w:tcBorders>
            <w:noWrap w:val="0"/>
            <w:vAlign w:val="center"/>
          </w:tcPr>
          <w:p w14:paraId="3C33A45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r>
              <w:rPr>
                <w:rFonts w:hint="default"/>
                <w:color w:val="auto"/>
                <w:highlight w:val="none"/>
              </w:rPr>
              <w:t>植被类型</w:t>
            </w:r>
          </w:p>
        </w:tc>
        <w:tc>
          <w:tcPr>
            <w:tcW w:w="3107" w:type="dxa"/>
            <w:gridSpan w:val="2"/>
            <w:vMerge w:val="restart"/>
            <w:tcBorders>
              <w:tl2br w:val="nil"/>
              <w:tr2bl w:val="nil"/>
            </w:tcBorders>
            <w:noWrap w:val="0"/>
            <w:vAlign w:val="center"/>
          </w:tcPr>
          <w:p w14:paraId="7F451645">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r>
              <w:rPr>
                <w:rFonts w:hint="default"/>
                <w:color w:val="auto"/>
                <w:highlight w:val="none"/>
              </w:rPr>
              <w:t>芒灌草丛</w:t>
            </w:r>
            <w:r>
              <w:rPr>
                <w:rFonts w:hint="default"/>
                <w:i/>
                <w:iCs/>
                <w:color w:val="auto"/>
                <w:highlight w:val="none"/>
              </w:rPr>
              <w:t>(Form.Miscanthussinensis)</w:t>
            </w:r>
          </w:p>
        </w:tc>
        <w:tc>
          <w:tcPr>
            <w:tcW w:w="4576" w:type="dxa"/>
            <w:gridSpan w:val="5"/>
            <w:tcBorders>
              <w:tl2br w:val="nil"/>
              <w:tr2bl w:val="nil"/>
            </w:tcBorders>
            <w:noWrap w:val="0"/>
            <w:vAlign w:val="center"/>
          </w:tcPr>
          <w:p w14:paraId="342ECEF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r>
              <w:rPr>
                <w:rFonts w:hint="default"/>
                <w:color w:val="auto"/>
                <w:highlight w:val="none"/>
              </w:rPr>
              <w:t>环境特征</w:t>
            </w:r>
          </w:p>
        </w:tc>
      </w:tr>
      <w:tr w14:paraId="7797663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82" w:type="dxa"/>
            <w:vMerge w:val="continue"/>
            <w:tcBorders>
              <w:tl2br w:val="nil"/>
              <w:tr2bl w:val="nil"/>
            </w:tcBorders>
            <w:noWrap w:val="0"/>
            <w:vAlign w:val="center"/>
          </w:tcPr>
          <w:p w14:paraId="0A21C0A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p>
        </w:tc>
        <w:tc>
          <w:tcPr>
            <w:tcW w:w="3107" w:type="dxa"/>
            <w:gridSpan w:val="2"/>
            <w:vMerge w:val="continue"/>
            <w:tcBorders>
              <w:tl2br w:val="nil"/>
              <w:tr2bl w:val="nil"/>
            </w:tcBorders>
            <w:noWrap w:val="0"/>
            <w:vAlign w:val="center"/>
          </w:tcPr>
          <w:p w14:paraId="2DCE9F8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p>
        </w:tc>
        <w:tc>
          <w:tcPr>
            <w:tcW w:w="1143" w:type="dxa"/>
            <w:tcBorders>
              <w:tl2br w:val="nil"/>
              <w:tr2bl w:val="nil"/>
            </w:tcBorders>
            <w:noWrap w:val="0"/>
            <w:vAlign w:val="center"/>
          </w:tcPr>
          <w:p w14:paraId="04AFD98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r>
              <w:rPr>
                <w:rFonts w:hint="default"/>
                <w:color w:val="auto"/>
                <w:highlight w:val="none"/>
              </w:rPr>
              <w:t>地形</w:t>
            </w:r>
          </w:p>
        </w:tc>
        <w:tc>
          <w:tcPr>
            <w:tcW w:w="1142" w:type="dxa"/>
            <w:gridSpan w:val="2"/>
            <w:tcBorders>
              <w:tl2br w:val="nil"/>
              <w:tr2bl w:val="nil"/>
            </w:tcBorders>
            <w:noWrap w:val="0"/>
            <w:vAlign w:val="center"/>
          </w:tcPr>
          <w:p w14:paraId="55F79E8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r>
              <w:rPr>
                <w:rFonts w:hint="default"/>
                <w:color w:val="auto"/>
                <w:highlight w:val="none"/>
              </w:rPr>
              <w:t>海拔(m)</w:t>
            </w:r>
          </w:p>
        </w:tc>
        <w:tc>
          <w:tcPr>
            <w:tcW w:w="1143" w:type="dxa"/>
            <w:tcBorders>
              <w:tl2br w:val="nil"/>
              <w:tr2bl w:val="nil"/>
            </w:tcBorders>
            <w:noWrap w:val="0"/>
            <w:vAlign w:val="center"/>
          </w:tcPr>
          <w:p w14:paraId="0ABCE7F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r>
              <w:rPr>
                <w:rFonts w:hint="default"/>
                <w:color w:val="auto"/>
                <w:highlight w:val="none"/>
              </w:rPr>
              <w:t>坡向</w:t>
            </w:r>
          </w:p>
        </w:tc>
        <w:tc>
          <w:tcPr>
            <w:tcW w:w="1148" w:type="dxa"/>
            <w:tcBorders>
              <w:tl2br w:val="nil"/>
              <w:tr2bl w:val="nil"/>
            </w:tcBorders>
            <w:noWrap w:val="0"/>
            <w:vAlign w:val="center"/>
          </w:tcPr>
          <w:p w14:paraId="28B1BF9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r>
              <w:rPr>
                <w:rFonts w:hint="default"/>
                <w:color w:val="auto"/>
                <w:highlight w:val="none"/>
              </w:rPr>
              <w:t>坡度(°)</w:t>
            </w:r>
          </w:p>
        </w:tc>
      </w:tr>
      <w:tr w14:paraId="044B056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82" w:type="dxa"/>
            <w:tcBorders>
              <w:tl2br w:val="nil"/>
              <w:tr2bl w:val="nil"/>
            </w:tcBorders>
            <w:noWrap w:val="0"/>
            <w:vAlign w:val="center"/>
          </w:tcPr>
          <w:p w14:paraId="044F40D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r>
              <w:rPr>
                <w:rFonts w:hint="default"/>
                <w:color w:val="auto"/>
                <w:highlight w:val="none"/>
              </w:rPr>
              <w:t>地点</w:t>
            </w:r>
          </w:p>
        </w:tc>
        <w:tc>
          <w:tcPr>
            <w:tcW w:w="3107" w:type="dxa"/>
            <w:gridSpan w:val="2"/>
            <w:tcBorders>
              <w:tl2br w:val="nil"/>
              <w:tr2bl w:val="nil"/>
            </w:tcBorders>
            <w:noWrap w:val="0"/>
            <w:vAlign w:val="center"/>
          </w:tcPr>
          <w:p w14:paraId="26EB38E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r>
              <w:rPr>
                <w:rFonts w:hint="default"/>
                <w:color w:val="auto"/>
                <w:highlight w:val="none"/>
                <w:lang w:val="en-US" w:eastAsia="zh-CN"/>
              </w:rPr>
              <w:t>14#风机</w:t>
            </w:r>
            <w:r>
              <w:rPr>
                <w:rFonts w:hint="default"/>
                <w:color w:val="auto"/>
                <w:highlight w:val="none"/>
              </w:rPr>
              <w:t>附近</w:t>
            </w:r>
          </w:p>
        </w:tc>
        <w:tc>
          <w:tcPr>
            <w:tcW w:w="1143" w:type="dxa"/>
            <w:tcBorders>
              <w:tl2br w:val="nil"/>
              <w:tr2bl w:val="nil"/>
            </w:tcBorders>
            <w:noWrap w:val="0"/>
            <w:vAlign w:val="center"/>
          </w:tcPr>
          <w:p w14:paraId="7DD99FE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lang w:eastAsia="zh-CN"/>
              </w:rPr>
            </w:pPr>
            <w:r>
              <w:rPr>
                <w:rFonts w:hint="default"/>
                <w:color w:val="auto"/>
                <w:highlight w:val="none"/>
                <w:lang w:eastAsia="zh-CN"/>
              </w:rPr>
              <w:t>平地</w:t>
            </w:r>
          </w:p>
        </w:tc>
        <w:tc>
          <w:tcPr>
            <w:tcW w:w="1142" w:type="dxa"/>
            <w:gridSpan w:val="2"/>
            <w:tcBorders>
              <w:tl2br w:val="nil"/>
              <w:tr2bl w:val="nil"/>
            </w:tcBorders>
            <w:noWrap w:val="0"/>
            <w:vAlign w:val="center"/>
          </w:tcPr>
          <w:p w14:paraId="2D63DC3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r>
              <w:rPr>
                <w:rFonts w:hint="default"/>
                <w:color w:val="auto"/>
                <w:highlight w:val="none"/>
              </w:rPr>
              <w:t>3</w:t>
            </w:r>
            <w:r>
              <w:rPr>
                <w:rFonts w:hint="default"/>
                <w:color w:val="auto"/>
                <w:highlight w:val="none"/>
                <w:lang w:val="en-US" w:eastAsia="zh-CN"/>
              </w:rPr>
              <w:t>6</w:t>
            </w:r>
            <w:r>
              <w:rPr>
                <w:rFonts w:hint="default"/>
                <w:color w:val="auto"/>
                <w:highlight w:val="none"/>
              </w:rPr>
              <w:t>6</w:t>
            </w:r>
          </w:p>
        </w:tc>
        <w:tc>
          <w:tcPr>
            <w:tcW w:w="1143" w:type="dxa"/>
            <w:tcBorders>
              <w:tl2br w:val="nil"/>
              <w:tr2bl w:val="nil"/>
            </w:tcBorders>
            <w:noWrap w:val="0"/>
            <w:vAlign w:val="center"/>
          </w:tcPr>
          <w:p w14:paraId="7AF0836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eastAsia="宋体"/>
                <w:color w:val="auto"/>
                <w:highlight w:val="none"/>
                <w:lang w:val="en-US" w:eastAsia="zh-CN"/>
              </w:rPr>
            </w:pPr>
            <w:r>
              <w:rPr>
                <w:rFonts w:hint="eastAsia"/>
                <w:color w:val="auto"/>
                <w:highlight w:val="none"/>
                <w:lang w:val="en-US" w:eastAsia="zh-CN"/>
              </w:rPr>
              <w:t>W</w:t>
            </w:r>
          </w:p>
        </w:tc>
        <w:tc>
          <w:tcPr>
            <w:tcW w:w="1148" w:type="dxa"/>
            <w:tcBorders>
              <w:tl2br w:val="nil"/>
              <w:tr2bl w:val="nil"/>
            </w:tcBorders>
            <w:noWrap w:val="0"/>
            <w:vAlign w:val="center"/>
          </w:tcPr>
          <w:p w14:paraId="30A96BF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eastAsia="宋体"/>
                <w:color w:val="auto"/>
                <w:highlight w:val="none"/>
                <w:lang w:val="en-US" w:eastAsia="zh-CN"/>
              </w:rPr>
            </w:pPr>
            <w:r>
              <w:rPr>
                <w:rFonts w:hint="eastAsia"/>
                <w:color w:val="auto"/>
                <w:highlight w:val="none"/>
                <w:lang w:val="en-US" w:eastAsia="zh-CN"/>
              </w:rPr>
              <w:t>15</w:t>
            </w:r>
          </w:p>
        </w:tc>
      </w:tr>
      <w:tr w14:paraId="5E668BF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82" w:type="dxa"/>
            <w:tcBorders>
              <w:tl2br w:val="nil"/>
              <w:tr2bl w:val="nil"/>
            </w:tcBorders>
            <w:noWrap w:val="0"/>
            <w:vAlign w:val="center"/>
          </w:tcPr>
          <w:p w14:paraId="01D8968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r>
              <w:rPr>
                <w:rFonts w:hint="default"/>
                <w:color w:val="auto"/>
                <w:highlight w:val="none"/>
              </w:rPr>
              <w:t>经纬度</w:t>
            </w:r>
          </w:p>
        </w:tc>
        <w:tc>
          <w:tcPr>
            <w:tcW w:w="7683" w:type="dxa"/>
            <w:gridSpan w:val="7"/>
            <w:tcBorders>
              <w:tl2br w:val="nil"/>
              <w:tr2bl w:val="nil"/>
            </w:tcBorders>
            <w:noWrap w:val="0"/>
            <w:vAlign w:val="center"/>
          </w:tcPr>
          <w:p w14:paraId="342109B5">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r>
              <w:rPr>
                <w:rFonts w:hint="default"/>
                <w:color w:val="auto"/>
                <w:highlight w:val="none"/>
                <w:lang w:val="en-US" w:eastAsia="zh-CN"/>
              </w:rPr>
              <w:t>E111.98620677°，N26.91055177°</w:t>
            </w:r>
          </w:p>
        </w:tc>
      </w:tr>
      <w:tr w14:paraId="500423A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82" w:type="dxa"/>
            <w:tcBorders>
              <w:tl2br w:val="nil"/>
              <w:tr2bl w:val="nil"/>
            </w:tcBorders>
            <w:noWrap w:val="0"/>
            <w:vAlign w:val="center"/>
          </w:tcPr>
          <w:p w14:paraId="6C168BA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r>
              <w:rPr>
                <w:rFonts w:hint="default"/>
                <w:color w:val="auto"/>
                <w:highlight w:val="none"/>
              </w:rPr>
              <w:t>层次</w:t>
            </w:r>
          </w:p>
        </w:tc>
        <w:tc>
          <w:tcPr>
            <w:tcW w:w="7683" w:type="dxa"/>
            <w:gridSpan w:val="7"/>
            <w:tcBorders>
              <w:tl2br w:val="nil"/>
              <w:tr2bl w:val="nil"/>
            </w:tcBorders>
            <w:noWrap w:val="0"/>
            <w:vAlign w:val="center"/>
          </w:tcPr>
          <w:p w14:paraId="6879197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r>
              <w:rPr>
                <w:rFonts w:hint="default"/>
                <w:color w:val="auto"/>
                <w:highlight w:val="none"/>
              </w:rPr>
              <w:t>一层</w:t>
            </w:r>
          </w:p>
        </w:tc>
      </w:tr>
      <w:tr w14:paraId="29F0E5E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82" w:type="dxa"/>
            <w:tcBorders>
              <w:tl2br w:val="nil"/>
              <w:tr2bl w:val="nil"/>
            </w:tcBorders>
            <w:noWrap w:val="0"/>
            <w:vAlign w:val="center"/>
          </w:tcPr>
          <w:p w14:paraId="191C16D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r>
              <w:rPr>
                <w:rFonts w:hint="default"/>
                <w:color w:val="auto"/>
                <w:highlight w:val="none"/>
              </w:rPr>
              <w:t>分层</w:t>
            </w:r>
          </w:p>
        </w:tc>
        <w:tc>
          <w:tcPr>
            <w:tcW w:w="850" w:type="dxa"/>
            <w:tcBorders>
              <w:tl2br w:val="nil"/>
              <w:tr2bl w:val="nil"/>
            </w:tcBorders>
            <w:noWrap w:val="0"/>
            <w:vAlign w:val="center"/>
          </w:tcPr>
          <w:p w14:paraId="4CB3435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r>
              <w:rPr>
                <w:rFonts w:hint="default"/>
                <w:color w:val="auto"/>
                <w:highlight w:val="none"/>
              </w:rPr>
              <w:t>层盖度</w:t>
            </w:r>
          </w:p>
        </w:tc>
        <w:tc>
          <w:tcPr>
            <w:tcW w:w="3541" w:type="dxa"/>
            <w:gridSpan w:val="3"/>
            <w:tcBorders>
              <w:tl2br w:val="nil"/>
              <w:tr2bl w:val="nil"/>
            </w:tcBorders>
            <w:noWrap w:val="0"/>
            <w:vAlign w:val="center"/>
          </w:tcPr>
          <w:p w14:paraId="5314A30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r>
              <w:rPr>
                <w:rFonts w:hint="default"/>
                <w:color w:val="auto"/>
                <w:highlight w:val="none"/>
              </w:rPr>
              <w:t>种类组成与生长状况</w:t>
            </w:r>
          </w:p>
        </w:tc>
        <w:tc>
          <w:tcPr>
            <w:tcW w:w="3292" w:type="dxa"/>
            <w:gridSpan w:val="3"/>
            <w:tcBorders>
              <w:tl2br w:val="nil"/>
              <w:tr2bl w:val="nil"/>
            </w:tcBorders>
            <w:noWrap w:val="0"/>
            <w:vAlign w:val="center"/>
          </w:tcPr>
          <w:p w14:paraId="4E6A9C6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r>
              <w:rPr>
                <w:rFonts w:hint="default"/>
                <w:color w:val="auto"/>
                <w:highlight w:val="none"/>
              </w:rPr>
              <w:t>考察照片</w:t>
            </w:r>
          </w:p>
        </w:tc>
      </w:tr>
      <w:tr w14:paraId="7BFFC09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82" w:type="dxa"/>
            <w:tcBorders>
              <w:tl2br w:val="nil"/>
              <w:tr2bl w:val="nil"/>
            </w:tcBorders>
            <w:noWrap w:val="0"/>
            <w:vAlign w:val="center"/>
          </w:tcPr>
          <w:p w14:paraId="6A2C5DA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r>
              <w:rPr>
                <w:rFonts w:hint="default"/>
                <w:color w:val="auto"/>
                <w:highlight w:val="none"/>
              </w:rPr>
              <w:t>草本层</w:t>
            </w:r>
          </w:p>
        </w:tc>
        <w:tc>
          <w:tcPr>
            <w:tcW w:w="850" w:type="dxa"/>
            <w:tcBorders>
              <w:tl2br w:val="nil"/>
              <w:tr2bl w:val="nil"/>
            </w:tcBorders>
            <w:noWrap w:val="0"/>
            <w:vAlign w:val="center"/>
          </w:tcPr>
          <w:p w14:paraId="0163595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r>
              <w:rPr>
                <w:rFonts w:hint="default"/>
                <w:color w:val="auto"/>
                <w:highlight w:val="none"/>
              </w:rPr>
              <w:t>层盖度30%</w:t>
            </w:r>
          </w:p>
        </w:tc>
        <w:tc>
          <w:tcPr>
            <w:tcW w:w="3541" w:type="dxa"/>
            <w:gridSpan w:val="3"/>
            <w:tcBorders>
              <w:tl2br w:val="nil"/>
              <w:tr2bl w:val="nil"/>
            </w:tcBorders>
            <w:noWrap w:val="0"/>
            <w:vAlign w:val="center"/>
          </w:tcPr>
          <w:p w14:paraId="78E8652C">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rPr>
            </w:pPr>
            <w:r>
              <w:rPr>
                <w:rFonts w:hint="default"/>
                <w:color w:val="auto"/>
                <w:highlight w:val="none"/>
              </w:rPr>
              <w:t>层均高0.5m，优势种为芒</w:t>
            </w:r>
            <w:r>
              <w:rPr>
                <w:rFonts w:hint="default"/>
                <w:i/>
                <w:iCs/>
                <w:color w:val="auto"/>
                <w:highlight w:val="none"/>
              </w:rPr>
              <w:t>(Miscanthus sinensis)</w:t>
            </w:r>
            <w:r>
              <w:rPr>
                <w:rFonts w:hint="default"/>
                <w:color w:val="auto"/>
                <w:highlight w:val="none"/>
              </w:rPr>
              <w:t>，高约0.5-0.7m，盖度25%， 主要伴生种有兰香草</w:t>
            </w:r>
            <w:r>
              <w:rPr>
                <w:rFonts w:hint="default"/>
                <w:i/>
                <w:iCs/>
                <w:color w:val="auto"/>
                <w:highlight w:val="none"/>
              </w:rPr>
              <w:t>(Caryopterisincana)</w:t>
            </w:r>
            <w:r>
              <w:rPr>
                <w:rFonts w:hint="default"/>
                <w:color w:val="auto"/>
                <w:highlight w:val="none"/>
              </w:rPr>
              <w:t>、蕨</w:t>
            </w:r>
            <w:r>
              <w:rPr>
                <w:rFonts w:hint="default"/>
                <w:i/>
                <w:iCs/>
                <w:color w:val="auto"/>
                <w:highlight w:val="none"/>
              </w:rPr>
              <w:t>(Pteridiumaquilinumvar.latiusculum)</w:t>
            </w:r>
            <w:r>
              <w:rPr>
                <w:rFonts w:hint="default"/>
                <w:color w:val="auto"/>
                <w:highlight w:val="none"/>
              </w:rPr>
              <w:t>、糯米条</w:t>
            </w:r>
            <w:r>
              <w:rPr>
                <w:rFonts w:hint="default"/>
                <w:i/>
                <w:iCs/>
                <w:color w:val="auto"/>
                <w:highlight w:val="none"/>
              </w:rPr>
              <w:t>(Abelia chinensis)</w:t>
            </w:r>
            <w:r>
              <w:rPr>
                <w:rFonts w:hint="default"/>
                <w:color w:val="auto"/>
                <w:highlight w:val="none"/>
              </w:rPr>
              <w:t>等。</w:t>
            </w:r>
          </w:p>
        </w:tc>
        <w:tc>
          <w:tcPr>
            <w:tcW w:w="3292" w:type="dxa"/>
            <w:gridSpan w:val="3"/>
            <w:tcBorders>
              <w:tl2br w:val="nil"/>
              <w:tr2bl w:val="nil"/>
            </w:tcBorders>
            <w:noWrap w:val="0"/>
            <w:vAlign w:val="center"/>
          </w:tcPr>
          <w:p w14:paraId="14B6C43C">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highlight w:val="none"/>
                <w:lang w:eastAsia="zh-CN"/>
              </w:rPr>
            </w:pPr>
            <w:r>
              <w:rPr>
                <w:rFonts w:hint="default"/>
                <w:color w:val="auto"/>
                <w:highlight w:val="none"/>
                <w:lang w:eastAsia="zh-CN"/>
              </w:rPr>
              <w:drawing>
                <wp:inline distT="0" distB="0" distL="114300" distR="114300">
                  <wp:extent cx="2048510" cy="1151890"/>
                  <wp:effectExtent l="0" t="0" r="8890" b="10160"/>
                  <wp:docPr id="43" name="图片 34" descr="picture_2023_06_27_15_44_40_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4" descr="picture_2023_06_27_15_44_40_151"/>
                          <pic:cNvPicPr>
                            <a:picLocks noChangeAspect="1"/>
                          </pic:cNvPicPr>
                        </pic:nvPicPr>
                        <pic:blipFill>
                          <a:blip r:embed="rId43"/>
                          <a:stretch>
                            <a:fillRect/>
                          </a:stretch>
                        </pic:blipFill>
                        <pic:spPr>
                          <a:xfrm>
                            <a:off x="0" y="0"/>
                            <a:ext cx="2048510" cy="1151890"/>
                          </a:xfrm>
                          <a:prstGeom prst="rect">
                            <a:avLst/>
                          </a:prstGeom>
                          <a:noFill/>
                          <a:ln>
                            <a:noFill/>
                          </a:ln>
                        </pic:spPr>
                      </pic:pic>
                    </a:graphicData>
                  </a:graphic>
                </wp:inline>
              </w:drawing>
            </w:r>
          </w:p>
        </w:tc>
      </w:tr>
    </w:tbl>
    <w:p w14:paraId="6D6D9533">
      <w:pPr>
        <w:pStyle w:val="30"/>
        <w:rPr>
          <w:rFonts w:hint="default"/>
          <w:b/>
          <w:bCs/>
          <w:color w:val="auto"/>
          <w:highlight w:val="none"/>
          <w:lang w:val="en-US" w:eastAsia="zh-CN"/>
        </w:rPr>
      </w:pPr>
      <w:r>
        <w:rPr>
          <w:rFonts w:hint="eastAsia"/>
          <w:b/>
          <w:bCs/>
          <w:color w:val="auto"/>
          <w:highlight w:val="none"/>
          <w:lang w:val="en-US" w:eastAsia="zh-CN"/>
        </w:rPr>
        <w:t>4、植被分布特征</w:t>
      </w:r>
    </w:p>
    <w:p w14:paraId="660B7246">
      <w:pPr>
        <w:pStyle w:val="3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南冲风电场位于衡阳市祁东县内，衡阳市地区属中亚热带季风湿润气候区，光照充足，水雨丰沛，温暖湿润，冬暖夏凉。年内风速以春冬季相对较大，夏秋季相对较小。</w:t>
      </w:r>
    </w:p>
    <w:p w14:paraId="6839987C">
      <w:pPr>
        <w:pStyle w:val="3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场区内地貌类型为构造剥蚀地貌，山顶高程一般在400m~650m之间，沟谷与山脚高程一般为200m~320m ，峰谷间相对高差约200m~300m，为丘陵低山区。</w:t>
      </w:r>
    </w:p>
    <w:p w14:paraId="6D46F702">
      <w:pPr>
        <w:pStyle w:val="3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场区西部风电机组布置于近西北-东南走向的山顶 (脊) 上，场区东部风电机组布 置于南北走向的山顶(脊)上，山体整体较雄厚，局部较狭窄，山顶 (脊) 顶部略有起伏，山坡自然坡度20°~40°。山体植被茂盛，主要为杉木林、马尾松林、杂草和灌木，局部种植经济树木——油茶林。</w:t>
      </w:r>
    </w:p>
    <w:p w14:paraId="0225F264">
      <w:pPr>
        <w:pStyle w:val="3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垂直分布规律：评价区属低山丘陵地貌，评价区海拔高度170-600m，高差较小，人为活动较频繁。在海拔300m左右区域，水分充足，人为活动频繁，该区域植被多以竹林和灌丛为主，常见的群系有毛竹林、水竹林、檵木灌丛等；在海拔300-500m区域，人为活动相对较小，该区域植被多以灌丛和落叶阔叶林为 主，常见的群系有山茶灌丛、金樱子灌丛、枫香树林等；在海拔500m以上区域， 水分相对缺乏，风速度大，植被多以灌草丛及落叶阔叶林为主，常见的群系有芒灌草丛、千里光灌草丛、锥栗林、山乌桕林等。</w:t>
      </w:r>
    </w:p>
    <w:p w14:paraId="3C6A218C">
      <w:pPr>
        <w:bidi w:val="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水平分布规律：评价区水平跨度较大，山体基本走向为自北向东南。评价区 13#~19#风机片区地势较高，人为活动较少，植被类型以落叶阔叶林、针叶林和灌丛为主，常见的群系有山乌桕林、马尾松林、短柄枹栎灌丛等；评价区1#~12#风机片区地势相对较低，水分较充足，植被类型以针叶林、竹林、灌丛及灌草丛为主，常见的群系有杉木林、毛竹林、水竹林、芒灌草丛、芒萁灌草丛等。</w:t>
      </w:r>
    </w:p>
    <w:p w14:paraId="63145A22">
      <w:pPr>
        <w:pStyle w:val="6"/>
        <w:rPr>
          <w:rFonts w:hint="default" w:ascii="Times New Roman" w:hAnsi="Times New Roman" w:cs="Times New Roman"/>
          <w:color w:val="auto"/>
          <w:highlight w:val="none"/>
        </w:rPr>
      </w:pPr>
      <w:r>
        <w:rPr>
          <w:rFonts w:hint="eastAsia"/>
          <w:color w:val="auto"/>
          <w:highlight w:val="none"/>
          <w:lang w:val="en-US" w:eastAsia="zh-CN"/>
        </w:rPr>
        <w:t>重点保护野生植物和古树名木</w:t>
      </w:r>
    </w:p>
    <w:p w14:paraId="7035CBC9">
      <w:pPr>
        <w:pStyle w:val="30"/>
        <w:keepNext w:val="0"/>
        <w:keepLines w:val="0"/>
        <w:pageBreakBefore w:val="0"/>
        <w:widowControl w:val="0"/>
        <w:kinsoku/>
        <w:wordWrap/>
        <w:overflowPunct/>
        <w:topLinePunct w:val="0"/>
        <w:autoSpaceDE/>
        <w:autoSpaceDN/>
        <w:bidi w:val="0"/>
        <w:adjustRightInd w:val="0"/>
        <w:snapToGrid w:val="0"/>
        <w:spacing w:line="360" w:lineRule="auto"/>
        <w:ind w:left="0" w:firstLine="480" w:firstLineChars="200"/>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评价区国家重点保护野生植物根据《国家重点保护野生植物名录》(第一批)(国务院，1999年8月)确定。参考《湖南省国家级珍稀濒危植物分布特征及区系探讨》(刘德良，2001年)、《湖南珍稀濒危保护植物的地理分布及其区系特征》(杨一光，1987年)、《湖南省人民政府关于修订湖南省地方重点保护野生植物名录的通知》)(湘政函[2002]172号)、《湖南植物名录》(祁承经，1987年)、《湖南珍稀濒危植物优先护存分级指标的研究》(颜立红等，1997)、《湖南珍稀濒危植物迁地仿生护存的初步研究》(颜立红等，1997)及本工程所在行政区内关于国家重点保护野生植物的相关资料，结合现场调查，在评价区</w:t>
      </w:r>
      <w:r>
        <w:rPr>
          <w:rFonts w:hint="eastAsia" w:cs="Times New Roman"/>
          <w:color w:val="auto"/>
          <w:kern w:val="2"/>
          <w:sz w:val="24"/>
          <w:szCs w:val="24"/>
          <w:highlight w:val="none"/>
          <w:lang w:val="en-US" w:eastAsia="zh-CN" w:bidi="ar-SA"/>
        </w:rPr>
        <w:t>内未发现重点保护野生植物和古树名木</w:t>
      </w:r>
      <w:r>
        <w:rPr>
          <w:rFonts w:hint="eastAsia" w:ascii="Times New Roman" w:hAnsi="Times New Roman" w:eastAsia="宋体" w:cs="Times New Roman"/>
          <w:color w:val="auto"/>
          <w:kern w:val="2"/>
          <w:sz w:val="24"/>
          <w:szCs w:val="24"/>
          <w:highlight w:val="none"/>
          <w:lang w:val="en-US" w:eastAsia="zh-CN" w:bidi="ar-SA"/>
        </w:rPr>
        <w:t>。</w:t>
      </w:r>
    </w:p>
    <w:p w14:paraId="4C86E00F">
      <w:pPr>
        <w:pStyle w:val="6"/>
        <w:rPr>
          <w:rFonts w:hint="default" w:ascii="Times New Roman" w:hAnsi="Times New Roman" w:cs="Times New Roman"/>
          <w:color w:val="auto"/>
          <w:highlight w:val="none"/>
        </w:rPr>
      </w:pPr>
      <w:r>
        <w:rPr>
          <w:rFonts w:hint="eastAsia"/>
          <w:color w:val="auto"/>
          <w:highlight w:val="none"/>
          <w:lang w:val="en-US" w:eastAsia="zh-CN"/>
        </w:rPr>
        <w:t>外来物种</w:t>
      </w:r>
    </w:p>
    <w:p w14:paraId="66AC9A26">
      <w:pPr>
        <w:pStyle w:val="30"/>
        <w:keepNext w:val="0"/>
        <w:keepLines w:val="0"/>
        <w:pageBreakBefore w:val="0"/>
        <w:widowControl w:val="0"/>
        <w:kinsoku/>
        <w:wordWrap/>
        <w:overflowPunct/>
        <w:topLinePunct w:val="0"/>
        <w:autoSpaceDE/>
        <w:autoSpaceDN/>
        <w:bidi w:val="0"/>
        <w:adjustRightInd w:val="0"/>
        <w:snapToGrid w:val="0"/>
        <w:spacing w:line="360" w:lineRule="auto"/>
        <w:ind w:left="0" w:firstLine="480" w:firstLineChars="200"/>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根据《中国外来入侵物种名单》(第一批，2003年)、《中国外来入侵物种名单》(第二批，2010年)、《中国外来入侵物种名单》(第三批，2014年)、《中国自然生态系统外来入侵物种名单》(第四批，2016年)，参考本工程所在行政区内关于外来入侵植物的相关资料，通过现场实地调查，在评价区发现有小蓬草、一年蓬等外来入侵种分布，其多零星分布于进场道路、升压站及部分风机位上，危害程度较小。</w:t>
      </w:r>
    </w:p>
    <w:p w14:paraId="6453E019">
      <w:pPr>
        <w:pStyle w:val="6"/>
        <w:rPr>
          <w:rFonts w:hint="default" w:ascii="Times New Roman" w:hAnsi="Times New Roman" w:cs="Times New Roman"/>
          <w:color w:val="auto"/>
          <w:highlight w:val="none"/>
        </w:rPr>
      </w:pPr>
      <w:r>
        <w:rPr>
          <w:rFonts w:hint="eastAsia"/>
          <w:color w:val="auto"/>
          <w:highlight w:val="none"/>
          <w:lang w:val="en-US" w:eastAsia="zh-CN"/>
        </w:rPr>
        <w:t>保护林地</w:t>
      </w:r>
    </w:p>
    <w:p w14:paraId="201670E5">
      <w:pPr>
        <w:pStyle w:val="30"/>
        <w:keepNext w:val="0"/>
        <w:keepLines w:val="0"/>
        <w:pageBreakBefore w:val="0"/>
        <w:widowControl w:val="0"/>
        <w:kinsoku/>
        <w:wordWrap/>
        <w:overflowPunct/>
        <w:topLinePunct w:val="0"/>
        <w:autoSpaceDE/>
        <w:autoSpaceDN/>
        <w:bidi w:val="0"/>
        <w:adjustRightInd w:val="0"/>
        <w:snapToGrid w:val="0"/>
        <w:spacing w:line="360" w:lineRule="auto"/>
        <w:ind w:left="0" w:firstLine="480" w:firstLineChars="200"/>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根据祁东县林业局《关于祁东县南冲风电场（大马二期）的审核意见》，南冲风电场不占用保护林地、国家公益林、天然林等。本工程占用祁东县保护林地情况详见附图14-1和附图14-2所示。</w:t>
      </w:r>
    </w:p>
    <w:p w14:paraId="19805DAD">
      <w:pPr>
        <w:pStyle w:val="5"/>
        <w:rPr>
          <w:rFonts w:hint="default" w:ascii="Times New Roman" w:hAnsi="Times New Roman" w:cs="Times New Roman"/>
          <w:color w:val="auto"/>
          <w:highlight w:val="none"/>
        </w:rPr>
      </w:pPr>
      <w:r>
        <w:rPr>
          <w:rFonts w:hint="eastAsia" w:cs="Times New Roman"/>
          <w:color w:val="auto"/>
          <w:highlight w:val="none"/>
          <w:lang w:eastAsia="zh-CN"/>
        </w:rPr>
        <w:t>陆生</w:t>
      </w:r>
      <w:r>
        <w:rPr>
          <w:rFonts w:hint="eastAsia" w:ascii="Times New Roman" w:hAnsi="Times New Roman" w:eastAsia="宋体" w:cs="Times New Roman"/>
          <w:color w:val="auto"/>
          <w:highlight w:val="none"/>
          <w:lang w:val="en-US" w:eastAsia="zh-CN"/>
        </w:rPr>
        <w:t>动物资源现状</w:t>
      </w:r>
    </w:p>
    <w:p w14:paraId="7976194F">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动物区系</w:t>
      </w:r>
    </w:p>
    <w:p w14:paraId="25590FCC">
      <w:pPr>
        <w:pStyle w:val="30"/>
        <w:rPr>
          <w:rFonts w:hint="eastAsia"/>
          <w:color w:val="auto"/>
          <w:highlight w:val="none"/>
          <w:lang w:val="en-US" w:eastAsia="zh-CN"/>
        </w:rPr>
      </w:pPr>
      <w:r>
        <w:rPr>
          <w:rFonts w:hint="eastAsia"/>
          <w:color w:val="auto"/>
          <w:highlight w:val="none"/>
          <w:lang w:val="en-US" w:eastAsia="zh-CN"/>
        </w:rPr>
        <w:t>根据《中国动物地理》(张荣祖，科学出版社，2011)，我国动物地理区划分属于世界动物地理分区的古北界与东洋界。两界在我国境内的分界线西起横断山脉北部，经过川北的岷山与陕南的秦岭，向东至淮河南岸，直抵长江口以北。我国动物区系根据陆栖脊椎动物，特别是哺乳类和鸟类的分布情况，分为东北区、华北区、蒙新区、青藏区、西南区、华中区及华南区7个区。其中前4个区属于古北界；后3个区属于东洋界。</w:t>
      </w:r>
    </w:p>
    <w:p w14:paraId="3D4191E2">
      <w:pPr>
        <w:pStyle w:val="30"/>
        <w:rPr>
          <w:rFonts w:hint="eastAsia"/>
          <w:color w:val="auto"/>
          <w:highlight w:val="none"/>
          <w:lang w:val="en-US" w:eastAsia="zh-CN"/>
        </w:rPr>
      </w:pPr>
      <w:r>
        <w:rPr>
          <w:rFonts w:hint="eastAsia"/>
          <w:color w:val="auto"/>
          <w:highlight w:val="none"/>
          <w:lang w:val="en-US" w:eastAsia="zh-CN"/>
        </w:rPr>
        <w:t>本工程评价区位于湖南省衡阳市祁东县，动物地理区划属于东洋界—华中区— 东部丘陵平原亚区—江南丘陵省—亚热带林灌农田动物群(VIA3)。</w:t>
      </w:r>
    </w:p>
    <w:p w14:paraId="63C10CAF">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物种组成</w:t>
      </w:r>
    </w:p>
    <w:p w14:paraId="2E0786C5">
      <w:pPr>
        <w:pStyle w:val="30"/>
        <w:rPr>
          <w:rFonts w:hint="eastAsia"/>
          <w:color w:val="auto"/>
          <w:highlight w:val="none"/>
          <w:lang w:val="en-US" w:eastAsia="zh-CN"/>
        </w:rPr>
      </w:pPr>
      <w:r>
        <w:rPr>
          <w:rFonts w:hint="eastAsia"/>
          <w:color w:val="auto"/>
          <w:highlight w:val="none"/>
          <w:lang w:val="en-US" w:eastAsia="zh-CN"/>
        </w:rPr>
        <w:t>根据实地考察及对相关资料的综合分析，评价区有陆生脊椎动物4纲19目54科140种，其种类组成、区系及保护级别见下表。</w:t>
      </w:r>
    </w:p>
    <w:p w14:paraId="416BA5F4">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eastAsia="宋体" w:cs="Times New Roman"/>
          <w:b/>
          <w:bCs/>
          <w:color w:val="auto"/>
          <w:kern w:val="2"/>
          <w:sz w:val="24"/>
          <w:szCs w:val="24"/>
          <w:highlight w:val="none"/>
          <w:lang w:val="en-US" w:eastAsia="zh-CN" w:bidi="ar-SA"/>
        </w:rPr>
      </w:pPr>
      <w:r>
        <w:rPr>
          <w:rFonts w:hint="default" w:ascii="Times New Roman" w:hAnsi="Times New Roman" w:eastAsia="宋体" w:cs="Times New Roman"/>
          <w:b/>
          <w:bCs/>
          <w:color w:val="auto"/>
          <w:kern w:val="2"/>
          <w:sz w:val="24"/>
          <w:szCs w:val="24"/>
          <w:highlight w:val="none"/>
          <w:lang w:val="en-US" w:eastAsia="zh-CN" w:bidi="ar-SA"/>
        </w:rPr>
        <w:t>表</w:t>
      </w:r>
      <w:r>
        <w:rPr>
          <w:rFonts w:hint="eastAsia" w:ascii="Times New Roman" w:hAnsi="Times New Roman" w:eastAsia="宋体" w:cs="Times New Roman"/>
          <w:b/>
          <w:bCs/>
          <w:color w:val="auto"/>
          <w:kern w:val="2"/>
          <w:sz w:val="24"/>
          <w:szCs w:val="24"/>
          <w:highlight w:val="none"/>
          <w:lang w:val="en-US" w:eastAsia="zh-CN" w:bidi="ar-SA"/>
        </w:rPr>
        <w:t>5.3.5-1</w:t>
      </w:r>
      <w:r>
        <w:rPr>
          <w:rFonts w:hint="default" w:ascii="Times New Roman" w:hAnsi="Times New Roman" w:eastAsia="宋体" w:cs="Times New Roman"/>
          <w:b/>
          <w:bCs/>
          <w:color w:val="auto"/>
          <w:kern w:val="2"/>
          <w:sz w:val="24"/>
          <w:szCs w:val="24"/>
          <w:highlight w:val="none"/>
          <w:lang w:val="en-US" w:eastAsia="zh-CN" w:bidi="ar-SA"/>
        </w:rPr>
        <w:t xml:space="preserve"> 评价区陆生脊椎动物种类组成、区系和保护等级</w:t>
      </w:r>
    </w:p>
    <w:tbl>
      <w:tblPr>
        <w:tblStyle w:val="38"/>
        <w:tblW w:w="5000" w:type="pct"/>
        <w:tblInd w:w="12"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056"/>
        <w:gridCol w:w="630"/>
        <w:gridCol w:w="630"/>
        <w:gridCol w:w="787"/>
        <w:gridCol w:w="940"/>
        <w:gridCol w:w="1020"/>
        <w:gridCol w:w="1027"/>
        <w:gridCol w:w="821"/>
        <w:gridCol w:w="790"/>
        <w:gridCol w:w="636"/>
      </w:tblGrid>
      <w:tr w14:paraId="11D0E9D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108" w:type="dxa"/>
            <w:gridSpan w:val="4"/>
            <w:tcBorders>
              <w:tl2br w:val="nil"/>
              <w:tr2bl w:val="nil"/>
            </w:tcBorders>
            <w:noWrap w:val="0"/>
            <w:vAlign w:val="center"/>
          </w:tcPr>
          <w:p w14:paraId="1A543DA7">
            <w:pPr>
              <w:pStyle w:val="45"/>
              <w:bidi w:val="0"/>
              <w:rPr>
                <w:b w:val="0"/>
                <w:bCs/>
                <w:color w:val="auto"/>
                <w:highlight w:val="none"/>
              </w:rPr>
            </w:pPr>
            <w:r>
              <w:rPr>
                <w:b w:val="0"/>
                <w:bCs/>
                <w:color w:val="auto"/>
                <w:highlight w:val="none"/>
              </w:rPr>
              <w:t>种类组成</w:t>
            </w:r>
          </w:p>
        </w:tc>
        <w:tc>
          <w:tcPr>
            <w:tcW w:w="2994" w:type="dxa"/>
            <w:gridSpan w:val="3"/>
            <w:tcBorders>
              <w:tl2br w:val="nil"/>
              <w:tr2bl w:val="nil"/>
            </w:tcBorders>
            <w:noWrap w:val="0"/>
            <w:vAlign w:val="center"/>
          </w:tcPr>
          <w:p w14:paraId="4A653BA8">
            <w:pPr>
              <w:pStyle w:val="45"/>
              <w:bidi w:val="0"/>
              <w:rPr>
                <w:b w:val="0"/>
                <w:bCs/>
                <w:color w:val="auto"/>
                <w:highlight w:val="none"/>
              </w:rPr>
            </w:pPr>
            <w:r>
              <w:rPr>
                <w:b w:val="0"/>
                <w:bCs/>
                <w:color w:val="auto"/>
                <w:highlight w:val="none"/>
              </w:rPr>
              <w:t>动物区系</w:t>
            </w:r>
          </w:p>
        </w:tc>
        <w:tc>
          <w:tcPr>
            <w:tcW w:w="2252" w:type="dxa"/>
            <w:gridSpan w:val="3"/>
            <w:tcBorders>
              <w:tl2br w:val="nil"/>
              <w:tr2bl w:val="nil"/>
            </w:tcBorders>
            <w:noWrap w:val="0"/>
            <w:vAlign w:val="center"/>
          </w:tcPr>
          <w:p w14:paraId="4C4A68A6">
            <w:pPr>
              <w:pStyle w:val="45"/>
              <w:bidi w:val="0"/>
              <w:rPr>
                <w:b w:val="0"/>
                <w:bCs/>
                <w:color w:val="auto"/>
                <w:highlight w:val="none"/>
              </w:rPr>
            </w:pPr>
            <w:r>
              <w:rPr>
                <w:b w:val="0"/>
                <w:bCs/>
                <w:color w:val="auto"/>
                <w:highlight w:val="none"/>
              </w:rPr>
              <w:t>保护级别</w:t>
            </w:r>
          </w:p>
        </w:tc>
      </w:tr>
      <w:tr w14:paraId="4C86B60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58" w:type="dxa"/>
            <w:tcBorders>
              <w:tl2br w:val="nil"/>
              <w:tr2bl w:val="nil"/>
            </w:tcBorders>
            <w:noWrap w:val="0"/>
            <w:vAlign w:val="center"/>
          </w:tcPr>
          <w:p w14:paraId="7412D5A3">
            <w:pPr>
              <w:pStyle w:val="45"/>
              <w:bidi w:val="0"/>
              <w:rPr>
                <w:b w:val="0"/>
                <w:bCs/>
                <w:color w:val="auto"/>
                <w:highlight w:val="none"/>
              </w:rPr>
            </w:pPr>
            <w:r>
              <w:rPr>
                <w:b w:val="0"/>
                <w:bCs/>
                <w:color w:val="auto"/>
                <w:highlight w:val="none"/>
              </w:rPr>
              <w:t>纲</w:t>
            </w:r>
          </w:p>
        </w:tc>
        <w:tc>
          <w:tcPr>
            <w:tcW w:w="631" w:type="dxa"/>
            <w:tcBorders>
              <w:tl2br w:val="nil"/>
              <w:tr2bl w:val="nil"/>
            </w:tcBorders>
            <w:noWrap w:val="0"/>
            <w:vAlign w:val="center"/>
          </w:tcPr>
          <w:p w14:paraId="32B04C99">
            <w:pPr>
              <w:pStyle w:val="45"/>
              <w:bidi w:val="0"/>
              <w:rPr>
                <w:b w:val="0"/>
                <w:bCs/>
                <w:color w:val="auto"/>
                <w:highlight w:val="none"/>
              </w:rPr>
            </w:pPr>
            <w:r>
              <w:rPr>
                <w:b w:val="0"/>
                <w:bCs/>
                <w:color w:val="auto"/>
                <w:highlight w:val="none"/>
              </w:rPr>
              <w:t>目</w:t>
            </w:r>
          </w:p>
        </w:tc>
        <w:tc>
          <w:tcPr>
            <w:tcW w:w="631" w:type="dxa"/>
            <w:tcBorders>
              <w:tl2br w:val="nil"/>
              <w:tr2bl w:val="nil"/>
            </w:tcBorders>
            <w:noWrap w:val="0"/>
            <w:vAlign w:val="center"/>
          </w:tcPr>
          <w:p w14:paraId="1064F9A8">
            <w:pPr>
              <w:pStyle w:val="45"/>
              <w:bidi w:val="0"/>
              <w:rPr>
                <w:b w:val="0"/>
                <w:bCs/>
                <w:color w:val="auto"/>
                <w:highlight w:val="none"/>
              </w:rPr>
            </w:pPr>
            <w:r>
              <w:rPr>
                <w:b w:val="0"/>
                <w:bCs/>
                <w:color w:val="auto"/>
                <w:highlight w:val="none"/>
              </w:rPr>
              <w:t>科</w:t>
            </w:r>
          </w:p>
        </w:tc>
        <w:tc>
          <w:tcPr>
            <w:tcW w:w="788" w:type="dxa"/>
            <w:tcBorders>
              <w:tl2br w:val="nil"/>
              <w:tr2bl w:val="nil"/>
            </w:tcBorders>
            <w:noWrap w:val="0"/>
            <w:vAlign w:val="center"/>
          </w:tcPr>
          <w:p w14:paraId="6F6DAB13">
            <w:pPr>
              <w:pStyle w:val="45"/>
              <w:bidi w:val="0"/>
              <w:rPr>
                <w:b w:val="0"/>
                <w:bCs/>
                <w:color w:val="auto"/>
                <w:highlight w:val="none"/>
              </w:rPr>
            </w:pPr>
            <w:r>
              <w:rPr>
                <w:b w:val="0"/>
                <w:bCs/>
                <w:color w:val="auto"/>
                <w:highlight w:val="none"/>
              </w:rPr>
              <w:t>种</w:t>
            </w:r>
          </w:p>
        </w:tc>
        <w:tc>
          <w:tcPr>
            <w:tcW w:w="942" w:type="dxa"/>
            <w:tcBorders>
              <w:tl2br w:val="nil"/>
              <w:tr2bl w:val="nil"/>
            </w:tcBorders>
            <w:noWrap w:val="0"/>
            <w:vAlign w:val="center"/>
          </w:tcPr>
          <w:p w14:paraId="28745CFB">
            <w:pPr>
              <w:pStyle w:val="45"/>
              <w:bidi w:val="0"/>
              <w:rPr>
                <w:b w:val="0"/>
                <w:bCs/>
                <w:color w:val="auto"/>
                <w:highlight w:val="none"/>
              </w:rPr>
            </w:pPr>
            <w:r>
              <w:rPr>
                <w:b w:val="0"/>
                <w:bCs/>
                <w:color w:val="auto"/>
                <w:highlight w:val="none"/>
              </w:rPr>
              <w:t>东洋种</w:t>
            </w:r>
          </w:p>
        </w:tc>
        <w:tc>
          <w:tcPr>
            <w:tcW w:w="1023" w:type="dxa"/>
            <w:tcBorders>
              <w:tl2br w:val="nil"/>
              <w:tr2bl w:val="nil"/>
            </w:tcBorders>
            <w:noWrap w:val="0"/>
            <w:vAlign w:val="center"/>
          </w:tcPr>
          <w:p w14:paraId="5BAEAB37">
            <w:pPr>
              <w:pStyle w:val="45"/>
              <w:bidi w:val="0"/>
              <w:rPr>
                <w:b w:val="0"/>
                <w:bCs/>
                <w:color w:val="auto"/>
                <w:highlight w:val="none"/>
              </w:rPr>
            </w:pPr>
            <w:r>
              <w:rPr>
                <w:b w:val="0"/>
                <w:bCs/>
                <w:color w:val="auto"/>
                <w:highlight w:val="none"/>
              </w:rPr>
              <w:t>古北种</w:t>
            </w:r>
          </w:p>
        </w:tc>
        <w:tc>
          <w:tcPr>
            <w:tcW w:w="1029" w:type="dxa"/>
            <w:tcBorders>
              <w:tl2br w:val="nil"/>
              <w:tr2bl w:val="nil"/>
            </w:tcBorders>
            <w:noWrap w:val="0"/>
            <w:vAlign w:val="center"/>
          </w:tcPr>
          <w:p w14:paraId="21772448">
            <w:pPr>
              <w:pStyle w:val="45"/>
              <w:bidi w:val="0"/>
              <w:rPr>
                <w:b w:val="0"/>
                <w:bCs/>
                <w:color w:val="auto"/>
                <w:highlight w:val="none"/>
              </w:rPr>
            </w:pPr>
            <w:r>
              <w:rPr>
                <w:b w:val="0"/>
                <w:bCs/>
                <w:color w:val="auto"/>
                <w:highlight w:val="none"/>
              </w:rPr>
              <w:t>广布种</w:t>
            </w:r>
          </w:p>
        </w:tc>
        <w:tc>
          <w:tcPr>
            <w:tcW w:w="824" w:type="dxa"/>
            <w:tcBorders>
              <w:tl2br w:val="nil"/>
              <w:tr2bl w:val="nil"/>
            </w:tcBorders>
            <w:noWrap w:val="0"/>
            <w:vAlign w:val="center"/>
          </w:tcPr>
          <w:p w14:paraId="63AD9618">
            <w:pPr>
              <w:pStyle w:val="45"/>
              <w:bidi w:val="0"/>
              <w:rPr>
                <w:b w:val="0"/>
                <w:bCs/>
                <w:color w:val="auto"/>
                <w:highlight w:val="none"/>
              </w:rPr>
            </w:pPr>
            <w:r>
              <w:rPr>
                <w:b w:val="0"/>
                <w:bCs/>
                <w:color w:val="auto"/>
                <w:highlight w:val="none"/>
              </w:rPr>
              <w:t>国家</w:t>
            </w:r>
          </w:p>
          <w:p w14:paraId="435EC6C5">
            <w:pPr>
              <w:pStyle w:val="45"/>
              <w:bidi w:val="0"/>
              <w:rPr>
                <w:b w:val="0"/>
                <w:bCs/>
                <w:color w:val="auto"/>
                <w:highlight w:val="none"/>
              </w:rPr>
            </w:pPr>
            <w:r>
              <w:rPr>
                <w:b w:val="0"/>
                <w:bCs/>
                <w:color w:val="auto"/>
                <w:highlight w:val="none"/>
              </w:rPr>
              <w:t>I 级</w:t>
            </w:r>
          </w:p>
        </w:tc>
        <w:tc>
          <w:tcPr>
            <w:tcW w:w="791" w:type="dxa"/>
            <w:tcBorders>
              <w:tl2br w:val="nil"/>
              <w:tr2bl w:val="nil"/>
            </w:tcBorders>
            <w:noWrap w:val="0"/>
            <w:vAlign w:val="center"/>
          </w:tcPr>
          <w:p w14:paraId="62AA8690">
            <w:pPr>
              <w:pStyle w:val="45"/>
              <w:bidi w:val="0"/>
              <w:rPr>
                <w:b w:val="0"/>
                <w:bCs/>
                <w:color w:val="auto"/>
                <w:highlight w:val="none"/>
              </w:rPr>
            </w:pPr>
            <w:r>
              <w:rPr>
                <w:b w:val="0"/>
                <w:bCs/>
                <w:color w:val="auto"/>
                <w:highlight w:val="none"/>
              </w:rPr>
              <w:t>国家</w:t>
            </w:r>
          </w:p>
          <w:p w14:paraId="495C5A6D">
            <w:pPr>
              <w:pStyle w:val="45"/>
              <w:bidi w:val="0"/>
              <w:rPr>
                <w:b w:val="0"/>
                <w:bCs/>
                <w:color w:val="auto"/>
                <w:highlight w:val="none"/>
              </w:rPr>
            </w:pPr>
            <w:r>
              <w:rPr>
                <w:b w:val="0"/>
                <w:bCs/>
                <w:color w:val="auto"/>
                <w:highlight w:val="none"/>
              </w:rPr>
              <w:t>Ⅱ级</w:t>
            </w:r>
          </w:p>
        </w:tc>
        <w:tc>
          <w:tcPr>
            <w:tcW w:w="637" w:type="dxa"/>
            <w:tcBorders>
              <w:tl2br w:val="nil"/>
              <w:tr2bl w:val="nil"/>
            </w:tcBorders>
            <w:noWrap w:val="0"/>
            <w:vAlign w:val="center"/>
          </w:tcPr>
          <w:p w14:paraId="6AAD41CF">
            <w:pPr>
              <w:pStyle w:val="45"/>
              <w:bidi w:val="0"/>
              <w:rPr>
                <w:b w:val="0"/>
                <w:bCs/>
                <w:color w:val="auto"/>
                <w:highlight w:val="none"/>
              </w:rPr>
            </w:pPr>
            <w:r>
              <w:rPr>
                <w:b w:val="0"/>
                <w:bCs/>
                <w:color w:val="auto"/>
                <w:highlight w:val="none"/>
              </w:rPr>
              <w:t>湖南 省级</w:t>
            </w:r>
          </w:p>
        </w:tc>
      </w:tr>
      <w:tr w14:paraId="3DD4D84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58" w:type="dxa"/>
            <w:tcBorders>
              <w:tl2br w:val="nil"/>
              <w:tr2bl w:val="nil"/>
            </w:tcBorders>
            <w:noWrap w:val="0"/>
            <w:vAlign w:val="center"/>
          </w:tcPr>
          <w:p w14:paraId="794EF6EC">
            <w:pPr>
              <w:pStyle w:val="45"/>
              <w:bidi w:val="0"/>
              <w:rPr>
                <w:b w:val="0"/>
                <w:bCs/>
                <w:color w:val="auto"/>
                <w:highlight w:val="none"/>
              </w:rPr>
            </w:pPr>
            <w:r>
              <w:rPr>
                <w:b w:val="0"/>
                <w:bCs/>
                <w:color w:val="auto"/>
                <w:highlight w:val="none"/>
              </w:rPr>
              <w:t>两栖纲</w:t>
            </w:r>
          </w:p>
        </w:tc>
        <w:tc>
          <w:tcPr>
            <w:tcW w:w="631" w:type="dxa"/>
            <w:tcBorders>
              <w:tl2br w:val="nil"/>
              <w:tr2bl w:val="nil"/>
            </w:tcBorders>
            <w:noWrap w:val="0"/>
            <w:vAlign w:val="center"/>
          </w:tcPr>
          <w:p w14:paraId="20480960">
            <w:pPr>
              <w:pStyle w:val="45"/>
              <w:bidi w:val="0"/>
              <w:rPr>
                <w:b w:val="0"/>
                <w:bCs/>
                <w:color w:val="auto"/>
                <w:highlight w:val="none"/>
              </w:rPr>
            </w:pPr>
            <w:r>
              <w:rPr>
                <w:b w:val="0"/>
                <w:bCs/>
                <w:color w:val="auto"/>
                <w:highlight w:val="none"/>
              </w:rPr>
              <w:t>1</w:t>
            </w:r>
          </w:p>
        </w:tc>
        <w:tc>
          <w:tcPr>
            <w:tcW w:w="631" w:type="dxa"/>
            <w:tcBorders>
              <w:tl2br w:val="nil"/>
              <w:tr2bl w:val="nil"/>
            </w:tcBorders>
            <w:noWrap w:val="0"/>
            <w:vAlign w:val="center"/>
          </w:tcPr>
          <w:p w14:paraId="0FFA7ED1">
            <w:pPr>
              <w:pStyle w:val="45"/>
              <w:bidi w:val="0"/>
              <w:rPr>
                <w:b w:val="0"/>
                <w:bCs/>
                <w:color w:val="auto"/>
                <w:highlight w:val="none"/>
              </w:rPr>
            </w:pPr>
            <w:r>
              <w:rPr>
                <w:b w:val="0"/>
                <w:bCs/>
                <w:color w:val="auto"/>
                <w:highlight w:val="none"/>
              </w:rPr>
              <w:t>5</w:t>
            </w:r>
          </w:p>
        </w:tc>
        <w:tc>
          <w:tcPr>
            <w:tcW w:w="788" w:type="dxa"/>
            <w:tcBorders>
              <w:tl2br w:val="nil"/>
              <w:tr2bl w:val="nil"/>
            </w:tcBorders>
            <w:noWrap w:val="0"/>
            <w:vAlign w:val="center"/>
          </w:tcPr>
          <w:p w14:paraId="52AA7BBA">
            <w:pPr>
              <w:pStyle w:val="45"/>
              <w:bidi w:val="0"/>
              <w:rPr>
                <w:b w:val="0"/>
                <w:bCs/>
                <w:color w:val="auto"/>
                <w:highlight w:val="none"/>
              </w:rPr>
            </w:pPr>
            <w:r>
              <w:rPr>
                <w:b w:val="0"/>
                <w:bCs/>
                <w:color w:val="auto"/>
                <w:highlight w:val="none"/>
              </w:rPr>
              <w:t>12</w:t>
            </w:r>
          </w:p>
        </w:tc>
        <w:tc>
          <w:tcPr>
            <w:tcW w:w="942" w:type="dxa"/>
            <w:tcBorders>
              <w:tl2br w:val="nil"/>
              <w:tr2bl w:val="nil"/>
            </w:tcBorders>
            <w:noWrap w:val="0"/>
            <w:vAlign w:val="center"/>
          </w:tcPr>
          <w:p w14:paraId="01A985A1">
            <w:pPr>
              <w:pStyle w:val="45"/>
              <w:bidi w:val="0"/>
              <w:rPr>
                <w:b w:val="0"/>
                <w:bCs/>
                <w:color w:val="auto"/>
                <w:highlight w:val="none"/>
              </w:rPr>
            </w:pPr>
            <w:r>
              <w:rPr>
                <w:b w:val="0"/>
                <w:bCs/>
                <w:color w:val="auto"/>
                <w:highlight w:val="none"/>
              </w:rPr>
              <w:t>10</w:t>
            </w:r>
          </w:p>
        </w:tc>
        <w:tc>
          <w:tcPr>
            <w:tcW w:w="1023" w:type="dxa"/>
            <w:tcBorders>
              <w:tl2br w:val="nil"/>
              <w:tr2bl w:val="nil"/>
            </w:tcBorders>
            <w:noWrap w:val="0"/>
            <w:vAlign w:val="center"/>
          </w:tcPr>
          <w:p w14:paraId="2B69A833">
            <w:pPr>
              <w:pStyle w:val="45"/>
              <w:bidi w:val="0"/>
              <w:rPr>
                <w:b w:val="0"/>
                <w:bCs/>
                <w:color w:val="auto"/>
                <w:highlight w:val="none"/>
              </w:rPr>
            </w:pPr>
            <w:r>
              <w:rPr>
                <w:b w:val="0"/>
                <w:bCs/>
                <w:color w:val="auto"/>
                <w:highlight w:val="none"/>
              </w:rPr>
              <w:t>0</w:t>
            </w:r>
          </w:p>
        </w:tc>
        <w:tc>
          <w:tcPr>
            <w:tcW w:w="1029" w:type="dxa"/>
            <w:tcBorders>
              <w:tl2br w:val="nil"/>
              <w:tr2bl w:val="nil"/>
            </w:tcBorders>
            <w:noWrap w:val="0"/>
            <w:vAlign w:val="center"/>
          </w:tcPr>
          <w:p w14:paraId="46B1CF95">
            <w:pPr>
              <w:pStyle w:val="45"/>
              <w:bidi w:val="0"/>
              <w:rPr>
                <w:b w:val="0"/>
                <w:bCs/>
                <w:color w:val="auto"/>
                <w:highlight w:val="none"/>
              </w:rPr>
            </w:pPr>
            <w:r>
              <w:rPr>
                <w:b w:val="0"/>
                <w:bCs/>
                <w:color w:val="auto"/>
                <w:highlight w:val="none"/>
              </w:rPr>
              <w:t>2</w:t>
            </w:r>
          </w:p>
        </w:tc>
        <w:tc>
          <w:tcPr>
            <w:tcW w:w="824" w:type="dxa"/>
            <w:tcBorders>
              <w:tl2br w:val="nil"/>
              <w:tr2bl w:val="nil"/>
            </w:tcBorders>
            <w:noWrap w:val="0"/>
            <w:vAlign w:val="center"/>
          </w:tcPr>
          <w:p w14:paraId="0D9EE113">
            <w:pPr>
              <w:pStyle w:val="45"/>
              <w:bidi w:val="0"/>
              <w:rPr>
                <w:b w:val="0"/>
                <w:bCs/>
                <w:color w:val="auto"/>
                <w:highlight w:val="none"/>
              </w:rPr>
            </w:pPr>
            <w:r>
              <w:rPr>
                <w:b w:val="0"/>
                <w:bCs/>
                <w:color w:val="auto"/>
                <w:highlight w:val="none"/>
              </w:rPr>
              <w:t>0</w:t>
            </w:r>
          </w:p>
        </w:tc>
        <w:tc>
          <w:tcPr>
            <w:tcW w:w="791" w:type="dxa"/>
            <w:tcBorders>
              <w:tl2br w:val="nil"/>
              <w:tr2bl w:val="nil"/>
            </w:tcBorders>
            <w:noWrap w:val="0"/>
            <w:vAlign w:val="center"/>
          </w:tcPr>
          <w:p w14:paraId="633E798E">
            <w:pPr>
              <w:pStyle w:val="45"/>
              <w:bidi w:val="0"/>
              <w:rPr>
                <w:b w:val="0"/>
                <w:bCs/>
                <w:color w:val="auto"/>
                <w:highlight w:val="none"/>
              </w:rPr>
            </w:pPr>
            <w:r>
              <w:rPr>
                <w:b w:val="0"/>
                <w:bCs/>
                <w:color w:val="auto"/>
                <w:highlight w:val="none"/>
              </w:rPr>
              <w:t>1</w:t>
            </w:r>
          </w:p>
        </w:tc>
        <w:tc>
          <w:tcPr>
            <w:tcW w:w="637" w:type="dxa"/>
            <w:tcBorders>
              <w:tl2br w:val="nil"/>
              <w:tr2bl w:val="nil"/>
            </w:tcBorders>
            <w:noWrap w:val="0"/>
            <w:vAlign w:val="center"/>
          </w:tcPr>
          <w:p w14:paraId="051D42DA">
            <w:pPr>
              <w:pStyle w:val="45"/>
              <w:bidi w:val="0"/>
              <w:rPr>
                <w:b w:val="0"/>
                <w:bCs/>
                <w:color w:val="auto"/>
                <w:highlight w:val="none"/>
              </w:rPr>
            </w:pPr>
            <w:r>
              <w:rPr>
                <w:b w:val="0"/>
                <w:bCs/>
                <w:color w:val="auto"/>
                <w:highlight w:val="none"/>
              </w:rPr>
              <w:t>10</w:t>
            </w:r>
          </w:p>
        </w:tc>
      </w:tr>
      <w:tr w14:paraId="79D47C7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58" w:type="dxa"/>
            <w:tcBorders>
              <w:tl2br w:val="nil"/>
              <w:tr2bl w:val="nil"/>
            </w:tcBorders>
            <w:noWrap w:val="0"/>
            <w:vAlign w:val="center"/>
          </w:tcPr>
          <w:p w14:paraId="4118A4B7">
            <w:pPr>
              <w:pStyle w:val="45"/>
              <w:bidi w:val="0"/>
              <w:rPr>
                <w:b w:val="0"/>
                <w:bCs/>
                <w:color w:val="auto"/>
                <w:highlight w:val="none"/>
              </w:rPr>
            </w:pPr>
            <w:r>
              <w:rPr>
                <w:b w:val="0"/>
                <w:bCs/>
                <w:color w:val="auto"/>
                <w:highlight w:val="none"/>
              </w:rPr>
              <w:t>爬行纲</w:t>
            </w:r>
          </w:p>
        </w:tc>
        <w:tc>
          <w:tcPr>
            <w:tcW w:w="631" w:type="dxa"/>
            <w:tcBorders>
              <w:tl2br w:val="nil"/>
              <w:tr2bl w:val="nil"/>
            </w:tcBorders>
            <w:noWrap w:val="0"/>
            <w:vAlign w:val="center"/>
          </w:tcPr>
          <w:p w14:paraId="50FF17D0">
            <w:pPr>
              <w:pStyle w:val="45"/>
              <w:bidi w:val="0"/>
              <w:rPr>
                <w:b w:val="0"/>
                <w:bCs/>
                <w:color w:val="auto"/>
                <w:highlight w:val="none"/>
              </w:rPr>
            </w:pPr>
            <w:r>
              <w:rPr>
                <w:b w:val="0"/>
                <w:bCs/>
                <w:color w:val="auto"/>
                <w:highlight w:val="none"/>
              </w:rPr>
              <w:t>1</w:t>
            </w:r>
          </w:p>
        </w:tc>
        <w:tc>
          <w:tcPr>
            <w:tcW w:w="631" w:type="dxa"/>
            <w:tcBorders>
              <w:tl2br w:val="nil"/>
              <w:tr2bl w:val="nil"/>
            </w:tcBorders>
            <w:noWrap w:val="0"/>
            <w:vAlign w:val="center"/>
          </w:tcPr>
          <w:p w14:paraId="07123DD8">
            <w:pPr>
              <w:pStyle w:val="45"/>
              <w:bidi w:val="0"/>
              <w:rPr>
                <w:b w:val="0"/>
                <w:bCs/>
                <w:color w:val="auto"/>
                <w:highlight w:val="none"/>
              </w:rPr>
            </w:pPr>
            <w:r>
              <w:rPr>
                <w:b w:val="0"/>
                <w:bCs/>
                <w:color w:val="auto"/>
                <w:highlight w:val="none"/>
              </w:rPr>
              <w:t>7</w:t>
            </w:r>
          </w:p>
        </w:tc>
        <w:tc>
          <w:tcPr>
            <w:tcW w:w="788" w:type="dxa"/>
            <w:tcBorders>
              <w:tl2br w:val="nil"/>
              <w:tr2bl w:val="nil"/>
            </w:tcBorders>
            <w:noWrap w:val="0"/>
            <w:vAlign w:val="center"/>
          </w:tcPr>
          <w:p w14:paraId="1EDE0213">
            <w:pPr>
              <w:pStyle w:val="45"/>
              <w:bidi w:val="0"/>
              <w:rPr>
                <w:b w:val="0"/>
                <w:bCs/>
                <w:color w:val="auto"/>
                <w:highlight w:val="none"/>
              </w:rPr>
            </w:pPr>
            <w:r>
              <w:rPr>
                <w:b w:val="0"/>
                <w:bCs/>
                <w:color w:val="auto"/>
                <w:highlight w:val="none"/>
              </w:rPr>
              <w:t>17</w:t>
            </w:r>
          </w:p>
        </w:tc>
        <w:tc>
          <w:tcPr>
            <w:tcW w:w="942" w:type="dxa"/>
            <w:tcBorders>
              <w:tl2br w:val="nil"/>
              <w:tr2bl w:val="nil"/>
            </w:tcBorders>
            <w:noWrap w:val="0"/>
            <w:vAlign w:val="center"/>
          </w:tcPr>
          <w:p w14:paraId="1819138A">
            <w:pPr>
              <w:pStyle w:val="45"/>
              <w:bidi w:val="0"/>
              <w:rPr>
                <w:b w:val="0"/>
                <w:bCs/>
                <w:color w:val="auto"/>
                <w:highlight w:val="none"/>
              </w:rPr>
            </w:pPr>
            <w:r>
              <w:rPr>
                <w:b w:val="0"/>
                <w:bCs/>
                <w:color w:val="auto"/>
                <w:highlight w:val="none"/>
              </w:rPr>
              <w:t>11</w:t>
            </w:r>
          </w:p>
        </w:tc>
        <w:tc>
          <w:tcPr>
            <w:tcW w:w="1023" w:type="dxa"/>
            <w:tcBorders>
              <w:tl2br w:val="nil"/>
              <w:tr2bl w:val="nil"/>
            </w:tcBorders>
            <w:noWrap w:val="0"/>
            <w:vAlign w:val="center"/>
          </w:tcPr>
          <w:p w14:paraId="077533F0">
            <w:pPr>
              <w:pStyle w:val="45"/>
              <w:bidi w:val="0"/>
              <w:rPr>
                <w:b w:val="0"/>
                <w:bCs/>
                <w:color w:val="auto"/>
                <w:highlight w:val="none"/>
              </w:rPr>
            </w:pPr>
            <w:r>
              <w:rPr>
                <w:b w:val="0"/>
                <w:bCs/>
                <w:color w:val="auto"/>
                <w:highlight w:val="none"/>
              </w:rPr>
              <w:t>0</w:t>
            </w:r>
          </w:p>
        </w:tc>
        <w:tc>
          <w:tcPr>
            <w:tcW w:w="1029" w:type="dxa"/>
            <w:tcBorders>
              <w:tl2br w:val="nil"/>
              <w:tr2bl w:val="nil"/>
            </w:tcBorders>
            <w:noWrap w:val="0"/>
            <w:vAlign w:val="center"/>
          </w:tcPr>
          <w:p w14:paraId="5E4F907F">
            <w:pPr>
              <w:pStyle w:val="45"/>
              <w:bidi w:val="0"/>
              <w:rPr>
                <w:b w:val="0"/>
                <w:bCs/>
                <w:color w:val="auto"/>
                <w:highlight w:val="none"/>
              </w:rPr>
            </w:pPr>
            <w:r>
              <w:rPr>
                <w:b w:val="0"/>
                <w:bCs/>
                <w:color w:val="auto"/>
                <w:highlight w:val="none"/>
              </w:rPr>
              <w:t>6</w:t>
            </w:r>
          </w:p>
        </w:tc>
        <w:tc>
          <w:tcPr>
            <w:tcW w:w="824" w:type="dxa"/>
            <w:tcBorders>
              <w:tl2br w:val="nil"/>
              <w:tr2bl w:val="nil"/>
            </w:tcBorders>
            <w:noWrap w:val="0"/>
            <w:vAlign w:val="center"/>
          </w:tcPr>
          <w:p w14:paraId="29394988">
            <w:pPr>
              <w:pStyle w:val="45"/>
              <w:bidi w:val="0"/>
              <w:rPr>
                <w:b w:val="0"/>
                <w:bCs/>
                <w:color w:val="auto"/>
                <w:highlight w:val="none"/>
              </w:rPr>
            </w:pPr>
            <w:r>
              <w:rPr>
                <w:b w:val="0"/>
                <w:bCs/>
                <w:color w:val="auto"/>
                <w:highlight w:val="none"/>
              </w:rPr>
              <w:t>0</w:t>
            </w:r>
          </w:p>
        </w:tc>
        <w:tc>
          <w:tcPr>
            <w:tcW w:w="791" w:type="dxa"/>
            <w:tcBorders>
              <w:tl2br w:val="nil"/>
              <w:tr2bl w:val="nil"/>
            </w:tcBorders>
            <w:noWrap w:val="0"/>
            <w:vAlign w:val="center"/>
          </w:tcPr>
          <w:p w14:paraId="66FE5D77">
            <w:pPr>
              <w:pStyle w:val="45"/>
              <w:bidi w:val="0"/>
              <w:rPr>
                <w:b w:val="0"/>
                <w:bCs/>
                <w:color w:val="auto"/>
                <w:highlight w:val="none"/>
              </w:rPr>
            </w:pPr>
            <w:r>
              <w:rPr>
                <w:b w:val="0"/>
                <w:bCs/>
                <w:color w:val="auto"/>
                <w:highlight w:val="none"/>
              </w:rPr>
              <w:t>0</w:t>
            </w:r>
          </w:p>
        </w:tc>
        <w:tc>
          <w:tcPr>
            <w:tcW w:w="637" w:type="dxa"/>
            <w:tcBorders>
              <w:tl2br w:val="nil"/>
              <w:tr2bl w:val="nil"/>
            </w:tcBorders>
            <w:noWrap w:val="0"/>
            <w:vAlign w:val="center"/>
          </w:tcPr>
          <w:p w14:paraId="5E53FB91">
            <w:pPr>
              <w:pStyle w:val="45"/>
              <w:bidi w:val="0"/>
              <w:rPr>
                <w:b w:val="0"/>
                <w:bCs/>
                <w:color w:val="auto"/>
                <w:highlight w:val="none"/>
              </w:rPr>
            </w:pPr>
            <w:r>
              <w:rPr>
                <w:b w:val="0"/>
                <w:bCs/>
                <w:color w:val="auto"/>
                <w:highlight w:val="none"/>
              </w:rPr>
              <w:t>16</w:t>
            </w:r>
          </w:p>
        </w:tc>
      </w:tr>
      <w:tr w14:paraId="353E405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58" w:type="dxa"/>
            <w:tcBorders>
              <w:tl2br w:val="nil"/>
              <w:tr2bl w:val="nil"/>
            </w:tcBorders>
            <w:noWrap w:val="0"/>
            <w:vAlign w:val="center"/>
          </w:tcPr>
          <w:p w14:paraId="1DF991C0">
            <w:pPr>
              <w:pStyle w:val="45"/>
              <w:bidi w:val="0"/>
              <w:rPr>
                <w:b w:val="0"/>
                <w:bCs/>
                <w:color w:val="auto"/>
                <w:highlight w:val="none"/>
              </w:rPr>
            </w:pPr>
            <w:r>
              <w:rPr>
                <w:b w:val="0"/>
                <w:bCs/>
                <w:color w:val="auto"/>
                <w:highlight w:val="none"/>
              </w:rPr>
              <w:t>鸟纲</w:t>
            </w:r>
          </w:p>
        </w:tc>
        <w:tc>
          <w:tcPr>
            <w:tcW w:w="631" w:type="dxa"/>
            <w:tcBorders>
              <w:tl2br w:val="nil"/>
              <w:tr2bl w:val="nil"/>
            </w:tcBorders>
            <w:noWrap w:val="0"/>
            <w:vAlign w:val="center"/>
          </w:tcPr>
          <w:p w14:paraId="2615D0DC">
            <w:pPr>
              <w:pStyle w:val="45"/>
              <w:bidi w:val="0"/>
              <w:rPr>
                <w:b w:val="0"/>
                <w:bCs/>
                <w:color w:val="auto"/>
                <w:highlight w:val="none"/>
              </w:rPr>
            </w:pPr>
            <w:r>
              <w:rPr>
                <w:b w:val="0"/>
                <w:bCs/>
                <w:color w:val="auto"/>
                <w:highlight w:val="none"/>
              </w:rPr>
              <w:t>11</w:t>
            </w:r>
          </w:p>
        </w:tc>
        <w:tc>
          <w:tcPr>
            <w:tcW w:w="631" w:type="dxa"/>
            <w:tcBorders>
              <w:tl2br w:val="nil"/>
              <w:tr2bl w:val="nil"/>
            </w:tcBorders>
            <w:noWrap w:val="0"/>
            <w:vAlign w:val="center"/>
          </w:tcPr>
          <w:p w14:paraId="2A8822EA">
            <w:pPr>
              <w:pStyle w:val="45"/>
              <w:bidi w:val="0"/>
              <w:rPr>
                <w:b w:val="0"/>
                <w:bCs/>
                <w:color w:val="auto"/>
                <w:highlight w:val="none"/>
              </w:rPr>
            </w:pPr>
            <w:r>
              <w:rPr>
                <w:b w:val="0"/>
                <w:bCs/>
                <w:color w:val="auto"/>
                <w:highlight w:val="none"/>
              </w:rPr>
              <w:t>33</w:t>
            </w:r>
          </w:p>
        </w:tc>
        <w:tc>
          <w:tcPr>
            <w:tcW w:w="788" w:type="dxa"/>
            <w:tcBorders>
              <w:tl2br w:val="nil"/>
              <w:tr2bl w:val="nil"/>
            </w:tcBorders>
            <w:noWrap w:val="0"/>
            <w:vAlign w:val="center"/>
          </w:tcPr>
          <w:p w14:paraId="019ECD17">
            <w:pPr>
              <w:pStyle w:val="45"/>
              <w:bidi w:val="0"/>
              <w:rPr>
                <w:b w:val="0"/>
                <w:bCs/>
                <w:color w:val="auto"/>
                <w:highlight w:val="none"/>
              </w:rPr>
            </w:pPr>
            <w:r>
              <w:rPr>
                <w:b w:val="0"/>
                <w:bCs/>
                <w:color w:val="auto"/>
                <w:highlight w:val="none"/>
              </w:rPr>
              <w:t>96</w:t>
            </w:r>
          </w:p>
        </w:tc>
        <w:tc>
          <w:tcPr>
            <w:tcW w:w="942" w:type="dxa"/>
            <w:tcBorders>
              <w:tl2br w:val="nil"/>
              <w:tr2bl w:val="nil"/>
            </w:tcBorders>
            <w:noWrap w:val="0"/>
            <w:vAlign w:val="center"/>
          </w:tcPr>
          <w:p w14:paraId="1A2A1E49">
            <w:pPr>
              <w:pStyle w:val="45"/>
              <w:bidi w:val="0"/>
              <w:rPr>
                <w:b w:val="0"/>
                <w:bCs/>
                <w:color w:val="auto"/>
                <w:highlight w:val="none"/>
              </w:rPr>
            </w:pPr>
            <w:r>
              <w:rPr>
                <w:b w:val="0"/>
                <w:bCs/>
                <w:color w:val="auto"/>
                <w:highlight w:val="none"/>
              </w:rPr>
              <w:t>49</w:t>
            </w:r>
          </w:p>
        </w:tc>
        <w:tc>
          <w:tcPr>
            <w:tcW w:w="1023" w:type="dxa"/>
            <w:tcBorders>
              <w:tl2br w:val="nil"/>
              <w:tr2bl w:val="nil"/>
            </w:tcBorders>
            <w:noWrap w:val="0"/>
            <w:vAlign w:val="center"/>
          </w:tcPr>
          <w:p w14:paraId="57CCBD81">
            <w:pPr>
              <w:pStyle w:val="45"/>
              <w:bidi w:val="0"/>
              <w:rPr>
                <w:b w:val="0"/>
                <w:bCs/>
                <w:color w:val="auto"/>
                <w:highlight w:val="none"/>
              </w:rPr>
            </w:pPr>
            <w:r>
              <w:rPr>
                <w:b w:val="0"/>
                <w:bCs/>
                <w:color w:val="auto"/>
                <w:highlight w:val="none"/>
              </w:rPr>
              <w:t>19</w:t>
            </w:r>
          </w:p>
        </w:tc>
        <w:tc>
          <w:tcPr>
            <w:tcW w:w="1029" w:type="dxa"/>
            <w:tcBorders>
              <w:tl2br w:val="nil"/>
              <w:tr2bl w:val="nil"/>
            </w:tcBorders>
            <w:noWrap w:val="0"/>
            <w:vAlign w:val="center"/>
          </w:tcPr>
          <w:p w14:paraId="6EDF2383">
            <w:pPr>
              <w:pStyle w:val="45"/>
              <w:bidi w:val="0"/>
              <w:rPr>
                <w:b w:val="0"/>
                <w:bCs/>
                <w:color w:val="auto"/>
                <w:highlight w:val="none"/>
              </w:rPr>
            </w:pPr>
            <w:r>
              <w:rPr>
                <w:b w:val="0"/>
                <w:bCs/>
                <w:color w:val="auto"/>
                <w:highlight w:val="none"/>
              </w:rPr>
              <w:t>28</w:t>
            </w:r>
          </w:p>
        </w:tc>
        <w:tc>
          <w:tcPr>
            <w:tcW w:w="824" w:type="dxa"/>
            <w:tcBorders>
              <w:tl2br w:val="nil"/>
              <w:tr2bl w:val="nil"/>
            </w:tcBorders>
            <w:noWrap w:val="0"/>
            <w:vAlign w:val="center"/>
          </w:tcPr>
          <w:p w14:paraId="711EFFE0">
            <w:pPr>
              <w:pStyle w:val="45"/>
              <w:bidi w:val="0"/>
              <w:rPr>
                <w:b w:val="0"/>
                <w:bCs/>
                <w:color w:val="auto"/>
                <w:highlight w:val="none"/>
              </w:rPr>
            </w:pPr>
            <w:r>
              <w:rPr>
                <w:b w:val="0"/>
                <w:bCs/>
                <w:color w:val="auto"/>
                <w:highlight w:val="none"/>
              </w:rPr>
              <w:t>0</w:t>
            </w:r>
          </w:p>
        </w:tc>
        <w:tc>
          <w:tcPr>
            <w:tcW w:w="791" w:type="dxa"/>
            <w:tcBorders>
              <w:tl2br w:val="nil"/>
              <w:tr2bl w:val="nil"/>
            </w:tcBorders>
            <w:noWrap w:val="0"/>
            <w:vAlign w:val="center"/>
          </w:tcPr>
          <w:p w14:paraId="6623F914">
            <w:pPr>
              <w:pStyle w:val="45"/>
              <w:bidi w:val="0"/>
              <w:rPr>
                <w:b w:val="0"/>
                <w:bCs/>
                <w:color w:val="auto"/>
                <w:highlight w:val="none"/>
              </w:rPr>
            </w:pPr>
            <w:r>
              <w:rPr>
                <w:b w:val="0"/>
                <w:bCs/>
                <w:color w:val="auto"/>
                <w:highlight w:val="none"/>
              </w:rPr>
              <w:t>8</w:t>
            </w:r>
          </w:p>
        </w:tc>
        <w:tc>
          <w:tcPr>
            <w:tcW w:w="637" w:type="dxa"/>
            <w:tcBorders>
              <w:tl2br w:val="nil"/>
              <w:tr2bl w:val="nil"/>
            </w:tcBorders>
            <w:noWrap w:val="0"/>
            <w:vAlign w:val="center"/>
          </w:tcPr>
          <w:p w14:paraId="6DE19DE1">
            <w:pPr>
              <w:pStyle w:val="45"/>
              <w:bidi w:val="0"/>
              <w:rPr>
                <w:b w:val="0"/>
                <w:bCs/>
                <w:color w:val="auto"/>
                <w:highlight w:val="none"/>
              </w:rPr>
            </w:pPr>
            <w:r>
              <w:rPr>
                <w:b w:val="0"/>
                <w:bCs/>
                <w:color w:val="auto"/>
                <w:highlight w:val="none"/>
              </w:rPr>
              <w:t>48</w:t>
            </w:r>
          </w:p>
        </w:tc>
      </w:tr>
      <w:tr w14:paraId="1CCAF3B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58" w:type="dxa"/>
            <w:tcBorders>
              <w:tl2br w:val="nil"/>
              <w:tr2bl w:val="nil"/>
            </w:tcBorders>
            <w:noWrap w:val="0"/>
            <w:vAlign w:val="center"/>
          </w:tcPr>
          <w:p w14:paraId="1894BA73">
            <w:pPr>
              <w:pStyle w:val="45"/>
              <w:bidi w:val="0"/>
              <w:rPr>
                <w:b w:val="0"/>
                <w:bCs/>
                <w:color w:val="auto"/>
                <w:highlight w:val="none"/>
              </w:rPr>
            </w:pPr>
            <w:r>
              <w:rPr>
                <w:b w:val="0"/>
                <w:bCs/>
                <w:color w:val="auto"/>
                <w:highlight w:val="none"/>
              </w:rPr>
              <w:t>哺乳纲</w:t>
            </w:r>
          </w:p>
        </w:tc>
        <w:tc>
          <w:tcPr>
            <w:tcW w:w="631" w:type="dxa"/>
            <w:tcBorders>
              <w:tl2br w:val="nil"/>
              <w:tr2bl w:val="nil"/>
            </w:tcBorders>
            <w:noWrap w:val="0"/>
            <w:vAlign w:val="center"/>
          </w:tcPr>
          <w:p w14:paraId="6B79BB84">
            <w:pPr>
              <w:pStyle w:val="45"/>
              <w:bidi w:val="0"/>
              <w:rPr>
                <w:b w:val="0"/>
                <w:bCs/>
                <w:color w:val="auto"/>
                <w:highlight w:val="none"/>
              </w:rPr>
            </w:pPr>
            <w:r>
              <w:rPr>
                <w:b w:val="0"/>
                <w:bCs/>
                <w:color w:val="auto"/>
                <w:highlight w:val="none"/>
              </w:rPr>
              <w:t>6</w:t>
            </w:r>
          </w:p>
        </w:tc>
        <w:tc>
          <w:tcPr>
            <w:tcW w:w="631" w:type="dxa"/>
            <w:tcBorders>
              <w:tl2br w:val="nil"/>
              <w:tr2bl w:val="nil"/>
            </w:tcBorders>
            <w:noWrap w:val="0"/>
            <w:vAlign w:val="center"/>
          </w:tcPr>
          <w:p w14:paraId="728484DB">
            <w:pPr>
              <w:pStyle w:val="45"/>
              <w:bidi w:val="0"/>
              <w:rPr>
                <w:b w:val="0"/>
                <w:bCs/>
                <w:color w:val="auto"/>
                <w:highlight w:val="none"/>
              </w:rPr>
            </w:pPr>
            <w:r>
              <w:rPr>
                <w:b w:val="0"/>
                <w:bCs/>
                <w:color w:val="auto"/>
                <w:highlight w:val="none"/>
              </w:rPr>
              <w:t>9</w:t>
            </w:r>
          </w:p>
        </w:tc>
        <w:tc>
          <w:tcPr>
            <w:tcW w:w="788" w:type="dxa"/>
            <w:tcBorders>
              <w:tl2br w:val="nil"/>
              <w:tr2bl w:val="nil"/>
            </w:tcBorders>
            <w:noWrap w:val="0"/>
            <w:vAlign w:val="center"/>
          </w:tcPr>
          <w:p w14:paraId="67BC5C3C">
            <w:pPr>
              <w:pStyle w:val="45"/>
              <w:bidi w:val="0"/>
              <w:rPr>
                <w:b w:val="0"/>
                <w:bCs/>
                <w:color w:val="auto"/>
                <w:highlight w:val="none"/>
              </w:rPr>
            </w:pPr>
            <w:r>
              <w:rPr>
                <w:b w:val="0"/>
                <w:bCs/>
                <w:color w:val="auto"/>
                <w:highlight w:val="none"/>
              </w:rPr>
              <w:t>15</w:t>
            </w:r>
          </w:p>
        </w:tc>
        <w:tc>
          <w:tcPr>
            <w:tcW w:w="942" w:type="dxa"/>
            <w:tcBorders>
              <w:tl2br w:val="nil"/>
              <w:tr2bl w:val="nil"/>
            </w:tcBorders>
            <w:noWrap w:val="0"/>
            <w:vAlign w:val="center"/>
          </w:tcPr>
          <w:p w14:paraId="43410026">
            <w:pPr>
              <w:pStyle w:val="45"/>
              <w:bidi w:val="0"/>
              <w:rPr>
                <w:b w:val="0"/>
                <w:bCs/>
                <w:color w:val="auto"/>
                <w:highlight w:val="none"/>
              </w:rPr>
            </w:pPr>
            <w:r>
              <w:rPr>
                <w:b w:val="0"/>
                <w:bCs/>
                <w:color w:val="auto"/>
                <w:highlight w:val="none"/>
              </w:rPr>
              <w:t>9</w:t>
            </w:r>
          </w:p>
        </w:tc>
        <w:tc>
          <w:tcPr>
            <w:tcW w:w="1023" w:type="dxa"/>
            <w:tcBorders>
              <w:tl2br w:val="nil"/>
              <w:tr2bl w:val="nil"/>
            </w:tcBorders>
            <w:noWrap w:val="0"/>
            <w:vAlign w:val="center"/>
          </w:tcPr>
          <w:p w14:paraId="5B6FCF03">
            <w:pPr>
              <w:pStyle w:val="45"/>
              <w:bidi w:val="0"/>
              <w:rPr>
                <w:b w:val="0"/>
                <w:bCs/>
                <w:color w:val="auto"/>
                <w:highlight w:val="none"/>
              </w:rPr>
            </w:pPr>
            <w:r>
              <w:rPr>
                <w:b w:val="0"/>
                <w:bCs/>
                <w:color w:val="auto"/>
                <w:highlight w:val="none"/>
              </w:rPr>
              <w:t>2</w:t>
            </w:r>
          </w:p>
        </w:tc>
        <w:tc>
          <w:tcPr>
            <w:tcW w:w="1029" w:type="dxa"/>
            <w:tcBorders>
              <w:tl2br w:val="nil"/>
              <w:tr2bl w:val="nil"/>
            </w:tcBorders>
            <w:noWrap w:val="0"/>
            <w:vAlign w:val="center"/>
          </w:tcPr>
          <w:p w14:paraId="2A1C2782">
            <w:pPr>
              <w:pStyle w:val="45"/>
              <w:bidi w:val="0"/>
              <w:rPr>
                <w:b w:val="0"/>
                <w:bCs/>
                <w:color w:val="auto"/>
                <w:highlight w:val="none"/>
              </w:rPr>
            </w:pPr>
            <w:r>
              <w:rPr>
                <w:b w:val="0"/>
                <w:bCs/>
                <w:color w:val="auto"/>
                <w:highlight w:val="none"/>
              </w:rPr>
              <w:t>4</w:t>
            </w:r>
          </w:p>
        </w:tc>
        <w:tc>
          <w:tcPr>
            <w:tcW w:w="824" w:type="dxa"/>
            <w:tcBorders>
              <w:tl2br w:val="nil"/>
              <w:tr2bl w:val="nil"/>
            </w:tcBorders>
            <w:noWrap w:val="0"/>
            <w:vAlign w:val="center"/>
          </w:tcPr>
          <w:p w14:paraId="10658A33">
            <w:pPr>
              <w:pStyle w:val="45"/>
              <w:bidi w:val="0"/>
              <w:rPr>
                <w:b w:val="0"/>
                <w:bCs/>
                <w:color w:val="auto"/>
                <w:highlight w:val="none"/>
              </w:rPr>
            </w:pPr>
            <w:r>
              <w:rPr>
                <w:b w:val="0"/>
                <w:bCs/>
                <w:color w:val="auto"/>
                <w:highlight w:val="none"/>
              </w:rPr>
              <w:t>0</w:t>
            </w:r>
          </w:p>
        </w:tc>
        <w:tc>
          <w:tcPr>
            <w:tcW w:w="791" w:type="dxa"/>
            <w:tcBorders>
              <w:tl2br w:val="nil"/>
              <w:tr2bl w:val="nil"/>
            </w:tcBorders>
            <w:noWrap w:val="0"/>
            <w:vAlign w:val="center"/>
          </w:tcPr>
          <w:p w14:paraId="6E6D1D56">
            <w:pPr>
              <w:pStyle w:val="45"/>
              <w:bidi w:val="0"/>
              <w:rPr>
                <w:b w:val="0"/>
                <w:bCs/>
                <w:color w:val="auto"/>
                <w:highlight w:val="none"/>
              </w:rPr>
            </w:pPr>
            <w:r>
              <w:rPr>
                <w:b w:val="0"/>
                <w:bCs/>
                <w:color w:val="auto"/>
                <w:highlight w:val="none"/>
              </w:rPr>
              <w:t>0</w:t>
            </w:r>
          </w:p>
        </w:tc>
        <w:tc>
          <w:tcPr>
            <w:tcW w:w="637" w:type="dxa"/>
            <w:tcBorders>
              <w:tl2br w:val="nil"/>
              <w:tr2bl w:val="nil"/>
            </w:tcBorders>
            <w:noWrap w:val="0"/>
            <w:vAlign w:val="center"/>
          </w:tcPr>
          <w:p w14:paraId="765B502A">
            <w:pPr>
              <w:pStyle w:val="45"/>
              <w:bidi w:val="0"/>
              <w:rPr>
                <w:b w:val="0"/>
                <w:bCs/>
                <w:color w:val="auto"/>
                <w:highlight w:val="none"/>
              </w:rPr>
            </w:pPr>
            <w:r>
              <w:rPr>
                <w:b w:val="0"/>
                <w:bCs/>
                <w:color w:val="auto"/>
                <w:highlight w:val="none"/>
              </w:rPr>
              <w:t>12</w:t>
            </w:r>
          </w:p>
        </w:tc>
      </w:tr>
      <w:tr w14:paraId="6F6ED7B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58" w:type="dxa"/>
            <w:tcBorders>
              <w:tl2br w:val="nil"/>
              <w:tr2bl w:val="nil"/>
            </w:tcBorders>
            <w:noWrap w:val="0"/>
            <w:vAlign w:val="center"/>
          </w:tcPr>
          <w:p w14:paraId="701A406C">
            <w:pPr>
              <w:pStyle w:val="45"/>
              <w:bidi w:val="0"/>
              <w:rPr>
                <w:b w:val="0"/>
                <w:bCs/>
                <w:color w:val="auto"/>
                <w:highlight w:val="none"/>
              </w:rPr>
            </w:pPr>
            <w:r>
              <w:rPr>
                <w:b w:val="0"/>
                <w:bCs/>
                <w:color w:val="auto"/>
                <w:highlight w:val="none"/>
              </w:rPr>
              <w:t>合计</w:t>
            </w:r>
          </w:p>
        </w:tc>
        <w:tc>
          <w:tcPr>
            <w:tcW w:w="631" w:type="dxa"/>
            <w:tcBorders>
              <w:tl2br w:val="nil"/>
              <w:tr2bl w:val="nil"/>
            </w:tcBorders>
            <w:noWrap w:val="0"/>
            <w:vAlign w:val="center"/>
          </w:tcPr>
          <w:p w14:paraId="729A64E6">
            <w:pPr>
              <w:pStyle w:val="45"/>
              <w:bidi w:val="0"/>
              <w:rPr>
                <w:b w:val="0"/>
                <w:bCs/>
                <w:color w:val="auto"/>
                <w:highlight w:val="none"/>
              </w:rPr>
            </w:pPr>
            <w:r>
              <w:rPr>
                <w:b w:val="0"/>
                <w:bCs/>
                <w:color w:val="auto"/>
                <w:highlight w:val="none"/>
              </w:rPr>
              <w:t>19</w:t>
            </w:r>
          </w:p>
        </w:tc>
        <w:tc>
          <w:tcPr>
            <w:tcW w:w="631" w:type="dxa"/>
            <w:tcBorders>
              <w:tl2br w:val="nil"/>
              <w:tr2bl w:val="nil"/>
            </w:tcBorders>
            <w:noWrap w:val="0"/>
            <w:vAlign w:val="center"/>
          </w:tcPr>
          <w:p w14:paraId="6889819B">
            <w:pPr>
              <w:pStyle w:val="45"/>
              <w:bidi w:val="0"/>
              <w:rPr>
                <w:b w:val="0"/>
                <w:bCs/>
                <w:color w:val="auto"/>
                <w:highlight w:val="none"/>
              </w:rPr>
            </w:pPr>
            <w:r>
              <w:rPr>
                <w:b w:val="0"/>
                <w:bCs/>
                <w:color w:val="auto"/>
                <w:highlight w:val="none"/>
              </w:rPr>
              <w:t>54</w:t>
            </w:r>
          </w:p>
        </w:tc>
        <w:tc>
          <w:tcPr>
            <w:tcW w:w="788" w:type="dxa"/>
            <w:tcBorders>
              <w:tl2br w:val="nil"/>
              <w:tr2bl w:val="nil"/>
            </w:tcBorders>
            <w:noWrap w:val="0"/>
            <w:vAlign w:val="center"/>
          </w:tcPr>
          <w:p w14:paraId="5EE853CB">
            <w:pPr>
              <w:pStyle w:val="45"/>
              <w:bidi w:val="0"/>
              <w:rPr>
                <w:b w:val="0"/>
                <w:bCs/>
                <w:color w:val="auto"/>
                <w:highlight w:val="none"/>
              </w:rPr>
            </w:pPr>
            <w:r>
              <w:rPr>
                <w:b w:val="0"/>
                <w:bCs/>
                <w:color w:val="auto"/>
                <w:highlight w:val="none"/>
              </w:rPr>
              <w:t>140</w:t>
            </w:r>
          </w:p>
        </w:tc>
        <w:tc>
          <w:tcPr>
            <w:tcW w:w="942" w:type="dxa"/>
            <w:tcBorders>
              <w:tl2br w:val="nil"/>
              <w:tr2bl w:val="nil"/>
            </w:tcBorders>
            <w:noWrap w:val="0"/>
            <w:vAlign w:val="center"/>
          </w:tcPr>
          <w:p w14:paraId="61BB9DC6">
            <w:pPr>
              <w:pStyle w:val="45"/>
              <w:bidi w:val="0"/>
              <w:rPr>
                <w:b w:val="0"/>
                <w:bCs/>
                <w:color w:val="auto"/>
                <w:highlight w:val="none"/>
              </w:rPr>
            </w:pPr>
            <w:r>
              <w:rPr>
                <w:b w:val="0"/>
                <w:bCs/>
                <w:color w:val="auto"/>
                <w:highlight w:val="none"/>
              </w:rPr>
              <w:t>79</w:t>
            </w:r>
          </w:p>
        </w:tc>
        <w:tc>
          <w:tcPr>
            <w:tcW w:w="1023" w:type="dxa"/>
            <w:tcBorders>
              <w:tl2br w:val="nil"/>
              <w:tr2bl w:val="nil"/>
            </w:tcBorders>
            <w:noWrap w:val="0"/>
            <w:vAlign w:val="center"/>
          </w:tcPr>
          <w:p w14:paraId="5F9286EC">
            <w:pPr>
              <w:pStyle w:val="45"/>
              <w:bidi w:val="0"/>
              <w:rPr>
                <w:b w:val="0"/>
                <w:bCs/>
                <w:color w:val="auto"/>
                <w:highlight w:val="none"/>
              </w:rPr>
            </w:pPr>
            <w:r>
              <w:rPr>
                <w:b w:val="0"/>
                <w:bCs/>
                <w:color w:val="auto"/>
                <w:highlight w:val="none"/>
              </w:rPr>
              <w:t>21</w:t>
            </w:r>
          </w:p>
        </w:tc>
        <w:tc>
          <w:tcPr>
            <w:tcW w:w="1029" w:type="dxa"/>
            <w:tcBorders>
              <w:tl2br w:val="nil"/>
              <w:tr2bl w:val="nil"/>
            </w:tcBorders>
            <w:noWrap w:val="0"/>
            <w:vAlign w:val="center"/>
          </w:tcPr>
          <w:p w14:paraId="6FC2E6D4">
            <w:pPr>
              <w:pStyle w:val="45"/>
              <w:bidi w:val="0"/>
              <w:rPr>
                <w:b w:val="0"/>
                <w:bCs/>
                <w:color w:val="auto"/>
                <w:highlight w:val="none"/>
              </w:rPr>
            </w:pPr>
            <w:r>
              <w:rPr>
                <w:b w:val="0"/>
                <w:bCs/>
                <w:color w:val="auto"/>
                <w:highlight w:val="none"/>
              </w:rPr>
              <w:t>40</w:t>
            </w:r>
          </w:p>
        </w:tc>
        <w:tc>
          <w:tcPr>
            <w:tcW w:w="824" w:type="dxa"/>
            <w:tcBorders>
              <w:tl2br w:val="nil"/>
              <w:tr2bl w:val="nil"/>
            </w:tcBorders>
            <w:noWrap w:val="0"/>
            <w:vAlign w:val="center"/>
          </w:tcPr>
          <w:p w14:paraId="50AC7A9D">
            <w:pPr>
              <w:pStyle w:val="45"/>
              <w:bidi w:val="0"/>
              <w:rPr>
                <w:b w:val="0"/>
                <w:bCs/>
                <w:color w:val="auto"/>
                <w:highlight w:val="none"/>
              </w:rPr>
            </w:pPr>
            <w:r>
              <w:rPr>
                <w:b w:val="0"/>
                <w:bCs/>
                <w:color w:val="auto"/>
                <w:highlight w:val="none"/>
              </w:rPr>
              <w:t>0</w:t>
            </w:r>
          </w:p>
        </w:tc>
        <w:tc>
          <w:tcPr>
            <w:tcW w:w="791" w:type="dxa"/>
            <w:tcBorders>
              <w:tl2br w:val="nil"/>
              <w:tr2bl w:val="nil"/>
            </w:tcBorders>
            <w:noWrap w:val="0"/>
            <w:vAlign w:val="center"/>
          </w:tcPr>
          <w:p w14:paraId="2408FA72">
            <w:pPr>
              <w:pStyle w:val="45"/>
              <w:bidi w:val="0"/>
              <w:rPr>
                <w:b w:val="0"/>
                <w:bCs/>
                <w:color w:val="auto"/>
                <w:highlight w:val="none"/>
              </w:rPr>
            </w:pPr>
            <w:r>
              <w:rPr>
                <w:b w:val="0"/>
                <w:bCs/>
                <w:color w:val="auto"/>
                <w:highlight w:val="none"/>
              </w:rPr>
              <w:t>9</w:t>
            </w:r>
          </w:p>
        </w:tc>
        <w:tc>
          <w:tcPr>
            <w:tcW w:w="637" w:type="dxa"/>
            <w:tcBorders>
              <w:tl2br w:val="nil"/>
              <w:tr2bl w:val="nil"/>
            </w:tcBorders>
            <w:noWrap w:val="0"/>
            <w:vAlign w:val="center"/>
          </w:tcPr>
          <w:p w14:paraId="14079B2F">
            <w:pPr>
              <w:pStyle w:val="45"/>
              <w:bidi w:val="0"/>
              <w:rPr>
                <w:b w:val="0"/>
                <w:bCs/>
                <w:color w:val="auto"/>
                <w:highlight w:val="none"/>
              </w:rPr>
            </w:pPr>
            <w:r>
              <w:rPr>
                <w:b w:val="0"/>
                <w:bCs/>
                <w:color w:val="auto"/>
                <w:highlight w:val="none"/>
              </w:rPr>
              <w:t>86</w:t>
            </w:r>
          </w:p>
        </w:tc>
      </w:tr>
    </w:tbl>
    <w:p w14:paraId="0AEF9A35">
      <w:pPr>
        <w:pStyle w:val="8"/>
        <w:keepNext w:val="0"/>
        <w:keepLines w:val="0"/>
        <w:pageBreakBefore w:val="0"/>
        <w:widowControl w:val="0"/>
        <w:kinsoku/>
        <w:wordWrap/>
        <w:overflowPunct/>
        <w:topLinePunct w:val="0"/>
        <w:autoSpaceDE/>
        <w:autoSpaceDN/>
        <w:bidi w:val="0"/>
        <w:adjustRightInd w:val="0"/>
        <w:snapToGrid w:val="0"/>
        <w:spacing w:line="360" w:lineRule="auto"/>
        <w:ind w:left="0" w:leftChars="0" w:firstLine="480" w:firstLineChars="200"/>
        <w:jc w:val="left"/>
        <w:textAlignment w:val="auto"/>
        <w:rPr>
          <w:rFonts w:hint="default" w:ascii="Times New Roman" w:hAnsi="Times New Roman" w:eastAsia="宋体" w:cs="Times New Roman"/>
          <w:snapToGrid/>
          <w:color w:val="auto"/>
          <w:kern w:val="2"/>
          <w:sz w:val="24"/>
          <w:szCs w:val="24"/>
          <w:highlight w:val="none"/>
          <w:lang w:val="en-US" w:eastAsia="zh-CN" w:bidi="ar-SA"/>
        </w:rPr>
      </w:pPr>
      <w:r>
        <w:rPr>
          <w:rFonts w:hint="default" w:ascii="Times New Roman" w:hAnsi="Times New Roman" w:eastAsia="宋体" w:cs="Times New Roman"/>
          <w:snapToGrid/>
          <w:color w:val="auto"/>
          <w:kern w:val="2"/>
          <w:sz w:val="24"/>
          <w:szCs w:val="24"/>
          <w:highlight w:val="none"/>
          <w:lang w:val="en-US" w:eastAsia="zh-CN" w:bidi="ar-SA"/>
        </w:rPr>
        <w:t>从区系成分分析，评价区陆生脊椎动物中东洋种数量较多。其中东洋种79种，占评价区总种数的56.43%；古北种21种，占评价区总种数的15.00%；广布种40种，占评价区总种数的28.57%(图3.4-1)。可见，评价区陆生动物区系特征中，东洋种所占比例较大，这与评价区地处东洋界的地理位置相吻合。</w:t>
      </w:r>
    </w:p>
    <w:p w14:paraId="2B428461">
      <w:pPr>
        <w:pStyle w:val="30"/>
        <w:rPr>
          <w:color w:val="auto"/>
          <w:highlight w:val="none"/>
        </w:rPr>
      </w:pPr>
      <w:r>
        <w:rPr>
          <w:color w:val="auto"/>
          <w:highlight w:val="none"/>
        </w:rPr>
        <w:drawing>
          <wp:inline distT="0" distB="0" distL="114300" distR="114300">
            <wp:extent cx="4584065" cy="2541905"/>
            <wp:effectExtent l="0" t="0" r="6985" b="10795"/>
            <wp:docPr id="63" name="图片 38"/>
            <wp:cNvGraphicFramePr/>
            <a:graphic xmlns:a="http://schemas.openxmlformats.org/drawingml/2006/main">
              <a:graphicData uri="http://schemas.openxmlformats.org/drawingml/2006/picture">
                <pic:pic xmlns:pic="http://schemas.openxmlformats.org/drawingml/2006/picture">
                  <pic:nvPicPr>
                    <pic:cNvPr id="63" name="图片 38"/>
                    <pic:cNvPicPr/>
                  </pic:nvPicPr>
                  <pic:blipFill>
                    <a:blip r:embed="rId44"/>
                    <a:stretch>
                      <a:fillRect/>
                    </a:stretch>
                  </pic:blipFill>
                  <pic:spPr>
                    <a:xfrm>
                      <a:off x="0" y="0"/>
                      <a:ext cx="4584065" cy="2541905"/>
                    </a:xfrm>
                    <a:prstGeom prst="rect">
                      <a:avLst/>
                    </a:prstGeom>
                    <a:noFill/>
                    <a:ln>
                      <a:noFill/>
                    </a:ln>
                  </pic:spPr>
                </pic:pic>
              </a:graphicData>
            </a:graphic>
          </wp:inline>
        </w:drawing>
      </w:r>
    </w:p>
    <w:p w14:paraId="3C2B787D">
      <w:pPr>
        <w:bidi w:val="0"/>
        <w:ind w:left="0" w:leftChars="0" w:firstLine="0" w:firstLineChars="0"/>
        <w:jc w:val="center"/>
        <w:rPr>
          <w:rFonts w:hint="default" w:ascii="Times New Roman" w:hAnsi="Times New Roman" w:eastAsia="宋体" w:cs="Times New Roman"/>
          <w:b/>
          <w:bCs/>
          <w:color w:val="auto"/>
          <w:highlight w:val="none"/>
          <w:lang w:val="en-US" w:eastAsia="zh-CN"/>
        </w:rPr>
      </w:pPr>
      <w:r>
        <w:rPr>
          <w:rFonts w:hint="default" w:ascii="Times New Roman" w:hAnsi="Times New Roman" w:eastAsia="宋体" w:cs="Times New Roman"/>
          <w:b/>
          <w:bCs/>
          <w:color w:val="auto"/>
          <w:spacing w:val="9"/>
          <w:kern w:val="2"/>
          <w:sz w:val="24"/>
          <w:szCs w:val="24"/>
          <w:highlight w:val="none"/>
          <w:lang w:val="en-US" w:eastAsia="zh-CN" w:bidi="ar-SA"/>
        </w:rPr>
        <w:t>图</w:t>
      </w:r>
      <w:r>
        <w:rPr>
          <w:rFonts w:hint="eastAsia" w:cs="Times New Roman"/>
          <w:b/>
          <w:bCs/>
          <w:color w:val="auto"/>
          <w:spacing w:val="9"/>
          <w:kern w:val="2"/>
          <w:sz w:val="24"/>
          <w:szCs w:val="24"/>
          <w:highlight w:val="none"/>
          <w:lang w:val="en-US" w:eastAsia="zh-CN" w:bidi="ar-SA"/>
        </w:rPr>
        <w:t>5.3.5-1</w:t>
      </w:r>
      <w:r>
        <w:rPr>
          <w:rFonts w:hint="default" w:ascii="Times New Roman" w:hAnsi="Times New Roman" w:eastAsia="宋体" w:cs="Times New Roman"/>
          <w:b/>
          <w:bCs/>
          <w:color w:val="auto"/>
          <w:spacing w:val="9"/>
          <w:kern w:val="2"/>
          <w:sz w:val="24"/>
          <w:szCs w:val="24"/>
          <w:highlight w:val="none"/>
          <w:lang w:val="en-US" w:eastAsia="zh-CN" w:bidi="ar-SA"/>
        </w:rPr>
        <w:t xml:space="preserve"> </w:t>
      </w:r>
      <w:r>
        <w:rPr>
          <w:rFonts w:hint="eastAsia" w:cs="Times New Roman"/>
          <w:b/>
          <w:bCs/>
          <w:color w:val="auto"/>
          <w:spacing w:val="9"/>
          <w:kern w:val="2"/>
          <w:sz w:val="24"/>
          <w:szCs w:val="24"/>
          <w:highlight w:val="none"/>
          <w:lang w:val="en-US" w:eastAsia="zh-CN" w:bidi="ar-SA"/>
        </w:rPr>
        <w:t xml:space="preserve"> </w:t>
      </w:r>
      <w:r>
        <w:rPr>
          <w:rFonts w:hint="default" w:ascii="Times New Roman" w:hAnsi="Times New Roman" w:eastAsia="宋体" w:cs="Times New Roman"/>
          <w:b/>
          <w:bCs/>
          <w:color w:val="auto"/>
          <w:spacing w:val="9"/>
          <w:kern w:val="2"/>
          <w:sz w:val="24"/>
          <w:szCs w:val="24"/>
          <w:highlight w:val="none"/>
          <w:lang w:val="en-US" w:eastAsia="zh-CN" w:bidi="ar-SA"/>
        </w:rPr>
        <w:t>评价区陆生脊椎动物区系成分比例图</w:t>
      </w:r>
    </w:p>
    <w:p w14:paraId="1594D673">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两栖类</w:t>
      </w:r>
    </w:p>
    <w:p w14:paraId="78D35FAC">
      <w:pPr>
        <w:pStyle w:val="30"/>
        <w:rPr>
          <w:rFonts w:hint="eastAsia"/>
          <w:color w:val="auto"/>
          <w:highlight w:val="none"/>
          <w:lang w:val="en-US" w:eastAsia="zh-CN"/>
        </w:rPr>
      </w:pPr>
      <w:r>
        <w:rPr>
          <w:rFonts w:hint="eastAsia"/>
          <w:color w:val="auto"/>
          <w:highlight w:val="none"/>
          <w:lang w:val="en-US" w:eastAsia="zh-CN"/>
        </w:rPr>
        <w:t>主要通过访问调查法和查阅已发表的评价区及其附近的相关文献资料，得出评价区两栖类种类、数量及分布现状如下：</w:t>
      </w:r>
    </w:p>
    <w:p w14:paraId="3B3A7C4F">
      <w:pPr>
        <w:pStyle w:val="30"/>
        <w:rPr>
          <w:rFonts w:hint="eastAsia"/>
          <w:color w:val="auto"/>
          <w:highlight w:val="none"/>
          <w:lang w:val="en-US" w:eastAsia="zh-CN"/>
        </w:rPr>
      </w:pPr>
      <w:r>
        <w:rPr>
          <w:rFonts w:hint="eastAsia"/>
          <w:color w:val="auto"/>
          <w:highlight w:val="none"/>
          <w:lang w:val="en-US" w:eastAsia="zh-CN"/>
        </w:rPr>
        <w:t>（1）种类、数量及分布</w:t>
      </w:r>
    </w:p>
    <w:p w14:paraId="0D8814BB">
      <w:pPr>
        <w:pStyle w:val="30"/>
        <w:rPr>
          <w:rFonts w:hint="eastAsia"/>
          <w:color w:val="auto"/>
          <w:highlight w:val="none"/>
          <w:lang w:val="en-US" w:eastAsia="zh-CN"/>
        </w:rPr>
      </w:pPr>
      <w:r>
        <w:rPr>
          <w:rFonts w:hint="eastAsia"/>
          <w:color w:val="auto"/>
          <w:highlight w:val="none"/>
          <w:lang w:val="en-US" w:eastAsia="zh-CN"/>
        </w:rPr>
        <w:t>评价区内两栖动物种类有1目5科12种(名录详见附录4附表4-1)。其中蛙科种类最多，有4种，占两栖类种数的33.33%，无国家Ⅰ级重点保护两栖动物，国家Ⅱ级重点保护两栖动物1种，即虎纹蛙</w:t>
      </w:r>
      <w:r>
        <w:rPr>
          <w:rFonts w:hint="eastAsia"/>
          <w:i/>
          <w:iCs/>
          <w:color w:val="auto"/>
          <w:highlight w:val="none"/>
          <w:lang w:val="en-US" w:eastAsia="zh-CN"/>
        </w:rPr>
        <w:t>(Hoplobatrachus chinensis)</w:t>
      </w:r>
      <w:r>
        <w:rPr>
          <w:rFonts w:hint="eastAsia"/>
          <w:color w:val="auto"/>
          <w:highlight w:val="none"/>
          <w:lang w:val="en-US" w:eastAsia="zh-CN"/>
        </w:rPr>
        <w:t>；湖南省级重点保护动物10种，包括中华蟾蜍、沼蛙、黑斑侧褶蛙、湖北侧褶蛙</w:t>
      </w:r>
      <w:r>
        <w:rPr>
          <w:rFonts w:hint="eastAsia"/>
          <w:i/>
          <w:iCs/>
          <w:color w:val="auto"/>
          <w:highlight w:val="none"/>
          <w:lang w:val="en-US" w:eastAsia="zh-CN"/>
        </w:rPr>
        <w:t>(Pelophylaxhubeiensis)</w:t>
      </w:r>
      <w:r>
        <w:rPr>
          <w:rFonts w:hint="eastAsia"/>
          <w:color w:val="auto"/>
          <w:highlight w:val="none"/>
          <w:lang w:val="en-US" w:eastAsia="zh-CN"/>
        </w:rPr>
        <w:t>、泽陆蛙、棘腹蛙、斑腿泛树蛙、大树蛙、饰纹姬蛙、小弧斑姬蛙</w:t>
      </w:r>
      <w:r>
        <w:rPr>
          <w:rFonts w:hint="eastAsia"/>
          <w:i/>
          <w:iCs/>
          <w:color w:val="auto"/>
          <w:highlight w:val="none"/>
          <w:lang w:val="en-US" w:eastAsia="zh-CN"/>
        </w:rPr>
        <w:t>(Microhyla heymonsi)</w:t>
      </w:r>
      <w:r>
        <w:rPr>
          <w:rFonts w:hint="eastAsia"/>
          <w:color w:val="auto"/>
          <w:highlight w:val="none"/>
          <w:lang w:val="en-US" w:eastAsia="zh-CN"/>
        </w:rPr>
        <w:t>等。其中中华蟾蜍和泽陆蛙等适应能力强，分布范围广，为评价区优势种。</w:t>
      </w:r>
    </w:p>
    <w:p w14:paraId="5C04582A">
      <w:pPr>
        <w:pStyle w:val="30"/>
        <w:rPr>
          <w:rFonts w:hint="eastAsia"/>
          <w:color w:val="auto"/>
          <w:highlight w:val="none"/>
          <w:lang w:val="en-US" w:eastAsia="zh-CN"/>
        </w:rPr>
      </w:pPr>
      <w:r>
        <w:rPr>
          <w:rFonts w:hint="eastAsia"/>
          <w:color w:val="auto"/>
          <w:highlight w:val="none"/>
          <w:lang w:val="en-US" w:eastAsia="zh-CN"/>
        </w:rPr>
        <w:t>（2）区系类型</w:t>
      </w:r>
    </w:p>
    <w:p w14:paraId="0EDAADD4">
      <w:pPr>
        <w:pStyle w:val="30"/>
        <w:rPr>
          <w:rFonts w:hint="eastAsia"/>
          <w:color w:val="auto"/>
          <w:highlight w:val="none"/>
          <w:lang w:val="en-US" w:eastAsia="zh-CN"/>
        </w:rPr>
      </w:pPr>
      <w:r>
        <w:rPr>
          <w:rFonts w:hint="eastAsia"/>
          <w:color w:val="auto"/>
          <w:highlight w:val="none"/>
          <w:lang w:val="en-US" w:eastAsia="zh-CN"/>
        </w:rPr>
        <w:t>按区系类型划分，评价区记录的 12 种两栖类中，有东洋种10种，占总种数的 83.33%；广布种2种，占16.67%；无古北种分布。评价区地处东洋界，而两栖类的迁移能力较弱，故古北界成分很难跨越地理阻障向东洋界渗透。评价区内两栖动物以东洋界物种占绝对优势，这与其所处地理位置相符。</w:t>
      </w:r>
    </w:p>
    <w:p w14:paraId="3D47D7BC">
      <w:pPr>
        <w:pStyle w:val="30"/>
        <w:rPr>
          <w:rFonts w:hint="eastAsia"/>
          <w:color w:val="auto"/>
          <w:highlight w:val="none"/>
          <w:lang w:val="en-US" w:eastAsia="zh-CN"/>
        </w:rPr>
      </w:pPr>
      <w:r>
        <w:rPr>
          <w:rFonts w:hint="eastAsia"/>
          <w:color w:val="auto"/>
          <w:highlight w:val="none"/>
          <w:lang w:val="en-US" w:eastAsia="zh-CN"/>
        </w:rPr>
        <w:t>（3）生态类型</w:t>
      </w:r>
    </w:p>
    <w:p w14:paraId="63E0B694">
      <w:pPr>
        <w:pStyle w:val="30"/>
        <w:rPr>
          <w:rFonts w:hint="eastAsia"/>
          <w:color w:val="auto"/>
          <w:highlight w:val="none"/>
          <w:lang w:val="en-US" w:eastAsia="zh-CN"/>
        </w:rPr>
      </w:pPr>
      <w:r>
        <w:rPr>
          <w:rFonts w:hint="eastAsia"/>
          <w:color w:val="auto"/>
          <w:highlight w:val="none"/>
          <w:lang w:val="en-US" w:eastAsia="zh-CN"/>
        </w:rPr>
        <w:t>依据两栖类成体的主要栖息地，综合考虑产卵、蝌蚪及其幼体生活的水域状态，可将评价区内的两栖类分为以下4种生态类型：</w:t>
      </w:r>
    </w:p>
    <w:p w14:paraId="6A7163C5">
      <w:pPr>
        <w:pStyle w:val="30"/>
        <w:rPr>
          <w:rFonts w:hint="eastAsia"/>
          <w:color w:val="auto"/>
          <w:highlight w:val="none"/>
          <w:lang w:val="en-US" w:eastAsia="zh-CN"/>
        </w:rPr>
      </w:pPr>
      <w:r>
        <w:rPr>
          <w:rFonts w:hint="eastAsia"/>
          <w:color w:val="auto"/>
          <w:highlight w:val="none"/>
          <w:lang w:val="en-US" w:eastAsia="zh-CN"/>
        </w:rPr>
        <w:t>静水型(整个个体发育过程均要或完全在静水水域中完成的种类)：包括沼蛙、黑斑侧褶蛙、湖北侧褶蛙、虎纹蛙4种，主要分布在评价区内水流较缓的水域，如水田、水洼、池塘、水库等处，与人类活动关系较密切。</w:t>
      </w:r>
    </w:p>
    <w:p w14:paraId="1F6EA44B">
      <w:pPr>
        <w:pStyle w:val="30"/>
        <w:rPr>
          <w:rFonts w:hint="eastAsia"/>
          <w:color w:val="auto"/>
          <w:highlight w:val="none"/>
          <w:lang w:val="en-US" w:eastAsia="zh-CN"/>
        </w:rPr>
      </w:pPr>
      <w:r>
        <w:rPr>
          <w:rFonts w:hint="eastAsia"/>
          <w:color w:val="auto"/>
          <w:highlight w:val="none"/>
          <w:lang w:val="en-US" w:eastAsia="zh-CN"/>
        </w:rPr>
        <w:t>流水型(整个个体发育均要或完全在流水水域中完成的种类)：包括棘腹蛙1种，主要分布在评价区茂密树林下的山涧溪流内。</w:t>
      </w:r>
    </w:p>
    <w:p w14:paraId="5C14BF3A">
      <w:pPr>
        <w:pStyle w:val="30"/>
        <w:rPr>
          <w:rFonts w:hint="eastAsia"/>
          <w:color w:val="auto"/>
          <w:highlight w:val="none"/>
          <w:lang w:val="en-US" w:eastAsia="zh-CN"/>
        </w:rPr>
      </w:pPr>
      <w:r>
        <w:rPr>
          <w:rFonts w:hint="eastAsia"/>
          <w:color w:val="auto"/>
          <w:highlight w:val="none"/>
          <w:lang w:val="en-US" w:eastAsia="zh-CN"/>
        </w:rPr>
        <w:t>陆栖-静水型(非繁殖期成体多营陆生，而胚胎发育及变态在静水水域中的种类)：包括中华蟾蜍、镇海林蛙、泽陆蛙、饰纹姬蛙、小弧斑姬蛙5种，成体主要在评价区内离水源不远的陆地上活动，如草丛，石下，田埂间、水坑边等生境，分布较广泛。</w:t>
      </w:r>
    </w:p>
    <w:p w14:paraId="107147B0">
      <w:pPr>
        <w:pStyle w:val="30"/>
        <w:rPr>
          <w:rFonts w:hint="eastAsia"/>
          <w:color w:val="auto"/>
          <w:highlight w:val="none"/>
          <w:lang w:val="en-US" w:eastAsia="zh-CN"/>
        </w:rPr>
      </w:pPr>
      <w:r>
        <w:rPr>
          <w:rFonts w:hint="eastAsia"/>
          <w:color w:val="auto"/>
          <w:highlight w:val="none"/>
          <w:lang w:val="en-US" w:eastAsia="zh-CN"/>
        </w:rPr>
        <w:t>树栖型(成体以树栖为主，胚胎发育及变态在静水水域中完成的种类)：包括斑腿泛树蛙、大树蛙2种，主要栖息于评价区内灌木枝叶上及农作物杆上。</w:t>
      </w:r>
    </w:p>
    <w:p w14:paraId="4F35A720">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爬行类</w:t>
      </w:r>
    </w:p>
    <w:p w14:paraId="767C4437">
      <w:pPr>
        <w:pStyle w:val="30"/>
        <w:rPr>
          <w:rFonts w:hint="eastAsia"/>
          <w:color w:val="auto"/>
          <w:highlight w:val="none"/>
          <w:lang w:val="en-US" w:eastAsia="zh-CN"/>
        </w:rPr>
      </w:pPr>
      <w:r>
        <w:rPr>
          <w:rFonts w:hint="eastAsia"/>
          <w:color w:val="auto"/>
          <w:highlight w:val="none"/>
          <w:lang w:val="en-US" w:eastAsia="zh-CN"/>
        </w:rPr>
        <w:t>主要通过访问调查法和查阅已发表的评价区及其附近相关的文献资料，得出评价区爬行类种类、数量及分布现状如下：</w:t>
      </w:r>
    </w:p>
    <w:p w14:paraId="02A452FE">
      <w:pPr>
        <w:pStyle w:val="30"/>
        <w:rPr>
          <w:rFonts w:hint="eastAsia"/>
          <w:color w:val="auto"/>
          <w:highlight w:val="none"/>
          <w:lang w:val="en-US" w:eastAsia="zh-CN"/>
        </w:rPr>
      </w:pPr>
      <w:r>
        <w:rPr>
          <w:rFonts w:hint="eastAsia"/>
          <w:color w:val="auto"/>
          <w:highlight w:val="none"/>
          <w:lang w:val="en-US" w:eastAsia="zh-CN"/>
        </w:rPr>
        <w:t>（1）种类、数量及分布</w:t>
      </w:r>
    </w:p>
    <w:p w14:paraId="371A2914">
      <w:pPr>
        <w:pStyle w:val="30"/>
        <w:rPr>
          <w:rFonts w:hint="eastAsia"/>
          <w:color w:val="auto"/>
          <w:highlight w:val="none"/>
          <w:lang w:val="en-US" w:eastAsia="zh-CN"/>
        </w:rPr>
      </w:pPr>
      <w:r>
        <w:rPr>
          <w:rFonts w:hint="eastAsia"/>
          <w:color w:val="auto"/>
          <w:highlight w:val="none"/>
          <w:lang w:val="en-US" w:eastAsia="zh-CN"/>
        </w:rPr>
        <w:t>评价区内爬行类共有1目7科17种(名录详见附录4附表4-2)。其中游蛇科的种类最多，有8种，占47.06%；其次为石龙子科，共3种，占17.65%。评价区内无国家重点保护爬行类分布；湖南省重点保护爬行类16种，包括多疣壁虎、中国石龙子、铜蜓蜥、北草蜥、王锦蛇、黑眉晨蛇(</w:t>
      </w:r>
      <w:r>
        <w:rPr>
          <w:rFonts w:hint="eastAsia"/>
          <w:i/>
          <w:iCs/>
          <w:color w:val="auto"/>
          <w:highlight w:val="none"/>
          <w:lang w:val="en-US" w:eastAsia="zh-CN"/>
        </w:rPr>
        <w:t>Orthriophis taeniurus</w:t>
      </w:r>
      <w:r>
        <w:rPr>
          <w:rFonts w:hint="eastAsia"/>
          <w:color w:val="auto"/>
          <w:highlight w:val="none"/>
          <w:lang w:val="en-US" w:eastAsia="zh-CN"/>
        </w:rPr>
        <w:t>)、赤链蛇、锈链腹链蛇(</w:t>
      </w:r>
      <w:r>
        <w:rPr>
          <w:rFonts w:hint="eastAsia"/>
          <w:i/>
          <w:iCs/>
          <w:color w:val="auto"/>
          <w:highlight w:val="none"/>
          <w:lang w:val="en-US" w:eastAsia="zh-CN"/>
        </w:rPr>
        <w:t>Hebius craspedogaster</w:t>
      </w:r>
      <w:r>
        <w:rPr>
          <w:rFonts w:hint="eastAsia"/>
          <w:color w:val="auto"/>
          <w:highlight w:val="none"/>
          <w:lang w:val="en-US" w:eastAsia="zh-CN"/>
        </w:rPr>
        <w:t>)、红纹滞卵蛇(</w:t>
      </w:r>
      <w:r>
        <w:rPr>
          <w:rFonts w:hint="eastAsia"/>
          <w:i/>
          <w:iCs/>
          <w:color w:val="auto"/>
          <w:highlight w:val="none"/>
          <w:lang w:val="en-US" w:eastAsia="zh-CN"/>
        </w:rPr>
        <w:t>Oocatochus rufodorsatus</w:t>
      </w:r>
      <w:r>
        <w:rPr>
          <w:rFonts w:hint="eastAsia"/>
          <w:color w:val="auto"/>
          <w:highlight w:val="none"/>
          <w:lang w:val="en-US" w:eastAsia="zh-CN"/>
        </w:rPr>
        <w:t>)、滑鼠蛇(</w:t>
      </w:r>
      <w:r>
        <w:rPr>
          <w:rFonts w:hint="eastAsia"/>
          <w:i/>
          <w:iCs/>
          <w:color w:val="auto"/>
          <w:highlight w:val="none"/>
          <w:lang w:val="en-US" w:eastAsia="zh-CN"/>
        </w:rPr>
        <w:t>Ptyas mucosa</w:t>
      </w:r>
      <w:r>
        <w:rPr>
          <w:rFonts w:hint="eastAsia"/>
          <w:color w:val="auto"/>
          <w:highlight w:val="none"/>
          <w:lang w:val="en-US" w:eastAsia="zh-CN"/>
        </w:rPr>
        <w:t>)、乌梢蛇(</w:t>
      </w:r>
      <w:r>
        <w:rPr>
          <w:rFonts w:hint="eastAsia"/>
          <w:i/>
          <w:iCs/>
          <w:color w:val="auto"/>
          <w:highlight w:val="none"/>
          <w:lang w:val="en-US" w:eastAsia="zh-CN"/>
        </w:rPr>
        <w:t>Ptyas dhumnades</w:t>
      </w:r>
      <w:r>
        <w:rPr>
          <w:rFonts w:hint="eastAsia"/>
          <w:color w:val="auto"/>
          <w:highlight w:val="none"/>
          <w:lang w:val="en-US" w:eastAsia="zh-CN"/>
        </w:rPr>
        <w:t>)、虎斑颈槽蛇。</w:t>
      </w:r>
    </w:p>
    <w:p w14:paraId="012A0381">
      <w:pPr>
        <w:pStyle w:val="30"/>
        <w:rPr>
          <w:rFonts w:hint="eastAsia"/>
          <w:color w:val="auto"/>
          <w:highlight w:val="none"/>
          <w:lang w:val="en-US" w:eastAsia="zh-CN"/>
        </w:rPr>
      </w:pPr>
      <w:r>
        <w:rPr>
          <w:rFonts w:hint="eastAsia"/>
          <w:color w:val="auto"/>
          <w:highlight w:val="none"/>
          <w:lang w:val="en-US" w:eastAsia="zh-CN"/>
        </w:rPr>
        <w:t>（2）区系类型</w:t>
      </w:r>
    </w:p>
    <w:p w14:paraId="7B7B0402">
      <w:pPr>
        <w:pStyle w:val="30"/>
        <w:rPr>
          <w:rFonts w:hint="eastAsia"/>
          <w:color w:val="auto"/>
          <w:highlight w:val="none"/>
          <w:lang w:val="en-US" w:eastAsia="zh-CN"/>
        </w:rPr>
      </w:pPr>
      <w:r>
        <w:rPr>
          <w:rFonts w:hint="eastAsia"/>
          <w:color w:val="auto"/>
          <w:highlight w:val="none"/>
          <w:lang w:val="en-US" w:eastAsia="zh-CN"/>
        </w:rPr>
        <w:t>按照区系类型划分，评价区记录的17种爬行类中，有东洋种11种，占64.71%；广布种6种，占35.29%。与两栖类类似，爬行类的迁移能力也较差，古北界成分难以跨越地理阻碍向东洋界渗透。</w:t>
      </w:r>
    </w:p>
    <w:p w14:paraId="3B6089D2">
      <w:pPr>
        <w:pStyle w:val="30"/>
        <w:rPr>
          <w:rFonts w:hint="eastAsia"/>
          <w:color w:val="auto"/>
          <w:highlight w:val="none"/>
          <w:lang w:val="en-US" w:eastAsia="zh-CN"/>
        </w:rPr>
      </w:pPr>
      <w:r>
        <w:rPr>
          <w:rFonts w:hint="eastAsia"/>
          <w:color w:val="auto"/>
          <w:highlight w:val="none"/>
          <w:lang w:val="en-US" w:eastAsia="zh-CN"/>
        </w:rPr>
        <w:t>（3）生态类型</w:t>
      </w:r>
    </w:p>
    <w:p w14:paraId="4ACF64BC">
      <w:pPr>
        <w:pStyle w:val="30"/>
        <w:rPr>
          <w:rFonts w:hint="eastAsia"/>
          <w:color w:val="auto"/>
          <w:highlight w:val="none"/>
          <w:lang w:val="en-US" w:eastAsia="zh-CN"/>
        </w:rPr>
      </w:pPr>
      <w:r>
        <w:rPr>
          <w:rFonts w:hint="eastAsia"/>
          <w:color w:val="auto"/>
          <w:highlight w:val="none"/>
          <w:lang w:val="en-US" w:eastAsia="zh-CN"/>
        </w:rPr>
        <w:t>根据评价区内爬行类生活习性的不同，可将上述17种爬行类分为以下3种生态类型：</w:t>
      </w:r>
    </w:p>
    <w:p w14:paraId="4EE1C724">
      <w:pPr>
        <w:pStyle w:val="30"/>
        <w:rPr>
          <w:rFonts w:hint="eastAsia"/>
          <w:color w:val="auto"/>
          <w:highlight w:val="none"/>
          <w:lang w:val="en-US" w:eastAsia="zh-CN"/>
        </w:rPr>
      </w:pPr>
      <w:r>
        <w:rPr>
          <w:rFonts w:hint="eastAsia"/>
          <w:color w:val="auto"/>
          <w:highlight w:val="none"/>
          <w:lang w:val="en-US" w:eastAsia="zh-CN"/>
        </w:rPr>
        <w:t>住宅型(在住宅区的建筑物中筑巢、繁殖、活动的爬行类)：仅多疣壁虎1种。主要在评价区内的居民点附近活动。</w:t>
      </w:r>
    </w:p>
    <w:p w14:paraId="39130B21">
      <w:pPr>
        <w:pStyle w:val="30"/>
        <w:rPr>
          <w:rFonts w:hint="eastAsia"/>
          <w:color w:val="auto"/>
          <w:highlight w:val="none"/>
          <w:lang w:val="en-US" w:eastAsia="zh-CN"/>
        </w:rPr>
      </w:pPr>
      <w:r>
        <w:rPr>
          <w:rFonts w:hint="eastAsia"/>
          <w:color w:val="auto"/>
          <w:highlight w:val="none"/>
          <w:lang w:val="en-US" w:eastAsia="zh-CN"/>
        </w:rPr>
        <w:t>灌丛石隙型(经常活动于灌丛下面及路边石缝中的爬行类)：包括中国石龙子、铜蜓蜥、蓝尾石龙子</w:t>
      </w:r>
      <w:r>
        <w:rPr>
          <w:rFonts w:hint="eastAsia"/>
          <w:i/>
          <w:iCs/>
          <w:color w:val="auto"/>
          <w:highlight w:val="none"/>
          <w:lang w:val="en-US" w:eastAsia="zh-CN"/>
        </w:rPr>
        <w:t>(Plestiodon elegans)</w:t>
      </w:r>
      <w:r>
        <w:rPr>
          <w:rFonts w:hint="eastAsia"/>
          <w:color w:val="auto"/>
          <w:highlight w:val="none"/>
          <w:lang w:val="en-US" w:eastAsia="zh-CN"/>
        </w:rPr>
        <w:t>、北草蜥、短尾蝮、尖吻蝮等6种，主要在评价区内的山林、林缘灌丛、乱石堆、杂草地、庄稼地等生境中活动。</w:t>
      </w:r>
    </w:p>
    <w:p w14:paraId="2157CEBB">
      <w:pPr>
        <w:bidi w:val="0"/>
        <w:rPr>
          <w:rFonts w:hint="eastAsia"/>
          <w:color w:val="auto"/>
          <w:highlight w:val="none"/>
          <w:lang w:val="en-US" w:eastAsia="zh-CN"/>
        </w:rPr>
      </w:pPr>
      <w:r>
        <w:rPr>
          <w:rFonts w:hint="eastAsia"/>
          <w:color w:val="auto"/>
          <w:highlight w:val="none"/>
          <w:lang w:val="en-US" w:eastAsia="zh-CN"/>
        </w:rPr>
        <w:t>林栖傍水型(在山谷间有溪流的山坡上活动的爬行类)：包括王锦蛇、黑眉晨蛇、赤链蛇、锈链腹链蛇、红纹滞卵蛇、滑鼠蛇、乌梢蛇、虎斑颈槽蛇、中国沼蛇、银环蛇等10种。它们主要栖息于评价区内水域边及潮湿的林地附近，分布范围较广。</w:t>
      </w:r>
    </w:p>
    <w:p w14:paraId="4DC4A536">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鸟类</w:t>
      </w:r>
    </w:p>
    <w:p w14:paraId="39C9E332">
      <w:pPr>
        <w:pStyle w:val="30"/>
        <w:rPr>
          <w:rFonts w:hint="eastAsia"/>
          <w:color w:val="auto"/>
          <w:highlight w:val="none"/>
          <w:lang w:val="en-US" w:eastAsia="zh-CN"/>
        </w:rPr>
      </w:pPr>
      <w:r>
        <w:rPr>
          <w:rFonts w:hint="eastAsia"/>
          <w:color w:val="auto"/>
          <w:highlight w:val="none"/>
          <w:lang w:val="en-US" w:eastAsia="zh-CN"/>
        </w:rPr>
        <w:t>通过查阅相关文献并结合《祁东县南冲100MW风电项目对鸟类影响评价专题报告》（湖南林氏生态园林有限公司，2023年8月），进行综合分析，得出评价区内鸟类种类、数量及分布现状如下：</w:t>
      </w:r>
    </w:p>
    <w:p w14:paraId="5940F3C3">
      <w:pPr>
        <w:pStyle w:val="30"/>
        <w:rPr>
          <w:rFonts w:hint="eastAsia"/>
          <w:color w:val="auto"/>
          <w:highlight w:val="none"/>
          <w:lang w:val="en-US" w:eastAsia="zh-CN"/>
        </w:rPr>
      </w:pPr>
      <w:r>
        <w:rPr>
          <w:rFonts w:hint="eastAsia"/>
          <w:color w:val="auto"/>
          <w:highlight w:val="none"/>
          <w:lang w:val="en-US" w:eastAsia="zh-CN"/>
        </w:rPr>
        <w:t>（1）种类、数量及分布</w:t>
      </w:r>
    </w:p>
    <w:p w14:paraId="7B3EEB5D">
      <w:pPr>
        <w:pStyle w:val="30"/>
        <w:rPr>
          <w:rFonts w:hint="eastAsia"/>
          <w:color w:val="auto"/>
          <w:highlight w:val="none"/>
        </w:rPr>
      </w:pPr>
      <w:r>
        <w:rPr>
          <w:rFonts w:hint="eastAsia"/>
          <w:color w:val="auto"/>
          <w:highlight w:val="none"/>
        </w:rPr>
        <w:t>经过实地调查，参阅分析相邻区域的记载，拟建南冲风电场共记录鸟类76种，隶属于14目35科。风电场鸟类群落结构如下：</w:t>
      </w:r>
    </w:p>
    <w:p w14:paraId="1283E8E4">
      <w:pPr>
        <w:pStyle w:val="30"/>
        <w:rPr>
          <w:rFonts w:hint="eastAsia"/>
          <w:color w:val="auto"/>
          <w:highlight w:val="none"/>
        </w:rPr>
      </w:pPr>
      <w:r>
        <w:rPr>
          <w:rFonts w:hint="eastAsia"/>
          <w:color w:val="auto"/>
          <w:highlight w:val="none"/>
        </w:rPr>
        <w:t>鸊鷉目  鸊鷉科1种；        鹈形目  鹭科5种；</w:t>
      </w:r>
    </w:p>
    <w:p w14:paraId="40E34882">
      <w:pPr>
        <w:pStyle w:val="30"/>
        <w:rPr>
          <w:rFonts w:hint="eastAsia"/>
          <w:color w:val="auto"/>
          <w:highlight w:val="none"/>
        </w:rPr>
      </w:pPr>
      <w:r>
        <w:rPr>
          <w:rFonts w:hint="eastAsia"/>
          <w:color w:val="auto"/>
          <w:highlight w:val="none"/>
        </w:rPr>
        <w:t>隼形目  隼科1种；          鹰形目  鹰科3种、</w:t>
      </w:r>
    </w:p>
    <w:p w14:paraId="5A1A5EE7">
      <w:pPr>
        <w:pStyle w:val="30"/>
        <w:rPr>
          <w:rFonts w:hint="eastAsia"/>
          <w:color w:val="auto"/>
          <w:highlight w:val="none"/>
        </w:rPr>
      </w:pPr>
      <w:r>
        <w:rPr>
          <w:rFonts w:hint="eastAsia"/>
          <w:color w:val="auto"/>
          <w:highlight w:val="none"/>
        </w:rPr>
        <w:t>鸡形目  雉科2种；          鹤形目  秧鸡科1种；</w:t>
      </w:r>
    </w:p>
    <w:p w14:paraId="7C6ABD1C">
      <w:pPr>
        <w:pStyle w:val="30"/>
        <w:rPr>
          <w:rFonts w:hint="eastAsia"/>
          <w:color w:val="auto"/>
          <w:highlight w:val="none"/>
        </w:rPr>
      </w:pPr>
      <w:r>
        <w:rPr>
          <w:rFonts w:hint="eastAsia"/>
          <w:color w:val="auto"/>
          <w:highlight w:val="none"/>
        </w:rPr>
        <w:t>鸽形目  鸠鸽科2种；        鹃形目  杜鹃科5种；</w:t>
      </w:r>
    </w:p>
    <w:p w14:paraId="2036458D">
      <w:pPr>
        <w:pStyle w:val="30"/>
        <w:rPr>
          <w:rFonts w:hint="eastAsia"/>
          <w:color w:val="auto"/>
          <w:highlight w:val="none"/>
        </w:rPr>
      </w:pPr>
      <w:r>
        <w:rPr>
          <w:rFonts w:hint="eastAsia"/>
          <w:color w:val="auto"/>
          <w:highlight w:val="none"/>
        </w:rPr>
        <w:t>鸮形目  鸱鸮科2种；        夜鹰目  雨燕科1种；</w:t>
      </w:r>
    </w:p>
    <w:p w14:paraId="590FADEB">
      <w:pPr>
        <w:pStyle w:val="30"/>
        <w:rPr>
          <w:rFonts w:hint="eastAsia"/>
          <w:color w:val="auto"/>
          <w:highlight w:val="none"/>
        </w:rPr>
      </w:pPr>
      <w:r>
        <w:rPr>
          <w:rFonts w:hint="eastAsia"/>
          <w:color w:val="auto"/>
          <w:highlight w:val="none"/>
        </w:rPr>
        <w:t>佛法僧目 翠鸟科1种；       戴胜目  戴胜科1种；</w:t>
      </w:r>
    </w:p>
    <w:p w14:paraId="2C679184">
      <w:pPr>
        <w:pStyle w:val="30"/>
        <w:rPr>
          <w:rFonts w:hint="eastAsia"/>
          <w:color w:val="auto"/>
          <w:highlight w:val="none"/>
        </w:rPr>
      </w:pPr>
      <w:r>
        <w:rPr>
          <w:rFonts w:hint="eastAsia"/>
          <w:color w:val="auto"/>
          <w:highlight w:val="none"/>
        </w:rPr>
        <w:t>啄木鸟目 啄木鸟科3种；     雀形目   22科48种。</w:t>
      </w:r>
    </w:p>
    <w:p w14:paraId="1A081221">
      <w:pPr>
        <w:pStyle w:val="30"/>
        <w:keepNext w:val="0"/>
        <w:keepLines w:val="0"/>
        <w:pageBreakBefore w:val="0"/>
        <w:widowControl w:val="0"/>
        <w:kinsoku/>
        <w:wordWrap/>
        <w:overflowPunct/>
        <w:topLinePunct w:val="0"/>
        <w:autoSpaceDE/>
        <w:autoSpaceDN/>
        <w:bidi w:val="0"/>
        <w:adjustRightInd w:val="0"/>
        <w:snapToGrid w:val="0"/>
        <w:textAlignment w:val="auto"/>
        <w:rPr>
          <w:rFonts w:hint="eastAsia"/>
          <w:color w:val="auto"/>
          <w:highlight w:val="none"/>
          <w:lang w:val="en-US" w:eastAsia="zh-CN"/>
        </w:rPr>
      </w:pPr>
      <w:r>
        <w:rPr>
          <w:rFonts w:hint="eastAsia"/>
          <w:color w:val="auto"/>
          <w:highlight w:val="none"/>
        </w:rPr>
        <w:t>其中非雀形目13目13科28种、雀形目22科48种。调查区</w:t>
      </w:r>
      <w:r>
        <w:rPr>
          <w:rFonts w:hint="eastAsia"/>
          <w:color w:val="auto"/>
          <w:highlight w:val="none"/>
          <w:lang w:eastAsia="zh-CN"/>
        </w:rPr>
        <w:t>内无国家</w:t>
      </w:r>
      <w:r>
        <w:rPr>
          <w:rFonts w:hint="eastAsia" w:ascii="宋体" w:hAnsi="宋体" w:eastAsia="宋体" w:cs="宋体"/>
          <w:color w:val="auto"/>
          <w:highlight w:val="none"/>
          <w:lang w:eastAsia="zh-CN"/>
        </w:rPr>
        <w:t>Ⅰ</w:t>
      </w:r>
      <w:r>
        <w:rPr>
          <w:rFonts w:hint="eastAsia" w:ascii="宋体" w:hAnsi="宋体" w:cs="宋体"/>
          <w:color w:val="auto"/>
          <w:highlight w:val="none"/>
          <w:lang w:eastAsia="zh-CN"/>
        </w:rPr>
        <w:t>级保护鸟类，</w:t>
      </w:r>
      <w:r>
        <w:rPr>
          <w:rFonts w:hint="eastAsia"/>
          <w:color w:val="auto"/>
          <w:highlight w:val="none"/>
        </w:rPr>
        <w:t>有国家Ⅱ级保护鸟类红隼</w:t>
      </w:r>
      <w:r>
        <w:rPr>
          <w:rFonts w:hint="eastAsia"/>
          <w:i/>
          <w:iCs/>
          <w:color w:val="auto"/>
          <w:highlight w:val="none"/>
        </w:rPr>
        <w:t>Falco tinnunculus</w:t>
      </w:r>
      <w:r>
        <w:rPr>
          <w:rFonts w:hint="eastAsia"/>
          <w:color w:val="auto"/>
          <w:highlight w:val="none"/>
        </w:rPr>
        <w:t>、松雀鹰</w:t>
      </w:r>
      <w:r>
        <w:rPr>
          <w:rFonts w:hint="eastAsia"/>
          <w:i/>
          <w:iCs/>
          <w:color w:val="auto"/>
          <w:highlight w:val="none"/>
        </w:rPr>
        <w:t>Accipiter virgatus</w:t>
      </w:r>
      <w:r>
        <w:rPr>
          <w:rFonts w:hint="eastAsia"/>
          <w:color w:val="auto"/>
          <w:highlight w:val="none"/>
        </w:rPr>
        <w:t>、普通鵟</w:t>
      </w:r>
      <w:r>
        <w:rPr>
          <w:rFonts w:hint="eastAsia"/>
          <w:i/>
          <w:iCs/>
          <w:color w:val="auto"/>
          <w:highlight w:val="none"/>
        </w:rPr>
        <w:t>Buteo japonicus</w:t>
      </w:r>
      <w:r>
        <w:rPr>
          <w:rFonts w:hint="eastAsia"/>
          <w:color w:val="auto"/>
          <w:highlight w:val="none"/>
        </w:rPr>
        <w:t>、蛇雕</w:t>
      </w:r>
      <w:r>
        <w:rPr>
          <w:rFonts w:hint="eastAsia"/>
          <w:i/>
          <w:iCs/>
          <w:color w:val="auto"/>
          <w:highlight w:val="none"/>
        </w:rPr>
        <w:t>Spilornis cheela</w:t>
      </w:r>
      <w:r>
        <w:rPr>
          <w:rFonts w:hint="eastAsia"/>
          <w:color w:val="auto"/>
          <w:highlight w:val="none"/>
        </w:rPr>
        <w:t>、领角鸮</w:t>
      </w:r>
      <w:r>
        <w:rPr>
          <w:rFonts w:hint="eastAsia"/>
          <w:i/>
          <w:iCs/>
          <w:color w:val="auto"/>
          <w:highlight w:val="none"/>
        </w:rPr>
        <w:t>Otus bakkamoena</w:t>
      </w:r>
      <w:r>
        <w:rPr>
          <w:rFonts w:hint="eastAsia"/>
          <w:color w:val="auto"/>
          <w:highlight w:val="none"/>
        </w:rPr>
        <w:t>、斑头鸺鹠</w:t>
      </w:r>
      <w:r>
        <w:rPr>
          <w:rFonts w:hint="eastAsia"/>
          <w:i/>
          <w:iCs/>
          <w:color w:val="auto"/>
          <w:highlight w:val="none"/>
        </w:rPr>
        <w:t>Glancidium.cuculoides</w:t>
      </w:r>
      <w:r>
        <w:rPr>
          <w:rFonts w:hint="eastAsia"/>
          <w:color w:val="auto"/>
          <w:highlight w:val="none"/>
        </w:rPr>
        <w:t>、小鸦鹃</w:t>
      </w:r>
      <w:r>
        <w:rPr>
          <w:rFonts w:hint="eastAsia"/>
          <w:i/>
          <w:iCs/>
          <w:color w:val="auto"/>
          <w:highlight w:val="none"/>
        </w:rPr>
        <w:t>Centropus bengalensis</w:t>
      </w:r>
      <w:r>
        <w:rPr>
          <w:rFonts w:hint="eastAsia"/>
          <w:color w:val="auto"/>
          <w:highlight w:val="none"/>
        </w:rPr>
        <w:t>和画眉</w:t>
      </w:r>
      <w:r>
        <w:rPr>
          <w:rFonts w:hint="eastAsia"/>
          <w:i/>
          <w:iCs/>
          <w:color w:val="auto"/>
          <w:highlight w:val="none"/>
        </w:rPr>
        <w:t xml:space="preserve">Garrulax caniyus </w:t>
      </w:r>
      <w:r>
        <w:rPr>
          <w:rFonts w:hint="eastAsia"/>
          <w:color w:val="auto"/>
          <w:highlight w:val="none"/>
        </w:rPr>
        <w:t>8种，66种为国家“有重要的生态、科研和社会价值的陆生脊椎动物”（“三有”动物）。列入中日候鸟保护协定的有大杜鹃</w:t>
      </w:r>
      <w:r>
        <w:rPr>
          <w:rFonts w:hint="eastAsia"/>
          <w:i/>
          <w:iCs/>
          <w:color w:val="auto"/>
          <w:highlight w:val="none"/>
        </w:rPr>
        <w:t>Cuculus canorus</w:t>
      </w:r>
      <w:r>
        <w:rPr>
          <w:rFonts w:hint="eastAsia"/>
          <w:color w:val="auto"/>
          <w:highlight w:val="none"/>
        </w:rPr>
        <w:t>等14种；列入中澳候鸟保护协定的有家燕</w:t>
      </w:r>
      <w:r>
        <w:rPr>
          <w:rFonts w:hint="eastAsia"/>
          <w:i/>
          <w:iCs/>
          <w:color w:val="auto"/>
          <w:highlight w:val="none"/>
        </w:rPr>
        <w:t>Hirundo rustica</w:t>
      </w:r>
      <w:r>
        <w:rPr>
          <w:rFonts w:hint="eastAsia"/>
          <w:color w:val="auto"/>
          <w:highlight w:val="none"/>
        </w:rPr>
        <w:t>、灰鹡鸰</w:t>
      </w:r>
      <w:r>
        <w:rPr>
          <w:rFonts w:hint="eastAsia"/>
          <w:i/>
          <w:iCs/>
          <w:color w:val="auto"/>
          <w:highlight w:val="none"/>
        </w:rPr>
        <w:t>Motacilla cinerea</w:t>
      </w:r>
      <w:r>
        <w:rPr>
          <w:rFonts w:hint="eastAsia"/>
          <w:color w:val="auto"/>
          <w:highlight w:val="none"/>
        </w:rPr>
        <w:t>、白鹡鸰</w:t>
      </w:r>
      <w:r>
        <w:rPr>
          <w:rFonts w:hint="eastAsia"/>
          <w:i/>
          <w:iCs/>
          <w:color w:val="auto"/>
          <w:highlight w:val="none"/>
        </w:rPr>
        <w:t>Motacilla alba</w:t>
      </w:r>
      <w:r>
        <w:rPr>
          <w:rFonts w:hint="eastAsia"/>
          <w:i/>
          <w:iCs/>
          <w:color w:val="auto"/>
          <w:highlight w:val="none"/>
          <w:lang w:val="en-US" w:eastAsia="zh-CN"/>
        </w:rPr>
        <w:t xml:space="preserve"> </w:t>
      </w:r>
      <w:r>
        <w:rPr>
          <w:rFonts w:hint="eastAsia"/>
          <w:color w:val="auto"/>
          <w:highlight w:val="none"/>
          <w:lang w:val="en-US" w:eastAsia="zh-CN"/>
        </w:rPr>
        <w:t>3</w:t>
      </w:r>
      <w:r>
        <w:rPr>
          <w:rFonts w:hint="eastAsia"/>
          <w:color w:val="auto"/>
          <w:highlight w:val="none"/>
        </w:rPr>
        <w:t>种；列入贸易公约附录Ⅱ的有红隼、斑头鸺鹠、画眉等7种，湖南省重点保护物种33种。</w:t>
      </w:r>
    </w:p>
    <w:p w14:paraId="79A2DB0F">
      <w:pPr>
        <w:pStyle w:val="30"/>
        <w:keepNext w:val="0"/>
        <w:keepLines w:val="0"/>
        <w:pageBreakBefore w:val="0"/>
        <w:widowControl w:val="0"/>
        <w:kinsoku/>
        <w:wordWrap/>
        <w:overflowPunct/>
        <w:topLinePunct w:val="0"/>
        <w:autoSpaceDE/>
        <w:autoSpaceDN/>
        <w:bidi w:val="0"/>
        <w:adjustRightInd w:val="0"/>
        <w:snapToGrid w:val="0"/>
        <w:textAlignment w:val="auto"/>
        <w:rPr>
          <w:rFonts w:hint="eastAsia"/>
          <w:color w:val="auto"/>
          <w:highlight w:val="none"/>
          <w:lang w:val="en-US" w:eastAsia="zh-CN"/>
        </w:rPr>
      </w:pPr>
      <w:r>
        <w:rPr>
          <w:rFonts w:hint="eastAsia"/>
          <w:color w:val="auto"/>
          <w:highlight w:val="none"/>
          <w:lang w:val="en-US" w:eastAsia="zh-CN"/>
        </w:rPr>
        <w:t>（2）区系类型</w:t>
      </w:r>
    </w:p>
    <w:p w14:paraId="477398EA">
      <w:pPr>
        <w:pStyle w:val="30"/>
        <w:keepNext w:val="0"/>
        <w:keepLines w:val="0"/>
        <w:pageBreakBefore w:val="0"/>
        <w:widowControl w:val="0"/>
        <w:kinsoku/>
        <w:wordWrap/>
        <w:overflowPunct/>
        <w:topLinePunct w:val="0"/>
        <w:autoSpaceDE/>
        <w:autoSpaceDN/>
        <w:bidi w:val="0"/>
        <w:adjustRightInd w:val="0"/>
        <w:snapToGrid w:val="0"/>
        <w:textAlignment w:val="auto"/>
        <w:rPr>
          <w:rFonts w:hint="eastAsia"/>
          <w:color w:val="auto"/>
          <w:highlight w:val="none"/>
          <w:lang w:val="en-US" w:eastAsia="zh-CN"/>
        </w:rPr>
      </w:pPr>
      <w:r>
        <w:rPr>
          <w:rFonts w:hint="eastAsia" w:hAnsi="宋体"/>
          <w:color w:val="auto"/>
          <w:sz w:val="24"/>
          <w:highlight w:val="none"/>
        </w:rPr>
        <w:t>调查区鸟类群落76个</w:t>
      </w:r>
      <w:r>
        <w:rPr>
          <w:rFonts w:hAnsi="宋体"/>
          <w:color w:val="auto"/>
          <w:sz w:val="24"/>
          <w:highlight w:val="none"/>
        </w:rPr>
        <w:t>物种里，</w:t>
      </w:r>
      <w:r>
        <w:rPr>
          <w:rFonts w:hint="eastAsia" w:hAnsi="宋体"/>
          <w:color w:val="auto"/>
          <w:sz w:val="24"/>
          <w:highlight w:val="none"/>
        </w:rPr>
        <w:t>区系组成为：</w:t>
      </w:r>
      <w:r>
        <w:rPr>
          <w:rFonts w:hAnsi="宋体"/>
          <w:color w:val="auto"/>
          <w:sz w:val="24"/>
          <w:highlight w:val="none"/>
        </w:rPr>
        <w:t>东洋界</w:t>
      </w:r>
      <w:r>
        <w:rPr>
          <w:rFonts w:hint="eastAsia"/>
          <w:color w:val="auto"/>
          <w:sz w:val="24"/>
          <w:highlight w:val="none"/>
        </w:rPr>
        <w:t>39</w:t>
      </w:r>
      <w:r>
        <w:rPr>
          <w:rFonts w:hAnsi="宋体"/>
          <w:color w:val="auto"/>
          <w:sz w:val="24"/>
          <w:highlight w:val="none"/>
        </w:rPr>
        <w:t>种</w:t>
      </w:r>
      <w:r>
        <w:rPr>
          <w:rFonts w:hint="eastAsia" w:hAnsi="宋体"/>
          <w:color w:val="auto"/>
          <w:sz w:val="24"/>
          <w:highlight w:val="none"/>
        </w:rPr>
        <w:t>，占51.32</w:t>
      </w:r>
      <w:r>
        <w:rPr>
          <w:rFonts w:hAnsi="宋体"/>
          <w:color w:val="auto"/>
          <w:sz w:val="24"/>
          <w:highlight w:val="none"/>
        </w:rPr>
        <w:t>%</w:t>
      </w:r>
      <w:r>
        <w:rPr>
          <w:rFonts w:hint="eastAsia" w:hAnsi="宋体"/>
          <w:color w:val="auto"/>
          <w:sz w:val="24"/>
          <w:highlight w:val="none"/>
        </w:rPr>
        <w:t>；古北界10种，占13.16</w:t>
      </w:r>
      <w:r>
        <w:rPr>
          <w:rFonts w:hAnsi="宋体"/>
          <w:color w:val="auto"/>
          <w:sz w:val="24"/>
          <w:highlight w:val="none"/>
        </w:rPr>
        <w:t>%</w:t>
      </w:r>
      <w:r>
        <w:rPr>
          <w:rFonts w:hint="eastAsia" w:hAnsi="宋体"/>
          <w:color w:val="auto"/>
          <w:sz w:val="24"/>
          <w:highlight w:val="none"/>
        </w:rPr>
        <w:t>；</w:t>
      </w:r>
      <w:r>
        <w:rPr>
          <w:rFonts w:hAnsi="宋体"/>
          <w:color w:val="auto"/>
          <w:sz w:val="24"/>
          <w:highlight w:val="none"/>
        </w:rPr>
        <w:t>广布种</w:t>
      </w:r>
      <w:r>
        <w:rPr>
          <w:rFonts w:hint="eastAsia"/>
          <w:color w:val="auto"/>
          <w:sz w:val="24"/>
          <w:highlight w:val="none"/>
        </w:rPr>
        <w:t>27</w:t>
      </w:r>
      <w:r>
        <w:rPr>
          <w:rFonts w:hAnsi="宋体"/>
          <w:color w:val="auto"/>
          <w:sz w:val="24"/>
          <w:highlight w:val="none"/>
        </w:rPr>
        <w:t>种</w:t>
      </w:r>
      <w:r>
        <w:rPr>
          <w:rFonts w:hint="eastAsia" w:hAnsi="宋体"/>
          <w:color w:val="auto"/>
          <w:sz w:val="24"/>
          <w:highlight w:val="none"/>
        </w:rPr>
        <w:t>，占35.53</w:t>
      </w:r>
      <w:r>
        <w:rPr>
          <w:rFonts w:hAnsi="宋体"/>
          <w:color w:val="auto"/>
          <w:sz w:val="24"/>
          <w:highlight w:val="none"/>
        </w:rPr>
        <w:t>%</w:t>
      </w:r>
      <w:r>
        <w:rPr>
          <w:rFonts w:hint="eastAsia" w:hAnsi="宋体"/>
          <w:color w:val="auto"/>
          <w:sz w:val="24"/>
          <w:highlight w:val="none"/>
        </w:rPr>
        <w:t>。表明</w:t>
      </w:r>
      <w:r>
        <w:rPr>
          <w:rFonts w:hAnsi="宋体"/>
          <w:color w:val="auto"/>
          <w:sz w:val="24"/>
          <w:highlight w:val="none"/>
        </w:rPr>
        <w:t>调查区的鸟类区系组成</w:t>
      </w:r>
      <w:r>
        <w:rPr>
          <w:rFonts w:hint="eastAsia" w:hAnsi="宋体"/>
          <w:color w:val="auto"/>
          <w:sz w:val="24"/>
          <w:highlight w:val="none"/>
        </w:rPr>
        <w:t>以东洋界</w:t>
      </w:r>
      <w:r>
        <w:rPr>
          <w:rFonts w:hAnsi="宋体"/>
          <w:color w:val="auto"/>
          <w:sz w:val="24"/>
          <w:highlight w:val="none"/>
        </w:rPr>
        <w:t>为主，表明</w:t>
      </w:r>
      <w:r>
        <w:rPr>
          <w:rFonts w:hint="eastAsia" w:hAnsi="宋体"/>
          <w:color w:val="auto"/>
          <w:sz w:val="24"/>
          <w:highlight w:val="none"/>
        </w:rPr>
        <w:t>调查</w:t>
      </w:r>
      <w:r>
        <w:rPr>
          <w:rFonts w:hAnsi="宋体"/>
          <w:color w:val="auto"/>
          <w:sz w:val="24"/>
          <w:highlight w:val="none"/>
        </w:rPr>
        <w:t>区东洋界种类占较大优势</w:t>
      </w:r>
      <w:r>
        <w:rPr>
          <w:rFonts w:hint="eastAsia" w:hAnsi="宋体"/>
          <w:color w:val="auto"/>
          <w:sz w:val="24"/>
          <w:highlight w:val="none"/>
        </w:rPr>
        <w:t>。其</w:t>
      </w:r>
      <w:r>
        <w:rPr>
          <w:rFonts w:hAnsi="宋体"/>
          <w:color w:val="auto"/>
          <w:sz w:val="24"/>
          <w:highlight w:val="none"/>
        </w:rPr>
        <w:t>具有华中动物区系的固有种类，而且还明显的反映出南北种类混杂的特征</w:t>
      </w:r>
      <w:r>
        <w:rPr>
          <w:rFonts w:hint="eastAsia" w:hAnsi="宋体"/>
          <w:color w:val="auto"/>
          <w:sz w:val="24"/>
          <w:highlight w:val="none"/>
        </w:rPr>
        <w:t>，</w:t>
      </w:r>
      <w:r>
        <w:rPr>
          <w:rFonts w:hAnsi="宋体"/>
          <w:color w:val="auto"/>
          <w:sz w:val="24"/>
          <w:highlight w:val="none"/>
        </w:rPr>
        <w:t>多以留鸟和夏候鸟的性质向本区渗透</w:t>
      </w:r>
      <w:r>
        <w:rPr>
          <w:rFonts w:hint="eastAsia" w:hAnsi="宋体"/>
          <w:color w:val="auto"/>
          <w:sz w:val="24"/>
          <w:highlight w:val="none"/>
        </w:rPr>
        <w:t>；</w:t>
      </w:r>
      <w:r>
        <w:rPr>
          <w:rFonts w:hAnsi="宋体"/>
          <w:color w:val="auto"/>
          <w:sz w:val="24"/>
          <w:highlight w:val="none"/>
        </w:rPr>
        <w:t>同时因环境变化，鸟类扩散能力极强，南北渗透趋势显明。由此可见</w:t>
      </w:r>
      <w:r>
        <w:rPr>
          <w:rFonts w:hint="eastAsia" w:hAnsi="宋体"/>
          <w:color w:val="auto"/>
          <w:sz w:val="24"/>
          <w:highlight w:val="none"/>
        </w:rPr>
        <w:t>风电</w:t>
      </w:r>
      <w:r>
        <w:rPr>
          <w:rFonts w:hAnsi="宋体"/>
          <w:color w:val="auto"/>
          <w:sz w:val="24"/>
          <w:highlight w:val="none"/>
        </w:rPr>
        <w:t>项目</w:t>
      </w:r>
      <w:r>
        <w:rPr>
          <w:rFonts w:hint="eastAsia" w:hAnsi="宋体"/>
          <w:color w:val="auto"/>
          <w:sz w:val="24"/>
          <w:highlight w:val="none"/>
        </w:rPr>
        <w:t>调查</w:t>
      </w:r>
      <w:r>
        <w:rPr>
          <w:rFonts w:hAnsi="宋体"/>
          <w:color w:val="auto"/>
          <w:sz w:val="24"/>
          <w:highlight w:val="none"/>
        </w:rPr>
        <w:t>区鸟类区系组成成分比较复杂，鸟类的区系过渡性很不典型，但东洋界特征明显。</w:t>
      </w:r>
      <w:r>
        <w:rPr>
          <w:rFonts w:hint="eastAsia" w:hAnsi="宋体"/>
          <w:color w:val="auto"/>
          <w:sz w:val="24"/>
          <w:highlight w:val="none"/>
        </w:rPr>
        <w:t>所在区域动物地理区系呈现为东洋界、华中区、东部丘陵平原亚区、江南丘陵省，处</w:t>
      </w:r>
      <w:r>
        <w:rPr>
          <w:rFonts w:hAnsi="宋体"/>
          <w:color w:val="auto"/>
          <w:sz w:val="24"/>
          <w:highlight w:val="none"/>
        </w:rPr>
        <w:t>华中区腹地并</w:t>
      </w:r>
      <w:r>
        <w:rPr>
          <w:rFonts w:hint="eastAsia" w:hAnsi="宋体"/>
          <w:color w:val="auto"/>
          <w:sz w:val="24"/>
          <w:highlight w:val="none"/>
        </w:rPr>
        <w:t>较靠</w:t>
      </w:r>
      <w:r>
        <w:rPr>
          <w:rFonts w:hAnsi="宋体"/>
          <w:color w:val="auto"/>
          <w:sz w:val="24"/>
          <w:highlight w:val="none"/>
        </w:rPr>
        <w:t>近华南区。</w:t>
      </w:r>
    </w:p>
    <w:p w14:paraId="3E7E1C89">
      <w:pPr>
        <w:pStyle w:val="30"/>
        <w:keepNext w:val="0"/>
        <w:keepLines w:val="0"/>
        <w:pageBreakBefore w:val="0"/>
        <w:widowControl w:val="0"/>
        <w:kinsoku/>
        <w:wordWrap/>
        <w:overflowPunct/>
        <w:topLinePunct w:val="0"/>
        <w:autoSpaceDE/>
        <w:autoSpaceDN/>
        <w:bidi w:val="0"/>
        <w:adjustRightInd w:val="0"/>
        <w:snapToGrid w:val="0"/>
        <w:textAlignment w:val="auto"/>
        <w:rPr>
          <w:rFonts w:hint="eastAsia"/>
          <w:color w:val="auto"/>
          <w:highlight w:val="none"/>
          <w:lang w:val="en-US" w:eastAsia="zh-CN"/>
        </w:rPr>
      </w:pPr>
      <w:r>
        <w:rPr>
          <w:rFonts w:hint="eastAsia"/>
          <w:color w:val="auto"/>
          <w:highlight w:val="none"/>
          <w:lang w:val="en-US" w:eastAsia="zh-CN"/>
        </w:rPr>
        <w:t>（3）居留型</w:t>
      </w:r>
    </w:p>
    <w:p w14:paraId="1A82129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color w:val="auto"/>
          <w:sz w:val="24"/>
          <w:highlight w:val="none"/>
        </w:rPr>
      </w:pPr>
      <w:r>
        <w:rPr>
          <w:rFonts w:hAnsi="宋体"/>
          <w:color w:val="auto"/>
          <w:sz w:val="24"/>
          <w:highlight w:val="none"/>
        </w:rPr>
        <w:t>本次调查中记录的</w:t>
      </w:r>
      <w:r>
        <w:rPr>
          <w:color w:val="auto"/>
          <w:sz w:val="24"/>
          <w:highlight w:val="none"/>
        </w:rPr>
        <w:t>7</w:t>
      </w:r>
      <w:r>
        <w:rPr>
          <w:rFonts w:hint="eastAsia"/>
          <w:color w:val="auto"/>
          <w:sz w:val="24"/>
          <w:highlight w:val="none"/>
        </w:rPr>
        <w:t>6</w:t>
      </w:r>
      <w:r>
        <w:rPr>
          <w:rFonts w:hAnsi="宋体"/>
          <w:color w:val="auto"/>
          <w:sz w:val="24"/>
          <w:highlight w:val="none"/>
        </w:rPr>
        <w:t>个鸟类</w:t>
      </w:r>
      <w:r>
        <w:rPr>
          <w:rFonts w:hint="eastAsia" w:hAnsi="宋体"/>
          <w:color w:val="auto"/>
          <w:sz w:val="24"/>
          <w:highlight w:val="none"/>
        </w:rPr>
        <w:t>物种</w:t>
      </w:r>
      <w:r>
        <w:rPr>
          <w:rFonts w:hAnsi="宋体"/>
          <w:color w:val="auto"/>
          <w:sz w:val="24"/>
          <w:highlight w:val="none"/>
        </w:rPr>
        <w:t>中，以留鸟居多，计</w:t>
      </w:r>
      <w:r>
        <w:rPr>
          <w:rFonts w:hint="eastAsia"/>
          <w:color w:val="auto"/>
          <w:sz w:val="24"/>
          <w:highlight w:val="none"/>
        </w:rPr>
        <w:t>50</w:t>
      </w:r>
      <w:r>
        <w:rPr>
          <w:rFonts w:hAnsi="宋体"/>
          <w:color w:val="auto"/>
          <w:sz w:val="24"/>
          <w:highlight w:val="none"/>
        </w:rPr>
        <w:t>种</w:t>
      </w:r>
      <w:r>
        <w:rPr>
          <w:rFonts w:hint="eastAsia" w:hAnsi="宋体"/>
          <w:color w:val="auto"/>
          <w:sz w:val="24"/>
          <w:highlight w:val="none"/>
        </w:rPr>
        <w:t>，</w:t>
      </w:r>
      <w:bookmarkStart w:id="74" w:name="_Hlk492388537"/>
      <w:r>
        <w:rPr>
          <w:rFonts w:hint="eastAsia" w:hAnsi="宋体"/>
          <w:color w:val="auto"/>
          <w:sz w:val="24"/>
          <w:highlight w:val="none"/>
        </w:rPr>
        <w:t>占65.79</w:t>
      </w:r>
      <w:r>
        <w:rPr>
          <w:rFonts w:hAnsi="宋体"/>
          <w:color w:val="auto"/>
          <w:sz w:val="24"/>
          <w:highlight w:val="none"/>
        </w:rPr>
        <w:t>%</w:t>
      </w:r>
      <w:bookmarkEnd w:id="74"/>
      <w:r>
        <w:rPr>
          <w:rFonts w:hint="eastAsia" w:hAnsi="宋体"/>
          <w:color w:val="auto"/>
          <w:sz w:val="24"/>
          <w:highlight w:val="none"/>
        </w:rPr>
        <w:t>，处较大</w:t>
      </w:r>
      <w:r>
        <w:rPr>
          <w:rFonts w:hAnsi="宋体"/>
          <w:color w:val="auto"/>
          <w:sz w:val="24"/>
          <w:highlight w:val="none"/>
        </w:rPr>
        <w:t>优势；夏候鸟</w:t>
      </w:r>
      <w:r>
        <w:rPr>
          <w:rFonts w:hint="eastAsia"/>
          <w:color w:val="auto"/>
          <w:sz w:val="24"/>
          <w:highlight w:val="none"/>
        </w:rPr>
        <w:t>14</w:t>
      </w:r>
      <w:r>
        <w:rPr>
          <w:rFonts w:hAnsi="宋体"/>
          <w:color w:val="auto"/>
          <w:sz w:val="24"/>
          <w:highlight w:val="none"/>
        </w:rPr>
        <w:t>种，</w:t>
      </w:r>
      <w:r>
        <w:rPr>
          <w:rFonts w:hint="eastAsia" w:hAnsi="宋体"/>
          <w:color w:val="auto"/>
          <w:sz w:val="24"/>
          <w:highlight w:val="none"/>
        </w:rPr>
        <w:t>占18.42</w:t>
      </w:r>
      <w:r>
        <w:rPr>
          <w:rFonts w:hAnsi="宋体"/>
          <w:color w:val="auto"/>
          <w:sz w:val="24"/>
          <w:highlight w:val="none"/>
        </w:rPr>
        <w:t>%</w:t>
      </w:r>
      <w:r>
        <w:rPr>
          <w:rFonts w:hint="eastAsia" w:hAnsi="宋体"/>
          <w:color w:val="auto"/>
          <w:sz w:val="24"/>
          <w:highlight w:val="none"/>
        </w:rPr>
        <w:t>；</w:t>
      </w:r>
      <w:r>
        <w:rPr>
          <w:rFonts w:hAnsi="宋体"/>
          <w:color w:val="auto"/>
          <w:sz w:val="24"/>
          <w:highlight w:val="none"/>
        </w:rPr>
        <w:t>冬候鸟</w:t>
      </w:r>
      <w:r>
        <w:rPr>
          <w:rFonts w:hint="eastAsia" w:hAnsi="宋体"/>
          <w:color w:val="auto"/>
          <w:sz w:val="24"/>
          <w:highlight w:val="none"/>
        </w:rPr>
        <w:t>有</w:t>
      </w:r>
      <w:r>
        <w:rPr>
          <w:rFonts w:hint="eastAsia"/>
          <w:color w:val="auto"/>
          <w:sz w:val="24"/>
          <w:highlight w:val="none"/>
        </w:rPr>
        <w:t>12</w:t>
      </w:r>
      <w:r>
        <w:rPr>
          <w:rFonts w:hAnsi="宋体"/>
          <w:color w:val="auto"/>
          <w:sz w:val="24"/>
          <w:highlight w:val="none"/>
        </w:rPr>
        <w:t>种</w:t>
      </w:r>
      <w:r>
        <w:rPr>
          <w:rFonts w:hint="eastAsia" w:hAnsi="宋体"/>
          <w:color w:val="auto"/>
          <w:sz w:val="24"/>
          <w:highlight w:val="none"/>
        </w:rPr>
        <w:t>，占15.79</w:t>
      </w:r>
      <w:r>
        <w:rPr>
          <w:rFonts w:hAnsi="宋体"/>
          <w:color w:val="auto"/>
          <w:sz w:val="24"/>
          <w:highlight w:val="none"/>
        </w:rPr>
        <w:t>%</w:t>
      </w:r>
      <w:r>
        <w:rPr>
          <w:rFonts w:hint="eastAsia" w:hAnsi="宋体"/>
          <w:color w:val="auto"/>
          <w:sz w:val="24"/>
          <w:highlight w:val="none"/>
        </w:rPr>
        <w:t>；无旅鸟组分。50种</w:t>
      </w:r>
      <w:r>
        <w:rPr>
          <w:rFonts w:hAnsi="宋体"/>
          <w:color w:val="auto"/>
          <w:sz w:val="24"/>
          <w:highlight w:val="none"/>
        </w:rPr>
        <w:t>留鸟</w:t>
      </w:r>
      <w:r>
        <w:rPr>
          <w:rFonts w:hint="eastAsia" w:hAnsi="宋体"/>
          <w:color w:val="auto"/>
          <w:sz w:val="24"/>
          <w:highlight w:val="none"/>
        </w:rPr>
        <w:t>和14种</w:t>
      </w:r>
      <w:r>
        <w:rPr>
          <w:rFonts w:hAnsi="宋体"/>
          <w:color w:val="auto"/>
          <w:sz w:val="24"/>
          <w:highlight w:val="none"/>
        </w:rPr>
        <w:t>夏候鸟</w:t>
      </w:r>
      <w:r>
        <w:rPr>
          <w:rFonts w:hint="eastAsia" w:hAnsi="宋体"/>
          <w:color w:val="auto"/>
          <w:sz w:val="24"/>
          <w:highlight w:val="none"/>
        </w:rPr>
        <w:t>计</w:t>
      </w:r>
      <w:r>
        <w:rPr>
          <w:rFonts w:hAnsi="宋体"/>
          <w:color w:val="auto"/>
          <w:sz w:val="24"/>
          <w:highlight w:val="none"/>
        </w:rPr>
        <w:t>64</w:t>
      </w:r>
      <w:r>
        <w:rPr>
          <w:rFonts w:hint="eastAsia" w:hAnsi="宋体"/>
          <w:color w:val="auto"/>
          <w:sz w:val="24"/>
          <w:highlight w:val="none"/>
        </w:rPr>
        <w:t>种构成了夏季</w:t>
      </w:r>
      <w:r>
        <w:rPr>
          <w:rFonts w:hAnsi="宋体"/>
          <w:color w:val="auto"/>
          <w:sz w:val="24"/>
          <w:highlight w:val="none"/>
        </w:rPr>
        <w:t>繁殖</w:t>
      </w:r>
      <w:r>
        <w:rPr>
          <w:rFonts w:hint="eastAsia" w:hAnsi="宋体"/>
          <w:color w:val="auto"/>
          <w:sz w:val="24"/>
          <w:highlight w:val="none"/>
        </w:rPr>
        <w:t>季节的</w:t>
      </w:r>
      <w:r>
        <w:rPr>
          <w:rFonts w:hAnsi="宋体"/>
          <w:color w:val="auto"/>
          <w:sz w:val="24"/>
          <w:highlight w:val="none"/>
        </w:rPr>
        <w:t>鸟类</w:t>
      </w:r>
      <w:r>
        <w:rPr>
          <w:rFonts w:hint="eastAsia" w:hAnsi="宋体"/>
          <w:color w:val="auto"/>
          <w:sz w:val="24"/>
          <w:highlight w:val="none"/>
        </w:rPr>
        <w:t>群落，而</w:t>
      </w:r>
      <w:r>
        <w:rPr>
          <w:rFonts w:hAnsi="宋体"/>
          <w:color w:val="auto"/>
          <w:sz w:val="24"/>
          <w:highlight w:val="none"/>
        </w:rPr>
        <w:t>留鸟</w:t>
      </w:r>
      <w:r>
        <w:rPr>
          <w:rFonts w:hint="eastAsia" w:hAnsi="宋体"/>
          <w:color w:val="auto"/>
          <w:sz w:val="24"/>
          <w:highlight w:val="none"/>
        </w:rPr>
        <w:t>和12种冬</w:t>
      </w:r>
      <w:r>
        <w:rPr>
          <w:rFonts w:hAnsi="宋体"/>
          <w:color w:val="auto"/>
          <w:sz w:val="24"/>
          <w:highlight w:val="none"/>
        </w:rPr>
        <w:t>候鸟</w:t>
      </w:r>
      <w:r>
        <w:rPr>
          <w:rFonts w:hint="eastAsia" w:hAnsi="宋体"/>
          <w:color w:val="auto"/>
          <w:sz w:val="24"/>
          <w:highlight w:val="none"/>
        </w:rPr>
        <w:t>构成的62种则构成了越冬季节的鸟类群落。表明调查区生态</w:t>
      </w:r>
      <w:r>
        <w:rPr>
          <w:rFonts w:hAnsi="宋体"/>
          <w:color w:val="auto"/>
          <w:sz w:val="24"/>
          <w:highlight w:val="none"/>
        </w:rPr>
        <w:t>系统</w:t>
      </w:r>
      <w:r>
        <w:rPr>
          <w:rFonts w:hint="eastAsia" w:hAnsi="宋体"/>
          <w:color w:val="auto"/>
          <w:sz w:val="24"/>
          <w:highlight w:val="none"/>
        </w:rPr>
        <w:t>有一定承载动物生物多样性的能力，同时以鸟类为重要组分的野生动物群体</w:t>
      </w:r>
      <w:r>
        <w:rPr>
          <w:rFonts w:hAnsi="宋体"/>
          <w:color w:val="auto"/>
          <w:sz w:val="24"/>
          <w:highlight w:val="none"/>
        </w:rPr>
        <w:t>有效的维系</w:t>
      </w:r>
      <w:r>
        <w:rPr>
          <w:rFonts w:hint="eastAsia" w:hAnsi="宋体"/>
          <w:color w:val="auto"/>
          <w:sz w:val="24"/>
          <w:highlight w:val="none"/>
        </w:rPr>
        <w:t>其</w:t>
      </w:r>
      <w:r>
        <w:rPr>
          <w:rFonts w:hAnsi="宋体"/>
          <w:color w:val="auto"/>
          <w:sz w:val="24"/>
          <w:highlight w:val="none"/>
        </w:rPr>
        <w:t>的生态平衡和森林景观</w:t>
      </w:r>
      <w:r>
        <w:rPr>
          <w:rFonts w:hint="eastAsia" w:hAnsi="宋体"/>
          <w:color w:val="auto"/>
          <w:sz w:val="24"/>
          <w:highlight w:val="none"/>
        </w:rPr>
        <w:t>健康</w:t>
      </w:r>
      <w:r>
        <w:rPr>
          <w:rFonts w:hAnsi="宋体"/>
          <w:color w:val="auto"/>
          <w:sz w:val="24"/>
          <w:highlight w:val="none"/>
        </w:rPr>
        <w:t>。</w:t>
      </w:r>
      <w:r>
        <w:rPr>
          <w:rFonts w:hint="eastAsia" w:hAnsi="宋体"/>
          <w:color w:val="auto"/>
          <w:sz w:val="24"/>
          <w:highlight w:val="none"/>
        </w:rPr>
        <w:t>因调查区</w:t>
      </w:r>
      <w:r>
        <w:rPr>
          <w:rFonts w:hint="eastAsia" w:ascii="宋体" w:hAnsi="宋体"/>
          <w:color w:val="auto"/>
          <w:sz w:val="24"/>
          <w:highlight w:val="none"/>
        </w:rPr>
        <w:t>多</w:t>
      </w:r>
      <w:r>
        <w:rPr>
          <w:rFonts w:hint="eastAsia"/>
          <w:color w:val="auto"/>
          <w:sz w:val="24"/>
          <w:highlight w:val="none"/>
        </w:rPr>
        <w:t>处于200</w:t>
      </w:r>
      <w:r>
        <w:rPr>
          <w:color w:val="auto"/>
          <w:sz w:val="24"/>
          <w:highlight w:val="none"/>
        </w:rPr>
        <w:t>-500</w:t>
      </w:r>
      <w:r>
        <w:rPr>
          <w:rFonts w:ascii="宋体" w:hAnsi="宋体"/>
          <w:color w:val="auto"/>
          <w:sz w:val="24"/>
          <w:highlight w:val="none"/>
        </w:rPr>
        <w:t xml:space="preserve"> </w:t>
      </w:r>
      <w:r>
        <w:rPr>
          <w:rFonts w:hint="eastAsia" w:ascii="宋体" w:hAnsi="宋体"/>
          <w:color w:val="auto"/>
          <w:sz w:val="24"/>
          <w:highlight w:val="none"/>
        </w:rPr>
        <w:t>低中山</w:t>
      </w:r>
      <w:r>
        <w:rPr>
          <w:rFonts w:ascii="宋体" w:hAnsi="宋体"/>
          <w:color w:val="auto"/>
          <w:sz w:val="24"/>
          <w:highlight w:val="none"/>
        </w:rPr>
        <w:t>地貌，</w:t>
      </w:r>
      <w:r>
        <w:rPr>
          <w:rFonts w:hint="eastAsia" w:ascii="宋体" w:hAnsi="宋体"/>
          <w:color w:val="auto"/>
          <w:sz w:val="24"/>
          <w:highlight w:val="none"/>
        </w:rPr>
        <w:t>多为</w:t>
      </w:r>
      <w:r>
        <w:rPr>
          <w:rFonts w:ascii="宋体" w:hAnsi="宋体"/>
          <w:color w:val="auto"/>
          <w:sz w:val="24"/>
          <w:highlight w:val="none"/>
        </w:rPr>
        <w:t>森林灌丛，农田</w:t>
      </w:r>
      <w:r>
        <w:rPr>
          <w:rFonts w:hint="eastAsia" w:ascii="宋体" w:hAnsi="宋体"/>
          <w:color w:val="auto"/>
          <w:sz w:val="24"/>
          <w:highlight w:val="none"/>
        </w:rPr>
        <w:t>水域组分</w:t>
      </w:r>
      <w:r>
        <w:rPr>
          <w:rFonts w:ascii="宋体" w:hAnsi="宋体"/>
          <w:color w:val="auto"/>
          <w:sz w:val="24"/>
          <w:highlight w:val="none"/>
        </w:rPr>
        <w:t>很低，河流又位于调查</w:t>
      </w:r>
      <w:r>
        <w:rPr>
          <w:rFonts w:hAnsi="宋体"/>
          <w:color w:val="auto"/>
          <w:sz w:val="24"/>
          <w:highlight w:val="none"/>
        </w:rPr>
        <w:t>区外</w:t>
      </w:r>
      <w:r>
        <w:rPr>
          <w:rFonts w:hint="eastAsia" w:hAnsi="宋体"/>
          <w:color w:val="auto"/>
          <w:sz w:val="24"/>
          <w:highlight w:val="none"/>
        </w:rPr>
        <w:t>，因此</w:t>
      </w:r>
      <w:r>
        <w:rPr>
          <w:rFonts w:hAnsi="宋体"/>
          <w:color w:val="auto"/>
          <w:sz w:val="24"/>
          <w:highlight w:val="none"/>
        </w:rPr>
        <w:t>鸟类</w:t>
      </w:r>
      <w:r>
        <w:rPr>
          <w:rFonts w:hint="eastAsia" w:hAnsi="宋体"/>
          <w:color w:val="auto"/>
          <w:sz w:val="24"/>
          <w:highlight w:val="none"/>
        </w:rPr>
        <w:t>各居留类型里水鸟组分均很低，以</w:t>
      </w:r>
      <w:r>
        <w:rPr>
          <w:rFonts w:hAnsi="宋体"/>
          <w:color w:val="auto"/>
          <w:sz w:val="24"/>
          <w:highlight w:val="none"/>
        </w:rPr>
        <w:t>林栖</w:t>
      </w:r>
      <w:r>
        <w:rPr>
          <w:rFonts w:hint="eastAsia" w:hAnsi="宋体"/>
          <w:color w:val="auto"/>
          <w:sz w:val="24"/>
          <w:highlight w:val="none"/>
        </w:rPr>
        <w:t>性</w:t>
      </w:r>
      <w:r>
        <w:rPr>
          <w:rFonts w:hAnsi="宋体"/>
          <w:color w:val="auto"/>
          <w:sz w:val="24"/>
          <w:highlight w:val="none"/>
        </w:rPr>
        <w:t>或村落鸟类为主。</w:t>
      </w:r>
    </w:p>
    <w:p w14:paraId="3013A22F">
      <w:pPr>
        <w:pStyle w:val="30"/>
        <w:keepNext w:val="0"/>
        <w:keepLines w:val="0"/>
        <w:pageBreakBefore w:val="0"/>
        <w:widowControl w:val="0"/>
        <w:kinsoku/>
        <w:wordWrap/>
        <w:overflowPunct/>
        <w:topLinePunct w:val="0"/>
        <w:autoSpaceDE/>
        <w:autoSpaceDN/>
        <w:bidi w:val="0"/>
        <w:adjustRightInd w:val="0"/>
        <w:snapToGrid w:val="0"/>
        <w:textAlignment w:val="auto"/>
        <w:rPr>
          <w:rFonts w:hint="eastAsia"/>
          <w:color w:val="auto"/>
          <w:highlight w:val="none"/>
          <w:lang w:val="en-US" w:eastAsia="zh-CN"/>
        </w:rPr>
      </w:pPr>
      <w:r>
        <w:rPr>
          <w:rFonts w:hint="eastAsia"/>
          <w:color w:val="auto"/>
          <w:highlight w:val="none"/>
          <w:lang w:val="en-US" w:eastAsia="zh-CN"/>
        </w:rPr>
        <w:t>(4)鸟类群落物种丰度特征</w:t>
      </w:r>
    </w:p>
    <w:p w14:paraId="23477BC8">
      <w:pPr>
        <w:pStyle w:val="30"/>
        <w:keepNext w:val="0"/>
        <w:keepLines w:val="0"/>
        <w:pageBreakBefore w:val="0"/>
        <w:widowControl w:val="0"/>
        <w:kinsoku/>
        <w:wordWrap/>
        <w:overflowPunct/>
        <w:topLinePunct w:val="0"/>
        <w:autoSpaceDE/>
        <w:autoSpaceDN/>
        <w:bidi w:val="0"/>
        <w:adjustRightInd w:val="0"/>
        <w:snapToGrid w:val="0"/>
        <w:textAlignment w:val="auto"/>
        <w:rPr>
          <w:rFonts w:hint="eastAsia"/>
          <w:color w:val="auto"/>
          <w:highlight w:val="none"/>
          <w:lang w:val="en-US" w:eastAsia="zh-CN"/>
        </w:rPr>
      </w:pPr>
      <w:r>
        <w:rPr>
          <w:rFonts w:hint="eastAsia"/>
          <w:color w:val="auto"/>
          <w:highlight w:val="none"/>
        </w:rPr>
        <w:t>现场共观察发现鸟类28种，共观察记录鉴定鸟类195只。</w:t>
      </w:r>
    </w:p>
    <w:p w14:paraId="7A46335F">
      <w:pPr>
        <w:pStyle w:val="46"/>
        <w:bidi w:val="0"/>
        <w:rPr>
          <w:rFonts w:hint="default" w:ascii="Times New Roman" w:hAnsi="Times New Roman" w:eastAsia="黑体" w:cs="Times New Roman"/>
          <w:color w:val="auto"/>
          <w:highlight w:val="none"/>
        </w:rPr>
      </w:pPr>
      <w:r>
        <w:rPr>
          <w:rFonts w:hint="default"/>
        </w:rPr>
        <w:t>表</w:t>
      </w:r>
      <w:r>
        <w:rPr>
          <w:rFonts w:hint="eastAsia"/>
          <w:lang w:val="en-US" w:eastAsia="zh-CN"/>
        </w:rPr>
        <w:t>5.3.5</w:t>
      </w:r>
      <w:r>
        <w:rPr>
          <w:rFonts w:hint="default"/>
          <w:lang w:val="en-US" w:eastAsia="zh-CN"/>
        </w:rPr>
        <w:t>-</w:t>
      </w:r>
      <w:r>
        <w:rPr>
          <w:rFonts w:hint="eastAsia"/>
          <w:lang w:val="en-US" w:eastAsia="zh-CN"/>
        </w:rPr>
        <w:t>2</w:t>
      </w:r>
      <w:r>
        <w:rPr>
          <w:rFonts w:hint="default"/>
        </w:rPr>
        <w:t xml:space="preserve"> </w:t>
      </w:r>
      <w:r>
        <w:rPr>
          <w:rFonts w:hint="eastAsia"/>
          <w:lang w:val="en-US" w:eastAsia="zh-CN"/>
        </w:rPr>
        <w:t xml:space="preserve"> </w:t>
      </w:r>
      <w:r>
        <w:rPr>
          <w:rFonts w:hint="default"/>
        </w:rPr>
        <w:t>风电场现场调查各鸟类物种数量和丰度值一览表</w:t>
      </w:r>
    </w:p>
    <w:tbl>
      <w:tblPr>
        <w:tblStyle w:val="19"/>
        <w:tblW w:w="4996"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5004"/>
        <w:gridCol w:w="1024"/>
        <w:gridCol w:w="1170"/>
        <w:gridCol w:w="1317"/>
      </w:tblGrid>
      <w:tr w14:paraId="580043A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47" w:hRule="atLeast"/>
          <w:jc w:val="center"/>
        </w:trPr>
        <w:tc>
          <w:tcPr>
            <w:tcW w:w="2938" w:type="pct"/>
            <w:tcBorders>
              <w:tl2br w:val="nil"/>
              <w:tr2bl w:val="nil"/>
            </w:tcBorders>
            <w:noWrap w:val="0"/>
            <w:vAlign w:val="top"/>
          </w:tcPr>
          <w:p w14:paraId="683645D4">
            <w:pPr>
              <w:pStyle w:val="23"/>
              <w:bidi w:val="0"/>
              <w:rPr>
                <w:rFonts w:hint="default"/>
                <w:color w:val="auto"/>
                <w:sz w:val="21"/>
                <w:szCs w:val="21"/>
                <w:highlight w:val="none"/>
              </w:rPr>
            </w:pPr>
            <w:r>
              <w:rPr>
                <w:rFonts w:hint="default"/>
                <w:color w:val="auto"/>
                <w:sz w:val="21"/>
                <w:szCs w:val="21"/>
                <w:highlight w:val="none"/>
              </w:rPr>
              <w:t>物种名称</w:t>
            </w:r>
          </w:p>
        </w:tc>
        <w:tc>
          <w:tcPr>
            <w:tcW w:w="601" w:type="pct"/>
            <w:tcBorders>
              <w:tl2br w:val="nil"/>
              <w:tr2bl w:val="nil"/>
            </w:tcBorders>
            <w:noWrap w:val="0"/>
            <w:vAlign w:val="top"/>
          </w:tcPr>
          <w:p w14:paraId="627AB2F9">
            <w:pPr>
              <w:pStyle w:val="23"/>
              <w:bidi w:val="0"/>
              <w:rPr>
                <w:rFonts w:hint="default"/>
                <w:color w:val="auto"/>
                <w:sz w:val="21"/>
                <w:szCs w:val="21"/>
                <w:highlight w:val="none"/>
              </w:rPr>
            </w:pPr>
            <w:r>
              <w:rPr>
                <w:rFonts w:hint="default"/>
                <w:color w:val="auto"/>
                <w:sz w:val="21"/>
                <w:szCs w:val="21"/>
                <w:highlight w:val="none"/>
              </w:rPr>
              <w:t>数量</w:t>
            </w:r>
          </w:p>
        </w:tc>
        <w:tc>
          <w:tcPr>
            <w:tcW w:w="687" w:type="pct"/>
            <w:tcBorders>
              <w:tl2br w:val="nil"/>
              <w:tr2bl w:val="nil"/>
            </w:tcBorders>
            <w:noWrap w:val="0"/>
            <w:vAlign w:val="top"/>
          </w:tcPr>
          <w:p w14:paraId="2105C58C">
            <w:pPr>
              <w:pStyle w:val="23"/>
              <w:bidi w:val="0"/>
              <w:rPr>
                <w:rFonts w:hint="default"/>
                <w:color w:val="auto"/>
                <w:sz w:val="21"/>
                <w:szCs w:val="21"/>
                <w:highlight w:val="none"/>
              </w:rPr>
            </w:pPr>
            <w:r>
              <w:rPr>
                <w:rFonts w:hint="default"/>
                <w:color w:val="auto"/>
                <w:sz w:val="21"/>
                <w:szCs w:val="21"/>
                <w:highlight w:val="none"/>
              </w:rPr>
              <w:t>丰度</w:t>
            </w:r>
          </w:p>
        </w:tc>
        <w:tc>
          <w:tcPr>
            <w:tcW w:w="773" w:type="pct"/>
            <w:tcBorders>
              <w:tl2br w:val="nil"/>
              <w:tr2bl w:val="nil"/>
            </w:tcBorders>
            <w:noWrap w:val="0"/>
            <w:vAlign w:val="top"/>
          </w:tcPr>
          <w:p w14:paraId="4FE2E61C">
            <w:pPr>
              <w:pStyle w:val="23"/>
              <w:bidi w:val="0"/>
              <w:rPr>
                <w:rFonts w:hint="default"/>
                <w:color w:val="auto"/>
                <w:sz w:val="21"/>
                <w:szCs w:val="21"/>
                <w:highlight w:val="none"/>
              </w:rPr>
            </w:pPr>
            <w:r>
              <w:rPr>
                <w:rFonts w:hint="default"/>
                <w:color w:val="auto"/>
                <w:sz w:val="21"/>
                <w:szCs w:val="21"/>
                <w:highlight w:val="none"/>
              </w:rPr>
              <w:t>分布</w:t>
            </w:r>
          </w:p>
        </w:tc>
      </w:tr>
      <w:tr w14:paraId="5AAC772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6619C336">
            <w:pPr>
              <w:pStyle w:val="23"/>
              <w:bidi w:val="0"/>
              <w:rPr>
                <w:rFonts w:hint="default"/>
                <w:color w:val="auto"/>
                <w:sz w:val="21"/>
                <w:szCs w:val="21"/>
                <w:highlight w:val="none"/>
              </w:rPr>
            </w:pPr>
            <w:r>
              <w:rPr>
                <w:rFonts w:hint="default"/>
                <w:color w:val="auto"/>
                <w:sz w:val="21"/>
                <w:szCs w:val="21"/>
                <w:highlight w:val="none"/>
              </w:rPr>
              <w:t>山斑鸠</w:t>
            </w:r>
            <w:r>
              <w:rPr>
                <w:rFonts w:hint="default"/>
                <w:i/>
                <w:iCs/>
                <w:color w:val="auto"/>
                <w:sz w:val="21"/>
                <w:szCs w:val="21"/>
                <w:highlight w:val="none"/>
              </w:rPr>
              <w:t>Streptopelia orientalis</w:t>
            </w:r>
          </w:p>
        </w:tc>
        <w:tc>
          <w:tcPr>
            <w:tcW w:w="601" w:type="pct"/>
            <w:tcBorders>
              <w:tl2br w:val="nil"/>
              <w:tr2bl w:val="nil"/>
            </w:tcBorders>
            <w:noWrap w:val="0"/>
            <w:vAlign w:val="top"/>
          </w:tcPr>
          <w:p w14:paraId="02023F07">
            <w:pPr>
              <w:pStyle w:val="23"/>
              <w:bidi w:val="0"/>
              <w:rPr>
                <w:rFonts w:hint="default"/>
                <w:color w:val="auto"/>
                <w:sz w:val="21"/>
                <w:szCs w:val="21"/>
                <w:highlight w:val="none"/>
              </w:rPr>
            </w:pPr>
            <w:r>
              <w:rPr>
                <w:rFonts w:hint="default"/>
                <w:color w:val="auto"/>
                <w:sz w:val="21"/>
                <w:szCs w:val="21"/>
                <w:highlight w:val="none"/>
              </w:rPr>
              <w:t>4</w:t>
            </w:r>
          </w:p>
        </w:tc>
        <w:tc>
          <w:tcPr>
            <w:tcW w:w="687" w:type="pct"/>
            <w:tcBorders>
              <w:tl2br w:val="nil"/>
              <w:tr2bl w:val="nil"/>
            </w:tcBorders>
            <w:noWrap w:val="0"/>
            <w:vAlign w:val="top"/>
          </w:tcPr>
          <w:p w14:paraId="28EFDA40">
            <w:pPr>
              <w:pStyle w:val="23"/>
              <w:bidi w:val="0"/>
              <w:rPr>
                <w:rFonts w:hint="default"/>
                <w:color w:val="auto"/>
                <w:sz w:val="21"/>
                <w:szCs w:val="21"/>
                <w:highlight w:val="none"/>
              </w:rPr>
            </w:pPr>
            <w:r>
              <w:rPr>
                <w:rFonts w:hint="default"/>
                <w:color w:val="auto"/>
                <w:sz w:val="21"/>
                <w:szCs w:val="21"/>
                <w:highlight w:val="none"/>
              </w:rPr>
              <w:t>0.02614</w:t>
            </w:r>
          </w:p>
        </w:tc>
        <w:tc>
          <w:tcPr>
            <w:tcW w:w="773" w:type="pct"/>
            <w:tcBorders>
              <w:tl2br w:val="nil"/>
              <w:tr2bl w:val="nil"/>
            </w:tcBorders>
            <w:noWrap w:val="0"/>
            <w:vAlign w:val="top"/>
          </w:tcPr>
          <w:p w14:paraId="4C0B6D27">
            <w:pPr>
              <w:pStyle w:val="23"/>
              <w:bidi w:val="0"/>
              <w:rPr>
                <w:rFonts w:hint="default"/>
                <w:color w:val="auto"/>
                <w:sz w:val="21"/>
                <w:szCs w:val="21"/>
                <w:highlight w:val="none"/>
              </w:rPr>
            </w:pPr>
            <w:r>
              <w:rPr>
                <w:rFonts w:hint="default"/>
                <w:color w:val="auto"/>
                <w:sz w:val="21"/>
                <w:szCs w:val="21"/>
                <w:highlight w:val="none"/>
              </w:rPr>
              <w:t>半山腰</w:t>
            </w:r>
          </w:p>
        </w:tc>
      </w:tr>
      <w:tr w14:paraId="32C12FE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6D3372B8">
            <w:pPr>
              <w:pStyle w:val="23"/>
              <w:bidi w:val="0"/>
              <w:rPr>
                <w:rFonts w:hint="default"/>
                <w:color w:val="auto"/>
                <w:sz w:val="21"/>
                <w:szCs w:val="21"/>
                <w:highlight w:val="none"/>
              </w:rPr>
            </w:pPr>
            <w:r>
              <w:rPr>
                <w:rFonts w:hint="default"/>
                <w:color w:val="auto"/>
                <w:sz w:val="21"/>
                <w:szCs w:val="21"/>
                <w:highlight w:val="none"/>
              </w:rPr>
              <w:t>珠颈斑鸠</w:t>
            </w:r>
            <w:r>
              <w:rPr>
                <w:rFonts w:hint="default"/>
                <w:i/>
                <w:iCs/>
                <w:color w:val="auto"/>
                <w:sz w:val="21"/>
                <w:szCs w:val="21"/>
                <w:highlight w:val="none"/>
              </w:rPr>
              <w:t>S.chinensis</w:t>
            </w:r>
          </w:p>
        </w:tc>
        <w:tc>
          <w:tcPr>
            <w:tcW w:w="601" w:type="pct"/>
            <w:tcBorders>
              <w:tl2br w:val="nil"/>
              <w:tr2bl w:val="nil"/>
            </w:tcBorders>
            <w:noWrap w:val="0"/>
            <w:vAlign w:val="top"/>
          </w:tcPr>
          <w:p w14:paraId="755956A7">
            <w:pPr>
              <w:pStyle w:val="23"/>
              <w:bidi w:val="0"/>
              <w:rPr>
                <w:rFonts w:hint="default"/>
                <w:color w:val="auto"/>
                <w:sz w:val="21"/>
                <w:szCs w:val="21"/>
                <w:highlight w:val="none"/>
              </w:rPr>
            </w:pPr>
            <w:r>
              <w:rPr>
                <w:rFonts w:hint="default"/>
                <w:color w:val="auto"/>
                <w:sz w:val="21"/>
                <w:szCs w:val="21"/>
                <w:highlight w:val="none"/>
              </w:rPr>
              <w:t>5</w:t>
            </w:r>
          </w:p>
        </w:tc>
        <w:tc>
          <w:tcPr>
            <w:tcW w:w="687" w:type="pct"/>
            <w:tcBorders>
              <w:tl2br w:val="nil"/>
              <w:tr2bl w:val="nil"/>
            </w:tcBorders>
            <w:noWrap w:val="0"/>
            <w:vAlign w:val="top"/>
          </w:tcPr>
          <w:p w14:paraId="7D3E09A9">
            <w:pPr>
              <w:pStyle w:val="23"/>
              <w:bidi w:val="0"/>
              <w:rPr>
                <w:rFonts w:hint="default"/>
                <w:color w:val="auto"/>
                <w:sz w:val="21"/>
                <w:szCs w:val="21"/>
                <w:highlight w:val="none"/>
              </w:rPr>
            </w:pPr>
            <w:r>
              <w:rPr>
                <w:rFonts w:hint="default"/>
                <w:color w:val="auto"/>
                <w:sz w:val="21"/>
                <w:szCs w:val="21"/>
                <w:highlight w:val="none"/>
              </w:rPr>
              <w:t>0.03267</w:t>
            </w:r>
          </w:p>
        </w:tc>
        <w:tc>
          <w:tcPr>
            <w:tcW w:w="773" w:type="pct"/>
            <w:tcBorders>
              <w:tl2br w:val="nil"/>
              <w:tr2bl w:val="nil"/>
            </w:tcBorders>
            <w:noWrap w:val="0"/>
            <w:vAlign w:val="top"/>
          </w:tcPr>
          <w:p w14:paraId="76872B4E">
            <w:pPr>
              <w:pStyle w:val="23"/>
              <w:bidi w:val="0"/>
              <w:rPr>
                <w:rFonts w:hint="default"/>
                <w:color w:val="auto"/>
                <w:sz w:val="21"/>
                <w:szCs w:val="21"/>
                <w:highlight w:val="none"/>
              </w:rPr>
            </w:pPr>
            <w:r>
              <w:rPr>
                <w:rFonts w:hint="default"/>
                <w:color w:val="auto"/>
                <w:sz w:val="21"/>
                <w:szCs w:val="21"/>
                <w:highlight w:val="none"/>
              </w:rPr>
              <w:t>居民点</w:t>
            </w:r>
          </w:p>
        </w:tc>
      </w:tr>
      <w:tr w14:paraId="42CA72E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12E3AC46">
            <w:pPr>
              <w:pStyle w:val="23"/>
              <w:bidi w:val="0"/>
              <w:rPr>
                <w:rFonts w:hint="default"/>
                <w:color w:val="auto"/>
                <w:sz w:val="21"/>
                <w:szCs w:val="21"/>
                <w:highlight w:val="none"/>
              </w:rPr>
            </w:pPr>
            <w:r>
              <w:rPr>
                <w:rFonts w:hint="default"/>
                <w:color w:val="auto"/>
                <w:sz w:val="21"/>
                <w:szCs w:val="21"/>
                <w:highlight w:val="none"/>
              </w:rPr>
              <w:t>普通翠鸟</w:t>
            </w:r>
            <w:r>
              <w:rPr>
                <w:rFonts w:hint="default"/>
                <w:i/>
                <w:iCs/>
                <w:color w:val="auto"/>
                <w:sz w:val="21"/>
                <w:szCs w:val="21"/>
                <w:highlight w:val="none"/>
              </w:rPr>
              <w:t>Alcedo atthis</w:t>
            </w:r>
          </w:p>
        </w:tc>
        <w:tc>
          <w:tcPr>
            <w:tcW w:w="601" w:type="pct"/>
            <w:tcBorders>
              <w:tl2br w:val="nil"/>
              <w:tr2bl w:val="nil"/>
            </w:tcBorders>
            <w:noWrap w:val="0"/>
            <w:vAlign w:val="top"/>
          </w:tcPr>
          <w:p w14:paraId="661FB580">
            <w:pPr>
              <w:pStyle w:val="23"/>
              <w:bidi w:val="0"/>
              <w:rPr>
                <w:rFonts w:hint="default"/>
                <w:color w:val="auto"/>
                <w:sz w:val="21"/>
                <w:szCs w:val="21"/>
                <w:highlight w:val="none"/>
              </w:rPr>
            </w:pPr>
            <w:r>
              <w:rPr>
                <w:rFonts w:hint="default"/>
                <w:color w:val="auto"/>
                <w:sz w:val="21"/>
                <w:szCs w:val="21"/>
                <w:highlight w:val="none"/>
              </w:rPr>
              <w:t>2</w:t>
            </w:r>
          </w:p>
        </w:tc>
        <w:tc>
          <w:tcPr>
            <w:tcW w:w="687" w:type="pct"/>
            <w:tcBorders>
              <w:tl2br w:val="nil"/>
              <w:tr2bl w:val="nil"/>
            </w:tcBorders>
            <w:noWrap w:val="0"/>
            <w:vAlign w:val="top"/>
          </w:tcPr>
          <w:p w14:paraId="14897121">
            <w:pPr>
              <w:pStyle w:val="23"/>
              <w:bidi w:val="0"/>
              <w:rPr>
                <w:rFonts w:hint="default"/>
                <w:color w:val="auto"/>
                <w:sz w:val="21"/>
                <w:szCs w:val="21"/>
                <w:highlight w:val="none"/>
              </w:rPr>
            </w:pPr>
            <w:r>
              <w:rPr>
                <w:rFonts w:hint="default"/>
                <w:color w:val="auto"/>
                <w:sz w:val="21"/>
                <w:szCs w:val="21"/>
                <w:highlight w:val="none"/>
              </w:rPr>
              <w:t>0.01307</w:t>
            </w:r>
          </w:p>
        </w:tc>
        <w:tc>
          <w:tcPr>
            <w:tcW w:w="773" w:type="pct"/>
            <w:tcBorders>
              <w:tl2br w:val="nil"/>
              <w:tr2bl w:val="nil"/>
            </w:tcBorders>
            <w:noWrap w:val="0"/>
            <w:vAlign w:val="top"/>
          </w:tcPr>
          <w:p w14:paraId="6F6C3A0C">
            <w:pPr>
              <w:pStyle w:val="23"/>
              <w:bidi w:val="0"/>
              <w:rPr>
                <w:rFonts w:hint="default"/>
                <w:color w:val="auto"/>
                <w:sz w:val="21"/>
                <w:szCs w:val="21"/>
                <w:highlight w:val="none"/>
              </w:rPr>
            </w:pPr>
            <w:r>
              <w:rPr>
                <w:rFonts w:hint="default"/>
                <w:color w:val="auto"/>
                <w:sz w:val="21"/>
                <w:szCs w:val="21"/>
                <w:highlight w:val="none"/>
              </w:rPr>
              <w:t>水塘</w:t>
            </w:r>
          </w:p>
        </w:tc>
      </w:tr>
      <w:tr w14:paraId="7F77448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2BC627C9">
            <w:pPr>
              <w:pStyle w:val="23"/>
              <w:bidi w:val="0"/>
              <w:rPr>
                <w:rFonts w:hint="default"/>
                <w:color w:val="auto"/>
                <w:sz w:val="21"/>
                <w:szCs w:val="21"/>
                <w:highlight w:val="none"/>
              </w:rPr>
            </w:pPr>
            <w:bookmarkStart w:id="75" w:name="_Hlk492425139"/>
            <w:r>
              <w:rPr>
                <w:rFonts w:hint="default"/>
                <w:color w:val="auto"/>
                <w:sz w:val="21"/>
                <w:szCs w:val="21"/>
                <w:highlight w:val="none"/>
              </w:rPr>
              <w:t>白鹡鸰</w:t>
            </w:r>
            <w:bookmarkEnd w:id="75"/>
            <w:r>
              <w:rPr>
                <w:rFonts w:hint="default"/>
                <w:i/>
                <w:iCs/>
                <w:color w:val="auto"/>
                <w:sz w:val="21"/>
                <w:szCs w:val="21"/>
                <w:highlight w:val="none"/>
              </w:rPr>
              <w:t>M.alba</w:t>
            </w:r>
          </w:p>
        </w:tc>
        <w:tc>
          <w:tcPr>
            <w:tcW w:w="601" w:type="pct"/>
            <w:tcBorders>
              <w:tl2br w:val="nil"/>
              <w:tr2bl w:val="nil"/>
            </w:tcBorders>
            <w:noWrap w:val="0"/>
            <w:vAlign w:val="top"/>
          </w:tcPr>
          <w:p w14:paraId="4DF4CC75">
            <w:pPr>
              <w:pStyle w:val="23"/>
              <w:bidi w:val="0"/>
              <w:rPr>
                <w:rFonts w:hint="default"/>
                <w:color w:val="auto"/>
                <w:sz w:val="21"/>
                <w:szCs w:val="21"/>
                <w:highlight w:val="none"/>
              </w:rPr>
            </w:pPr>
            <w:r>
              <w:rPr>
                <w:rFonts w:hint="default"/>
                <w:color w:val="auto"/>
                <w:sz w:val="21"/>
                <w:szCs w:val="21"/>
                <w:highlight w:val="none"/>
              </w:rPr>
              <w:t>11</w:t>
            </w:r>
          </w:p>
        </w:tc>
        <w:tc>
          <w:tcPr>
            <w:tcW w:w="687" w:type="pct"/>
            <w:tcBorders>
              <w:tl2br w:val="nil"/>
              <w:tr2bl w:val="nil"/>
            </w:tcBorders>
            <w:noWrap w:val="0"/>
            <w:vAlign w:val="top"/>
          </w:tcPr>
          <w:p w14:paraId="0D6D210A">
            <w:pPr>
              <w:pStyle w:val="23"/>
              <w:bidi w:val="0"/>
              <w:rPr>
                <w:rFonts w:hint="default"/>
                <w:color w:val="auto"/>
                <w:sz w:val="21"/>
                <w:szCs w:val="21"/>
                <w:highlight w:val="none"/>
              </w:rPr>
            </w:pPr>
            <w:r>
              <w:rPr>
                <w:rFonts w:hint="default"/>
                <w:color w:val="auto"/>
                <w:sz w:val="21"/>
                <w:szCs w:val="21"/>
                <w:highlight w:val="none"/>
              </w:rPr>
              <w:t>0.07189</w:t>
            </w:r>
          </w:p>
        </w:tc>
        <w:tc>
          <w:tcPr>
            <w:tcW w:w="773" w:type="pct"/>
            <w:tcBorders>
              <w:tl2br w:val="nil"/>
              <w:tr2bl w:val="nil"/>
            </w:tcBorders>
            <w:noWrap w:val="0"/>
            <w:vAlign w:val="top"/>
          </w:tcPr>
          <w:p w14:paraId="76F5E124">
            <w:pPr>
              <w:pStyle w:val="23"/>
              <w:bidi w:val="0"/>
              <w:rPr>
                <w:rFonts w:hint="default"/>
                <w:color w:val="auto"/>
                <w:sz w:val="21"/>
                <w:szCs w:val="21"/>
                <w:highlight w:val="none"/>
              </w:rPr>
            </w:pPr>
            <w:r>
              <w:rPr>
                <w:rFonts w:hint="default"/>
                <w:color w:val="auto"/>
                <w:sz w:val="21"/>
                <w:szCs w:val="21"/>
                <w:highlight w:val="none"/>
              </w:rPr>
              <w:t>多处</w:t>
            </w:r>
          </w:p>
        </w:tc>
      </w:tr>
      <w:tr w14:paraId="07437F0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790FFBDD">
            <w:pPr>
              <w:pStyle w:val="23"/>
              <w:bidi w:val="0"/>
              <w:rPr>
                <w:rFonts w:hint="default"/>
                <w:color w:val="auto"/>
                <w:sz w:val="21"/>
                <w:szCs w:val="21"/>
                <w:highlight w:val="none"/>
              </w:rPr>
            </w:pPr>
            <w:r>
              <w:rPr>
                <w:rFonts w:hint="default"/>
                <w:color w:val="auto"/>
                <w:sz w:val="21"/>
                <w:szCs w:val="21"/>
                <w:highlight w:val="none"/>
              </w:rPr>
              <w:t>白头鹎</w:t>
            </w:r>
            <w:r>
              <w:rPr>
                <w:rFonts w:hint="default"/>
                <w:i/>
                <w:iCs/>
                <w:color w:val="auto"/>
                <w:sz w:val="21"/>
                <w:szCs w:val="21"/>
                <w:highlight w:val="none"/>
              </w:rPr>
              <w:t>Pycnonotus sinensis</w:t>
            </w:r>
          </w:p>
        </w:tc>
        <w:tc>
          <w:tcPr>
            <w:tcW w:w="601" w:type="pct"/>
            <w:tcBorders>
              <w:tl2br w:val="nil"/>
              <w:tr2bl w:val="nil"/>
            </w:tcBorders>
            <w:noWrap w:val="0"/>
            <w:vAlign w:val="top"/>
          </w:tcPr>
          <w:p w14:paraId="099841EA">
            <w:pPr>
              <w:pStyle w:val="23"/>
              <w:bidi w:val="0"/>
              <w:rPr>
                <w:rFonts w:hint="default"/>
                <w:color w:val="auto"/>
                <w:sz w:val="21"/>
                <w:szCs w:val="21"/>
                <w:highlight w:val="none"/>
              </w:rPr>
            </w:pPr>
            <w:r>
              <w:rPr>
                <w:rFonts w:hint="default"/>
                <w:color w:val="auto"/>
                <w:sz w:val="21"/>
                <w:szCs w:val="21"/>
                <w:highlight w:val="none"/>
              </w:rPr>
              <w:t>15</w:t>
            </w:r>
          </w:p>
        </w:tc>
        <w:tc>
          <w:tcPr>
            <w:tcW w:w="687" w:type="pct"/>
            <w:tcBorders>
              <w:tl2br w:val="nil"/>
              <w:tr2bl w:val="nil"/>
            </w:tcBorders>
            <w:noWrap w:val="0"/>
            <w:vAlign w:val="top"/>
          </w:tcPr>
          <w:p w14:paraId="34F80925">
            <w:pPr>
              <w:pStyle w:val="23"/>
              <w:bidi w:val="0"/>
              <w:rPr>
                <w:rFonts w:hint="default"/>
                <w:color w:val="auto"/>
                <w:sz w:val="21"/>
                <w:szCs w:val="21"/>
                <w:highlight w:val="none"/>
              </w:rPr>
            </w:pPr>
            <w:r>
              <w:rPr>
                <w:rFonts w:hint="default"/>
                <w:color w:val="auto"/>
                <w:sz w:val="21"/>
                <w:szCs w:val="21"/>
                <w:highlight w:val="none"/>
              </w:rPr>
              <w:t>0.08496</w:t>
            </w:r>
          </w:p>
        </w:tc>
        <w:tc>
          <w:tcPr>
            <w:tcW w:w="773" w:type="pct"/>
            <w:tcBorders>
              <w:tl2br w:val="nil"/>
              <w:tr2bl w:val="nil"/>
            </w:tcBorders>
            <w:noWrap w:val="0"/>
            <w:vAlign w:val="top"/>
          </w:tcPr>
          <w:p w14:paraId="73BB2274">
            <w:pPr>
              <w:pStyle w:val="23"/>
              <w:bidi w:val="0"/>
              <w:rPr>
                <w:rFonts w:hint="default"/>
                <w:color w:val="auto"/>
                <w:sz w:val="21"/>
                <w:szCs w:val="21"/>
                <w:highlight w:val="none"/>
              </w:rPr>
            </w:pPr>
            <w:r>
              <w:rPr>
                <w:rFonts w:hint="default"/>
                <w:color w:val="auto"/>
                <w:sz w:val="21"/>
                <w:szCs w:val="21"/>
                <w:highlight w:val="none"/>
              </w:rPr>
              <w:t>多处</w:t>
            </w:r>
          </w:p>
        </w:tc>
      </w:tr>
      <w:tr w14:paraId="3FF66CB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0E27A297">
            <w:pPr>
              <w:pStyle w:val="23"/>
              <w:bidi w:val="0"/>
              <w:rPr>
                <w:rFonts w:hint="default"/>
                <w:color w:val="auto"/>
                <w:sz w:val="21"/>
                <w:szCs w:val="21"/>
                <w:highlight w:val="none"/>
              </w:rPr>
            </w:pPr>
            <w:bookmarkStart w:id="76" w:name="_Hlk492425771"/>
            <w:r>
              <w:rPr>
                <w:rFonts w:hint="default"/>
                <w:color w:val="auto"/>
                <w:sz w:val="21"/>
                <w:szCs w:val="21"/>
                <w:highlight w:val="none"/>
              </w:rPr>
              <w:t>领雀嘴鹎</w:t>
            </w:r>
            <w:bookmarkEnd w:id="76"/>
            <w:r>
              <w:rPr>
                <w:rFonts w:hint="default"/>
                <w:i/>
                <w:iCs/>
                <w:color w:val="auto"/>
                <w:sz w:val="21"/>
                <w:szCs w:val="21"/>
                <w:highlight w:val="none"/>
              </w:rPr>
              <w:t>Spizixos semitorques</w:t>
            </w:r>
          </w:p>
        </w:tc>
        <w:tc>
          <w:tcPr>
            <w:tcW w:w="601" w:type="pct"/>
            <w:tcBorders>
              <w:tl2br w:val="nil"/>
              <w:tr2bl w:val="nil"/>
            </w:tcBorders>
            <w:noWrap w:val="0"/>
            <w:vAlign w:val="top"/>
          </w:tcPr>
          <w:p w14:paraId="7FBAD58C">
            <w:pPr>
              <w:pStyle w:val="23"/>
              <w:bidi w:val="0"/>
              <w:rPr>
                <w:rFonts w:hint="default"/>
                <w:color w:val="auto"/>
                <w:sz w:val="21"/>
                <w:szCs w:val="21"/>
                <w:highlight w:val="none"/>
              </w:rPr>
            </w:pPr>
            <w:r>
              <w:rPr>
                <w:rFonts w:hint="default"/>
                <w:color w:val="auto"/>
                <w:sz w:val="21"/>
                <w:szCs w:val="21"/>
                <w:highlight w:val="none"/>
              </w:rPr>
              <w:t>9</w:t>
            </w:r>
          </w:p>
        </w:tc>
        <w:tc>
          <w:tcPr>
            <w:tcW w:w="687" w:type="pct"/>
            <w:tcBorders>
              <w:tl2br w:val="nil"/>
              <w:tr2bl w:val="nil"/>
            </w:tcBorders>
            <w:noWrap w:val="0"/>
            <w:vAlign w:val="top"/>
          </w:tcPr>
          <w:p w14:paraId="3E6C9208">
            <w:pPr>
              <w:pStyle w:val="23"/>
              <w:bidi w:val="0"/>
              <w:rPr>
                <w:rFonts w:hint="default"/>
                <w:color w:val="auto"/>
                <w:sz w:val="21"/>
                <w:szCs w:val="21"/>
                <w:highlight w:val="none"/>
              </w:rPr>
            </w:pPr>
            <w:r>
              <w:rPr>
                <w:rFonts w:hint="default"/>
                <w:color w:val="auto"/>
                <w:sz w:val="21"/>
                <w:szCs w:val="21"/>
                <w:highlight w:val="none"/>
              </w:rPr>
              <w:t>0.05882</w:t>
            </w:r>
          </w:p>
        </w:tc>
        <w:tc>
          <w:tcPr>
            <w:tcW w:w="773" w:type="pct"/>
            <w:tcBorders>
              <w:tl2br w:val="nil"/>
              <w:tr2bl w:val="nil"/>
            </w:tcBorders>
            <w:noWrap w:val="0"/>
            <w:vAlign w:val="top"/>
          </w:tcPr>
          <w:p w14:paraId="1F06AB76">
            <w:pPr>
              <w:pStyle w:val="23"/>
              <w:bidi w:val="0"/>
              <w:rPr>
                <w:rFonts w:hint="default"/>
                <w:color w:val="auto"/>
                <w:sz w:val="21"/>
                <w:szCs w:val="21"/>
                <w:highlight w:val="none"/>
              </w:rPr>
            </w:pPr>
            <w:r>
              <w:rPr>
                <w:rFonts w:hint="default"/>
                <w:color w:val="auto"/>
                <w:sz w:val="21"/>
                <w:szCs w:val="21"/>
                <w:highlight w:val="none"/>
              </w:rPr>
              <w:t>小乔木</w:t>
            </w:r>
          </w:p>
        </w:tc>
      </w:tr>
      <w:tr w14:paraId="47E6F1E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7F2BCAB5">
            <w:pPr>
              <w:pStyle w:val="23"/>
              <w:bidi w:val="0"/>
              <w:rPr>
                <w:rFonts w:hint="default"/>
                <w:color w:val="auto"/>
                <w:sz w:val="21"/>
                <w:szCs w:val="21"/>
                <w:highlight w:val="none"/>
              </w:rPr>
            </w:pPr>
            <w:bookmarkStart w:id="77" w:name="_Hlk492425833"/>
            <w:r>
              <w:rPr>
                <w:rFonts w:hint="default"/>
                <w:color w:val="auto"/>
                <w:sz w:val="21"/>
                <w:szCs w:val="21"/>
                <w:highlight w:val="none"/>
              </w:rPr>
              <w:t>棕背伯劳</w:t>
            </w:r>
            <w:bookmarkEnd w:id="77"/>
            <w:r>
              <w:rPr>
                <w:rFonts w:hint="default"/>
                <w:i/>
                <w:iCs/>
                <w:color w:val="auto"/>
                <w:sz w:val="21"/>
                <w:szCs w:val="21"/>
                <w:highlight w:val="none"/>
              </w:rPr>
              <w:t>Lanius schach</w:t>
            </w:r>
          </w:p>
        </w:tc>
        <w:tc>
          <w:tcPr>
            <w:tcW w:w="601" w:type="pct"/>
            <w:tcBorders>
              <w:tl2br w:val="nil"/>
              <w:tr2bl w:val="nil"/>
            </w:tcBorders>
            <w:noWrap w:val="0"/>
            <w:vAlign w:val="top"/>
          </w:tcPr>
          <w:p w14:paraId="250919CD">
            <w:pPr>
              <w:pStyle w:val="23"/>
              <w:bidi w:val="0"/>
              <w:rPr>
                <w:rFonts w:hint="default"/>
                <w:color w:val="auto"/>
                <w:sz w:val="21"/>
                <w:szCs w:val="21"/>
                <w:highlight w:val="none"/>
              </w:rPr>
            </w:pPr>
            <w:r>
              <w:rPr>
                <w:rFonts w:hint="default"/>
                <w:color w:val="auto"/>
                <w:sz w:val="21"/>
                <w:szCs w:val="21"/>
                <w:highlight w:val="none"/>
              </w:rPr>
              <w:t>4</w:t>
            </w:r>
          </w:p>
        </w:tc>
        <w:tc>
          <w:tcPr>
            <w:tcW w:w="687" w:type="pct"/>
            <w:tcBorders>
              <w:tl2br w:val="nil"/>
              <w:tr2bl w:val="nil"/>
            </w:tcBorders>
            <w:noWrap w:val="0"/>
            <w:vAlign w:val="top"/>
          </w:tcPr>
          <w:p w14:paraId="5822C6AE">
            <w:pPr>
              <w:pStyle w:val="23"/>
              <w:bidi w:val="0"/>
              <w:rPr>
                <w:rFonts w:hint="default"/>
                <w:color w:val="auto"/>
                <w:sz w:val="21"/>
                <w:szCs w:val="21"/>
                <w:highlight w:val="none"/>
              </w:rPr>
            </w:pPr>
            <w:r>
              <w:rPr>
                <w:rFonts w:hint="default"/>
                <w:color w:val="auto"/>
                <w:sz w:val="21"/>
                <w:szCs w:val="21"/>
                <w:highlight w:val="none"/>
              </w:rPr>
              <w:t>0.02614</w:t>
            </w:r>
          </w:p>
        </w:tc>
        <w:tc>
          <w:tcPr>
            <w:tcW w:w="773" w:type="pct"/>
            <w:tcBorders>
              <w:tl2br w:val="nil"/>
              <w:tr2bl w:val="nil"/>
            </w:tcBorders>
            <w:noWrap w:val="0"/>
            <w:vAlign w:val="top"/>
          </w:tcPr>
          <w:p w14:paraId="0385310B">
            <w:pPr>
              <w:pStyle w:val="23"/>
              <w:bidi w:val="0"/>
              <w:rPr>
                <w:rFonts w:hint="default"/>
                <w:color w:val="auto"/>
                <w:sz w:val="21"/>
                <w:szCs w:val="21"/>
                <w:highlight w:val="none"/>
              </w:rPr>
            </w:pPr>
            <w:r>
              <w:rPr>
                <w:rFonts w:hint="default"/>
                <w:color w:val="auto"/>
                <w:sz w:val="21"/>
                <w:szCs w:val="21"/>
                <w:highlight w:val="none"/>
              </w:rPr>
              <w:t>电线上</w:t>
            </w:r>
          </w:p>
        </w:tc>
      </w:tr>
      <w:tr w14:paraId="6C7C2BC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1F58B6A1">
            <w:pPr>
              <w:pStyle w:val="23"/>
              <w:bidi w:val="0"/>
              <w:rPr>
                <w:rFonts w:hint="default"/>
                <w:color w:val="auto"/>
                <w:sz w:val="21"/>
                <w:szCs w:val="21"/>
                <w:highlight w:val="none"/>
              </w:rPr>
            </w:pPr>
            <w:r>
              <w:rPr>
                <w:rFonts w:hint="default"/>
                <w:color w:val="auto"/>
                <w:sz w:val="21"/>
                <w:szCs w:val="21"/>
                <w:highlight w:val="none"/>
              </w:rPr>
              <w:t>八哥</w:t>
            </w:r>
            <w:r>
              <w:rPr>
                <w:rFonts w:hint="default"/>
                <w:i/>
                <w:iCs/>
                <w:color w:val="auto"/>
                <w:sz w:val="21"/>
                <w:szCs w:val="21"/>
                <w:highlight w:val="none"/>
              </w:rPr>
              <w:t>Acridotheres cristatellus</w:t>
            </w:r>
          </w:p>
        </w:tc>
        <w:tc>
          <w:tcPr>
            <w:tcW w:w="601" w:type="pct"/>
            <w:tcBorders>
              <w:tl2br w:val="nil"/>
              <w:tr2bl w:val="nil"/>
            </w:tcBorders>
            <w:noWrap w:val="0"/>
            <w:vAlign w:val="top"/>
          </w:tcPr>
          <w:p w14:paraId="089DB03E">
            <w:pPr>
              <w:pStyle w:val="23"/>
              <w:bidi w:val="0"/>
              <w:rPr>
                <w:rFonts w:hint="default"/>
                <w:color w:val="auto"/>
                <w:sz w:val="21"/>
                <w:szCs w:val="21"/>
                <w:highlight w:val="none"/>
              </w:rPr>
            </w:pPr>
            <w:r>
              <w:rPr>
                <w:rFonts w:hint="default"/>
                <w:color w:val="auto"/>
                <w:sz w:val="21"/>
                <w:szCs w:val="21"/>
                <w:highlight w:val="none"/>
              </w:rPr>
              <w:t>5</w:t>
            </w:r>
          </w:p>
        </w:tc>
        <w:tc>
          <w:tcPr>
            <w:tcW w:w="687" w:type="pct"/>
            <w:tcBorders>
              <w:tl2br w:val="nil"/>
              <w:tr2bl w:val="nil"/>
            </w:tcBorders>
            <w:noWrap w:val="0"/>
            <w:vAlign w:val="top"/>
          </w:tcPr>
          <w:p w14:paraId="74060FB4">
            <w:pPr>
              <w:pStyle w:val="23"/>
              <w:bidi w:val="0"/>
              <w:rPr>
                <w:rFonts w:hint="default"/>
                <w:color w:val="auto"/>
                <w:sz w:val="21"/>
                <w:szCs w:val="21"/>
                <w:highlight w:val="none"/>
              </w:rPr>
            </w:pPr>
            <w:r>
              <w:rPr>
                <w:rFonts w:hint="default"/>
                <w:color w:val="auto"/>
                <w:sz w:val="21"/>
                <w:szCs w:val="21"/>
                <w:highlight w:val="none"/>
              </w:rPr>
              <w:t>0.03267</w:t>
            </w:r>
          </w:p>
        </w:tc>
        <w:tc>
          <w:tcPr>
            <w:tcW w:w="773" w:type="pct"/>
            <w:tcBorders>
              <w:tl2br w:val="nil"/>
              <w:tr2bl w:val="nil"/>
            </w:tcBorders>
            <w:noWrap w:val="0"/>
            <w:vAlign w:val="top"/>
          </w:tcPr>
          <w:p w14:paraId="06A63ABC">
            <w:pPr>
              <w:pStyle w:val="23"/>
              <w:bidi w:val="0"/>
              <w:rPr>
                <w:rFonts w:hint="default"/>
                <w:color w:val="auto"/>
                <w:sz w:val="21"/>
                <w:szCs w:val="21"/>
                <w:highlight w:val="none"/>
              </w:rPr>
            </w:pPr>
            <w:r>
              <w:rPr>
                <w:rFonts w:hint="default"/>
                <w:color w:val="auto"/>
                <w:sz w:val="21"/>
                <w:szCs w:val="21"/>
                <w:highlight w:val="none"/>
              </w:rPr>
              <w:t>居民点</w:t>
            </w:r>
          </w:p>
        </w:tc>
      </w:tr>
      <w:tr w14:paraId="3EBF952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3DC4F800">
            <w:pPr>
              <w:pStyle w:val="23"/>
              <w:bidi w:val="0"/>
              <w:rPr>
                <w:rFonts w:hint="default"/>
                <w:color w:val="auto"/>
                <w:sz w:val="21"/>
                <w:szCs w:val="21"/>
                <w:highlight w:val="none"/>
              </w:rPr>
            </w:pPr>
            <w:r>
              <w:rPr>
                <w:rFonts w:hint="default"/>
                <w:color w:val="auto"/>
                <w:sz w:val="21"/>
                <w:szCs w:val="21"/>
                <w:highlight w:val="none"/>
              </w:rPr>
              <w:t>红嘴蓝鹊</w:t>
            </w:r>
            <w:r>
              <w:rPr>
                <w:rFonts w:hint="default"/>
                <w:i/>
                <w:iCs/>
                <w:color w:val="auto"/>
                <w:sz w:val="21"/>
                <w:szCs w:val="21"/>
                <w:highlight w:val="none"/>
              </w:rPr>
              <w:t>Cissa erythrorhyncha</w:t>
            </w:r>
          </w:p>
        </w:tc>
        <w:tc>
          <w:tcPr>
            <w:tcW w:w="601" w:type="pct"/>
            <w:tcBorders>
              <w:tl2br w:val="nil"/>
              <w:tr2bl w:val="nil"/>
            </w:tcBorders>
            <w:noWrap w:val="0"/>
            <w:vAlign w:val="top"/>
          </w:tcPr>
          <w:p w14:paraId="0A77B8D6">
            <w:pPr>
              <w:pStyle w:val="23"/>
              <w:bidi w:val="0"/>
              <w:rPr>
                <w:rFonts w:hint="default"/>
                <w:color w:val="auto"/>
                <w:sz w:val="21"/>
                <w:szCs w:val="21"/>
                <w:highlight w:val="none"/>
              </w:rPr>
            </w:pPr>
            <w:r>
              <w:rPr>
                <w:rFonts w:hint="default"/>
                <w:color w:val="auto"/>
                <w:sz w:val="21"/>
                <w:szCs w:val="21"/>
                <w:highlight w:val="none"/>
              </w:rPr>
              <w:t>3</w:t>
            </w:r>
          </w:p>
        </w:tc>
        <w:tc>
          <w:tcPr>
            <w:tcW w:w="687" w:type="pct"/>
            <w:tcBorders>
              <w:tl2br w:val="nil"/>
              <w:tr2bl w:val="nil"/>
            </w:tcBorders>
            <w:noWrap w:val="0"/>
            <w:vAlign w:val="top"/>
          </w:tcPr>
          <w:p w14:paraId="5B2CF5AD">
            <w:pPr>
              <w:pStyle w:val="23"/>
              <w:bidi w:val="0"/>
              <w:rPr>
                <w:rFonts w:hint="default"/>
                <w:color w:val="auto"/>
                <w:sz w:val="21"/>
                <w:szCs w:val="21"/>
                <w:highlight w:val="none"/>
              </w:rPr>
            </w:pPr>
            <w:r>
              <w:rPr>
                <w:rFonts w:hint="default"/>
                <w:color w:val="auto"/>
                <w:sz w:val="21"/>
                <w:szCs w:val="21"/>
                <w:highlight w:val="none"/>
              </w:rPr>
              <w:t>0.01961</w:t>
            </w:r>
          </w:p>
        </w:tc>
        <w:tc>
          <w:tcPr>
            <w:tcW w:w="773" w:type="pct"/>
            <w:tcBorders>
              <w:tl2br w:val="nil"/>
              <w:tr2bl w:val="nil"/>
            </w:tcBorders>
            <w:noWrap w:val="0"/>
            <w:vAlign w:val="top"/>
          </w:tcPr>
          <w:p w14:paraId="5436F1D7">
            <w:pPr>
              <w:pStyle w:val="23"/>
              <w:bidi w:val="0"/>
              <w:rPr>
                <w:rFonts w:hint="default"/>
                <w:color w:val="auto"/>
                <w:sz w:val="21"/>
                <w:szCs w:val="21"/>
                <w:highlight w:val="none"/>
              </w:rPr>
            </w:pPr>
            <w:r>
              <w:rPr>
                <w:rFonts w:hint="default"/>
                <w:color w:val="auto"/>
                <w:sz w:val="21"/>
                <w:szCs w:val="21"/>
                <w:highlight w:val="none"/>
              </w:rPr>
              <w:t>山梁</w:t>
            </w:r>
          </w:p>
        </w:tc>
      </w:tr>
      <w:tr w14:paraId="66224AE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24FB2B1B">
            <w:pPr>
              <w:pStyle w:val="23"/>
              <w:bidi w:val="0"/>
              <w:rPr>
                <w:rFonts w:hint="default"/>
                <w:color w:val="auto"/>
                <w:sz w:val="21"/>
                <w:szCs w:val="21"/>
                <w:highlight w:val="none"/>
              </w:rPr>
            </w:pPr>
            <w:r>
              <w:rPr>
                <w:rFonts w:hint="default"/>
                <w:color w:val="auto"/>
                <w:sz w:val="21"/>
                <w:szCs w:val="21"/>
                <w:highlight w:val="none"/>
              </w:rPr>
              <w:t>喜鹊</w:t>
            </w:r>
            <w:r>
              <w:rPr>
                <w:rFonts w:hint="default"/>
                <w:i/>
                <w:iCs/>
                <w:color w:val="auto"/>
                <w:sz w:val="21"/>
                <w:szCs w:val="21"/>
                <w:highlight w:val="none"/>
              </w:rPr>
              <w:t>Pica pica</w:t>
            </w:r>
          </w:p>
        </w:tc>
        <w:tc>
          <w:tcPr>
            <w:tcW w:w="601" w:type="pct"/>
            <w:tcBorders>
              <w:tl2br w:val="nil"/>
              <w:tr2bl w:val="nil"/>
            </w:tcBorders>
            <w:noWrap w:val="0"/>
            <w:vAlign w:val="top"/>
          </w:tcPr>
          <w:p w14:paraId="11A09FE9">
            <w:pPr>
              <w:pStyle w:val="23"/>
              <w:bidi w:val="0"/>
              <w:rPr>
                <w:rFonts w:hint="default"/>
                <w:color w:val="auto"/>
                <w:sz w:val="21"/>
                <w:szCs w:val="21"/>
                <w:highlight w:val="none"/>
              </w:rPr>
            </w:pPr>
            <w:r>
              <w:rPr>
                <w:rFonts w:hint="default"/>
                <w:color w:val="auto"/>
                <w:sz w:val="21"/>
                <w:szCs w:val="21"/>
                <w:highlight w:val="none"/>
              </w:rPr>
              <w:t>4</w:t>
            </w:r>
          </w:p>
        </w:tc>
        <w:tc>
          <w:tcPr>
            <w:tcW w:w="687" w:type="pct"/>
            <w:tcBorders>
              <w:tl2br w:val="nil"/>
              <w:tr2bl w:val="nil"/>
            </w:tcBorders>
            <w:noWrap w:val="0"/>
            <w:vAlign w:val="top"/>
          </w:tcPr>
          <w:p w14:paraId="650FC73B">
            <w:pPr>
              <w:pStyle w:val="23"/>
              <w:bidi w:val="0"/>
              <w:rPr>
                <w:rFonts w:hint="default"/>
                <w:color w:val="auto"/>
                <w:sz w:val="21"/>
                <w:szCs w:val="21"/>
                <w:highlight w:val="none"/>
              </w:rPr>
            </w:pPr>
            <w:r>
              <w:rPr>
                <w:rFonts w:hint="default"/>
                <w:color w:val="auto"/>
                <w:sz w:val="21"/>
                <w:szCs w:val="21"/>
                <w:highlight w:val="none"/>
              </w:rPr>
              <w:t>0.02614</w:t>
            </w:r>
          </w:p>
        </w:tc>
        <w:tc>
          <w:tcPr>
            <w:tcW w:w="773" w:type="pct"/>
            <w:tcBorders>
              <w:tl2br w:val="nil"/>
              <w:tr2bl w:val="nil"/>
            </w:tcBorders>
            <w:noWrap w:val="0"/>
            <w:vAlign w:val="top"/>
          </w:tcPr>
          <w:p w14:paraId="18D82750">
            <w:pPr>
              <w:pStyle w:val="23"/>
              <w:bidi w:val="0"/>
              <w:rPr>
                <w:rFonts w:hint="default"/>
                <w:color w:val="auto"/>
                <w:sz w:val="21"/>
                <w:szCs w:val="21"/>
                <w:highlight w:val="none"/>
              </w:rPr>
            </w:pPr>
            <w:r>
              <w:rPr>
                <w:rFonts w:hint="default"/>
                <w:color w:val="auto"/>
                <w:sz w:val="21"/>
                <w:szCs w:val="21"/>
                <w:highlight w:val="none"/>
              </w:rPr>
              <w:t>居民点</w:t>
            </w:r>
          </w:p>
        </w:tc>
      </w:tr>
      <w:tr w14:paraId="5C05FA6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625E1AEE">
            <w:pPr>
              <w:pStyle w:val="23"/>
              <w:bidi w:val="0"/>
              <w:rPr>
                <w:rFonts w:hint="default"/>
                <w:color w:val="auto"/>
                <w:sz w:val="21"/>
                <w:szCs w:val="21"/>
                <w:highlight w:val="none"/>
              </w:rPr>
            </w:pPr>
            <w:r>
              <w:rPr>
                <w:rFonts w:hint="default"/>
                <w:color w:val="auto"/>
                <w:sz w:val="21"/>
                <w:szCs w:val="21"/>
                <w:highlight w:val="none"/>
              </w:rPr>
              <w:t>金腰燕</w:t>
            </w:r>
            <w:r>
              <w:rPr>
                <w:rFonts w:hint="default"/>
                <w:i/>
                <w:iCs/>
                <w:color w:val="auto"/>
                <w:sz w:val="21"/>
                <w:szCs w:val="21"/>
                <w:highlight w:val="none"/>
              </w:rPr>
              <w:t>Cecropis daurica</w:t>
            </w:r>
          </w:p>
        </w:tc>
        <w:tc>
          <w:tcPr>
            <w:tcW w:w="601" w:type="pct"/>
            <w:tcBorders>
              <w:tl2br w:val="nil"/>
              <w:tr2bl w:val="nil"/>
            </w:tcBorders>
            <w:noWrap w:val="0"/>
            <w:vAlign w:val="top"/>
          </w:tcPr>
          <w:p w14:paraId="4FB234FA">
            <w:pPr>
              <w:pStyle w:val="23"/>
              <w:bidi w:val="0"/>
              <w:rPr>
                <w:rFonts w:hint="default"/>
                <w:color w:val="auto"/>
                <w:sz w:val="21"/>
                <w:szCs w:val="21"/>
                <w:highlight w:val="none"/>
              </w:rPr>
            </w:pPr>
            <w:r>
              <w:rPr>
                <w:rFonts w:hint="default"/>
                <w:color w:val="auto"/>
                <w:sz w:val="21"/>
                <w:szCs w:val="21"/>
                <w:highlight w:val="none"/>
              </w:rPr>
              <w:t>35</w:t>
            </w:r>
          </w:p>
        </w:tc>
        <w:tc>
          <w:tcPr>
            <w:tcW w:w="687" w:type="pct"/>
            <w:tcBorders>
              <w:tl2br w:val="nil"/>
              <w:tr2bl w:val="nil"/>
            </w:tcBorders>
            <w:noWrap w:val="0"/>
            <w:vAlign w:val="top"/>
          </w:tcPr>
          <w:p w14:paraId="639DEEA6">
            <w:pPr>
              <w:pStyle w:val="23"/>
              <w:bidi w:val="0"/>
              <w:rPr>
                <w:rFonts w:hint="default"/>
                <w:color w:val="auto"/>
                <w:sz w:val="21"/>
                <w:szCs w:val="21"/>
                <w:highlight w:val="none"/>
              </w:rPr>
            </w:pPr>
            <w:r>
              <w:rPr>
                <w:rFonts w:hint="default"/>
                <w:color w:val="auto"/>
                <w:sz w:val="21"/>
                <w:szCs w:val="21"/>
                <w:highlight w:val="none"/>
              </w:rPr>
              <w:t>0.17949</w:t>
            </w:r>
          </w:p>
        </w:tc>
        <w:tc>
          <w:tcPr>
            <w:tcW w:w="773" w:type="pct"/>
            <w:tcBorders>
              <w:tl2br w:val="nil"/>
              <w:tr2bl w:val="nil"/>
            </w:tcBorders>
            <w:noWrap w:val="0"/>
            <w:vAlign w:val="top"/>
          </w:tcPr>
          <w:p w14:paraId="3D905F89">
            <w:pPr>
              <w:pStyle w:val="23"/>
              <w:bidi w:val="0"/>
              <w:rPr>
                <w:rFonts w:hint="default"/>
                <w:color w:val="auto"/>
                <w:sz w:val="21"/>
                <w:szCs w:val="21"/>
                <w:highlight w:val="none"/>
              </w:rPr>
            </w:pPr>
            <w:r>
              <w:rPr>
                <w:rFonts w:hint="default"/>
                <w:color w:val="auto"/>
                <w:sz w:val="21"/>
                <w:szCs w:val="21"/>
                <w:highlight w:val="none"/>
              </w:rPr>
              <w:t>居民点</w:t>
            </w:r>
          </w:p>
        </w:tc>
      </w:tr>
      <w:tr w14:paraId="12D372F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0F5237C9">
            <w:pPr>
              <w:pStyle w:val="23"/>
              <w:bidi w:val="0"/>
              <w:rPr>
                <w:rFonts w:hint="default"/>
                <w:color w:val="auto"/>
                <w:sz w:val="21"/>
                <w:szCs w:val="21"/>
                <w:highlight w:val="none"/>
              </w:rPr>
            </w:pPr>
            <w:r>
              <w:rPr>
                <w:rFonts w:hint="default"/>
                <w:color w:val="auto"/>
                <w:sz w:val="21"/>
                <w:szCs w:val="21"/>
                <w:highlight w:val="none"/>
              </w:rPr>
              <w:t>家燕</w:t>
            </w:r>
            <w:r>
              <w:rPr>
                <w:rFonts w:hint="default"/>
                <w:i/>
                <w:iCs/>
                <w:color w:val="auto"/>
                <w:sz w:val="21"/>
                <w:szCs w:val="21"/>
                <w:highlight w:val="none"/>
              </w:rPr>
              <w:t>Hirundo rustica</w:t>
            </w:r>
          </w:p>
        </w:tc>
        <w:tc>
          <w:tcPr>
            <w:tcW w:w="601" w:type="pct"/>
            <w:tcBorders>
              <w:tl2br w:val="nil"/>
              <w:tr2bl w:val="nil"/>
            </w:tcBorders>
            <w:noWrap w:val="0"/>
            <w:vAlign w:val="top"/>
          </w:tcPr>
          <w:p w14:paraId="1B12C4B9">
            <w:pPr>
              <w:pStyle w:val="23"/>
              <w:bidi w:val="0"/>
              <w:rPr>
                <w:rFonts w:hint="default"/>
                <w:color w:val="auto"/>
                <w:sz w:val="21"/>
                <w:szCs w:val="21"/>
                <w:highlight w:val="none"/>
              </w:rPr>
            </w:pPr>
            <w:r>
              <w:rPr>
                <w:rFonts w:hint="default"/>
                <w:color w:val="auto"/>
                <w:sz w:val="21"/>
                <w:szCs w:val="21"/>
                <w:highlight w:val="none"/>
              </w:rPr>
              <w:t>9</w:t>
            </w:r>
          </w:p>
        </w:tc>
        <w:tc>
          <w:tcPr>
            <w:tcW w:w="687" w:type="pct"/>
            <w:tcBorders>
              <w:tl2br w:val="nil"/>
              <w:tr2bl w:val="nil"/>
            </w:tcBorders>
            <w:noWrap w:val="0"/>
            <w:vAlign w:val="top"/>
          </w:tcPr>
          <w:p w14:paraId="6E0A4F4E">
            <w:pPr>
              <w:pStyle w:val="23"/>
              <w:bidi w:val="0"/>
              <w:rPr>
                <w:rFonts w:hint="default"/>
                <w:color w:val="auto"/>
                <w:sz w:val="21"/>
                <w:szCs w:val="21"/>
                <w:highlight w:val="none"/>
              </w:rPr>
            </w:pPr>
            <w:r>
              <w:rPr>
                <w:rFonts w:hint="default"/>
                <w:color w:val="auto"/>
                <w:sz w:val="21"/>
                <w:szCs w:val="21"/>
                <w:highlight w:val="none"/>
              </w:rPr>
              <w:t>0.05882</w:t>
            </w:r>
          </w:p>
        </w:tc>
        <w:tc>
          <w:tcPr>
            <w:tcW w:w="773" w:type="pct"/>
            <w:tcBorders>
              <w:tl2br w:val="nil"/>
              <w:tr2bl w:val="nil"/>
            </w:tcBorders>
            <w:noWrap w:val="0"/>
            <w:vAlign w:val="top"/>
          </w:tcPr>
          <w:p w14:paraId="231D7DD4">
            <w:pPr>
              <w:pStyle w:val="23"/>
              <w:bidi w:val="0"/>
              <w:rPr>
                <w:rFonts w:hint="default"/>
                <w:color w:val="auto"/>
                <w:sz w:val="21"/>
                <w:szCs w:val="21"/>
                <w:highlight w:val="none"/>
              </w:rPr>
            </w:pPr>
            <w:r>
              <w:rPr>
                <w:rFonts w:hint="default"/>
                <w:color w:val="auto"/>
                <w:sz w:val="21"/>
                <w:szCs w:val="21"/>
                <w:highlight w:val="none"/>
              </w:rPr>
              <w:t>居民点</w:t>
            </w:r>
          </w:p>
        </w:tc>
      </w:tr>
      <w:tr w14:paraId="0EC5AB0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22EFE329">
            <w:pPr>
              <w:pStyle w:val="23"/>
              <w:bidi w:val="0"/>
              <w:rPr>
                <w:rFonts w:hint="default"/>
                <w:color w:val="auto"/>
                <w:sz w:val="21"/>
                <w:szCs w:val="21"/>
                <w:highlight w:val="none"/>
              </w:rPr>
            </w:pPr>
            <w:r>
              <w:rPr>
                <w:rFonts w:hint="default"/>
                <w:color w:val="auto"/>
                <w:sz w:val="21"/>
                <w:szCs w:val="21"/>
                <w:highlight w:val="none"/>
              </w:rPr>
              <w:t>鹊鸲</w:t>
            </w:r>
            <w:r>
              <w:rPr>
                <w:rFonts w:hint="default"/>
                <w:i/>
                <w:iCs/>
                <w:color w:val="auto"/>
                <w:sz w:val="21"/>
                <w:szCs w:val="21"/>
                <w:highlight w:val="none"/>
              </w:rPr>
              <w:t>Cosychus saularis</w:t>
            </w:r>
          </w:p>
        </w:tc>
        <w:tc>
          <w:tcPr>
            <w:tcW w:w="601" w:type="pct"/>
            <w:tcBorders>
              <w:tl2br w:val="nil"/>
              <w:tr2bl w:val="nil"/>
            </w:tcBorders>
            <w:noWrap w:val="0"/>
            <w:vAlign w:val="top"/>
          </w:tcPr>
          <w:p w14:paraId="53FAC6D4">
            <w:pPr>
              <w:pStyle w:val="23"/>
              <w:bidi w:val="0"/>
              <w:rPr>
                <w:rFonts w:hint="default"/>
                <w:color w:val="auto"/>
                <w:sz w:val="21"/>
                <w:szCs w:val="21"/>
                <w:highlight w:val="none"/>
              </w:rPr>
            </w:pPr>
            <w:r>
              <w:rPr>
                <w:rFonts w:hint="default"/>
                <w:color w:val="auto"/>
                <w:sz w:val="21"/>
                <w:szCs w:val="21"/>
                <w:highlight w:val="none"/>
              </w:rPr>
              <w:t>3</w:t>
            </w:r>
          </w:p>
        </w:tc>
        <w:tc>
          <w:tcPr>
            <w:tcW w:w="687" w:type="pct"/>
            <w:tcBorders>
              <w:tl2br w:val="nil"/>
              <w:tr2bl w:val="nil"/>
            </w:tcBorders>
            <w:noWrap w:val="0"/>
            <w:vAlign w:val="top"/>
          </w:tcPr>
          <w:p w14:paraId="61475F8B">
            <w:pPr>
              <w:pStyle w:val="23"/>
              <w:bidi w:val="0"/>
              <w:rPr>
                <w:rFonts w:hint="default"/>
                <w:color w:val="auto"/>
                <w:sz w:val="21"/>
                <w:szCs w:val="21"/>
                <w:highlight w:val="none"/>
              </w:rPr>
            </w:pPr>
            <w:r>
              <w:rPr>
                <w:rFonts w:hint="default"/>
                <w:color w:val="auto"/>
                <w:sz w:val="21"/>
                <w:szCs w:val="21"/>
                <w:highlight w:val="none"/>
              </w:rPr>
              <w:t>0.01961</w:t>
            </w:r>
          </w:p>
        </w:tc>
        <w:tc>
          <w:tcPr>
            <w:tcW w:w="773" w:type="pct"/>
            <w:tcBorders>
              <w:tl2br w:val="nil"/>
              <w:tr2bl w:val="nil"/>
            </w:tcBorders>
            <w:noWrap w:val="0"/>
            <w:vAlign w:val="top"/>
          </w:tcPr>
          <w:p w14:paraId="751706A0">
            <w:pPr>
              <w:pStyle w:val="23"/>
              <w:bidi w:val="0"/>
              <w:rPr>
                <w:rFonts w:hint="default"/>
                <w:color w:val="auto"/>
                <w:sz w:val="21"/>
                <w:szCs w:val="21"/>
                <w:highlight w:val="none"/>
              </w:rPr>
            </w:pPr>
            <w:r>
              <w:rPr>
                <w:rFonts w:hint="default"/>
                <w:color w:val="auto"/>
                <w:sz w:val="21"/>
                <w:szCs w:val="21"/>
                <w:highlight w:val="none"/>
              </w:rPr>
              <w:t>居民点</w:t>
            </w:r>
          </w:p>
        </w:tc>
      </w:tr>
      <w:tr w14:paraId="11085C4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3DEC2A17">
            <w:pPr>
              <w:pStyle w:val="23"/>
              <w:bidi w:val="0"/>
              <w:rPr>
                <w:rFonts w:hint="default"/>
                <w:color w:val="auto"/>
                <w:sz w:val="21"/>
                <w:szCs w:val="21"/>
                <w:highlight w:val="none"/>
              </w:rPr>
            </w:pPr>
            <w:r>
              <w:rPr>
                <w:rFonts w:hint="default"/>
                <w:color w:val="auto"/>
                <w:sz w:val="21"/>
                <w:szCs w:val="21"/>
                <w:highlight w:val="none"/>
              </w:rPr>
              <w:t>乌鸫</w:t>
            </w:r>
            <w:r>
              <w:rPr>
                <w:rFonts w:hint="default"/>
                <w:i/>
                <w:iCs/>
                <w:color w:val="auto"/>
                <w:sz w:val="21"/>
                <w:szCs w:val="21"/>
                <w:highlight w:val="none"/>
              </w:rPr>
              <w:t>Turdus melula</w:t>
            </w:r>
          </w:p>
        </w:tc>
        <w:tc>
          <w:tcPr>
            <w:tcW w:w="601" w:type="pct"/>
            <w:tcBorders>
              <w:tl2br w:val="nil"/>
              <w:tr2bl w:val="nil"/>
            </w:tcBorders>
            <w:noWrap w:val="0"/>
            <w:vAlign w:val="top"/>
          </w:tcPr>
          <w:p w14:paraId="47B7201A">
            <w:pPr>
              <w:pStyle w:val="23"/>
              <w:bidi w:val="0"/>
              <w:rPr>
                <w:rFonts w:hint="default"/>
                <w:color w:val="auto"/>
                <w:sz w:val="21"/>
                <w:szCs w:val="21"/>
                <w:highlight w:val="none"/>
              </w:rPr>
            </w:pPr>
            <w:r>
              <w:rPr>
                <w:rFonts w:hint="default"/>
                <w:color w:val="auto"/>
                <w:sz w:val="21"/>
                <w:szCs w:val="21"/>
                <w:highlight w:val="none"/>
              </w:rPr>
              <w:t>2</w:t>
            </w:r>
          </w:p>
        </w:tc>
        <w:tc>
          <w:tcPr>
            <w:tcW w:w="687" w:type="pct"/>
            <w:tcBorders>
              <w:tl2br w:val="nil"/>
              <w:tr2bl w:val="nil"/>
            </w:tcBorders>
            <w:noWrap w:val="0"/>
            <w:vAlign w:val="top"/>
          </w:tcPr>
          <w:p w14:paraId="4F92143F">
            <w:pPr>
              <w:pStyle w:val="23"/>
              <w:bidi w:val="0"/>
              <w:rPr>
                <w:rFonts w:hint="default"/>
                <w:color w:val="auto"/>
                <w:sz w:val="21"/>
                <w:szCs w:val="21"/>
                <w:highlight w:val="none"/>
              </w:rPr>
            </w:pPr>
            <w:r>
              <w:rPr>
                <w:rFonts w:hint="default"/>
                <w:color w:val="auto"/>
                <w:sz w:val="21"/>
                <w:szCs w:val="21"/>
                <w:highlight w:val="none"/>
              </w:rPr>
              <w:t>0.01307</w:t>
            </w:r>
          </w:p>
        </w:tc>
        <w:tc>
          <w:tcPr>
            <w:tcW w:w="773" w:type="pct"/>
            <w:tcBorders>
              <w:tl2br w:val="nil"/>
              <w:tr2bl w:val="nil"/>
            </w:tcBorders>
            <w:noWrap w:val="0"/>
            <w:vAlign w:val="top"/>
          </w:tcPr>
          <w:p w14:paraId="60A97773">
            <w:pPr>
              <w:pStyle w:val="23"/>
              <w:bidi w:val="0"/>
              <w:rPr>
                <w:rFonts w:hint="default"/>
                <w:color w:val="auto"/>
                <w:sz w:val="21"/>
                <w:szCs w:val="21"/>
                <w:highlight w:val="none"/>
              </w:rPr>
            </w:pPr>
            <w:r>
              <w:rPr>
                <w:rFonts w:hint="default"/>
                <w:color w:val="auto"/>
                <w:sz w:val="21"/>
                <w:szCs w:val="21"/>
                <w:highlight w:val="none"/>
              </w:rPr>
              <w:t>竹林</w:t>
            </w:r>
          </w:p>
        </w:tc>
      </w:tr>
      <w:tr w14:paraId="09178AF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199C1473">
            <w:pPr>
              <w:pStyle w:val="23"/>
              <w:bidi w:val="0"/>
              <w:rPr>
                <w:rFonts w:hint="default"/>
                <w:color w:val="auto"/>
                <w:sz w:val="21"/>
                <w:szCs w:val="21"/>
                <w:highlight w:val="none"/>
              </w:rPr>
            </w:pPr>
            <w:r>
              <w:rPr>
                <w:rFonts w:hint="default"/>
                <w:color w:val="auto"/>
                <w:sz w:val="21"/>
                <w:szCs w:val="21"/>
                <w:highlight w:val="none"/>
              </w:rPr>
              <w:t>白颊噪鹛</w:t>
            </w:r>
            <w:r>
              <w:rPr>
                <w:rFonts w:hint="default"/>
                <w:i/>
                <w:iCs/>
                <w:color w:val="auto"/>
                <w:sz w:val="21"/>
                <w:szCs w:val="21"/>
                <w:highlight w:val="none"/>
              </w:rPr>
              <w:t>Garrulax sanniv</w:t>
            </w:r>
          </w:p>
        </w:tc>
        <w:tc>
          <w:tcPr>
            <w:tcW w:w="601" w:type="pct"/>
            <w:tcBorders>
              <w:tl2br w:val="nil"/>
              <w:tr2bl w:val="nil"/>
            </w:tcBorders>
            <w:noWrap w:val="0"/>
            <w:vAlign w:val="top"/>
          </w:tcPr>
          <w:p w14:paraId="30A18511">
            <w:pPr>
              <w:pStyle w:val="23"/>
              <w:bidi w:val="0"/>
              <w:rPr>
                <w:rFonts w:hint="default"/>
                <w:color w:val="auto"/>
                <w:sz w:val="21"/>
                <w:szCs w:val="21"/>
                <w:highlight w:val="none"/>
              </w:rPr>
            </w:pPr>
            <w:r>
              <w:rPr>
                <w:rFonts w:hint="default"/>
                <w:color w:val="auto"/>
                <w:sz w:val="21"/>
                <w:szCs w:val="21"/>
                <w:highlight w:val="none"/>
              </w:rPr>
              <w:t>4</w:t>
            </w:r>
          </w:p>
        </w:tc>
        <w:tc>
          <w:tcPr>
            <w:tcW w:w="687" w:type="pct"/>
            <w:tcBorders>
              <w:tl2br w:val="nil"/>
              <w:tr2bl w:val="nil"/>
            </w:tcBorders>
            <w:noWrap w:val="0"/>
            <w:vAlign w:val="top"/>
          </w:tcPr>
          <w:p w14:paraId="211C5C98">
            <w:pPr>
              <w:pStyle w:val="23"/>
              <w:bidi w:val="0"/>
              <w:rPr>
                <w:rFonts w:hint="default"/>
                <w:color w:val="auto"/>
                <w:sz w:val="21"/>
                <w:szCs w:val="21"/>
                <w:highlight w:val="none"/>
              </w:rPr>
            </w:pPr>
            <w:r>
              <w:rPr>
                <w:rFonts w:hint="default"/>
                <w:color w:val="auto"/>
                <w:sz w:val="21"/>
                <w:szCs w:val="21"/>
                <w:highlight w:val="none"/>
              </w:rPr>
              <w:t>0.02614</w:t>
            </w:r>
          </w:p>
        </w:tc>
        <w:tc>
          <w:tcPr>
            <w:tcW w:w="773" w:type="pct"/>
            <w:tcBorders>
              <w:tl2br w:val="nil"/>
              <w:tr2bl w:val="nil"/>
            </w:tcBorders>
            <w:noWrap w:val="0"/>
            <w:vAlign w:val="top"/>
          </w:tcPr>
          <w:p w14:paraId="1F5220D8">
            <w:pPr>
              <w:pStyle w:val="23"/>
              <w:bidi w:val="0"/>
              <w:rPr>
                <w:rFonts w:hint="default"/>
                <w:color w:val="auto"/>
                <w:sz w:val="21"/>
                <w:szCs w:val="21"/>
                <w:highlight w:val="none"/>
              </w:rPr>
            </w:pPr>
            <w:r>
              <w:rPr>
                <w:rFonts w:hint="default"/>
                <w:color w:val="auto"/>
                <w:sz w:val="21"/>
                <w:szCs w:val="21"/>
                <w:highlight w:val="none"/>
              </w:rPr>
              <w:t>小乔木林</w:t>
            </w:r>
          </w:p>
        </w:tc>
      </w:tr>
      <w:tr w14:paraId="3EA4032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56C5B647">
            <w:pPr>
              <w:pStyle w:val="23"/>
              <w:bidi w:val="0"/>
              <w:rPr>
                <w:rFonts w:hint="default"/>
                <w:color w:val="auto"/>
                <w:sz w:val="21"/>
                <w:szCs w:val="21"/>
                <w:highlight w:val="none"/>
              </w:rPr>
            </w:pPr>
            <w:r>
              <w:rPr>
                <w:rFonts w:hint="default"/>
                <w:color w:val="auto"/>
                <w:sz w:val="21"/>
                <w:szCs w:val="21"/>
                <w:highlight w:val="none"/>
              </w:rPr>
              <w:t>画眉</w:t>
            </w:r>
            <w:r>
              <w:rPr>
                <w:rFonts w:hint="default"/>
                <w:i/>
                <w:iCs/>
                <w:color w:val="auto"/>
                <w:sz w:val="21"/>
                <w:szCs w:val="21"/>
                <w:highlight w:val="none"/>
              </w:rPr>
              <w:t>G.canirus canirus</w:t>
            </w:r>
          </w:p>
        </w:tc>
        <w:tc>
          <w:tcPr>
            <w:tcW w:w="601" w:type="pct"/>
            <w:tcBorders>
              <w:tl2br w:val="nil"/>
              <w:tr2bl w:val="nil"/>
            </w:tcBorders>
            <w:noWrap w:val="0"/>
            <w:vAlign w:val="top"/>
          </w:tcPr>
          <w:p w14:paraId="1D290339">
            <w:pPr>
              <w:pStyle w:val="23"/>
              <w:bidi w:val="0"/>
              <w:rPr>
                <w:rFonts w:hint="default"/>
                <w:color w:val="auto"/>
                <w:sz w:val="21"/>
                <w:szCs w:val="21"/>
                <w:highlight w:val="none"/>
              </w:rPr>
            </w:pPr>
            <w:r>
              <w:rPr>
                <w:rFonts w:hint="default"/>
                <w:color w:val="auto"/>
                <w:sz w:val="21"/>
                <w:szCs w:val="21"/>
                <w:highlight w:val="none"/>
              </w:rPr>
              <w:t>2</w:t>
            </w:r>
          </w:p>
        </w:tc>
        <w:tc>
          <w:tcPr>
            <w:tcW w:w="687" w:type="pct"/>
            <w:tcBorders>
              <w:tl2br w:val="nil"/>
              <w:tr2bl w:val="nil"/>
            </w:tcBorders>
            <w:noWrap w:val="0"/>
            <w:vAlign w:val="top"/>
          </w:tcPr>
          <w:p w14:paraId="6A607326">
            <w:pPr>
              <w:pStyle w:val="23"/>
              <w:bidi w:val="0"/>
              <w:rPr>
                <w:rFonts w:hint="default"/>
                <w:color w:val="auto"/>
                <w:sz w:val="21"/>
                <w:szCs w:val="21"/>
                <w:highlight w:val="none"/>
              </w:rPr>
            </w:pPr>
            <w:r>
              <w:rPr>
                <w:rFonts w:hint="default"/>
                <w:color w:val="auto"/>
                <w:sz w:val="21"/>
                <w:szCs w:val="21"/>
                <w:highlight w:val="none"/>
              </w:rPr>
              <w:t>0.01307</w:t>
            </w:r>
          </w:p>
        </w:tc>
        <w:tc>
          <w:tcPr>
            <w:tcW w:w="773" w:type="pct"/>
            <w:tcBorders>
              <w:tl2br w:val="nil"/>
              <w:tr2bl w:val="nil"/>
            </w:tcBorders>
            <w:noWrap w:val="0"/>
            <w:vAlign w:val="top"/>
          </w:tcPr>
          <w:p w14:paraId="29F35D04">
            <w:pPr>
              <w:pStyle w:val="23"/>
              <w:bidi w:val="0"/>
              <w:rPr>
                <w:rFonts w:hint="default"/>
                <w:color w:val="auto"/>
                <w:sz w:val="21"/>
                <w:szCs w:val="21"/>
                <w:highlight w:val="none"/>
              </w:rPr>
            </w:pPr>
            <w:r>
              <w:rPr>
                <w:rFonts w:hint="default"/>
                <w:color w:val="auto"/>
                <w:sz w:val="21"/>
                <w:szCs w:val="21"/>
                <w:highlight w:val="none"/>
              </w:rPr>
              <w:t>小乔木林</w:t>
            </w:r>
          </w:p>
        </w:tc>
      </w:tr>
      <w:tr w14:paraId="1975785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62E1C0D4">
            <w:pPr>
              <w:pStyle w:val="23"/>
              <w:bidi w:val="0"/>
              <w:rPr>
                <w:rFonts w:hint="default"/>
                <w:color w:val="auto"/>
                <w:sz w:val="21"/>
                <w:szCs w:val="21"/>
                <w:highlight w:val="none"/>
              </w:rPr>
            </w:pPr>
            <w:r>
              <w:rPr>
                <w:rFonts w:hint="default"/>
                <w:color w:val="auto"/>
                <w:sz w:val="21"/>
                <w:szCs w:val="21"/>
                <w:highlight w:val="none"/>
              </w:rPr>
              <w:t>纯色山鹪莺</w:t>
            </w:r>
            <w:r>
              <w:rPr>
                <w:rFonts w:hint="default"/>
                <w:i/>
                <w:iCs/>
                <w:color w:val="auto"/>
                <w:sz w:val="21"/>
                <w:szCs w:val="21"/>
                <w:highlight w:val="none"/>
              </w:rPr>
              <w:t>Cisticola juncidis</w:t>
            </w:r>
          </w:p>
        </w:tc>
        <w:tc>
          <w:tcPr>
            <w:tcW w:w="601" w:type="pct"/>
            <w:tcBorders>
              <w:tl2br w:val="nil"/>
              <w:tr2bl w:val="nil"/>
            </w:tcBorders>
            <w:noWrap w:val="0"/>
            <w:vAlign w:val="top"/>
          </w:tcPr>
          <w:p w14:paraId="4FC6F73B">
            <w:pPr>
              <w:pStyle w:val="23"/>
              <w:bidi w:val="0"/>
              <w:rPr>
                <w:rFonts w:hint="default"/>
                <w:color w:val="auto"/>
                <w:sz w:val="21"/>
                <w:szCs w:val="21"/>
                <w:highlight w:val="none"/>
              </w:rPr>
            </w:pPr>
            <w:r>
              <w:rPr>
                <w:rFonts w:hint="default"/>
                <w:color w:val="auto"/>
                <w:sz w:val="21"/>
                <w:szCs w:val="21"/>
                <w:highlight w:val="none"/>
              </w:rPr>
              <w:t>2</w:t>
            </w:r>
          </w:p>
        </w:tc>
        <w:tc>
          <w:tcPr>
            <w:tcW w:w="687" w:type="pct"/>
            <w:tcBorders>
              <w:tl2br w:val="nil"/>
              <w:tr2bl w:val="nil"/>
            </w:tcBorders>
            <w:noWrap w:val="0"/>
            <w:vAlign w:val="top"/>
          </w:tcPr>
          <w:p w14:paraId="2CAAAD74">
            <w:pPr>
              <w:pStyle w:val="23"/>
              <w:bidi w:val="0"/>
              <w:rPr>
                <w:rFonts w:hint="default"/>
                <w:color w:val="auto"/>
                <w:sz w:val="21"/>
                <w:szCs w:val="21"/>
                <w:highlight w:val="none"/>
              </w:rPr>
            </w:pPr>
            <w:r>
              <w:rPr>
                <w:rFonts w:hint="default"/>
                <w:color w:val="auto"/>
                <w:sz w:val="21"/>
                <w:szCs w:val="21"/>
                <w:highlight w:val="none"/>
              </w:rPr>
              <w:t>0.01307</w:t>
            </w:r>
          </w:p>
        </w:tc>
        <w:tc>
          <w:tcPr>
            <w:tcW w:w="773" w:type="pct"/>
            <w:tcBorders>
              <w:tl2br w:val="nil"/>
              <w:tr2bl w:val="nil"/>
            </w:tcBorders>
            <w:noWrap w:val="0"/>
            <w:vAlign w:val="top"/>
          </w:tcPr>
          <w:p w14:paraId="4DEE264F">
            <w:pPr>
              <w:pStyle w:val="23"/>
              <w:bidi w:val="0"/>
              <w:rPr>
                <w:rFonts w:hint="default"/>
                <w:color w:val="auto"/>
                <w:sz w:val="21"/>
                <w:szCs w:val="21"/>
                <w:highlight w:val="none"/>
              </w:rPr>
            </w:pPr>
            <w:r>
              <w:rPr>
                <w:rFonts w:hint="default"/>
                <w:color w:val="auto"/>
                <w:sz w:val="21"/>
                <w:szCs w:val="21"/>
                <w:highlight w:val="none"/>
              </w:rPr>
              <w:t>灌丛</w:t>
            </w:r>
          </w:p>
        </w:tc>
      </w:tr>
      <w:tr w14:paraId="633F81B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2938" w:type="pct"/>
            <w:tcBorders>
              <w:tl2br w:val="nil"/>
              <w:tr2bl w:val="nil"/>
            </w:tcBorders>
            <w:noWrap w:val="0"/>
            <w:vAlign w:val="top"/>
          </w:tcPr>
          <w:p w14:paraId="4B3CA073">
            <w:pPr>
              <w:pStyle w:val="23"/>
              <w:bidi w:val="0"/>
              <w:rPr>
                <w:rFonts w:hint="default"/>
                <w:color w:val="auto"/>
                <w:sz w:val="21"/>
                <w:szCs w:val="21"/>
                <w:highlight w:val="none"/>
              </w:rPr>
            </w:pPr>
            <w:r>
              <w:rPr>
                <w:rFonts w:hint="default"/>
                <w:color w:val="auto"/>
                <w:sz w:val="21"/>
                <w:szCs w:val="21"/>
                <w:highlight w:val="none"/>
              </w:rPr>
              <w:t>棕头鸦雀</w:t>
            </w:r>
            <w:r>
              <w:rPr>
                <w:rFonts w:hint="default"/>
                <w:i/>
                <w:iCs/>
                <w:color w:val="auto"/>
                <w:sz w:val="21"/>
                <w:szCs w:val="21"/>
                <w:highlight w:val="none"/>
              </w:rPr>
              <w:t>Paradoxornis webbianus</w:t>
            </w:r>
          </w:p>
        </w:tc>
        <w:tc>
          <w:tcPr>
            <w:tcW w:w="601" w:type="pct"/>
            <w:tcBorders>
              <w:tl2br w:val="nil"/>
              <w:tr2bl w:val="nil"/>
            </w:tcBorders>
            <w:noWrap w:val="0"/>
            <w:vAlign w:val="top"/>
          </w:tcPr>
          <w:p w14:paraId="3ABEFCBC">
            <w:pPr>
              <w:pStyle w:val="23"/>
              <w:bidi w:val="0"/>
              <w:rPr>
                <w:rFonts w:hint="default"/>
                <w:color w:val="auto"/>
                <w:sz w:val="21"/>
                <w:szCs w:val="21"/>
                <w:highlight w:val="none"/>
              </w:rPr>
            </w:pPr>
            <w:r>
              <w:rPr>
                <w:rFonts w:hint="default"/>
                <w:color w:val="auto"/>
                <w:sz w:val="21"/>
                <w:szCs w:val="21"/>
                <w:highlight w:val="none"/>
              </w:rPr>
              <w:t>13</w:t>
            </w:r>
          </w:p>
        </w:tc>
        <w:tc>
          <w:tcPr>
            <w:tcW w:w="687" w:type="pct"/>
            <w:tcBorders>
              <w:tl2br w:val="nil"/>
              <w:tr2bl w:val="nil"/>
            </w:tcBorders>
            <w:noWrap w:val="0"/>
            <w:vAlign w:val="top"/>
          </w:tcPr>
          <w:p w14:paraId="3827467C">
            <w:pPr>
              <w:pStyle w:val="23"/>
              <w:bidi w:val="0"/>
              <w:rPr>
                <w:rFonts w:hint="default"/>
                <w:color w:val="auto"/>
                <w:sz w:val="21"/>
                <w:szCs w:val="21"/>
                <w:highlight w:val="none"/>
              </w:rPr>
            </w:pPr>
            <w:r>
              <w:rPr>
                <w:rFonts w:hint="default"/>
                <w:color w:val="auto"/>
                <w:sz w:val="21"/>
                <w:szCs w:val="21"/>
                <w:highlight w:val="none"/>
              </w:rPr>
              <w:t>0.07496</w:t>
            </w:r>
          </w:p>
        </w:tc>
        <w:tc>
          <w:tcPr>
            <w:tcW w:w="773" w:type="pct"/>
            <w:tcBorders>
              <w:tl2br w:val="nil"/>
              <w:tr2bl w:val="nil"/>
            </w:tcBorders>
            <w:noWrap w:val="0"/>
            <w:vAlign w:val="top"/>
          </w:tcPr>
          <w:p w14:paraId="120BCEE4">
            <w:pPr>
              <w:pStyle w:val="23"/>
              <w:bidi w:val="0"/>
              <w:rPr>
                <w:rFonts w:hint="default"/>
                <w:color w:val="auto"/>
                <w:sz w:val="21"/>
                <w:szCs w:val="21"/>
                <w:highlight w:val="none"/>
              </w:rPr>
            </w:pPr>
            <w:r>
              <w:rPr>
                <w:rFonts w:hint="default"/>
                <w:color w:val="auto"/>
                <w:sz w:val="21"/>
                <w:szCs w:val="21"/>
                <w:highlight w:val="none"/>
              </w:rPr>
              <w:t>路旁灌丛</w:t>
            </w:r>
          </w:p>
        </w:tc>
      </w:tr>
      <w:tr w14:paraId="016346D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938" w:type="pct"/>
            <w:tcBorders>
              <w:tl2br w:val="nil"/>
              <w:tr2bl w:val="nil"/>
            </w:tcBorders>
            <w:noWrap w:val="0"/>
            <w:vAlign w:val="top"/>
          </w:tcPr>
          <w:p w14:paraId="44E0A5B7">
            <w:pPr>
              <w:pStyle w:val="23"/>
              <w:bidi w:val="0"/>
              <w:rPr>
                <w:rFonts w:hint="default"/>
                <w:color w:val="auto"/>
                <w:sz w:val="21"/>
                <w:szCs w:val="21"/>
                <w:highlight w:val="none"/>
              </w:rPr>
            </w:pPr>
            <w:r>
              <w:rPr>
                <w:rFonts w:hint="default"/>
                <w:color w:val="auto"/>
                <w:sz w:val="21"/>
                <w:szCs w:val="21"/>
                <w:highlight w:val="none"/>
              </w:rPr>
              <w:t>红头穗鹛</w:t>
            </w:r>
            <w:r>
              <w:rPr>
                <w:rFonts w:hint="default"/>
                <w:i/>
                <w:iCs/>
                <w:color w:val="auto"/>
                <w:sz w:val="21"/>
                <w:szCs w:val="21"/>
                <w:highlight w:val="none"/>
              </w:rPr>
              <w:t>Stachyris ruficeps</w:t>
            </w:r>
          </w:p>
        </w:tc>
        <w:tc>
          <w:tcPr>
            <w:tcW w:w="601" w:type="pct"/>
            <w:tcBorders>
              <w:tl2br w:val="nil"/>
              <w:tr2bl w:val="nil"/>
            </w:tcBorders>
            <w:noWrap w:val="0"/>
            <w:vAlign w:val="top"/>
          </w:tcPr>
          <w:p w14:paraId="6F592036">
            <w:pPr>
              <w:pStyle w:val="23"/>
              <w:bidi w:val="0"/>
              <w:rPr>
                <w:rFonts w:hint="default"/>
                <w:color w:val="auto"/>
                <w:sz w:val="21"/>
                <w:szCs w:val="21"/>
                <w:highlight w:val="none"/>
              </w:rPr>
            </w:pPr>
            <w:r>
              <w:rPr>
                <w:rFonts w:hint="default"/>
                <w:color w:val="auto"/>
                <w:sz w:val="21"/>
                <w:szCs w:val="21"/>
                <w:highlight w:val="none"/>
              </w:rPr>
              <w:t>2</w:t>
            </w:r>
          </w:p>
        </w:tc>
        <w:tc>
          <w:tcPr>
            <w:tcW w:w="687" w:type="pct"/>
            <w:tcBorders>
              <w:tl2br w:val="nil"/>
              <w:tr2bl w:val="nil"/>
            </w:tcBorders>
            <w:noWrap w:val="0"/>
            <w:vAlign w:val="top"/>
          </w:tcPr>
          <w:p w14:paraId="326D5E4E">
            <w:pPr>
              <w:pStyle w:val="23"/>
              <w:bidi w:val="0"/>
              <w:rPr>
                <w:rFonts w:hint="default"/>
                <w:color w:val="auto"/>
                <w:sz w:val="21"/>
                <w:szCs w:val="21"/>
                <w:highlight w:val="none"/>
              </w:rPr>
            </w:pPr>
            <w:r>
              <w:rPr>
                <w:rFonts w:hint="default"/>
                <w:color w:val="auto"/>
                <w:sz w:val="21"/>
                <w:szCs w:val="21"/>
                <w:highlight w:val="none"/>
              </w:rPr>
              <w:t>0.01307</w:t>
            </w:r>
          </w:p>
        </w:tc>
        <w:tc>
          <w:tcPr>
            <w:tcW w:w="773" w:type="pct"/>
            <w:tcBorders>
              <w:tl2br w:val="nil"/>
              <w:tr2bl w:val="nil"/>
            </w:tcBorders>
            <w:noWrap w:val="0"/>
            <w:vAlign w:val="top"/>
          </w:tcPr>
          <w:p w14:paraId="59DEB524">
            <w:pPr>
              <w:pStyle w:val="23"/>
              <w:bidi w:val="0"/>
              <w:rPr>
                <w:rFonts w:hint="default"/>
                <w:color w:val="auto"/>
                <w:sz w:val="21"/>
                <w:szCs w:val="21"/>
                <w:highlight w:val="none"/>
              </w:rPr>
            </w:pPr>
            <w:r>
              <w:rPr>
                <w:rFonts w:hint="default"/>
                <w:color w:val="auto"/>
                <w:sz w:val="21"/>
                <w:szCs w:val="21"/>
                <w:highlight w:val="none"/>
              </w:rPr>
              <w:t>灌丛</w:t>
            </w:r>
          </w:p>
        </w:tc>
      </w:tr>
      <w:tr w14:paraId="4A7C9B7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47615741">
            <w:pPr>
              <w:pStyle w:val="23"/>
              <w:bidi w:val="0"/>
              <w:rPr>
                <w:rFonts w:hint="default"/>
                <w:color w:val="auto"/>
                <w:sz w:val="21"/>
                <w:szCs w:val="21"/>
                <w:highlight w:val="none"/>
              </w:rPr>
            </w:pPr>
            <w:r>
              <w:rPr>
                <w:rFonts w:hint="default"/>
                <w:color w:val="auto"/>
                <w:sz w:val="21"/>
                <w:szCs w:val="21"/>
                <w:highlight w:val="none"/>
              </w:rPr>
              <w:t>大山雀</w:t>
            </w:r>
            <w:r>
              <w:rPr>
                <w:rFonts w:hint="default"/>
                <w:i/>
                <w:iCs/>
                <w:color w:val="auto"/>
                <w:sz w:val="21"/>
                <w:szCs w:val="21"/>
                <w:highlight w:val="none"/>
              </w:rPr>
              <w:t>Parus major</w:t>
            </w:r>
          </w:p>
        </w:tc>
        <w:tc>
          <w:tcPr>
            <w:tcW w:w="601" w:type="pct"/>
            <w:tcBorders>
              <w:tl2br w:val="nil"/>
              <w:tr2bl w:val="nil"/>
            </w:tcBorders>
            <w:noWrap w:val="0"/>
            <w:vAlign w:val="top"/>
          </w:tcPr>
          <w:p w14:paraId="128DEF99">
            <w:pPr>
              <w:pStyle w:val="23"/>
              <w:bidi w:val="0"/>
              <w:rPr>
                <w:rFonts w:hint="default"/>
                <w:color w:val="auto"/>
                <w:sz w:val="21"/>
                <w:szCs w:val="21"/>
                <w:highlight w:val="none"/>
              </w:rPr>
            </w:pPr>
            <w:r>
              <w:rPr>
                <w:rFonts w:hint="default"/>
                <w:color w:val="auto"/>
                <w:sz w:val="21"/>
                <w:szCs w:val="21"/>
                <w:highlight w:val="none"/>
              </w:rPr>
              <w:t>6</w:t>
            </w:r>
          </w:p>
        </w:tc>
        <w:tc>
          <w:tcPr>
            <w:tcW w:w="687" w:type="pct"/>
            <w:tcBorders>
              <w:tl2br w:val="nil"/>
              <w:tr2bl w:val="nil"/>
            </w:tcBorders>
            <w:noWrap w:val="0"/>
            <w:vAlign w:val="top"/>
          </w:tcPr>
          <w:p w14:paraId="217B5940">
            <w:pPr>
              <w:pStyle w:val="23"/>
              <w:bidi w:val="0"/>
              <w:rPr>
                <w:rFonts w:hint="default"/>
                <w:color w:val="auto"/>
                <w:sz w:val="21"/>
                <w:szCs w:val="21"/>
                <w:highlight w:val="none"/>
              </w:rPr>
            </w:pPr>
            <w:r>
              <w:rPr>
                <w:rFonts w:hint="default"/>
                <w:color w:val="auto"/>
                <w:sz w:val="21"/>
                <w:szCs w:val="21"/>
                <w:highlight w:val="none"/>
              </w:rPr>
              <w:t>0.03921</w:t>
            </w:r>
          </w:p>
        </w:tc>
        <w:tc>
          <w:tcPr>
            <w:tcW w:w="773" w:type="pct"/>
            <w:tcBorders>
              <w:tl2br w:val="nil"/>
              <w:tr2bl w:val="nil"/>
            </w:tcBorders>
            <w:noWrap w:val="0"/>
            <w:vAlign w:val="top"/>
          </w:tcPr>
          <w:p w14:paraId="7E57BBDD">
            <w:pPr>
              <w:pStyle w:val="23"/>
              <w:bidi w:val="0"/>
              <w:rPr>
                <w:rFonts w:hint="default"/>
                <w:color w:val="auto"/>
                <w:sz w:val="21"/>
                <w:szCs w:val="21"/>
                <w:highlight w:val="none"/>
              </w:rPr>
            </w:pPr>
            <w:r>
              <w:rPr>
                <w:rFonts w:hint="default"/>
                <w:color w:val="auto"/>
                <w:sz w:val="21"/>
                <w:szCs w:val="21"/>
                <w:highlight w:val="none"/>
              </w:rPr>
              <w:t>路旁灌丛</w:t>
            </w:r>
          </w:p>
        </w:tc>
      </w:tr>
      <w:tr w14:paraId="07A5EBD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283C365C">
            <w:pPr>
              <w:pStyle w:val="23"/>
              <w:bidi w:val="0"/>
              <w:rPr>
                <w:rFonts w:hint="default"/>
                <w:color w:val="auto"/>
                <w:sz w:val="21"/>
                <w:szCs w:val="21"/>
                <w:highlight w:val="none"/>
              </w:rPr>
            </w:pPr>
            <w:r>
              <w:rPr>
                <w:rFonts w:hint="default"/>
                <w:color w:val="auto"/>
                <w:sz w:val="21"/>
                <w:szCs w:val="21"/>
                <w:highlight w:val="none"/>
              </w:rPr>
              <w:t>红头长尾山雀</w:t>
            </w:r>
            <w:r>
              <w:rPr>
                <w:rFonts w:hint="default"/>
                <w:i/>
                <w:iCs/>
                <w:color w:val="auto"/>
                <w:sz w:val="21"/>
                <w:szCs w:val="21"/>
                <w:highlight w:val="none"/>
              </w:rPr>
              <w:t>Aegithalos concinnus</w:t>
            </w:r>
          </w:p>
        </w:tc>
        <w:tc>
          <w:tcPr>
            <w:tcW w:w="601" w:type="pct"/>
            <w:tcBorders>
              <w:tl2br w:val="nil"/>
              <w:tr2bl w:val="nil"/>
            </w:tcBorders>
            <w:noWrap w:val="0"/>
            <w:vAlign w:val="top"/>
          </w:tcPr>
          <w:p w14:paraId="19F97001">
            <w:pPr>
              <w:pStyle w:val="23"/>
              <w:bidi w:val="0"/>
              <w:rPr>
                <w:rFonts w:hint="default"/>
                <w:color w:val="auto"/>
                <w:sz w:val="21"/>
                <w:szCs w:val="21"/>
                <w:highlight w:val="none"/>
              </w:rPr>
            </w:pPr>
            <w:r>
              <w:rPr>
                <w:rFonts w:hint="default"/>
                <w:color w:val="auto"/>
                <w:sz w:val="21"/>
                <w:szCs w:val="21"/>
                <w:highlight w:val="none"/>
              </w:rPr>
              <w:t>2</w:t>
            </w:r>
          </w:p>
        </w:tc>
        <w:tc>
          <w:tcPr>
            <w:tcW w:w="687" w:type="pct"/>
            <w:tcBorders>
              <w:tl2br w:val="nil"/>
              <w:tr2bl w:val="nil"/>
            </w:tcBorders>
            <w:noWrap w:val="0"/>
            <w:vAlign w:val="top"/>
          </w:tcPr>
          <w:p w14:paraId="2484B824">
            <w:pPr>
              <w:pStyle w:val="23"/>
              <w:bidi w:val="0"/>
              <w:rPr>
                <w:rFonts w:hint="default"/>
                <w:color w:val="auto"/>
                <w:sz w:val="21"/>
                <w:szCs w:val="21"/>
                <w:highlight w:val="none"/>
              </w:rPr>
            </w:pPr>
            <w:r>
              <w:rPr>
                <w:rFonts w:hint="default"/>
                <w:color w:val="auto"/>
                <w:sz w:val="21"/>
                <w:szCs w:val="21"/>
                <w:highlight w:val="none"/>
              </w:rPr>
              <w:t>0.01307</w:t>
            </w:r>
          </w:p>
        </w:tc>
        <w:tc>
          <w:tcPr>
            <w:tcW w:w="773" w:type="pct"/>
            <w:tcBorders>
              <w:tl2br w:val="nil"/>
              <w:tr2bl w:val="nil"/>
            </w:tcBorders>
            <w:noWrap w:val="0"/>
            <w:vAlign w:val="top"/>
          </w:tcPr>
          <w:p w14:paraId="4B43D0AA">
            <w:pPr>
              <w:pStyle w:val="23"/>
              <w:bidi w:val="0"/>
              <w:rPr>
                <w:rFonts w:hint="default"/>
                <w:color w:val="auto"/>
                <w:sz w:val="21"/>
                <w:szCs w:val="21"/>
                <w:highlight w:val="none"/>
              </w:rPr>
            </w:pPr>
            <w:r>
              <w:rPr>
                <w:rFonts w:hint="default"/>
                <w:color w:val="auto"/>
                <w:sz w:val="21"/>
                <w:szCs w:val="21"/>
                <w:highlight w:val="none"/>
              </w:rPr>
              <w:t>路旁灌丛</w:t>
            </w:r>
          </w:p>
        </w:tc>
      </w:tr>
      <w:tr w14:paraId="131851A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493491E2">
            <w:pPr>
              <w:pStyle w:val="23"/>
              <w:bidi w:val="0"/>
              <w:rPr>
                <w:rFonts w:hint="default"/>
                <w:color w:val="auto"/>
                <w:sz w:val="21"/>
                <w:szCs w:val="21"/>
                <w:highlight w:val="none"/>
              </w:rPr>
            </w:pPr>
            <w:r>
              <w:rPr>
                <w:rFonts w:hint="default"/>
                <w:color w:val="auto"/>
                <w:sz w:val="21"/>
                <w:szCs w:val="21"/>
                <w:highlight w:val="none"/>
              </w:rPr>
              <w:t>暗绿绣眼鸟</w:t>
            </w:r>
            <w:r>
              <w:rPr>
                <w:rFonts w:hint="default"/>
                <w:i/>
                <w:iCs/>
                <w:color w:val="auto"/>
                <w:sz w:val="21"/>
                <w:szCs w:val="21"/>
                <w:highlight w:val="none"/>
              </w:rPr>
              <w:t>Zosterops japonica</w:t>
            </w:r>
          </w:p>
        </w:tc>
        <w:tc>
          <w:tcPr>
            <w:tcW w:w="601" w:type="pct"/>
            <w:tcBorders>
              <w:tl2br w:val="nil"/>
              <w:tr2bl w:val="nil"/>
            </w:tcBorders>
            <w:noWrap w:val="0"/>
            <w:vAlign w:val="top"/>
          </w:tcPr>
          <w:p w14:paraId="75E353E6">
            <w:pPr>
              <w:pStyle w:val="23"/>
              <w:bidi w:val="0"/>
              <w:rPr>
                <w:rFonts w:hint="default"/>
                <w:color w:val="auto"/>
                <w:sz w:val="21"/>
                <w:szCs w:val="21"/>
                <w:highlight w:val="none"/>
              </w:rPr>
            </w:pPr>
            <w:r>
              <w:rPr>
                <w:rFonts w:hint="default"/>
                <w:color w:val="auto"/>
                <w:sz w:val="21"/>
                <w:szCs w:val="21"/>
                <w:highlight w:val="none"/>
              </w:rPr>
              <w:t>4</w:t>
            </w:r>
          </w:p>
        </w:tc>
        <w:tc>
          <w:tcPr>
            <w:tcW w:w="687" w:type="pct"/>
            <w:tcBorders>
              <w:tl2br w:val="nil"/>
              <w:tr2bl w:val="nil"/>
            </w:tcBorders>
            <w:noWrap w:val="0"/>
            <w:vAlign w:val="top"/>
          </w:tcPr>
          <w:p w14:paraId="67F43015">
            <w:pPr>
              <w:pStyle w:val="23"/>
              <w:bidi w:val="0"/>
              <w:rPr>
                <w:rFonts w:hint="default"/>
                <w:color w:val="auto"/>
                <w:sz w:val="21"/>
                <w:szCs w:val="21"/>
                <w:highlight w:val="none"/>
              </w:rPr>
            </w:pPr>
            <w:r>
              <w:rPr>
                <w:rFonts w:hint="default"/>
                <w:color w:val="auto"/>
                <w:sz w:val="21"/>
                <w:szCs w:val="21"/>
                <w:highlight w:val="none"/>
              </w:rPr>
              <w:t>0.02614</w:t>
            </w:r>
          </w:p>
        </w:tc>
        <w:tc>
          <w:tcPr>
            <w:tcW w:w="773" w:type="pct"/>
            <w:tcBorders>
              <w:tl2br w:val="nil"/>
              <w:tr2bl w:val="nil"/>
            </w:tcBorders>
            <w:noWrap w:val="0"/>
            <w:vAlign w:val="top"/>
          </w:tcPr>
          <w:p w14:paraId="3EA44EDE">
            <w:pPr>
              <w:pStyle w:val="23"/>
              <w:bidi w:val="0"/>
              <w:rPr>
                <w:rFonts w:hint="default"/>
                <w:color w:val="auto"/>
                <w:sz w:val="21"/>
                <w:szCs w:val="21"/>
                <w:highlight w:val="none"/>
              </w:rPr>
            </w:pPr>
            <w:r>
              <w:rPr>
                <w:rFonts w:hint="default"/>
                <w:color w:val="auto"/>
                <w:sz w:val="21"/>
                <w:szCs w:val="21"/>
                <w:highlight w:val="none"/>
              </w:rPr>
              <w:t>路旁灌丛</w:t>
            </w:r>
          </w:p>
        </w:tc>
      </w:tr>
      <w:tr w14:paraId="6E8B9CA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0DA72BC0">
            <w:pPr>
              <w:pStyle w:val="23"/>
              <w:bidi w:val="0"/>
              <w:rPr>
                <w:rFonts w:hint="default"/>
                <w:color w:val="auto"/>
                <w:sz w:val="21"/>
                <w:szCs w:val="21"/>
                <w:highlight w:val="none"/>
              </w:rPr>
            </w:pPr>
            <w:r>
              <w:rPr>
                <w:rFonts w:hint="default"/>
                <w:color w:val="auto"/>
                <w:sz w:val="21"/>
                <w:szCs w:val="21"/>
                <w:highlight w:val="none"/>
              </w:rPr>
              <w:t>麻雀</w:t>
            </w:r>
            <w:r>
              <w:rPr>
                <w:rFonts w:hint="default"/>
                <w:i/>
                <w:iCs/>
                <w:color w:val="auto"/>
                <w:sz w:val="21"/>
                <w:szCs w:val="21"/>
                <w:highlight w:val="none"/>
              </w:rPr>
              <w:t>Passer montanus saturatus</w:t>
            </w:r>
          </w:p>
        </w:tc>
        <w:tc>
          <w:tcPr>
            <w:tcW w:w="601" w:type="pct"/>
            <w:tcBorders>
              <w:tl2br w:val="nil"/>
              <w:tr2bl w:val="nil"/>
            </w:tcBorders>
            <w:noWrap w:val="0"/>
            <w:vAlign w:val="top"/>
          </w:tcPr>
          <w:p w14:paraId="4AADBAC9">
            <w:pPr>
              <w:pStyle w:val="23"/>
              <w:bidi w:val="0"/>
              <w:rPr>
                <w:rFonts w:hint="default"/>
                <w:color w:val="auto"/>
                <w:sz w:val="21"/>
                <w:szCs w:val="21"/>
                <w:highlight w:val="none"/>
              </w:rPr>
            </w:pPr>
            <w:r>
              <w:rPr>
                <w:rFonts w:hint="default"/>
                <w:color w:val="auto"/>
                <w:sz w:val="21"/>
                <w:szCs w:val="21"/>
                <w:highlight w:val="none"/>
              </w:rPr>
              <w:t>25</w:t>
            </w:r>
          </w:p>
        </w:tc>
        <w:tc>
          <w:tcPr>
            <w:tcW w:w="687" w:type="pct"/>
            <w:tcBorders>
              <w:tl2br w:val="nil"/>
              <w:tr2bl w:val="nil"/>
            </w:tcBorders>
            <w:noWrap w:val="0"/>
            <w:vAlign w:val="top"/>
          </w:tcPr>
          <w:p w14:paraId="6172E83E">
            <w:pPr>
              <w:pStyle w:val="23"/>
              <w:bidi w:val="0"/>
              <w:rPr>
                <w:rFonts w:hint="default"/>
                <w:color w:val="auto"/>
                <w:sz w:val="21"/>
                <w:szCs w:val="21"/>
                <w:highlight w:val="none"/>
              </w:rPr>
            </w:pPr>
            <w:r>
              <w:rPr>
                <w:rFonts w:hint="default"/>
                <w:color w:val="auto"/>
                <w:sz w:val="21"/>
                <w:szCs w:val="21"/>
                <w:highlight w:val="none"/>
              </w:rPr>
              <w:t>0.1282</w:t>
            </w:r>
          </w:p>
        </w:tc>
        <w:tc>
          <w:tcPr>
            <w:tcW w:w="773" w:type="pct"/>
            <w:tcBorders>
              <w:tl2br w:val="nil"/>
              <w:tr2bl w:val="nil"/>
            </w:tcBorders>
            <w:noWrap w:val="0"/>
            <w:vAlign w:val="top"/>
          </w:tcPr>
          <w:p w14:paraId="1A576C2F">
            <w:pPr>
              <w:pStyle w:val="23"/>
              <w:bidi w:val="0"/>
              <w:rPr>
                <w:rFonts w:hint="default"/>
                <w:color w:val="auto"/>
                <w:sz w:val="21"/>
                <w:szCs w:val="21"/>
                <w:highlight w:val="none"/>
              </w:rPr>
            </w:pPr>
            <w:r>
              <w:rPr>
                <w:rFonts w:hint="default"/>
                <w:color w:val="auto"/>
                <w:sz w:val="21"/>
                <w:szCs w:val="21"/>
                <w:highlight w:val="none"/>
              </w:rPr>
              <w:t>居民点</w:t>
            </w:r>
          </w:p>
        </w:tc>
      </w:tr>
      <w:tr w14:paraId="5A46E22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501F19BD">
            <w:pPr>
              <w:pStyle w:val="23"/>
              <w:bidi w:val="0"/>
              <w:rPr>
                <w:rFonts w:hint="default"/>
                <w:color w:val="auto"/>
                <w:sz w:val="21"/>
                <w:szCs w:val="21"/>
                <w:highlight w:val="none"/>
              </w:rPr>
            </w:pPr>
            <w:bookmarkStart w:id="78" w:name="_Hlk492425933"/>
            <w:r>
              <w:rPr>
                <w:rFonts w:hint="default"/>
                <w:color w:val="auto"/>
                <w:sz w:val="21"/>
                <w:szCs w:val="21"/>
                <w:highlight w:val="none"/>
              </w:rPr>
              <w:t>山麻雀</w:t>
            </w:r>
            <w:bookmarkEnd w:id="78"/>
            <w:r>
              <w:rPr>
                <w:rFonts w:hint="default"/>
                <w:i/>
                <w:iCs/>
                <w:color w:val="auto"/>
                <w:sz w:val="21"/>
                <w:szCs w:val="21"/>
                <w:highlight w:val="none"/>
              </w:rPr>
              <w:t>P.rutilans rutilans</w:t>
            </w:r>
          </w:p>
        </w:tc>
        <w:tc>
          <w:tcPr>
            <w:tcW w:w="601" w:type="pct"/>
            <w:tcBorders>
              <w:tl2br w:val="nil"/>
              <w:tr2bl w:val="nil"/>
            </w:tcBorders>
            <w:noWrap w:val="0"/>
            <w:vAlign w:val="top"/>
          </w:tcPr>
          <w:p w14:paraId="7E99D231">
            <w:pPr>
              <w:pStyle w:val="23"/>
              <w:bidi w:val="0"/>
              <w:rPr>
                <w:rFonts w:hint="default"/>
                <w:color w:val="auto"/>
                <w:sz w:val="21"/>
                <w:szCs w:val="21"/>
                <w:highlight w:val="none"/>
              </w:rPr>
            </w:pPr>
            <w:r>
              <w:rPr>
                <w:rFonts w:hint="default"/>
                <w:color w:val="auto"/>
                <w:sz w:val="21"/>
                <w:szCs w:val="21"/>
                <w:highlight w:val="none"/>
              </w:rPr>
              <w:t>3</w:t>
            </w:r>
          </w:p>
        </w:tc>
        <w:tc>
          <w:tcPr>
            <w:tcW w:w="687" w:type="pct"/>
            <w:tcBorders>
              <w:tl2br w:val="nil"/>
              <w:tr2bl w:val="nil"/>
            </w:tcBorders>
            <w:noWrap w:val="0"/>
            <w:vAlign w:val="top"/>
          </w:tcPr>
          <w:p w14:paraId="43936C4E">
            <w:pPr>
              <w:pStyle w:val="23"/>
              <w:bidi w:val="0"/>
              <w:rPr>
                <w:rFonts w:hint="default"/>
                <w:color w:val="auto"/>
                <w:sz w:val="21"/>
                <w:szCs w:val="21"/>
                <w:highlight w:val="none"/>
              </w:rPr>
            </w:pPr>
            <w:r>
              <w:rPr>
                <w:rFonts w:hint="default"/>
                <w:color w:val="auto"/>
                <w:sz w:val="21"/>
                <w:szCs w:val="21"/>
                <w:highlight w:val="none"/>
              </w:rPr>
              <w:t>0.01961</w:t>
            </w:r>
          </w:p>
        </w:tc>
        <w:tc>
          <w:tcPr>
            <w:tcW w:w="773" w:type="pct"/>
            <w:tcBorders>
              <w:tl2br w:val="nil"/>
              <w:tr2bl w:val="nil"/>
            </w:tcBorders>
            <w:noWrap w:val="0"/>
            <w:vAlign w:val="top"/>
          </w:tcPr>
          <w:p w14:paraId="66A41FB6">
            <w:pPr>
              <w:pStyle w:val="23"/>
              <w:bidi w:val="0"/>
              <w:rPr>
                <w:rFonts w:hint="default"/>
                <w:color w:val="auto"/>
                <w:sz w:val="21"/>
                <w:szCs w:val="21"/>
                <w:highlight w:val="none"/>
              </w:rPr>
            </w:pPr>
            <w:r>
              <w:rPr>
                <w:rFonts w:hint="default"/>
                <w:color w:val="auto"/>
                <w:sz w:val="21"/>
                <w:szCs w:val="21"/>
                <w:highlight w:val="none"/>
              </w:rPr>
              <w:t>山腰灌丛</w:t>
            </w:r>
          </w:p>
        </w:tc>
      </w:tr>
      <w:tr w14:paraId="0D467FB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5E8CD9FB">
            <w:pPr>
              <w:pStyle w:val="23"/>
              <w:bidi w:val="0"/>
              <w:rPr>
                <w:rFonts w:hint="default"/>
                <w:color w:val="auto"/>
                <w:sz w:val="21"/>
                <w:szCs w:val="21"/>
                <w:highlight w:val="none"/>
              </w:rPr>
            </w:pPr>
            <w:bookmarkStart w:id="79" w:name="_Hlk492426075"/>
            <w:r>
              <w:rPr>
                <w:rFonts w:hint="default"/>
                <w:color w:val="auto"/>
                <w:sz w:val="21"/>
                <w:szCs w:val="21"/>
                <w:highlight w:val="none"/>
              </w:rPr>
              <w:t>白腰文鸟</w:t>
            </w:r>
            <w:bookmarkEnd w:id="79"/>
            <w:r>
              <w:rPr>
                <w:rFonts w:hint="default"/>
                <w:i/>
                <w:iCs/>
                <w:color w:val="auto"/>
                <w:sz w:val="21"/>
                <w:szCs w:val="21"/>
                <w:highlight w:val="none"/>
              </w:rPr>
              <w:t>Lonchura.striataswinhoei</w:t>
            </w:r>
          </w:p>
        </w:tc>
        <w:tc>
          <w:tcPr>
            <w:tcW w:w="601" w:type="pct"/>
            <w:tcBorders>
              <w:tl2br w:val="nil"/>
              <w:tr2bl w:val="nil"/>
            </w:tcBorders>
            <w:noWrap w:val="0"/>
            <w:vAlign w:val="top"/>
          </w:tcPr>
          <w:p w14:paraId="2A3BB1DF">
            <w:pPr>
              <w:pStyle w:val="23"/>
              <w:bidi w:val="0"/>
              <w:rPr>
                <w:rFonts w:hint="default"/>
                <w:color w:val="auto"/>
                <w:sz w:val="21"/>
                <w:szCs w:val="21"/>
                <w:highlight w:val="none"/>
              </w:rPr>
            </w:pPr>
            <w:r>
              <w:rPr>
                <w:rFonts w:hint="default"/>
                <w:color w:val="auto"/>
                <w:sz w:val="21"/>
                <w:szCs w:val="21"/>
                <w:highlight w:val="none"/>
              </w:rPr>
              <w:t>7</w:t>
            </w:r>
          </w:p>
        </w:tc>
        <w:tc>
          <w:tcPr>
            <w:tcW w:w="687" w:type="pct"/>
            <w:tcBorders>
              <w:tl2br w:val="nil"/>
              <w:tr2bl w:val="nil"/>
            </w:tcBorders>
            <w:noWrap w:val="0"/>
            <w:vAlign w:val="top"/>
          </w:tcPr>
          <w:p w14:paraId="0CF3CA57">
            <w:pPr>
              <w:pStyle w:val="23"/>
              <w:bidi w:val="0"/>
              <w:rPr>
                <w:rFonts w:hint="default"/>
                <w:color w:val="auto"/>
                <w:sz w:val="21"/>
                <w:szCs w:val="21"/>
                <w:highlight w:val="none"/>
              </w:rPr>
            </w:pPr>
            <w:r>
              <w:rPr>
                <w:rFonts w:hint="default"/>
                <w:color w:val="auto"/>
                <w:sz w:val="21"/>
                <w:szCs w:val="21"/>
                <w:highlight w:val="none"/>
              </w:rPr>
              <w:t>0.04575</w:t>
            </w:r>
          </w:p>
        </w:tc>
        <w:tc>
          <w:tcPr>
            <w:tcW w:w="773" w:type="pct"/>
            <w:tcBorders>
              <w:tl2br w:val="nil"/>
              <w:tr2bl w:val="nil"/>
            </w:tcBorders>
            <w:noWrap w:val="0"/>
            <w:vAlign w:val="top"/>
          </w:tcPr>
          <w:p w14:paraId="5A3CCD64">
            <w:pPr>
              <w:pStyle w:val="23"/>
              <w:bidi w:val="0"/>
              <w:rPr>
                <w:rFonts w:hint="default"/>
                <w:color w:val="auto"/>
                <w:sz w:val="21"/>
                <w:szCs w:val="21"/>
                <w:highlight w:val="none"/>
              </w:rPr>
            </w:pPr>
            <w:r>
              <w:rPr>
                <w:rFonts w:hint="default"/>
                <w:color w:val="auto"/>
                <w:sz w:val="21"/>
                <w:szCs w:val="21"/>
                <w:highlight w:val="none"/>
              </w:rPr>
              <w:t>山下</w:t>
            </w:r>
          </w:p>
        </w:tc>
      </w:tr>
      <w:tr w14:paraId="13738DC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51D3F0F2">
            <w:pPr>
              <w:pStyle w:val="23"/>
              <w:bidi w:val="0"/>
              <w:rPr>
                <w:rFonts w:hint="default"/>
                <w:color w:val="auto"/>
                <w:sz w:val="21"/>
                <w:szCs w:val="21"/>
                <w:highlight w:val="none"/>
              </w:rPr>
            </w:pPr>
            <w:r>
              <w:rPr>
                <w:rFonts w:hint="default"/>
                <w:color w:val="auto"/>
                <w:sz w:val="21"/>
                <w:szCs w:val="21"/>
                <w:highlight w:val="none"/>
              </w:rPr>
              <w:t>白鹭</w:t>
            </w:r>
            <w:r>
              <w:rPr>
                <w:rFonts w:hint="default"/>
                <w:i/>
                <w:iCs/>
                <w:color w:val="auto"/>
                <w:sz w:val="21"/>
                <w:szCs w:val="21"/>
                <w:highlight w:val="none"/>
              </w:rPr>
              <w:t>Egrette.garzetta</w:t>
            </w:r>
          </w:p>
        </w:tc>
        <w:tc>
          <w:tcPr>
            <w:tcW w:w="601" w:type="pct"/>
            <w:tcBorders>
              <w:tl2br w:val="nil"/>
              <w:tr2bl w:val="nil"/>
            </w:tcBorders>
            <w:noWrap w:val="0"/>
            <w:vAlign w:val="top"/>
          </w:tcPr>
          <w:p w14:paraId="037C20C6">
            <w:pPr>
              <w:pStyle w:val="23"/>
              <w:bidi w:val="0"/>
              <w:rPr>
                <w:rFonts w:hint="default"/>
                <w:color w:val="auto"/>
                <w:sz w:val="21"/>
                <w:szCs w:val="21"/>
                <w:highlight w:val="none"/>
              </w:rPr>
            </w:pPr>
            <w:r>
              <w:rPr>
                <w:rFonts w:hint="default"/>
                <w:color w:val="auto"/>
                <w:sz w:val="21"/>
                <w:szCs w:val="21"/>
                <w:highlight w:val="none"/>
              </w:rPr>
              <w:t>8</w:t>
            </w:r>
          </w:p>
        </w:tc>
        <w:tc>
          <w:tcPr>
            <w:tcW w:w="687" w:type="pct"/>
            <w:tcBorders>
              <w:tl2br w:val="nil"/>
              <w:tr2bl w:val="nil"/>
            </w:tcBorders>
            <w:noWrap w:val="0"/>
            <w:vAlign w:val="top"/>
          </w:tcPr>
          <w:p w14:paraId="06DDA74A">
            <w:pPr>
              <w:pStyle w:val="23"/>
              <w:bidi w:val="0"/>
              <w:rPr>
                <w:rFonts w:hint="default"/>
                <w:color w:val="auto"/>
                <w:sz w:val="21"/>
                <w:szCs w:val="21"/>
                <w:highlight w:val="none"/>
              </w:rPr>
            </w:pPr>
            <w:r>
              <w:rPr>
                <w:rFonts w:hint="default"/>
                <w:color w:val="auto"/>
                <w:sz w:val="21"/>
                <w:szCs w:val="21"/>
                <w:highlight w:val="none"/>
              </w:rPr>
              <w:t>0.05327</w:t>
            </w:r>
          </w:p>
        </w:tc>
        <w:tc>
          <w:tcPr>
            <w:tcW w:w="773" w:type="pct"/>
            <w:tcBorders>
              <w:tl2br w:val="nil"/>
              <w:tr2bl w:val="nil"/>
            </w:tcBorders>
            <w:noWrap w:val="0"/>
            <w:vAlign w:val="top"/>
          </w:tcPr>
          <w:p w14:paraId="57E8996C">
            <w:pPr>
              <w:pStyle w:val="23"/>
              <w:bidi w:val="0"/>
              <w:rPr>
                <w:rFonts w:hint="default"/>
                <w:color w:val="auto"/>
                <w:sz w:val="21"/>
                <w:szCs w:val="21"/>
                <w:highlight w:val="none"/>
              </w:rPr>
            </w:pPr>
            <w:r>
              <w:rPr>
                <w:rFonts w:hint="default"/>
                <w:color w:val="auto"/>
                <w:sz w:val="21"/>
                <w:szCs w:val="21"/>
                <w:highlight w:val="none"/>
              </w:rPr>
              <w:t>农田</w:t>
            </w:r>
          </w:p>
        </w:tc>
      </w:tr>
      <w:tr w14:paraId="37330840">
        <w:tblPrEx>
          <w:tblCellMar>
            <w:top w:w="0" w:type="dxa"/>
            <w:left w:w="108" w:type="dxa"/>
            <w:bottom w:w="0" w:type="dxa"/>
            <w:right w:w="108" w:type="dxa"/>
          </w:tblCellMar>
        </w:tblPrEx>
        <w:trPr>
          <w:jc w:val="center"/>
        </w:trPr>
        <w:tc>
          <w:tcPr>
            <w:tcW w:w="2938" w:type="pct"/>
            <w:tcBorders>
              <w:tl2br w:val="nil"/>
              <w:tr2bl w:val="nil"/>
            </w:tcBorders>
            <w:noWrap w:val="0"/>
            <w:vAlign w:val="top"/>
          </w:tcPr>
          <w:p w14:paraId="77AA27FA">
            <w:pPr>
              <w:pStyle w:val="23"/>
              <w:bidi w:val="0"/>
              <w:rPr>
                <w:rFonts w:hint="default"/>
                <w:color w:val="auto"/>
                <w:sz w:val="21"/>
                <w:szCs w:val="21"/>
                <w:highlight w:val="none"/>
              </w:rPr>
            </w:pPr>
            <w:r>
              <w:rPr>
                <w:rFonts w:hint="default"/>
                <w:color w:val="auto"/>
                <w:sz w:val="21"/>
                <w:szCs w:val="21"/>
                <w:highlight w:val="none"/>
              </w:rPr>
              <w:t>池鹭</w:t>
            </w:r>
            <w:r>
              <w:rPr>
                <w:rFonts w:hint="default"/>
                <w:i/>
                <w:iCs/>
                <w:color w:val="auto"/>
                <w:sz w:val="21"/>
                <w:szCs w:val="21"/>
                <w:highlight w:val="none"/>
              </w:rPr>
              <w:t>Ardeola bacchus</w:t>
            </w:r>
          </w:p>
        </w:tc>
        <w:tc>
          <w:tcPr>
            <w:tcW w:w="601" w:type="pct"/>
            <w:tcBorders>
              <w:tl2br w:val="nil"/>
              <w:tr2bl w:val="nil"/>
            </w:tcBorders>
            <w:noWrap w:val="0"/>
            <w:vAlign w:val="top"/>
          </w:tcPr>
          <w:p w14:paraId="499D38A8">
            <w:pPr>
              <w:pStyle w:val="23"/>
              <w:bidi w:val="0"/>
              <w:rPr>
                <w:rFonts w:hint="default"/>
                <w:color w:val="auto"/>
                <w:sz w:val="21"/>
                <w:szCs w:val="21"/>
                <w:highlight w:val="none"/>
              </w:rPr>
            </w:pPr>
            <w:r>
              <w:rPr>
                <w:rFonts w:hint="default"/>
                <w:color w:val="auto"/>
                <w:sz w:val="21"/>
                <w:szCs w:val="21"/>
                <w:highlight w:val="none"/>
              </w:rPr>
              <w:t>5</w:t>
            </w:r>
          </w:p>
        </w:tc>
        <w:tc>
          <w:tcPr>
            <w:tcW w:w="687" w:type="pct"/>
            <w:tcBorders>
              <w:tl2br w:val="nil"/>
              <w:tr2bl w:val="nil"/>
            </w:tcBorders>
            <w:noWrap w:val="0"/>
            <w:vAlign w:val="top"/>
          </w:tcPr>
          <w:p w14:paraId="2A5BABC7">
            <w:pPr>
              <w:pStyle w:val="23"/>
              <w:bidi w:val="0"/>
              <w:rPr>
                <w:rFonts w:hint="default"/>
                <w:color w:val="auto"/>
                <w:sz w:val="21"/>
                <w:szCs w:val="21"/>
                <w:highlight w:val="none"/>
              </w:rPr>
            </w:pPr>
            <w:r>
              <w:rPr>
                <w:rFonts w:hint="default"/>
                <w:color w:val="auto"/>
                <w:sz w:val="21"/>
                <w:szCs w:val="21"/>
                <w:highlight w:val="none"/>
              </w:rPr>
              <w:t>0.03267</w:t>
            </w:r>
          </w:p>
        </w:tc>
        <w:tc>
          <w:tcPr>
            <w:tcW w:w="773" w:type="pct"/>
            <w:tcBorders>
              <w:tl2br w:val="nil"/>
              <w:tr2bl w:val="nil"/>
            </w:tcBorders>
            <w:noWrap w:val="0"/>
            <w:vAlign w:val="top"/>
          </w:tcPr>
          <w:p w14:paraId="5BB85E02">
            <w:pPr>
              <w:pStyle w:val="23"/>
              <w:bidi w:val="0"/>
              <w:rPr>
                <w:rFonts w:hint="default"/>
                <w:color w:val="auto"/>
                <w:sz w:val="21"/>
                <w:szCs w:val="21"/>
                <w:highlight w:val="none"/>
              </w:rPr>
            </w:pPr>
            <w:r>
              <w:rPr>
                <w:rFonts w:hint="default"/>
                <w:color w:val="auto"/>
                <w:sz w:val="21"/>
                <w:szCs w:val="21"/>
                <w:highlight w:val="none"/>
              </w:rPr>
              <w:t>农田</w:t>
            </w:r>
          </w:p>
        </w:tc>
      </w:tr>
      <w:tr w14:paraId="4DDF9B0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2938" w:type="pct"/>
            <w:tcBorders>
              <w:tl2br w:val="nil"/>
              <w:tr2bl w:val="nil"/>
            </w:tcBorders>
            <w:noWrap w:val="0"/>
            <w:vAlign w:val="top"/>
          </w:tcPr>
          <w:p w14:paraId="2CE35BAE">
            <w:pPr>
              <w:pStyle w:val="23"/>
              <w:bidi w:val="0"/>
              <w:rPr>
                <w:rFonts w:hint="default"/>
                <w:color w:val="auto"/>
                <w:sz w:val="21"/>
                <w:szCs w:val="21"/>
                <w:highlight w:val="none"/>
              </w:rPr>
            </w:pPr>
            <w:r>
              <w:rPr>
                <w:rFonts w:hint="default"/>
                <w:color w:val="auto"/>
                <w:sz w:val="21"/>
                <w:szCs w:val="21"/>
                <w:highlight w:val="none"/>
              </w:rPr>
              <w:t>松雀鹰</w:t>
            </w:r>
            <w:r>
              <w:rPr>
                <w:rFonts w:hint="default"/>
                <w:i/>
                <w:iCs/>
                <w:color w:val="auto"/>
                <w:sz w:val="21"/>
                <w:szCs w:val="21"/>
                <w:highlight w:val="none"/>
              </w:rPr>
              <w:t>Accipiter virgatus</w:t>
            </w:r>
          </w:p>
        </w:tc>
        <w:tc>
          <w:tcPr>
            <w:tcW w:w="601" w:type="pct"/>
            <w:tcBorders>
              <w:tl2br w:val="nil"/>
              <w:tr2bl w:val="nil"/>
            </w:tcBorders>
            <w:noWrap w:val="0"/>
            <w:vAlign w:val="top"/>
          </w:tcPr>
          <w:p w14:paraId="78B1C0AF">
            <w:pPr>
              <w:pStyle w:val="23"/>
              <w:bidi w:val="0"/>
              <w:rPr>
                <w:rFonts w:hint="default"/>
                <w:color w:val="auto"/>
                <w:sz w:val="21"/>
                <w:szCs w:val="21"/>
                <w:highlight w:val="none"/>
              </w:rPr>
            </w:pPr>
            <w:r>
              <w:rPr>
                <w:rFonts w:hint="default"/>
                <w:color w:val="auto"/>
                <w:sz w:val="21"/>
                <w:szCs w:val="21"/>
                <w:highlight w:val="none"/>
              </w:rPr>
              <w:t>1</w:t>
            </w:r>
          </w:p>
        </w:tc>
        <w:tc>
          <w:tcPr>
            <w:tcW w:w="687" w:type="pct"/>
            <w:tcBorders>
              <w:tl2br w:val="nil"/>
              <w:tr2bl w:val="nil"/>
            </w:tcBorders>
            <w:noWrap w:val="0"/>
            <w:vAlign w:val="top"/>
          </w:tcPr>
          <w:p w14:paraId="3A6B982E">
            <w:pPr>
              <w:pStyle w:val="23"/>
              <w:bidi w:val="0"/>
              <w:rPr>
                <w:rFonts w:hint="default"/>
                <w:color w:val="auto"/>
                <w:sz w:val="21"/>
                <w:szCs w:val="21"/>
                <w:highlight w:val="none"/>
              </w:rPr>
            </w:pPr>
            <w:r>
              <w:rPr>
                <w:rFonts w:hint="default"/>
                <w:color w:val="auto"/>
                <w:sz w:val="21"/>
                <w:szCs w:val="21"/>
                <w:highlight w:val="none"/>
              </w:rPr>
              <w:t>0.00653</w:t>
            </w:r>
          </w:p>
        </w:tc>
        <w:tc>
          <w:tcPr>
            <w:tcW w:w="773" w:type="pct"/>
            <w:tcBorders>
              <w:tl2br w:val="nil"/>
              <w:tr2bl w:val="nil"/>
            </w:tcBorders>
            <w:noWrap w:val="0"/>
            <w:vAlign w:val="top"/>
          </w:tcPr>
          <w:p w14:paraId="11FFA784">
            <w:pPr>
              <w:pStyle w:val="23"/>
              <w:bidi w:val="0"/>
              <w:rPr>
                <w:rFonts w:hint="default"/>
                <w:color w:val="auto"/>
                <w:sz w:val="21"/>
                <w:szCs w:val="21"/>
                <w:highlight w:val="none"/>
              </w:rPr>
            </w:pPr>
            <w:r>
              <w:rPr>
                <w:rFonts w:hint="default"/>
                <w:color w:val="auto"/>
                <w:sz w:val="21"/>
                <w:szCs w:val="21"/>
                <w:highlight w:val="none"/>
              </w:rPr>
              <w:t>山顶</w:t>
            </w:r>
          </w:p>
        </w:tc>
      </w:tr>
    </w:tbl>
    <w:p w14:paraId="305A3600">
      <w:pPr>
        <w:pStyle w:val="30"/>
        <w:rPr>
          <w:rFonts w:hint="eastAsia"/>
          <w:color w:val="auto"/>
          <w:highlight w:val="none"/>
          <w:lang w:val="en-US" w:eastAsia="zh-CN"/>
        </w:rPr>
      </w:pPr>
      <w:r>
        <w:rPr>
          <w:rFonts w:hint="eastAsia"/>
          <w:color w:val="auto"/>
          <w:highlight w:val="none"/>
          <w:lang w:val="en-US" w:eastAsia="zh-CN"/>
        </w:rPr>
        <w:t>经调查统计整理，各物种丰度统计结果表明：拟建南冲风电场调查区鸟类的优势种为金腰燕、麻雀和白头鹎，丰度值分别为0.17949，0.12820，0.08496；其次是棕头鸦雀和白鹡鸰，丰度值分别为为0.07496、0.07189；其余物种的个体数量比依次为家燕（0.05882）、领雀嘴鹎（0.05882）、白鹭（0.05327、）白腰文鸟（0.04575）、大山雀（0.03921）、珠颈斑鸠（0.03267）、池鹭（0.03267）、八哥（0.03267），其余的15种其个体数量比均在0.030以下（见表4-1）。</w:t>
      </w:r>
    </w:p>
    <w:p w14:paraId="265D70D8">
      <w:pPr>
        <w:pStyle w:val="30"/>
        <w:rPr>
          <w:rFonts w:hint="eastAsia"/>
          <w:color w:val="auto"/>
          <w:highlight w:val="none"/>
          <w:lang w:val="en-US" w:eastAsia="zh-CN"/>
        </w:rPr>
      </w:pPr>
      <w:r>
        <w:rPr>
          <w:rFonts w:hint="eastAsia"/>
          <w:color w:val="auto"/>
          <w:highlight w:val="none"/>
          <w:lang w:val="en-US" w:eastAsia="zh-CN"/>
        </w:rPr>
        <w:t>以上13种构成了拟建南冲风电场调查区鸟类群落的主要组分，且大都为当地留鸟，这是风电场夏季鸟类的群落状况，某些冬候鸟也可能成为优势物种，因迁飞不能观察记录。白头鹎的活动范围广，也多在林间或紧贴树冠飞行，多以中、小群体活动于灌木之间，10-50m。棕头鸦雀喜集群在灌丛尤其草灌丛中觅食活动。大山雀、领雀嘴鹎、暗绿绣眼等多活动于灌木顶端和乔木林中，以阔叶林和针阔混交林中活动居多，多数情况下成对或3-5成群。飞行能力较棕头鸦雀强，但较其他种类差，其飞行高度通常在20m以下，而以5-10m为多见。白鹡鸰、棕背伯劳等活动范围广，主要在旷野、林间道路或水域附近栖息觅食；金腰燕和麻雀等为人类伴随动物，居民点周边是它们的主要活动范围，但金腰燕常在山顶附近飞行并寻找食物。白颊噪鹛主要在山体小乔木灌丛活动，也是白鹡鸰、白头鹎的喜好场所。</w:t>
      </w:r>
    </w:p>
    <w:p w14:paraId="2BC08B46">
      <w:pPr>
        <w:pStyle w:val="30"/>
        <w:rPr>
          <w:rFonts w:hint="eastAsia"/>
          <w:color w:val="auto"/>
          <w:highlight w:val="none"/>
          <w:lang w:val="en-US" w:eastAsia="zh-CN"/>
        </w:rPr>
      </w:pPr>
      <w:r>
        <w:rPr>
          <w:rFonts w:hint="eastAsia"/>
          <w:color w:val="auto"/>
          <w:highlight w:val="none"/>
          <w:lang w:val="en-US" w:eastAsia="zh-CN"/>
        </w:rPr>
        <w:t>（5）工程区域鸟类迁徙现状</w:t>
      </w:r>
    </w:p>
    <w:p w14:paraId="65B6353C">
      <w:pPr>
        <w:pStyle w:val="30"/>
        <w:rPr>
          <w:rFonts w:hint="eastAsia"/>
          <w:color w:val="auto"/>
          <w:highlight w:val="none"/>
          <w:lang w:val="en-US" w:eastAsia="zh-CN"/>
        </w:rPr>
      </w:pPr>
      <w:r>
        <w:rPr>
          <w:rFonts w:hint="eastAsia"/>
          <w:color w:val="auto"/>
          <w:highlight w:val="none"/>
        </w:rPr>
        <w:t>根据《祁东县南冲100MW风电项目对鸟类影响评价专题报告》（湖南林氏生态园林有限公司，2023年8月）</w:t>
      </w:r>
      <w:r>
        <w:rPr>
          <w:rFonts w:hint="eastAsia"/>
          <w:color w:val="auto"/>
          <w:highlight w:val="none"/>
          <w:lang w:eastAsia="zh-CN"/>
        </w:rPr>
        <w:t>，</w:t>
      </w:r>
      <w:r>
        <w:rPr>
          <w:rFonts w:hint="eastAsia"/>
          <w:color w:val="auto"/>
          <w:highlight w:val="none"/>
        </w:rPr>
        <w:t>湖南省境内中东部沿北向南有3个候鸟迁徙区：湘北洞庭湖、湘中丘陵地带、湘南南岭候鸟迁徙区，祁东县处于湘中丘陵地带、湘南南岭候鸟迁徙区的联结地带，构成了候鸟南北往返过境的潜在空域范围；相关调查资料和论证表明，该通道在项目区风电场的东北方向（N26°55′01″；E111°57′24″；海拔220m）有条鸟类迁徙的次要通道（方位191°）。</w:t>
      </w:r>
      <w:r>
        <w:rPr>
          <w:rFonts w:hint="eastAsia"/>
          <w:color w:val="auto"/>
          <w:highlight w:val="none"/>
          <w:lang w:eastAsia="zh-CN"/>
        </w:rPr>
        <w:t>该鸟类迁徙通道是</w:t>
      </w:r>
      <w:r>
        <w:rPr>
          <w:rFonts w:hint="eastAsia" w:ascii="Times New Roman" w:hAnsi="Times New Roman" w:cs="Times New Roman"/>
          <w:color w:val="auto"/>
          <w:kern w:val="0"/>
          <w:sz w:val="24"/>
          <w:szCs w:val="24"/>
          <w:highlight w:val="none"/>
          <w:u w:val="none"/>
          <w:lang w:val="en-US" w:eastAsia="zh-CN" w:bidi="ar-SA"/>
        </w:rPr>
        <w:t>窄幅候鸟通道，是局部的、次要通道，候鸟过境时的巡航空域与20个机位不冲突；附近水库栖息的少量水鸟与风电场机位区，距离远，没有生境需求，风电场不构成威胁。</w:t>
      </w:r>
    </w:p>
    <w:p w14:paraId="1B4715F7">
      <w:pPr>
        <w:pStyle w:val="30"/>
        <w:ind w:firstLine="0" w:firstLineChars="0"/>
        <w:rPr>
          <w:rFonts w:hint="eastAsia"/>
          <w:color w:val="auto"/>
          <w:highlight w:val="none"/>
          <w:lang w:val="en-US" w:eastAsia="zh-CN"/>
        </w:rPr>
      </w:pPr>
      <w:r>
        <w:rPr>
          <w:rFonts w:hint="eastAsia"/>
          <w:color w:val="auto"/>
          <w:highlight w:val="none"/>
          <w:lang w:val="en-US" w:eastAsia="zh-CN"/>
        </w:rPr>
        <w:drawing>
          <wp:inline distT="0" distB="0" distL="114300" distR="114300">
            <wp:extent cx="5326380" cy="3554095"/>
            <wp:effectExtent l="0" t="0" r="7620" b="8255"/>
            <wp:docPr id="64" name="图片 39" descr="F:\快乐办公\1、初稿\2-南冲风电场环境影响报告表\06-作图\附图\鸟类迁徙通道图0823.jpg鸟类迁徙通道图0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9" descr="F:\快乐办公\1、初稿\2-南冲风电场环境影响报告表\06-作图\附图\鸟类迁徙通道图0823.jpg鸟类迁徙通道图0823"/>
                    <pic:cNvPicPr>
                      <a:picLocks noChangeAspect="1"/>
                    </pic:cNvPicPr>
                  </pic:nvPicPr>
                  <pic:blipFill>
                    <a:blip r:embed="rId45"/>
                    <a:stretch>
                      <a:fillRect/>
                    </a:stretch>
                  </pic:blipFill>
                  <pic:spPr>
                    <a:xfrm>
                      <a:off x="0" y="0"/>
                      <a:ext cx="5326380" cy="3554095"/>
                    </a:xfrm>
                    <a:prstGeom prst="rect">
                      <a:avLst/>
                    </a:prstGeom>
                    <a:noFill/>
                    <a:ln>
                      <a:noFill/>
                    </a:ln>
                  </pic:spPr>
                </pic:pic>
              </a:graphicData>
            </a:graphic>
          </wp:inline>
        </w:drawing>
      </w:r>
    </w:p>
    <w:p w14:paraId="16B08684">
      <w:pPr>
        <w:pStyle w:val="30"/>
        <w:jc w:val="center"/>
        <w:rPr>
          <w:rFonts w:hint="eastAsia" w:ascii="Times New Roman" w:hAnsi="Times New Roman" w:eastAsia="宋体" w:cs="Times New Roman"/>
          <w:b/>
          <w:bCs/>
          <w:color w:val="auto"/>
          <w:highlight w:val="none"/>
          <w:lang w:val="en-US" w:eastAsia="zh-CN"/>
        </w:rPr>
      </w:pPr>
      <w:r>
        <w:rPr>
          <w:rFonts w:hint="default" w:ascii="Times New Roman" w:hAnsi="Times New Roman" w:eastAsia="宋体" w:cs="Times New Roman"/>
          <w:b/>
          <w:bCs/>
          <w:color w:val="auto"/>
          <w:highlight w:val="none"/>
          <w:lang w:val="en-US" w:eastAsia="zh-CN"/>
        </w:rPr>
        <w:t>图</w:t>
      </w:r>
      <w:r>
        <w:rPr>
          <w:rFonts w:hint="eastAsia" w:ascii="Times New Roman" w:hAnsi="Times New Roman" w:eastAsia="宋体" w:cs="Times New Roman"/>
          <w:b/>
          <w:bCs/>
          <w:color w:val="auto"/>
          <w:highlight w:val="none"/>
          <w:lang w:val="en-US" w:eastAsia="zh-CN"/>
        </w:rPr>
        <w:t>5.3.5</w:t>
      </w:r>
      <w:r>
        <w:rPr>
          <w:rFonts w:hint="default" w:ascii="Times New Roman" w:hAnsi="Times New Roman" w:eastAsia="宋体" w:cs="Times New Roman"/>
          <w:b/>
          <w:bCs/>
          <w:color w:val="auto"/>
          <w:highlight w:val="none"/>
          <w:lang w:val="en-US" w:eastAsia="zh-CN"/>
        </w:rPr>
        <w:t>-</w:t>
      </w:r>
      <w:r>
        <w:rPr>
          <w:rFonts w:hint="eastAsia" w:cs="Times New Roman"/>
          <w:b/>
          <w:bCs/>
          <w:color w:val="auto"/>
          <w:highlight w:val="none"/>
          <w:lang w:val="en-US" w:eastAsia="zh-CN"/>
        </w:rPr>
        <w:t>2</w:t>
      </w:r>
      <w:r>
        <w:rPr>
          <w:rFonts w:hint="default" w:ascii="Times New Roman" w:hAnsi="Times New Roman" w:eastAsia="宋体" w:cs="Times New Roman"/>
          <w:b/>
          <w:bCs/>
          <w:color w:val="auto"/>
          <w:highlight w:val="none"/>
          <w:lang w:val="en-US" w:eastAsia="zh-CN"/>
        </w:rPr>
        <w:t xml:space="preserve">  项目与祁东县鸟类迁徙通道位置关系图</w:t>
      </w:r>
    </w:p>
    <w:p w14:paraId="61D46B0E">
      <w:pPr>
        <w:pStyle w:val="30"/>
        <w:rPr>
          <w:rFonts w:hint="eastAsia"/>
          <w:color w:val="auto"/>
          <w:highlight w:val="none"/>
        </w:rPr>
      </w:pPr>
      <w:r>
        <w:rPr>
          <w:rFonts w:hint="eastAsia"/>
          <w:color w:val="auto"/>
          <w:highlight w:val="none"/>
        </w:rPr>
        <w:t>风电场项目区分布有候鸟26种，其中夏候鸟14种，冬候鸟12种。14种夏候鸟中，中白鹭、白鹭、池鹭、夜鹭等为湿地物种，喜在河流、池塘、农田中栖息，在村落、山麓大树或水滨草丛中营巢，整个夏季所有活动与风电场不相关联。金腰燕、家燕等为居民点物种，在民居房檐营泥质巢，但抚养幼雏时需要到高海拔灌丛寻觅食物，与风电场区有一定生境关联，因其个体小、飞行速度快，闪避迅速，安全性高。强脚树莺、四声杜鹃、大杜鹃等为典型林栖性物种，繁殖活动在密林间，紧贴树冠或沿山腰空域作短距离飞行，与风电场区关联极少。</w:t>
      </w:r>
    </w:p>
    <w:p w14:paraId="07CB1C43">
      <w:pPr>
        <w:pStyle w:val="30"/>
        <w:rPr>
          <w:rFonts w:hint="eastAsia"/>
          <w:color w:val="auto"/>
          <w:highlight w:val="none"/>
          <w:lang w:val="en-US" w:eastAsia="zh-CN"/>
        </w:rPr>
      </w:pPr>
      <w:r>
        <w:rPr>
          <w:rFonts w:hint="eastAsia"/>
          <w:color w:val="auto"/>
          <w:highlight w:val="none"/>
        </w:rPr>
        <w:t>风电场区分布有北红尾鸲、黄腰柳莺、黑尾蜡嘴雀等几种冬候鸟。均为低海拔分布物种，北红尾鸲喜在小溪流附近灌丛觅食、活动，灰椋鸟则常在山麓的小乔木或灌木林集群活动，也能集大群作较大范围移动；黄腰柳莺分布海拔跨度虽大，活动多在林间、林下或旷地灌草丛进行，能避开风机，或适应后在风机周边活动，不受风机影响；黑尾蜡嘴雀则喜在邻近村落处、沟渠旁大树、小乔木活动，并在附近农田、果园觅食，对各风机位无生境需求。</w:t>
      </w:r>
    </w:p>
    <w:p w14:paraId="598326EF">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哺乳类</w:t>
      </w:r>
    </w:p>
    <w:p w14:paraId="5B63791B">
      <w:pPr>
        <w:pStyle w:val="30"/>
        <w:rPr>
          <w:rFonts w:hint="eastAsia"/>
          <w:color w:val="auto"/>
          <w:highlight w:val="none"/>
          <w:lang w:val="en-US" w:eastAsia="zh-CN"/>
        </w:rPr>
      </w:pPr>
      <w:r>
        <w:rPr>
          <w:rFonts w:hint="eastAsia"/>
          <w:color w:val="auto"/>
          <w:highlight w:val="none"/>
          <w:lang w:val="en-US" w:eastAsia="zh-CN"/>
        </w:rPr>
        <w:t>主要通过访问调查法和参考评价区附近的相关文献，并结合实地调查中观察 到的哺乳类痕迹及生境状况，对评价区内哺乳类种类、数量及分布现状进行了全面调查，得出如下结论：</w:t>
      </w:r>
    </w:p>
    <w:p w14:paraId="5A700A69">
      <w:pPr>
        <w:pStyle w:val="30"/>
        <w:rPr>
          <w:rFonts w:hint="eastAsia"/>
          <w:color w:val="auto"/>
          <w:highlight w:val="none"/>
          <w:lang w:val="en-US" w:eastAsia="zh-CN"/>
        </w:rPr>
      </w:pPr>
      <w:r>
        <w:rPr>
          <w:rFonts w:hint="eastAsia"/>
          <w:color w:val="auto"/>
          <w:highlight w:val="none"/>
          <w:lang w:val="en-US" w:eastAsia="zh-CN"/>
        </w:rPr>
        <w:t>（1）种类、数量及分布</w:t>
      </w:r>
    </w:p>
    <w:p w14:paraId="42B2C462">
      <w:pPr>
        <w:pStyle w:val="30"/>
        <w:rPr>
          <w:rFonts w:hint="eastAsia"/>
          <w:color w:val="auto"/>
          <w:highlight w:val="none"/>
          <w:lang w:val="en-US" w:eastAsia="zh-CN"/>
        </w:rPr>
      </w:pPr>
      <w:r>
        <w:rPr>
          <w:rFonts w:hint="eastAsia"/>
          <w:color w:val="auto"/>
          <w:highlight w:val="none"/>
          <w:lang w:val="en-US" w:eastAsia="zh-CN"/>
        </w:rPr>
        <w:t>评价区内哺乳类共有6目9科15种(名录见附录4附表4-4)。以啮齿目种类最多，共有6种，占40.00%。未记录到国家级重点保护动物；共记录湖南省重点保护哺乳类12种，即东北刺猬(</w:t>
      </w:r>
      <w:r>
        <w:rPr>
          <w:rFonts w:hint="eastAsia"/>
          <w:i/>
          <w:iCs/>
          <w:color w:val="auto"/>
          <w:highlight w:val="none"/>
          <w:lang w:val="en-US" w:eastAsia="zh-CN"/>
        </w:rPr>
        <w:t>Erinaceus amurensis</w:t>
      </w:r>
      <w:r>
        <w:rPr>
          <w:rFonts w:hint="eastAsia"/>
          <w:color w:val="auto"/>
          <w:highlight w:val="none"/>
          <w:lang w:val="en-US" w:eastAsia="zh-CN"/>
        </w:rPr>
        <w:t>)、隐纹花松鼠、赤腹松鼠、马来豪猪(</w:t>
      </w:r>
      <w:r>
        <w:rPr>
          <w:rFonts w:hint="eastAsia"/>
          <w:i/>
          <w:iCs/>
          <w:color w:val="auto"/>
          <w:highlight w:val="none"/>
          <w:lang w:val="en-US" w:eastAsia="zh-CN"/>
        </w:rPr>
        <w:t>Hystrix brachyura</w:t>
      </w:r>
      <w:r>
        <w:rPr>
          <w:rFonts w:hint="eastAsia"/>
          <w:color w:val="auto"/>
          <w:highlight w:val="none"/>
          <w:lang w:val="en-US" w:eastAsia="zh-CN"/>
        </w:rPr>
        <w:t>)、普通伏翼(</w:t>
      </w:r>
      <w:r>
        <w:rPr>
          <w:rFonts w:hint="eastAsia"/>
          <w:i/>
          <w:iCs/>
          <w:color w:val="auto"/>
          <w:highlight w:val="none"/>
          <w:lang w:val="en-US" w:eastAsia="zh-CN"/>
        </w:rPr>
        <w:t>Pipistrellus pipistrellus</w:t>
      </w:r>
      <w:r>
        <w:rPr>
          <w:rFonts w:hint="eastAsia"/>
          <w:color w:val="auto"/>
          <w:highlight w:val="none"/>
          <w:lang w:val="en-US" w:eastAsia="zh-CN"/>
        </w:rPr>
        <w:t>)、黄鼬(</w:t>
      </w:r>
      <w:r>
        <w:rPr>
          <w:rFonts w:hint="eastAsia"/>
          <w:i/>
          <w:iCs/>
          <w:color w:val="auto"/>
          <w:highlight w:val="none"/>
          <w:lang w:val="en-US" w:eastAsia="zh-CN"/>
        </w:rPr>
        <w:t>Mustela sibirica</w:t>
      </w:r>
      <w:r>
        <w:rPr>
          <w:rFonts w:hint="eastAsia"/>
          <w:color w:val="auto"/>
          <w:highlight w:val="none"/>
          <w:lang w:val="en-US" w:eastAsia="zh-CN"/>
        </w:rPr>
        <w:t>)、猪獾、亚洲狗獾(</w:t>
      </w:r>
      <w:r>
        <w:rPr>
          <w:rFonts w:hint="eastAsia"/>
          <w:i/>
          <w:iCs/>
          <w:color w:val="auto"/>
          <w:highlight w:val="none"/>
          <w:lang w:val="en-US" w:eastAsia="zh-CN"/>
        </w:rPr>
        <w:t>Meles leucurus</w:t>
      </w:r>
      <w:r>
        <w:rPr>
          <w:rFonts w:hint="eastAsia"/>
          <w:color w:val="auto"/>
          <w:highlight w:val="none"/>
          <w:lang w:val="en-US" w:eastAsia="zh-CN"/>
        </w:rPr>
        <w:t>)、鼬獾、野猪、小麂和华南兔。</w:t>
      </w:r>
    </w:p>
    <w:p w14:paraId="0A660207">
      <w:pPr>
        <w:pStyle w:val="30"/>
        <w:rPr>
          <w:rFonts w:hint="eastAsia"/>
          <w:color w:val="auto"/>
          <w:highlight w:val="none"/>
          <w:lang w:val="en-US" w:eastAsia="zh-CN"/>
        </w:rPr>
      </w:pPr>
      <w:r>
        <w:rPr>
          <w:rFonts w:hint="eastAsia"/>
          <w:color w:val="auto"/>
          <w:highlight w:val="none"/>
          <w:lang w:val="en-US" w:eastAsia="zh-CN"/>
        </w:rPr>
        <w:t>（2）区系类型</w:t>
      </w:r>
    </w:p>
    <w:p w14:paraId="25015CDB">
      <w:pPr>
        <w:pStyle w:val="30"/>
        <w:rPr>
          <w:rFonts w:hint="eastAsia"/>
          <w:color w:val="auto"/>
          <w:highlight w:val="none"/>
          <w:lang w:val="en-US" w:eastAsia="zh-CN"/>
        </w:rPr>
      </w:pPr>
      <w:r>
        <w:rPr>
          <w:rFonts w:hint="eastAsia"/>
          <w:color w:val="auto"/>
          <w:highlight w:val="none"/>
          <w:lang w:val="en-US" w:eastAsia="zh-CN"/>
        </w:rPr>
        <w:t>按区系类型划分，可将评价区内的哺乳类分为以下3类：东洋种8种，占53.33%；古北种2种，占13.33%；广布种5种，占33.33%。哺乳类的运动迁移能力相对较强，因此呈现出古北界成分向东洋界渗透的现象。</w:t>
      </w:r>
    </w:p>
    <w:p w14:paraId="14F55DCE">
      <w:pPr>
        <w:pStyle w:val="30"/>
        <w:rPr>
          <w:rFonts w:hint="eastAsia"/>
          <w:color w:val="auto"/>
          <w:highlight w:val="none"/>
          <w:lang w:val="en-US" w:eastAsia="zh-CN"/>
        </w:rPr>
      </w:pPr>
      <w:r>
        <w:rPr>
          <w:rFonts w:hint="eastAsia"/>
          <w:color w:val="auto"/>
          <w:highlight w:val="none"/>
          <w:lang w:val="en-US" w:eastAsia="zh-CN"/>
        </w:rPr>
        <w:t>（3）生态类型</w:t>
      </w:r>
    </w:p>
    <w:p w14:paraId="635F2D75">
      <w:pPr>
        <w:pStyle w:val="30"/>
        <w:rPr>
          <w:rFonts w:hint="eastAsia"/>
          <w:color w:val="auto"/>
          <w:highlight w:val="none"/>
          <w:lang w:val="en-US" w:eastAsia="zh-CN"/>
        </w:rPr>
      </w:pPr>
      <w:r>
        <w:rPr>
          <w:rFonts w:hint="eastAsia"/>
          <w:color w:val="auto"/>
          <w:highlight w:val="none"/>
          <w:lang w:val="en-US" w:eastAsia="zh-CN"/>
        </w:rPr>
        <w:t>根据评价区内哺乳类生活习性的不同，可将其分为以下4种生态类型：</w:t>
      </w:r>
    </w:p>
    <w:p w14:paraId="5929578D">
      <w:pPr>
        <w:pStyle w:val="30"/>
        <w:rPr>
          <w:rFonts w:hint="eastAsia"/>
          <w:color w:val="auto"/>
          <w:highlight w:val="none"/>
          <w:lang w:val="en-US" w:eastAsia="zh-CN"/>
        </w:rPr>
      </w:pPr>
      <w:r>
        <w:rPr>
          <w:rFonts w:hint="eastAsia"/>
          <w:color w:val="auto"/>
          <w:highlight w:val="none"/>
          <w:lang w:val="en-US" w:eastAsia="zh-CN"/>
        </w:rPr>
        <w:t>半地下生活型(穴居型，主要在地面活动觅食，栖息、避敌于洞穴中，有的也在地下寻找食物)：包括东北刺猬、黑线姬鼠、小家鼠、黄胸鼠(</w:t>
      </w:r>
      <w:r>
        <w:rPr>
          <w:rFonts w:hint="eastAsia"/>
          <w:i/>
          <w:iCs/>
          <w:color w:val="auto"/>
          <w:highlight w:val="none"/>
          <w:lang w:val="en-US" w:eastAsia="zh-CN"/>
        </w:rPr>
        <w:t>Rattus tanezumi</w:t>
      </w:r>
      <w:r>
        <w:rPr>
          <w:rFonts w:hint="eastAsia"/>
          <w:color w:val="auto"/>
          <w:highlight w:val="none"/>
          <w:lang w:val="en-US" w:eastAsia="zh-CN"/>
        </w:rPr>
        <w:t>)、马来豪猪、黄鼬、猪獾、亚洲狗獾、鼬獾和华南兔，共10种，在评价区哺乳类中所占比例最大，达66.67%，为评价区哺乳类的主要生态类型。它们分布于评价区的林地灌丛、草丛和农田中。其中豪猪科和鼬科物种主要分布于森林及林缘的灌草丛；鼠科物种主要分布于居民点和农田附近，如小家鼠和黄胸鼠等物种与人类关系密切。</w:t>
      </w:r>
    </w:p>
    <w:p w14:paraId="08415F75">
      <w:pPr>
        <w:pStyle w:val="30"/>
        <w:rPr>
          <w:rFonts w:hint="eastAsia"/>
          <w:color w:val="auto"/>
          <w:highlight w:val="none"/>
          <w:lang w:val="en-US" w:eastAsia="zh-CN"/>
        </w:rPr>
      </w:pPr>
      <w:r>
        <w:rPr>
          <w:rFonts w:hint="eastAsia"/>
          <w:color w:val="auto"/>
          <w:highlight w:val="none"/>
          <w:lang w:val="en-US" w:eastAsia="zh-CN"/>
        </w:rPr>
        <w:t>地面生活型(主要在地面上活动、觅食的哺乳类)：包括野猪和小麂2种，主要在评价区的林地、灌丛中分布。</w:t>
      </w:r>
    </w:p>
    <w:p w14:paraId="76EB3A68">
      <w:pPr>
        <w:pStyle w:val="30"/>
        <w:rPr>
          <w:rFonts w:hint="eastAsia"/>
          <w:color w:val="auto"/>
          <w:highlight w:val="none"/>
          <w:lang w:val="en-US" w:eastAsia="zh-CN"/>
        </w:rPr>
      </w:pPr>
      <w:r>
        <w:rPr>
          <w:rFonts w:hint="eastAsia"/>
          <w:color w:val="auto"/>
          <w:highlight w:val="none"/>
          <w:lang w:val="en-US" w:eastAsia="zh-CN"/>
        </w:rPr>
        <w:t>岩洞栖息型(在岩洞中倒挂栖息的小型哺乳类)：该类型有普通伏翼1种。主要分布于评价区的居民点附近。</w:t>
      </w:r>
    </w:p>
    <w:p w14:paraId="445178BD">
      <w:pPr>
        <w:bidi w:val="0"/>
        <w:rPr>
          <w:rFonts w:hint="eastAsia"/>
          <w:color w:val="auto"/>
          <w:highlight w:val="none"/>
          <w:lang w:val="en-US" w:eastAsia="zh-CN"/>
        </w:rPr>
      </w:pPr>
      <w:r>
        <w:rPr>
          <w:rFonts w:hint="eastAsia"/>
          <w:color w:val="auto"/>
          <w:highlight w:val="none"/>
          <w:lang w:val="en-US" w:eastAsia="zh-CN"/>
        </w:rPr>
        <w:t>树栖型(主要在树上栖息、觅食)：包括隐纹花松鼠和赤腹松鼠2种。在评价范围内树林中均有分布，其中隐纹花松鼠较常见。</w:t>
      </w:r>
    </w:p>
    <w:p w14:paraId="69911606">
      <w:pPr>
        <w:pStyle w:val="6"/>
        <w:rPr>
          <w:rFonts w:hint="default" w:ascii="Times New Roman" w:hAnsi="Times New Roman" w:cs="Times New Roman"/>
          <w:color w:val="auto"/>
          <w:highlight w:val="none"/>
        </w:rPr>
      </w:pPr>
      <w:r>
        <w:rPr>
          <w:rFonts w:hint="eastAsia" w:ascii="Times New Roman" w:hAnsi="Times New Roman"/>
          <w:b/>
          <w:bCs/>
          <w:color w:val="auto"/>
          <w:sz w:val="24"/>
          <w:szCs w:val="24"/>
          <w:highlight w:val="none"/>
          <w:u w:val="none"/>
          <w:lang w:val="en-US" w:eastAsia="zh-CN"/>
        </w:rPr>
        <w:t>重点保护野生动物</w:t>
      </w:r>
    </w:p>
    <w:p w14:paraId="3D55958F">
      <w:pPr>
        <w:pStyle w:val="30"/>
        <w:rPr>
          <w:rFonts w:hint="eastAsia"/>
          <w:color w:val="auto"/>
          <w:highlight w:val="none"/>
          <w:lang w:val="en-US" w:eastAsia="zh-CN"/>
        </w:rPr>
      </w:pPr>
      <w:r>
        <w:rPr>
          <w:rFonts w:hint="eastAsia"/>
          <w:color w:val="auto"/>
          <w:highlight w:val="none"/>
          <w:lang w:val="en-US" w:eastAsia="zh-CN"/>
        </w:rPr>
        <w:t>评价区范围内陆生脊椎动物中，未记录到国家Ⅰ级重点保护野生动物分布，共记录国家Ⅱ级重点保护野生动物9种：虎纹蛙、</w:t>
      </w:r>
      <w:r>
        <w:rPr>
          <w:rFonts w:hint="eastAsia"/>
          <w:color w:val="auto"/>
          <w:highlight w:val="none"/>
        </w:rPr>
        <w:t>红隼、松雀鹰、普通鵟、蛇雕、领角鸮、斑头鸺鹠、小鸦鹃和画眉</w:t>
      </w:r>
      <w:r>
        <w:rPr>
          <w:rFonts w:hint="eastAsia"/>
          <w:color w:val="auto"/>
          <w:highlight w:val="none"/>
          <w:lang w:val="en-US" w:eastAsia="zh-CN"/>
        </w:rPr>
        <w:t>。湖南省级重点保护动物86种。</w:t>
      </w:r>
    </w:p>
    <w:p w14:paraId="7A0A27EF">
      <w:pPr>
        <w:pStyle w:val="30"/>
        <w:rPr>
          <w:rFonts w:hint="default"/>
          <w:b/>
          <w:bCs/>
          <w:color w:val="auto"/>
          <w:highlight w:val="none"/>
          <w:lang w:val="en-US" w:eastAsia="zh-CN"/>
        </w:rPr>
      </w:pPr>
      <w:r>
        <w:rPr>
          <w:rFonts w:hint="eastAsia"/>
          <w:b/>
          <w:bCs/>
          <w:color w:val="auto"/>
          <w:highlight w:val="none"/>
          <w:lang w:val="en-US" w:eastAsia="zh-CN"/>
        </w:rPr>
        <w:t>1、国家重点保护野生动物</w:t>
      </w:r>
    </w:p>
    <w:p w14:paraId="4B82674D">
      <w:pPr>
        <w:pStyle w:val="30"/>
        <w:rPr>
          <w:rFonts w:hint="eastAsia"/>
          <w:color w:val="auto"/>
          <w:highlight w:val="none"/>
          <w:lang w:val="en-US" w:eastAsia="zh-CN"/>
        </w:rPr>
      </w:pPr>
      <w:r>
        <w:rPr>
          <w:rFonts w:hint="eastAsia"/>
          <w:color w:val="auto"/>
          <w:highlight w:val="none"/>
          <w:lang w:val="en-US" w:eastAsia="zh-CN"/>
        </w:rPr>
        <w:t>评价区陆生脊椎动物中，未记录到国家Ⅰ级重点保护野生动物分布，共记录国家Ⅱ级重点保护野生动物9种，即虎纹蛙、红隼、松雀鹰、普通鵟、蛇雕、领角鸮、斑头鸺鹠、小鸦鹃和画眉。</w:t>
      </w:r>
    </w:p>
    <w:p w14:paraId="6D1E8809">
      <w:pPr>
        <w:pStyle w:val="30"/>
        <w:ind w:left="0" w:leftChars="0" w:firstLine="0" w:firstLineChars="0"/>
        <w:jc w:val="center"/>
        <w:rPr>
          <w:rFonts w:hint="default" w:ascii="Times New Roman" w:hAnsi="Times New Roman" w:eastAsia="黑体" w:cs="Times New Roman"/>
          <w:color w:val="auto"/>
          <w:sz w:val="24"/>
          <w:szCs w:val="24"/>
          <w:highlight w:val="none"/>
          <w:lang w:val="en-US" w:eastAsia="zh-CN"/>
        </w:rPr>
      </w:pPr>
      <w:r>
        <w:rPr>
          <w:rFonts w:hint="default" w:ascii="Times New Roman" w:hAnsi="Times New Roman" w:eastAsia="黑体" w:cs="Times New Roman"/>
          <w:color w:val="auto"/>
          <w:spacing w:val="10"/>
          <w:sz w:val="24"/>
          <w:szCs w:val="24"/>
          <w:highlight w:val="none"/>
        </w:rPr>
        <w:t>表</w:t>
      </w:r>
      <w:r>
        <w:rPr>
          <w:rFonts w:hint="eastAsia" w:ascii="Times New Roman" w:hAnsi="Times New Roman" w:eastAsia="黑体" w:cs="Times New Roman"/>
          <w:b/>
          <w:bCs/>
          <w:color w:val="auto"/>
          <w:spacing w:val="8"/>
          <w:sz w:val="24"/>
          <w:szCs w:val="24"/>
          <w:highlight w:val="none"/>
          <w:lang w:val="en-US" w:eastAsia="zh-CN"/>
        </w:rPr>
        <w:t xml:space="preserve">5.3.5-3 </w:t>
      </w:r>
      <w:r>
        <w:rPr>
          <w:rFonts w:hint="default" w:ascii="Times New Roman" w:hAnsi="Times New Roman" w:eastAsia="黑体" w:cs="Times New Roman"/>
          <w:color w:val="auto"/>
          <w:spacing w:val="5"/>
          <w:sz w:val="24"/>
          <w:szCs w:val="24"/>
          <w:highlight w:val="none"/>
        </w:rPr>
        <w:t xml:space="preserve"> 评价区国家重点保护动物名录</w:t>
      </w:r>
    </w:p>
    <w:tbl>
      <w:tblPr>
        <w:tblStyle w:val="38"/>
        <w:tblW w:w="5000" w:type="pct"/>
        <w:tblInd w:w="12"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2289"/>
        <w:gridCol w:w="3109"/>
        <w:gridCol w:w="847"/>
        <w:gridCol w:w="849"/>
        <w:gridCol w:w="558"/>
        <w:gridCol w:w="684"/>
      </w:tblGrid>
      <w:tr w14:paraId="395A543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291" w:type="dxa"/>
            <w:tcBorders>
              <w:tl2br w:val="nil"/>
              <w:tr2bl w:val="nil"/>
            </w:tcBorders>
            <w:noWrap w:val="0"/>
            <w:vAlign w:val="center"/>
          </w:tcPr>
          <w:p w14:paraId="7C402F91">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9"/>
                <w:sz w:val="21"/>
                <w:szCs w:val="21"/>
                <w:highlight w:val="none"/>
              </w:rPr>
              <w:t>中</w:t>
            </w:r>
            <w:r>
              <w:rPr>
                <w:rFonts w:hint="default" w:ascii="Times New Roman" w:hAnsi="Times New Roman" w:eastAsia="宋体" w:cs="Times New Roman"/>
                <w:color w:val="auto"/>
                <w:spacing w:val="6"/>
                <w:sz w:val="21"/>
                <w:szCs w:val="21"/>
                <w:highlight w:val="none"/>
              </w:rPr>
              <w:t>文名、拉丁名</w:t>
            </w:r>
          </w:p>
        </w:tc>
        <w:tc>
          <w:tcPr>
            <w:tcW w:w="3110" w:type="dxa"/>
            <w:tcBorders>
              <w:tl2br w:val="nil"/>
              <w:tr2bl w:val="nil"/>
            </w:tcBorders>
            <w:noWrap w:val="0"/>
            <w:vAlign w:val="center"/>
          </w:tcPr>
          <w:p w14:paraId="28DCC085">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5"/>
                <w:sz w:val="21"/>
                <w:szCs w:val="21"/>
                <w:highlight w:val="none"/>
              </w:rPr>
              <w:t>分</w:t>
            </w:r>
            <w:r>
              <w:rPr>
                <w:rFonts w:hint="default" w:ascii="Times New Roman" w:hAnsi="Times New Roman" w:eastAsia="宋体" w:cs="Times New Roman"/>
                <w:color w:val="auto"/>
                <w:spacing w:val="4"/>
                <w:sz w:val="21"/>
                <w:szCs w:val="21"/>
                <w:highlight w:val="none"/>
              </w:rPr>
              <w:t>布</w:t>
            </w:r>
          </w:p>
        </w:tc>
        <w:tc>
          <w:tcPr>
            <w:tcW w:w="847" w:type="dxa"/>
            <w:tcBorders>
              <w:tl2br w:val="nil"/>
              <w:tr2bl w:val="nil"/>
            </w:tcBorders>
            <w:noWrap w:val="0"/>
            <w:vAlign w:val="center"/>
          </w:tcPr>
          <w:p w14:paraId="52F476C7">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7"/>
                <w:sz w:val="21"/>
                <w:szCs w:val="21"/>
                <w:highlight w:val="none"/>
              </w:rPr>
              <w:t>居留型</w:t>
            </w:r>
            <w:r>
              <w:rPr>
                <w:rFonts w:hint="default" w:ascii="Times New Roman" w:hAnsi="Times New Roman" w:eastAsia="宋体" w:cs="Times New Roman"/>
                <w:color w:val="auto"/>
                <w:sz w:val="21"/>
                <w:szCs w:val="21"/>
                <w:highlight w:val="none"/>
              </w:rPr>
              <w:t xml:space="preserve"> </w:t>
            </w:r>
            <w:r>
              <w:rPr>
                <w:rFonts w:hint="default" w:ascii="Times New Roman" w:hAnsi="Times New Roman" w:eastAsia="宋体" w:cs="Times New Roman"/>
                <w:b/>
                <w:bCs/>
                <w:color w:val="auto"/>
                <w:spacing w:val="5"/>
                <w:sz w:val="21"/>
                <w:szCs w:val="21"/>
                <w:highlight w:val="none"/>
              </w:rPr>
              <w:t>(</w:t>
            </w:r>
            <w:r>
              <w:rPr>
                <w:rFonts w:hint="default" w:ascii="Times New Roman" w:hAnsi="Times New Roman" w:eastAsia="宋体" w:cs="Times New Roman"/>
                <w:color w:val="auto"/>
                <w:spacing w:val="5"/>
                <w:sz w:val="21"/>
                <w:szCs w:val="21"/>
                <w:highlight w:val="none"/>
              </w:rPr>
              <w:t>鸟类</w:t>
            </w:r>
            <w:r>
              <w:rPr>
                <w:rFonts w:hint="default" w:ascii="Times New Roman" w:hAnsi="Times New Roman" w:eastAsia="宋体" w:cs="Times New Roman"/>
                <w:b/>
                <w:bCs/>
                <w:color w:val="auto"/>
                <w:spacing w:val="5"/>
                <w:sz w:val="21"/>
                <w:szCs w:val="21"/>
                <w:highlight w:val="none"/>
              </w:rPr>
              <w:t>)</w:t>
            </w:r>
          </w:p>
        </w:tc>
        <w:tc>
          <w:tcPr>
            <w:tcW w:w="849" w:type="dxa"/>
            <w:tcBorders>
              <w:tl2br w:val="nil"/>
              <w:tr2bl w:val="nil"/>
            </w:tcBorders>
            <w:noWrap w:val="0"/>
            <w:vAlign w:val="center"/>
          </w:tcPr>
          <w:p w14:paraId="1EAA98C2">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2"/>
                <w:sz w:val="21"/>
                <w:szCs w:val="21"/>
                <w:highlight w:val="none"/>
              </w:rPr>
              <w:t>区系</w:t>
            </w:r>
          </w:p>
        </w:tc>
        <w:tc>
          <w:tcPr>
            <w:tcW w:w="558" w:type="dxa"/>
            <w:tcBorders>
              <w:tl2br w:val="nil"/>
              <w:tr2bl w:val="nil"/>
            </w:tcBorders>
            <w:noWrap w:val="0"/>
            <w:vAlign w:val="center"/>
          </w:tcPr>
          <w:p w14:paraId="0E3E242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5"/>
                <w:sz w:val="21"/>
                <w:szCs w:val="21"/>
                <w:highlight w:val="none"/>
              </w:rPr>
              <w:t>数量</w:t>
            </w:r>
          </w:p>
        </w:tc>
        <w:tc>
          <w:tcPr>
            <w:tcW w:w="684" w:type="dxa"/>
            <w:tcBorders>
              <w:tl2br w:val="nil"/>
              <w:tr2bl w:val="nil"/>
            </w:tcBorders>
            <w:noWrap w:val="0"/>
            <w:vAlign w:val="center"/>
          </w:tcPr>
          <w:p w14:paraId="4B1633CE">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6"/>
                <w:sz w:val="21"/>
                <w:szCs w:val="21"/>
                <w:highlight w:val="none"/>
              </w:rPr>
              <w:t>保</w:t>
            </w:r>
            <w:r>
              <w:rPr>
                <w:rFonts w:hint="default" w:ascii="Times New Roman" w:hAnsi="Times New Roman" w:eastAsia="宋体" w:cs="Times New Roman"/>
                <w:color w:val="auto"/>
                <w:spacing w:val="5"/>
                <w:sz w:val="21"/>
                <w:szCs w:val="21"/>
                <w:highlight w:val="none"/>
              </w:rPr>
              <w:t>护</w:t>
            </w:r>
            <w:r>
              <w:rPr>
                <w:rFonts w:hint="default" w:ascii="Times New Roman" w:hAnsi="Times New Roman" w:eastAsia="宋体" w:cs="Times New Roman"/>
                <w:color w:val="auto"/>
                <w:sz w:val="21"/>
                <w:szCs w:val="21"/>
                <w:highlight w:val="none"/>
              </w:rPr>
              <w:t xml:space="preserve"> </w:t>
            </w:r>
            <w:r>
              <w:rPr>
                <w:rFonts w:hint="default" w:ascii="Times New Roman" w:hAnsi="Times New Roman" w:eastAsia="宋体" w:cs="Times New Roman"/>
                <w:color w:val="auto"/>
                <w:spacing w:val="5"/>
                <w:sz w:val="21"/>
                <w:szCs w:val="21"/>
                <w:highlight w:val="none"/>
              </w:rPr>
              <w:t>等级</w:t>
            </w:r>
          </w:p>
        </w:tc>
      </w:tr>
      <w:tr w14:paraId="26445F6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291" w:type="dxa"/>
            <w:tcBorders>
              <w:tl2br w:val="nil"/>
              <w:tr2bl w:val="nil"/>
            </w:tcBorders>
            <w:noWrap w:val="0"/>
            <w:vAlign w:val="center"/>
          </w:tcPr>
          <w:p w14:paraId="61D9687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6"/>
                <w:sz w:val="21"/>
                <w:szCs w:val="21"/>
                <w:highlight w:val="none"/>
              </w:rPr>
              <w:t>1</w:t>
            </w:r>
            <w:r>
              <w:rPr>
                <w:rFonts w:hint="default" w:ascii="Times New Roman" w:hAnsi="Times New Roman" w:eastAsia="宋体" w:cs="Times New Roman"/>
                <w:color w:val="auto"/>
                <w:spacing w:val="-5"/>
                <w:sz w:val="21"/>
                <w:szCs w:val="21"/>
                <w:highlight w:val="none"/>
              </w:rPr>
              <w:t>.</w:t>
            </w:r>
            <w:r>
              <w:rPr>
                <w:rFonts w:hint="default" w:ascii="Times New Roman" w:hAnsi="Times New Roman" w:eastAsia="宋体" w:cs="Times New Roman"/>
                <w:color w:val="auto"/>
                <w:spacing w:val="-3"/>
                <w:sz w:val="21"/>
                <w:szCs w:val="21"/>
                <w:highlight w:val="none"/>
              </w:rPr>
              <w:t>虎纹蛙</w:t>
            </w:r>
          </w:p>
          <w:p w14:paraId="05CC8A7A">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iCs/>
                <w:color w:val="auto"/>
                <w:position w:val="4"/>
                <w:sz w:val="21"/>
                <w:szCs w:val="21"/>
                <w:highlight w:val="none"/>
              </w:rPr>
              <w:t>Hoplobatrachuschinensis</w:t>
            </w:r>
          </w:p>
        </w:tc>
        <w:tc>
          <w:tcPr>
            <w:tcW w:w="3110" w:type="dxa"/>
            <w:tcBorders>
              <w:tl2br w:val="nil"/>
              <w:tr2bl w:val="nil"/>
            </w:tcBorders>
            <w:noWrap w:val="0"/>
            <w:vAlign w:val="center"/>
          </w:tcPr>
          <w:p w14:paraId="3F71925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9"/>
                <w:sz w:val="21"/>
                <w:szCs w:val="21"/>
                <w:highlight w:val="none"/>
              </w:rPr>
              <w:t>主</w:t>
            </w:r>
            <w:r>
              <w:rPr>
                <w:rFonts w:hint="default" w:ascii="Times New Roman" w:hAnsi="Times New Roman" w:eastAsia="宋体" w:cs="Times New Roman"/>
                <w:color w:val="auto"/>
                <w:spacing w:val="5"/>
                <w:sz w:val="21"/>
                <w:szCs w:val="21"/>
                <w:highlight w:val="none"/>
              </w:rPr>
              <w:t>要分布在山脚空旷地，水田，水坑等处。</w:t>
            </w:r>
          </w:p>
        </w:tc>
        <w:tc>
          <w:tcPr>
            <w:tcW w:w="847" w:type="dxa"/>
            <w:tcBorders>
              <w:tl2br w:val="nil"/>
              <w:tr2bl w:val="nil"/>
            </w:tcBorders>
            <w:noWrap w:val="0"/>
            <w:vAlign w:val="center"/>
          </w:tcPr>
          <w:p w14:paraId="36053229">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2"/>
                <w:position w:val="-1"/>
                <w:sz w:val="21"/>
                <w:szCs w:val="21"/>
                <w:highlight w:val="none"/>
              </w:rPr>
              <w:t>—</w:t>
            </w:r>
          </w:p>
        </w:tc>
        <w:tc>
          <w:tcPr>
            <w:tcW w:w="849" w:type="dxa"/>
            <w:tcBorders>
              <w:tl2br w:val="nil"/>
              <w:tr2bl w:val="nil"/>
            </w:tcBorders>
            <w:noWrap w:val="0"/>
            <w:vAlign w:val="center"/>
          </w:tcPr>
          <w:p w14:paraId="578D3C60">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5"/>
                <w:sz w:val="21"/>
                <w:szCs w:val="21"/>
                <w:highlight w:val="none"/>
              </w:rPr>
              <w:t>东</w:t>
            </w:r>
            <w:r>
              <w:rPr>
                <w:rFonts w:hint="default" w:ascii="Times New Roman" w:hAnsi="Times New Roman" w:eastAsia="宋体" w:cs="Times New Roman"/>
                <w:color w:val="auto"/>
                <w:spacing w:val="4"/>
                <w:sz w:val="21"/>
                <w:szCs w:val="21"/>
                <w:highlight w:val="none"/>
              </w:rPr>
              <w:t>洋种</w:t>
            </w:r>
          </w:p>
        </w:tc>
        <w:tc>
          <w:tcPr>
            <w:tcW w:w="558" w:type="dxa"/>
            <w:tcBorders>
              <w:tl2br w:val="nil"/>
              <w:tr2bl w:val="nil"/>
            </w:tcBorders>
            <w:noWrap w:val="0"/>
            <w:vAlign w:val="center"/>
          </w:tcPr>
          <w:p w14:paraId="4581BCC1">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
                <w:position w:val="2"/>
                <w:sz w:val="21"/>
                <w:szCs w:val="21"/>
                <w:highlight w:val="none"/>
              </w:rPr>
              <w:t>+</w:t>
            </w:r>
          </w:p>
        </w:tc>
        <w:tc>
          <w:tcPr>
            <w:tcW w:w="684" w:type="dxa"/>
            <w:tcBorders>
              <w:tl2br w:val="nil"/>
              <w:tr2bl w:val="nil"/>
            </w:tcBorders>
            <w:noWrap w:val="0"/>
            <w:vAlign w:val="center"/>
          </w:tcPr>
          <w:p w14:paraId="0D70EE1C">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6"/>
                <w:sz w:val="21"/>
                <w:szCs w:val="21"/>
                <w:highlight w:val="none"/>
              </w:rPr>
              <w:t>国</w:t>
            </w:r>
            <w:r>
              <w:rPr>
                <w:rFonts w:hint="default" w:ascii="Times New Roman" w:hAnsi="Times New Roman" w:eastAsia="宋体" w:cs="Times New Roman"/>
                <w:color w:val="auto"/>
                <w:spacing w:val="-5"/>
                <w:sz w:val="21"/>
                <w:szCs w:val="21"/>
                <w:highlight w:val="none"/>
              </w:rPr>
              <w:t>家</w:t>
            </w:r>
            <w:r>
              <w:rPr>
                <w:rFonts w:hint="default" w:ascii="Times New Roman" w:hAnsi="Times New Roman" w:eastAsia="宋体" w:cs="Times New Roman"/>
                <w:color w:val="auto"/>
                <w:sz w:val="21"/>
                <w:szCs w:val="21"/>
                <w:highlight w:val="none"/>
              </w:rPr>
              <w:t xml:space="preserve"> </w:t>
            </w:r>
            <w:r>
              <w:rPr>
                <w:rFonts w:hint="default" w:ascii="Times New Roman" w:hAnsi="Times New Roman" w:eastAsia="宋体" w:cs="Times New Roman"/>
                <w:color w:val="auto"/>
                <w:spacing w:val="-14"/>
                <w:sz w:val="21"/>
                <w:szCs w:val="21"/>
                <w:highlight w:val="none"/>
              </w:rPr>
              <w:t>Ⅱ</w:t>
            </w:r>
            <w:r>
              <w:rPr>
                <w:rFonts w:hint="default" w:ascii="Times New Roman" w:hAnsi="Times New Roman" w:eastAsia="宋体" w:cs="Times New Roman"/>
                <w:color w:val="auto"/>
                <w:spacing w:val="-13"/>
                <w:sz w:val="21"/>
                <w:szCs w:val="21"/>
                <w:highlight w:val="none"/>
              </w:rPr>
              <w:t>级</w:t>
            </w:r>
          </w:p>
        </w:tc>
      </w:tr>
      <w:tr w14:paraId="742E3E6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291" w:type="dxa"/>
            <w:tcBorders>
              <w:tl2br w:val="nil"/>
              <w:tr2bl w:val="nil"/>
            </w:tcBorders>
            <w:noWrap w:val="0"/>
            <w:vAlign w:val="center"/>
          </w:tcPr>
          <w:p w14:paraId="3B89755C">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4"/>
                <w:sz w:val="21"/>
                <w:szCs w:val="21"/>
                <w:highlight w:val="none"/>
              </w:rPr>
              <w:t>2.</w:t>
            </w:r>
            <w:r>
              <w:rPr>
                <w:rFonts w:hint="default" w:ascii="Times New Roman" w:hAnsi="Times New Roman" w:eastAsia="宋体" w:cs="Times New Roman"/>
                <w:color w:val="auto"/>
                <w:spacing w:val="-3"/>
                <w:sz w:val="21"/>
                <w:szCs w:val="21"/>
                <w:highlight w:val="none"/>
              </w:rPr>
              <w:t>红隼</w:t>
            </w:r>
          </w:p>
          <w:p w14:paraId="1C1E476E">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iCs/>
                <w:color w:val="auto"/>
                <w:position w:val="2"/>
                <w:sz w:val="21"/>
                <w:szCs w:val="21"/>
                <w:highlight w:val="none"/>
              </w:rPr>
              <w:t>Falco</w:t>
            </w:r>
            <w:r>
              <w:rPr>
                <w:rFonts w:hint="default" w:ascii="Times New Roman" w:hAnsi="Times New Roman" w:eastAsia="宋体" w:cs="Times New Roman"/>
                <w:color w:val="auto"/>
                <w:spacing w:val="76"/>
                <w:position w:val="2"/>
                <w:sz w:val="21"/>
                <w:szCs w:val="21"/>
                <w:highlight w:val="none"/>
              </w:rPr>
              <w:t xml:space="preserve"> </w:t>
            </w:r>
            <w:r>
              <w:rPr>
                <w:rFonts w:hint="default" w:ascii="Times New Roman" w:hAnsi="Times New Roman" w:eastAsia="宋体" w:cs="Times New Roman"/>
                <w:i/>
                <w:iCs/>
                <w:color w:val="auto"/>
                <w:position w:val="2"/>
                <w:sz w:val="21"/>
                <w:szCs w:val="21"/>
                <w:highlight w:val="none"/>
              </w:rPr>
              <w:t>tinnunculus</w:t>
            </w:r>
          </w:p>
        </w:tc>
        <w:tc>
          <w:tcPr>
            <w:tcW w:w="3110" w:type="dxa"/>
            <w:tcBorders>
              <w:tl2br w:val="nil"/>
              <w:tr2bl w:val="nil"/>
            </w:tcBorders>
            <w:noWrap w:val="0"/>
            <w:vAlign w:val="center"/>
          </w:tcPr>
          <w:p w14:paraId="5CD8710A">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6"/>
                <w:sz w:val="21"/>
                <w:szCs w:val="21"/>
                <w:highlight w:val="none"/>
              </w:rPr>
              <w:t>多</w:t>
            </w:r>
            <w:r>
              <w:rPr>
                <w:rFonts w:hint="default" w:ascii="Times New Roman" w:hAnsi="Times New Roman" w:eastAsia="宋体" w:cs="Times New Roman"/>
                <w:color w:val="auto"/>
                <w:spacing w:val="10"/>
                <w:sz w:val="21"/>
                <w:szCs w:val="21"/>
                <w:highlight w:val="none"/>
              </w:rPr>
              <w:t>栖</w:t>
            </w:r>
            <w:r>
              <w:rPr>
                <w:rFonts w:hint="default" w:ascii="Times New Roman" w:hAnsi="Times New Roman" w:eastAsia="宋体" w:cs="Times New Roman"/>
                <w:color w:val="auto"/>
                <w:spacing w:val="8"/>
                <w:sz w:val="21"/>
                <w:szCs w:val="21"/>
                <w:highlight w:val="none"/>
              </w:rPr>
              <w:t>息在评价区山脚林缘的开阔</w:t>
            </w:r>
            <w:r>
              <w:rPr>
                <w:rFonts w:hint="default" w:ascii="Times New Roman" w:hAnsi="Times New Roman" w:eastAsia="宋体" w:cs="Times New Roman"/>
                <w:color w:val="auto"/>
                <w:sz w:val="21"/>
                <w:szCs w:val="21"/>
                <w:highlight w:val="none"/>
              </w:rPr>
              <w:t xml:space="preserve"> </w:t>
            </w:r>
            <w:r>
              <w:rPr>
                <w:rFonts w:hint="default" w:ascii="Times New Roman" w:hAnsi="Times New Roman" w:eastAsia="宋体" w:cs="Times New Roman"/>
                <w:color w:val="auto"/>
                <w:spacing w:val="13"/>
                <w:sz w:val="21"/>
                <w:szCs w:val="21"/>
                <w:highlight w:val="none"/>
              </w:rPr>
              <w:t>地</w:t>
            </w:r>
            <w:r>
              <w:rPr>
                <w:rFonts w:hint="default" w:ascii="Times New Roman" w:hAnsi="Times New Roman" w:eastAsia="宋体" w:cs="Times New Roman"/>
                <w:color w:val="auto"/>
                <w:spacing w:val="8"/>
                <w:sz w:val="21"/>
                <w:szCs w:val="21"/>
                <w:highlight w:val="none"/>
              </w:rPr>
              <w:t>带，也常见于农田与灌丛</w:t>
            </w:r>
            <w:r>
              <w:rPr>
                <w:rFonts w:hint="default" w:ascii="Times New Roman" w:hAnsi="Times New Roman" w:eastAsia="宋体" w:cs="Times New Roman"/>
                <w:color w:val="auto"/>
                <w:spacing w:val="5"/>
                <w:sz w:val="21"/>
                <w:szCs w:val="21"/>
                <w:highlight w:val="none"/>
              </w:rPr>
              <w:t>。</w:t>
            </w:r>
          </w:p>
        </w:tc>
        <w:tc>
          <w:tcPr>
            <w:tcW w:w="847" w:type="dxa"/>
            <w:tcBorders>
              <w:tl2br w:val="nil"/>
              <w:tr2bl w:val="nil"/>
            </w:tcBorders>
            <w:noWrap w:val="0"/>
            <w:vAlign w:val="center"/>
          </w:tcPr>
          <w:p w14:paraId="282BCDF8">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3"/>
                <w:sz w:val="21"/>
                <w:szCs w:val="21"/>
                <w:highlight w:val="none"/>
              </w:rPr>
              <w:t>留鸟</w:t>
            </w:r>
          </w:p>
        </w:tc>
        <w:tc>
          <w:tcPr>
            <w:tcW w:w="849" w:type="dxa"/>
            <w:tcBorders>
              <w:tl2br w:val="nil"/>
              <w:tr2bl w:val="nil"/>
            </w:tcBorders>
            <w:noWrap w:val="0"/>
            <w:vAlign w:val="center"/>
          </w:tcPr>
          <w:p w14:paraId="7BD6353C">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7"/>
                <w:sz w:val="21"/>
                <w:szCs w:val="21"/>
                <w:highlight w:val="none"/>
              </w:rPr>
              <w:t>广布</w:t>
            </w:r>
            <w:r>
              <w:rPr>
                <w:rFonts w:hint="default" w:ascii="Times New Roman" w:hAnsi="Times New Roman" w:eastAsia="宋体" w:cs="Times New Roman"/>
                <w:color w:val="auto"/>
                <w:spacing w:val="6"/>
                <w:sz w:val="21"/>
                <w:szCs w:val="21"/>
                <w:highlight w:val="none"/>
              </w:rPr>
              <w:t>种</w:t>
            </w:r>
          </w:p>
        </w:tc>
        <w:tc>
          <w:tcPr>
            <w:tcW w:w="558" w:type="dxa"/>
            <w:tcBorders>
              <w:tl2br w:val="nil"/>
              <w:tr2bl w:val="nil"/>
            </w:tcBorders>
            <w:noWrap w:val="0"/>
            <w:vAlign w:val="center"/>
          </w:tcPr>
          <w:p w14:paraId="08EB9D4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
                <w:position w:val="2"/>
                <w:sz w:val="21"/>
                <w:szCs w:val="21"/>
                <w:highlight w:val="none"/>
              </w:rPr>
              <w:t>+</w:t>
            </w:r>
          </w:p>
        </w:tc>
        <w:tc>
          <w:tcPr>
            <w:tcW w:w="684" w:type="dxa"/>
            <w:tcBorders>
              <w:tl2br w:val="nil"/>
              <w:tr2bl w:val="nil"/>
            </w:tcBorders>
            <w:noWrap w:val="0"/>
            <w:vAlign w:val="center"/>
          </w:tcPr>
          <w:p w14:paraId="0195D085">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6"/>
                <w:sz w:val="21"/>
                <w:szCs w:val="21"/>
                <w:highlight w:val="none"/>
              </w:rPr>
              <w:t>国</w:t>
            </w:r>
            <w:r>
              <w:rPr>
                <w:rFonts w:hint="default" w:ascii="Times New Roman" w:hAnsi="Times New Roman" w:eastAsia="宋体" w:cs="Times New Roman"/>
                <w:color w:val="auto"/>
                <w:spacing w:val="-5"/>
                <w:sz w:val="21"/>
                <w:szCs w:val="21"/>
                <w:highlight w:val="none"/>
              </w:rPr>
              <w:t>家</w:t>
            </w:r>
            <w:r>
              <w:rPr>
                <w:rFonts w:hint="default" w:ascii="Times New Roman" w:hAnsi="Times New Roman" w:eastAsia="宋体" w:cs="Times New Roman"/>
                <w:color w:val="auto"/>
                <w:sz w:val="21"/>
                <w:szCs w:val="21"/>
                <w:highlight w:val="none"/>
              </w:rPr>
              <w:t xml:space="preserve"> </w:t>
            </w:r>
            <w:r>
              <w:rPr>
                <w:rFonts w:hint="default" w:ascii="Times New Roman" w:hAnsi="Times New Roman" w:eastAsia="宋体" w:cs="Times New Roman"/>
                <w:color w:val="auto"/>
                <w:spacing w:val="-14"/>
                <w:sz w:val="21"/>
                <w:szCs w:val="21"/>
                <w:highlight w:val="none"/>
              </w:rPr>
              <w:t>Ⅱ</w:t>
            </w:r>
            <w:r>
              <w:rPr>
                <w:rFonts w:hint="default" w:ascii="Times New Roman" w:hAnsi="Times New Roman" w:eastAsia="宋体" w:cs="Times New Roman"/>
                <w:color w:val="auto"/>
                <w:spacing w:val="-13"/>
                <w:sz w:val="21"/>
                <w:szCs w:val="21"/>
                <w:highlight w:val="none"/>
              </w:rPr>
              <w:t>级</w:t>
            </w:r>
          </w:p>
        </w:tc>
      </w:tr>
      <w:tr w14:paraId="7BB9CD1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291" w:type="dxa"/>
            <w:tcBorders>
              <w:tl2br w:val="nil"/>
              <w:tr2bl w:val="nil"/>
            </w:tcBorders>
            <w:noWrap w:val="0"/>
            <w:vAlign w:val="center"/>
          </w:tcPr>
          <w:p w14:paraId="6D3825A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pacing w:val="-4"/>
                <w:sz w:val="21"/>
                <w:szCs w:val="21"/>
                <w:highlight w:val="none"/>
                <w:lang w:val="en-US" w:eastAsia="zh-CN"/>
              </w:rPr>
              <w:t>3</w:t>
            </w:r>
            <w:r>
              <w:rPr>
                <w:rFonts w:hint="default" w:ascii="Times New Roman" w:hAnsi="Times New Roman" w:eastAsia="宋体" w:cs="Times New Roman"/>
                <w:color w:val="auto"/>
                <w:spacing w:val="-3"/>
                <w:sz w:val="21"/>
                <w:szCs w:val="21"/>
                <w:highlight w:val="none"/>
              </w:rPr>
              <w:t>.</w:t>
            </w:r>
            <w:r>
              <w:rPr>
                <w:rFonts w:hint="eastAsia" w:ascii="Times New Roman" w:hAnsi="Times New Roman" w:eastAsia="宋体" w:cs="Times New Roman"/>
                <w:color w:val="auto"/>
                <w:spacing w:val="-2"/>
                <w:sz w:val="21"/>
                <w:szCs w:val="21"/>
                <w:highlight w:val="none"/>
                <w:lang w:eastAsia="zh-CN"/>
              </w:rPr>
              <w:t>松</w:t>
            </w:r>
            <w:r>
              <w:rPr>
                <w:rFonts w:hint="default" w:ascii="Times New Roman" w:hAnsi="Times New Roman" w:eastAsia="宋体" w:cs="Times New Roman"/>
                <w:color w:val="auto"/>
                <w:spacing w:val="-2"/>
                <w:sz w:val="21"/>
                <w:szCs w:val="21"/>
                <w:highlight w:val="none"/>
              </w:rPr>
              <w:t>雀鹰</w:t>
            </w:r>
          </w:p>
          <w:p w14:paraId="1597912F">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iCs/>
                <w:color w:val="auto"/>
                <w:position w:val="4"/>
                <w:sz w:val="21"/>
                <w:szCs w:val="21"/>
                <w:highlight w:val="none"/>
              </w:rPr>
              <w:t>Accipiter</w:t>
            </w:r>
            <w:r>
              <w:rPr>
                <w:rFonts w:hint="default" w:ascii="Times New Roman" w:hAnsi="Times New Roman" w:eastAsia="宋体" w:cs="Times New Roman"/>
                <w:color w:val="auto"/>
                <w:spacing w:val="70"/>
                <w:position w:val="4"/>
                <w:sz w:val="21"/>
                <w:szCs w:val="21"/>
                <w:highlight w:val="none"/>
              </w:rPr>
              <w:t xml:space="preserve"> </w:t>
            </w:r>
            <w:r>
              <w:rPr>
                <w:rFonts w:hint="default" w:ascii="Times New Roman" w:hAnsi="Times New Roman" w:eastAsia="宋体" w:cs="Times New Roman"/>
                <w:i/>
                <w:iCs/>
                <w:color w:val="auto"/>
                <w:position w:val="4"/>
                <w:sz w:val="21"/>
                <w:szCs w:val="21"/>
                <w:highlight w:val="none"/>
              </w:rPr>
              <w:t>nisus</w:t>
            </w:r>
          </w:p>
        </w:tc>
        <w:tc>
          <w:tcPr>
            <w:tcW w:w="3110" w:type="dxa"/>
            <w:tcBorders>
              <w:tl2br w:val="nil"/>
              <w:tr2bl w:val="nil"/>
            </w:tcBorders>
            <w:noWrap w:val="0"/>
            <w:vAlign w:val="center"/>
          </w:tcPr>
          <w:p w14:paraId="6385A61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10"/>
                <w:sz w:val="21"/>
                <w:szCs w:val="21"/>
                <w:highlight w:val="none"/>
              </w:rPr>
              <w:t>栖</w:t>
            </w:r>
            <w:r>
              <w:rPr>
                <w:rFonts w:hint="default" w:ascii="Times New Roman" w:hAnsi="Times New Roman" w:eastAsia="宋体" w:cs="Times New Roman"/>
                <w:color w:val="auto"/>
                <w:spacing w:val="5"/>
                <w:sz w:val="21"/>
                <w:szCs w:val="21"/>
                <w:highlight w:val="none"/>
              </w:rPr>
              <w:t>息环境广泛，活动于评价区的林</w:t>
            </w:r>
            <w:r>
              <w:rPr>
                <w:rFonts w:hint="default" w:ascii="Times New Roman" w:hAnsi="Times New Roman" w:eastAsia="宋体" w:cs="Times New Roman"/>
                <w:color w:val="auto"/>
                <w:sz w:val="21"/>
                <w:szCs w:val="21"/>
                <w:highlight w:val="none"/>
              </w:rPr>
              <w:t xml:space="preserve"> </w:t>
            </w:r>
            <w:r>
              <w:rPr>
                <w:rFonts w:hint="default" w:ascii="Times New Roman" w:hAnsi="Times New Roman" w:eastAsia="宋体" w:cs="Times New Roman"/>
                <w:color w:val="auto"/>
                <w:spacing w:val="12"/>
                <w:sz w:val="21"/>
                <w:szCs w:val="21"/>
                <w:highlight w:val="none"/>
              </w:rPr>
              <w:t>地</w:t>
            </w:r>
            <w:r>
              <w:rPr>
                <w:rFonts w:hint="default" w:ascii="Times New Roman" w:hAnsi="Times New Roman" w:eastAsia="宋体" w:cs="Times New Roman"/>
                <w:color w:val="auto"/>
                <w:spacing w:val="8"/>
                <w:sz w:val="21"/>
                <w:szCs w:val="21"/>
                <w:highlight w:val="none"/>
              </w:rPr>
              <w:t>、农田和居民点附近。</w:t>
            </w:r>
          </w:p>
        </w:tc>
        <w:tc>
          <w:tcPr>
            <w:tcW w:w="847" w:type="dxa"/>
            <w:tcBorders>
              <w:tl2br w:val="nil"/>
              <w:tr2bl w:val="nil"/>
            </w:tcBorders>
            <w:noWrap w:val="0"/>
            <w:vAlign w:val="center"/>
          </w:tcPr>
          <w:p w14:paraId="08D5AE13">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5"/>
                <w:sz w:val="21"/>
                <w:szCs w:val="21"/>
                <w:highlight w:val="none"/>
              </w:rPr>
              <w:t>冬候鸟</w:t>
            </w:r>
          </w:p>
        </w:tc>
        <w:tc>
          <w:tcPr>
            <w:tcW w:w="849" w:type="dxa"/>
            <w:tcBorders>
              <w:tl2br w:val="nil"/>
              <w:tr2bl w:val="nil"/>
            </w:tcBorders>
            <w:noWrap w:val="0"/>
            <w:vAlign w:val="center"/>
          </w:tcPr>
          <w:p w14:paraId="36296C89">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5"/>
                <w:sz w:val="21"/>
                <w:szCs w:val="21"/>
                <w:highlight w:val="none"/>
              </w:rPr>
              <w:t>古北种</w:t>
            </w:r>
          </w:p>
        </w:tc>
        <w:tc>
          <w:tcPr>
            <w:tcW w:w="558" w:type="dxa"/>
            <w:tcBorders>
              <w:tl2br w:val="nil"/>
              <w:tr2bl w:val="nil"/>
            </w:tcBorders>
            <w:noWrap w:val="0"/>
            <w:vAlign w:val="center"/>
          </w:tcPr>
          <w:p w14:paraId="142A82B6">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1"/>
                <w:position w:val="2"/>
                <w:sz w:val="21"/>
                <w:szCs w:val="21"/>
                <w:highlight w:val="none"/>
              </w:rPr>
              <w:t>+</w:t>
            </w:r>
          </w:p>
        </w:tc>
        <w:tc>
          <w:tcPr>
            <w:tcW w:w="684" w:type="dxa"/>
            <w:tcBorders>
              <w:tl2br w:val="nil"/>
              <w:tr2bl w:val="nil"/>
            </w:tcBorders>
            <w:noWrap w:val="0"/>
            <w:vAlign w:val="center"/>
          </w:tcPr>
          <w:p w14:paraId="68C6985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6"/>
                <w:sz w:val="21"/>
                <w:szCs w:val="21"/>
                <w:highlight w:val="none"/>
              </w:rPr>
              <w:t>国</w:t>
            </w:r>
            <w:r>
              <w:rPr>
                <w:rFonts w:hint="default" w:ascii="Times New Roman" w:hAnsi="Times New Roman" w:eastAsia="宋体" w:cs="Times New Roman"/>
                <w:color w:val="auto"/>
                <w:spacing w:val="-5"/>
                <w:sz w:val="21"/>
                <w:szCs w:val="21"/>
                <w:highlight w:val="none"/>
              </w:rPr>
              <w:t>家</w:t>
            </w:r>
            <w:r>
              <w:rPr>
                <w:rFonts w:hint="default" w:ascii="Times New Roman" w:hAnsi="Times New Roman" w:eastAsia="宋体" w:cs="Times New Roman"/>
                <w:color w:val="auto"/>
                <w:sz w:val="21"/>
                <w:szCs w:val="21"/>
                <w:highlight w:val="none"/>
              </w:rPr>
              <w:t xml:space="preserve"> </w:t>
            </w:r>
            <w:r>
              <w:rPr>
                <w:rFonts w:hint="default" w:ascii="Times New Roman" w:hAnsi="Times New Roman" w:eastAsia="宋体" w:cs="Times New Roman"/>
                <w:color w:val="auto"/>
                <w:spacing w:val="-14"/>
                <w:sz w:val="21"/>
                <w:szCs w:val="21"/>
                <w:highlight w:val="none"/>
              </w:rPr>
              <w:t>Ⅱ</w:t>
            </w:r>
            <w:r>
              <w:rPr>
                <w:rFonts w:hint="default" w:ascii="Times New Roman" w:hAnsi="Times New Roman" w:eastAsia="宋体" w:cs="Times New Roman"/>
                <w:color w:val="auto"/>
                <w:spacing w:val="-13"/>
                <w:sz w:val="21"/>
                <w:szCs w:val="21"/>
                <w:highlight w:val="none"/>
              </w:rPr>
              <w:t>级</w:t>
            </w:r>
          </w:p>
        </w:tc>
      </w:tr>
      <w:tr w14:paraId="3CC18B7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291" w:type="dxa"/>
            <w:tcBorders>
              <w:tl2br w:val="nil"/>
              <w:tr2bl w:val="nil"/>
            </w:tcBorders>
            <w:noWrap w:val="0"/>
            <w:vAlign w:val="center"/>
          </w:tcPr>
          <w:p w14:paraId="44BAD24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2"/>
                <w:sz w:val="21"/>
                <w:szCs w:val="21"/>
                <w:highlight w:val="none"/>
              </w:rPr>
              <w:t>3</w:t>
            </w:r>
            <w:r>
              <w:rPr>
                <w:rFonts w:hint="default" w:ascii="Times New Roman" w:hAnsi="Times New Roman" w:eastAsia="宋体" w:cs="Times New Roman"/>
                <w:color w:val="auto"/>
                <w:spacing w:val="-1"/>
                <w:sz w:val="21"/>
                <w:szCs w:val="21"/>
                <w:highlight w:val="none"/>
              </w:rPr>
              <w:t>.普通鵟</w:t>
            </w:r>
          </w:p>
          <w:p w14:paraId="1A43A61E">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iCs/>
                <w:color w:val="auto"/>
                <w:position w:val="2"/>
                <w:sz w:val="21"/>
                <w:szCs w:val="21"/>
                <w:highlight w:val="none"/>
              </w:rPr>
              <w:t>Buteo</w:t>
            </w:r>
            <w:r>
              <w:rPr>
                <w:rFonts w:hint="default" w:ascii="Times New Roman" w:hAnsi="Times New Roman" w:eastAsia="宋体" w:cs="Times New Roman"/>
                <w:color w:val="auto"/>
                <w:spacing w:val="50"/>
                <w:position w:val="2"/>
                <w:sz w:val="21"/>
                <w:szCs w:val="21"/>
                <w:highlight w:val="none"/>
              </w:rPr>
              <w:t xml:space="preserve"> </w:t>
            </w:r>
            <w:r>
              <w:rPr>
                <w:rFonts w:hint="default" w:ascii="Times New Roman" w:hAnsi="Times New Roman" w:eastAsia="宋体" w:cs="Times New Roman"/>
                <w:i/>
                <w:iCs/>
                <w:color w:val="auto"/>
                <w:position w:val="2"/>
                <w:sz w:val="21"/>
                <w:szCs w:val="21"/>
                <w:highlight w:val="none"/>
              </w:rPr>
              <w:t>buteo</w:t>
            </w:r>
          </w:p>
        </w:tc>
        <w:tc>
          <w:tcPr>
            <w:tcW w:w="3110" w:type="dxa"/>
            <w:tcBorders>
              <w:tl2br w:val="nil"/>
              <w:tr2bl w:val="nil"/>
            </w:tcBorders>
            <w:noWrap w:val="0"/>
            <w:vAlign w:val="center"/>
          </w:tcPr>
          <w:p w14:paraId="6F3E92F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5"/>
                <w:sz w:val="21"/>
                <w:szCs w:val="21"/>
                <w:highlight w:val="none"/>
              </w:rPr>
              <w:t>常见于评价区内耕作区、林缘草</w:t>
            </w:r>
            <w:r>
              <w:rPr>
                <w:rFonts w:hint="default" w:ascii="Times New Roman" w:hAnsi="Times New Roman" w:eastAsia="宋体" w:cs="Times New Roman"/>
                <w:color w:val="auto"/>
                <w:spacing w:val="3"/>
                <w:sz w:val="21"/>
                <w:szCs w:val="21"/>
                <w:highlight w:val="none"/>
              </w:rPr>
              <w:t>地</w:t>
            </w:r>
            <w:r>
              <w:rPr>
                <w:rFonts w:hint="default" w:ascii="Times New Roman" w:hAnsi="Times New Roman" w:eastAsia="宋体" w:cs="Times New Roman"/>
                <w:color w:val="auto"/>
                <w:spacing w:val="8"/>
                <w:sz w:val="21"/>
                <w:szCs w:val="21"/>
                <w:highlight w:val="none"/>
              </w:rPr>
              <w:t>和村庄上空盘旋翱翔</w:t>
            </w:r>
            <w:r>
              <w:rPr>
                <w:rFonts w:hint="default" w:ascii="Times New Roman" w:hAnsi="Times New Roman" w:eastAsia="宋体" w:cs="Times New Roman"/>
                <w:color w:val="auto"/>
                <w:spacing w:val="7"/>
                <w:sz w:val="21"/>
                <w:szCs w:val="21"/>
                <w:highlight w:val="none"/>
              </w:rPr>
              <w:t>。</w:t>
            </w:r>
          </w:p>
        </w:tc>
        <w:tc>
          <w:tcPr>
            <w:tcW w:w="847" w:type="dxa"/>
            <w:tcBorders>
              <w:tl2br w:val="nil"/>
              <w:tr2bl w:val="nil"/>
            </w:tcBorders>
            <w:noWrap w:val="0"/>
            <w:vAlign w:val="center"/>
          </w:tcPr>
          <w:p w14:paraId="562BD0F1">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5"/>
                <w:sz w:val="21"/>
                <w:szCs w:val="21"/>
                <w:highlight w:val="none"/>
              </w:rPr>
              <w:t>冬候鸟</w:t>
            </w:r>
          </w:p>
        </w:tc>
        <w:tc>
          <w:tcPr>
            <w:tcW w:w="849" w:type="dxa"/>
            <w:tcBorders>
              <w:tl2br w:val="nil"/>
              <w:tr2bl w:val="nil"/>
            </w:tcBorders>
            <w:noWrap w:val="0"/>
            <w:vAlign w:val="center"/>
          </w:tcPr>
          <w:p w14:paraId="19B41B2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5"/>
                <w:sz w:val="21"/>
                <w:szCs w:val="21"/>
                <w:highlight w:val="none"/>
              </w:rPr>
              <w:t>古北种</w:t>
            </w:r>
          </w:p>
        </w:tc>
        <w:tc>
          <w:tcPr>
            <w:tcW w:w="558" w:type="dxa"/>
            <w:tcBorders>
              <w:tl2br w:val="nil"/>
              <w:tr2bl w:val="nil"/>
            </w:tcBorders>
            <w:noWrap w:val="0"/>
            <w:vAlign w:val="center"/>
          </w:tcPr>
          <w:p w14:paraId="6BD4C49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
                <w:position w:val="2"/>
                <w:sz w:val="21"/>
                <w:szCs w:val="21"/>
                <w:highlight w:val="none"/>
              </w:rPr>
              <w:t>+</w:t>
            </w:r>
          </w:p>
        </w:tc>
        <w:tc>
          <w:tcPr>
            <w:tcW w:w="684" w:type="dxa"/>
            <w:tcBorders>
              <w:tl2br w:val="nil"/>
              <w:tr2bl w:val="nil"/>
            </w:tcBorders>
            <w:noWrap w:val="0"/>
            <w:vAlign w:val="center"/>
          </w:tcPr>
          <w:p w14:paraId="3AECDFF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6"/>
                <w:sz w:val="21"/>
                <w:szCs w:val="21"/>
                <w:highlight w:val="none"/>
              </w:rPr>
              <w:t>国</w:t>
            </w:r>
            <w:r>
              <w:rPr>
                <w:rFonts w:hint="default" w:ascii="Times New Roman" w:hAnsi="Times New Roman" w:eastAsia="宋体" w:cs="Times New Roman"/>
                <w:color w:val="auto"/>
                <w:spacing w:val="-5"/>
                <w:sz w:val="21"/>
                <w:szCs w:val="21"/>
                <w:highlight w:val="none"/>
              </w:rPr>
              <w:t>家</w:t>
            </w:r>
            <w:r>
              <w:rPr>
                <w:rFonts w:hint="default" w:ascii="Times New Roman" w:hAnsi="Times New Roman" w:eastAsia="宋体" w:cs="Times New Roman"/>
                <w:color w:val="auto"/>
                <w:sz w:val="21"/>
                <w:szCs w:val="21"/>
                <w:highlight w:val="none"/>
              </w:rPr>
              <w:t xml:space="preserve"> </w:t>
            </w:r>
            <w:r>
              <w:rPr>
                <w:rFonts w:hint="default" w:ascii="Times New Roman" w:hAnsi="Times New Roman" w:eastAsia="宋体" w:cs="Times New Roman"/>
                <w:color w:val="auto"/>
                <w:spacing w:val="-14"/>
                <w:sz w:val="21"/>
                <w:szCs w:val="21"/>
                <w:highlight w:val="none"/>
              </w:rPr>
              <w:t>Ⅱ</w:t>
            </w:r>
            <w:r>
              <w:rPr>
                <w:rFonts w:hint="default" w:ascii="Times New Roman" w:hAnsi="Times New Roman" w:eastAsia="宋体" w:cs="Times New Roman"/>
                <w:color w:val="auto"/>
                <w:spacing w:val="-13"/>
                <w:sz w:val="21"/>
                <w:szCs w:val="21"/>
                <w:highlight w:val="none"/>
              </w:rPr>
              <w:t>级</w:t>
            </w:r>
          </w:p>
        </w:tc>
      </w:tr>
      <w:tr w14:paraId="30EDB3F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291" w:type="dxa"/>
            <w:tcBorders>
              <w:tl2br w:val="nil"/>
              <w:tr2bl w:val="nil"/>
            </w:tcBorders>
            <w:noWrap w:val="0"/>
            <w:vAlign w:val="center"/>
          </w:tcPr>
          <w:p w14:paraId="53168CB5">
            <w:pPr>
              <w:keepNext w:val="0"/>
              <w:keepLines w:val="0"/>
              <w:pageBreakBefore w:val="0"/>
              <w:widowControl w:val="0"/>
              <w:numPr>
                <w:ilvl w:val="0"/>
                <w:numId w:val="8"/>
              </w:numPr>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4"/>
                <w:sz w:val="21"/>
                <w:szCs w:val="21"/>
                <w:highlight w:val="none"/>
              </w:rPr>
              <w:t>蛇雕</w:t>
            </w:r>
          </w:p>
          <w:p w14:paraId="3FBF145F">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iCs/>
                <w:color w:val="auto"/>
                <w:spacing w:val="-4"/>
                <w:sz w:val="21"/>
                <w:szCs w:val="21"/>
                <w:highlight w:val="none"/>
              </w:rPr>
              <w:t>Spilornis cheela</w:t>
            </w:r>
          </w:p>
        </w:tc>
        <w:tc>
          <w:tcPr>
            <w:tcW w:w="3110" w:type="dxa"/>
            <w:tcBorders>
              <w:tl2br w:val="nil"/>
              <w:tr2bl w:val="nil"/>
            </w:tcBorders>
            <w:noWrap w:val="0"/>
            <w:vAlign w:val="center"/>
          </w:tcPr>
          <w:p w14:paraId="21554674">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12"/>
                <w:sz w:val="21"/>
                <w:szCs w:val="21"/>
                <w:highlight w:val="none"/>
              </w:rPr>
              <w:t>栖</w:t>
            </w:r>
            <w:r>
              <w:rPr>
                <w:rFonts w:hint="default" w:ascii="Times New Roman" w:hAnsi="Times New Roman" w:eastAsia="宋体" w:cs="Times New Roman"/>
                <w:color w:val="auto"/>
                <w:spacing w:val="8"/>
                <w:sz w:val="21"/>
                <w:szCs w:val="21"/>
                <w:highlight w:val="none"/>
              </w:rPr>
              <w:t>息于</w:t>
            </w:r>
            <w:r>
              <w:rPr>
                <w:rFonts w:hint="eastAsia" w:ascii="Times New Roman" w:hAnsi="Times New Roman" w:eastAsia="宋体" w:cs="Times New Roman"/>
                <w:color w:val="auto"/>
                <w:spacing w:val="8"/>
                <w:sz w:val="21"/>
                <w:szCs w:val="21"/>
                <w:highlight w:val="none"/>
                <w:lang w:eastAsia="zh-CN"/>
              </w:rPr>
              <w:t>山林</w:t>
            </w:r>
            <w:r>
              <w:rPr>
                <w:rFonts w:hint="default" w:ascii="Times New Roman" w:hAnsi="Times New Roman" w:eastAsia="宋体" w:cs="Times New Roman"/>
                <w:color w:val="auto"/>
                <w:spacing w:val="8"/>
                <w:sz w:val="21"/>
                <w:szCs w:val="21"/>
                <w:highlight w:val="none"/>
              </w:rPr>
              <w:t>及其林缘开阔地带。</w:t>
            </w:r>
          </w:p>
        </w:tc>
        <w:tc>
          <w:tcPr>
            <w:tcW w:w="847" w:type="dxa"/>
            <w:tcBorders>
              <w:tl2br w:val="nil"/>
              <w:tr2bl w:val="nil"/>
            </w:tcBorders>
            <w:noWrap w:val="0"/>
            <w:vAlign w:val="center"/>
          </w:tcPr>
          <w:p w14:paraId="70FD0187">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pacing w:val="7"/>
                <w:sz w:val="21"/>
                <w:szCs w:val="21"/>
                <w:highlight w:val="none"/>
                <w:lang w:eastAsia="zh-CN"/>
              </w:rPr>
              <w:t>留鸟</w:t>
            </w:r>
          </w:p>
        </w:tc>
        <w:tc>
          <w:tcPr>
            <w:tcW w:w="849" w:type="dxa"/>
            <w:tcBorders>
              <w:tl2br w:val="nil"/>
              <w:tr2bl w:val="nil"/>
            </w:tcBorders>
            <w:noWrap w:val="0"/>
            <w:vAlign w:val="center"/>
          </w:tcPr>
          <w:p w14:paraId="4E79E300">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7"/>
                <w:sz w:val="21"/>
                <w:szCs w:val="21"/>
                <w:highlight w:val="none"/>
              </w:rPr>
              <w:t>广布</w:t>
            </w:r>
            <w:r>
              <w:rPr>
                <w:rFonts w:hint="default" w:ascii="Times New Roman" w:hAnsi="Times New Roman" w:eastAsia="宋体" w:cs="Times New Roman"/>
                <w:color w:val="auto"/>
                <w:spacing w:val="6"/>
                <w:sz w:val="21"/>
                <w:szCs w:val="21"/>
                <w:highlight w:val="none"/>
              </w:rPr>
              <w:t>种</w:t>
            </w:r>
          </w:p>
        </w:tc>
        <w:tc>
          <w:tcPr>
            <w:tcW w:w="558" w:type="dxa"/>
            <w:tcBorders>
              <w:tl2br w:val="nil"/>
              <w:tr2bl w:val="nil"/>
            </w:tcBorders>
            <w:noWrap w:val="0"/>
            <w:vAlign w:val="center"/>
          </w:tcPr>
          <w:p w14:paraId="0F3F0CD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1"/>
                <w:position w:val="2"/>
                <w:sz w:val="21"/>
                <w:szCs w:val="21"/>
                <w:highlight w:val="none"/>
              </w:rPr>
              <w:t>+</w:t>
            </w:r>
          </w:p>
        </w:tc>
        <w:tc>
          <w:tcPr>
            <w:tcW w:w="684" w:type="dxa"/>
            <w:tcBorders>
              <w:tl2br w:val="nil"/>
              <w:tr2bl w:val="nil"/>
            </w:tcBorders>
            <w:noWrap w:val="0"/>
            <w:vAlign w:val="center"/>
          </w:tcPr>
          <w:p w14:paraId="02272AD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6"/>
                <w:sz w:val="21"/>
                <w:szCs w:val="21"/>
                <w:highlight w:val="none"/>
              </w:rPr>
              <w:t>国</w:t>
            </w:r>
            <w:r>
              <w:rPr>
                <w:rFonts w:hint="default" w:ascii="Times New Roman" w:hAnsi="Times New Roman" w:eastAsia="宋体" w:cs="Times New Roman"/>
                <w:color w:val="auto"/>
                <w:spacing w:val="-5"/>
                <w:sz w:val="21"/>
                <w:szCs w:val="21"/>
                <w:highlight w:val="none"/>
              </w:rPr>
              <w:t>家</w:t>
            </w:r>
            <w:r>
              <w:rPr>
                <w:rFonts w:hint="default" w:ascii="Times New Roman" w:hAnsi="Times New Roman" w:eastAsia="宋体" w:cs="Times New Roman"/>
                <w:color w:val="auto"/>
                <w:sz w:val="21"/>
                <w:szCs w:val="21"/>
                <w:highlight w:val="none"/>
              </w:rPr>
              <w:t xml:space="preserve"> </w:t>
            </w:r>
            <w:r>
              <w:rPr>
                <w:rFonts w:hint="default" w:ascii="Times New Roman" w:hAnsi="Times New Roman" w:eastAsia="宋体" w:cs="Times New Roman"/>
                <w:color w:val="auto"/>
                <w:spacing w:val="-14"/>
                <w:sz w:val="21"/>
                <w:szCs w:val="21"/>
                <w:highlight w:val="none"/>
              </w:rPr>
              <w:t>Ⅱ</w:t>
            </w:r>
            <w:r>
              <w:rPr>
                <w:rFonts w:hint="default" w:ascii="Times New Roman" w:hAnsi="Times New Roman" w:eastAsia="宋体" w:cs="Times New Roman"/>
                <w:color w:val="auto"/>
                <w:spacing w:val="-13"/>
                <w:sz w:val="21"/>
                <w:szCs w:val="21"/>
                <w:highlight w:val="none"/>
              </w:rPr>
              <w:t>级</w:t>
            </w:r>
          </w:p>
        </w:tc>
      </w:tr>
      <w:tr w14:paraId="7E4E996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291" w:type="dxa"/>
            <w:tcBorders>
              <w:tl2br w:val="nil"/>
              <w:tr2bl w:val="nil"/>
            </w:tcBorders>
            <w:noWrap w:val="0"/>
            <w:vAlign w:val="center"/>
          </w:tcPr>
          <w:p w14:paraId="185B7699">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pacing w:val="-2"/>
                <w:sz w:val="21"/>
                <w:szCs w:val="21"/>
                <w:highlight w:val="none"/>
                <w:lang w:val="en-US" w:eastAsia="zh-CN"/>
              </w:rPr>
              <w:t>6</w:t>
            </w:r>
            <w:r>
              <w:rPr>
                <w:rFonts w:hint="default" w:ascii="Times New Roman" w:hAnsi="Times New Roman" w:eastAsia="宋体" w:cs="Times New Roman"/>
                <w:color w:val="auto"/>
                <w:spacing w:val="-2"/>
                <w:sz w:val="21"/>
                <w:szCs w:val="21"/>
                <w:highlight w:val="none"/>
              </w:rPr>
              <w:t>.领角</w:t>
            </w:r>
            <w:r>
              <w:rPr>
                <w:rFonts w:hint="default" w:ascii="Times New Roman" w:hAnsi="Times New Roman" w:eastAsia="宋体" w:cs="Times New Roman"/>
                <w:color w:val="auto"/>
                <w:spacing w:val="-1"/>
                <w:sz w:val="21"/>
                <w:szCs w:val="21"/>
                <w:highlight w:val="none"/>
              </w:rPr>
              <w:t>鸮</w:t>
            </w:r>
          </w:p>
          <w:p w14:paraId="55C47F1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iCs/>
                <w:color w:val="auto"/>
                <w:position w:val="2"/>
                <w:sz w:val="21"/>
                <w:szCs w:val="21"/>
                <w:highlight w:val="none"/>
              </w:rPr>
              <w:t>Otus</w:t>
            </w:r>
            <w:r>
              <w:rPr>
                <w:rFonts w:hint="default" w:ascii="Times New Roman" w:hAnsi="Times New Roman" w:eastAsia="宋体" w:cs="Times New Roman"/>
                <w:color w:val="auto"/>
                <w:spacing w:val="25"/>
                <w:position w:val="2"/>
                <w:sz w:val="21"/>
                <w:szCs w:val="21"/>
                <w:highlight w:val="none"/>
              </w:rPr>
              <w:t xml:space="preserve"> </w:t>
            </w:r>
            <w:r>
              <w:rPr>
                <w:rFonts w:hint="default" w:ascii="Times New Roman" w:hAnsi="Times New Roman" w:eastAsia="宋体" w:cs="Times New Roman"/>
                <w:i/>
                <w:iCs/>
                <w:color w:val="auto"/>
                <w:position w:val="2"/>
                <w:sz w:val="21"/>
                <w:szCs w:val="21"/>
                <w:highlight w:val="none"/>
              </w:rPr>
              <w:t>lettia</w:t>
            </w:r>
          </w:p>
        </w:tc>
        <w:tc>
          <w:tcPr>
            <w:tcW w:w="3110" w:type="dxa"/>
            <w:tcBorders>
              <w:tl2br w:val="nil"/>
              <w:tr2bl w:val="nil"/>
            </w:tcBorders>
            <w:noWrap w:val="0"/>
            <w:vAlign w:val="center"/>
          </w:tcPr>
          <w:p w14:paraId="5ADE49A4">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10"/>
                <w:sz w:val="21"/>
                <w:szCs w:val="21"/>
                <w:highlight w:val="none"/>
              </w:rPr>
              <w:t>栖</w:t>
            </w:r>
            <w:r>
              <w:rPr>
                <w:rFonts w:hint="default" w:ascii="Times New Roman" w:hAnsi="Times New Roman" w:eastAsia="宋体" w:cs="Times New Roman"/>
                <w:color w:val="auto"/>
                <w:spacing w:val="8"/>
                <w:sz w:val="21"/>
                <w:szCs w:val="21"/>
                <w:highlight w:val="none"/>
              </w:rPr>
              <w:t>息</w:t>
            </w:r>
            <w:r>
              <w:rPr>
                <w:rFonts w:hint="default" w:ascii="Times New Roman" w:hAnsi="Times New Roman" w:eastAsia="宋体" w:cs="Times New Roman"/>
                <w:color w:val="auto"/>
                <w:spacing w:val="5"/>
                <w:sz w:val="21"/>
                <w:szCs w:val="21"/>
                <w:highlight w:val="none"/>
              </w:rPr>
              <w:t>于山地阔叶林和混交林中，也</w:t>
            </w:r>
            <w:r>
              <w:rPr>
                <w:rFonts w:hint="default" w:ascii="Times New Roman" w:hAnsi="Times New Roman" w:eastAsia="宋体" w:cs="Times New Roman"/>
                <w:color w:val="auto"/>
                <w:spacing w:val="8"/>
                <w:sz w:val="21"/>
                <w:szCs w:val="21"/>
                <w:highlight w:val="none"/>
              </w:rPr>
              <w:t>出现于山麓林缘和村落附近的</w:t>
            </w:r>
            <w:r>
              <w:rPr>
                <w:rFonts w:hint="default" w:ascii="Times New Roman" w:hAnsi="Times New Roman" w:eastAsia="宋体" w:cs="Times New Roman"/>
                <w:color w:val="auto"/>
                <w:spacing w:val="7"/>
                <w:sz w:val="21"/>
                <w:szCs w:val="21"/>
                <w:highlight w:val="none"/>
              </w:rPr>
              <w:t>树</w:t>
            </w:r>
            <w:r>
              <w:rPr>
                <w:rFonts w:hint="default" w:ascii="Times New Roman" w:hAnsi="Times New Roman" w:eastAsia="宋体" w:cs="Times New Roman"/>
                <w:color w:val="auto"/>
                <w:spacing w:val="3"/>
                <w:sz w:val="21"/>
                <w:szCs w:val="21"/>
                <w:highlight w:val="none"/>
              </w:rPr>
              <w:t>林内</w:t>
            </w:r>
            <w:r>
              <w:rPr>
                <w:rFonts w:hint="default" w:ascii="Times New Roman" w:hAnsi="Times New Roman" w:eastAsia="宋体" w:cs="Times New Roman"/>
                <w:color w:val="auto"/>
                <w:spacing w:val="2"/>
                <w:sz w:val="21"/>
                <w:szCs w:val="21"/>
                <w:highlight w:val="none"/>
              </w:rPr>
              <w:t>。</w:t>
            </w:r>
          </w:p>
        </w:tc>
        <w:tc>
          <w:tcPr>
            <w:tcW w:w="847" w:type="dxa"/>
            <w:tcBorders>
              <w:tl2br w:val="nil"/>
              <w:tr2bl w:val="nil"/>
            </w:tcBorders>
            <w:noWrap w:val="0"/>
            <w:vAlign w:val="center"/>
          </w:tcPr>
          <w:p w14:paraId="71DEB9D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3"/>
                <w:sz w:val="21"/>
                <w:szCs w:val="21"/>
                <w:highlight w:val="none"/>
              </w:rPr>
              <w:t>留鸟</w:t>
            </w:r>
          </w:p>
        </w:tc>
        <w:tc>
          <w:tcPr>
            <w:tcW w:w="849" w:type="dxa"/>
            <w:tcBorders>
              <w:tl2br w:val="nil"/>
              <w:tr2bl w:val="nil"/>
            </w:tcBorders>
            <w:noWrap w:val="0"/>
            <w:vAlign w:val="center"/>
          </w:tcPr>
          <w:p w14:paraId="667C2345">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5"/>
                <w:sz w:val="21"/>
                <w:szCs w:val="21"/>
                <w:highlight w:val="none"/>
              </w:rPr>
              <w:t>东</w:t>
            </w:r>
            <w:r>
              <w:rPr>
                <w:rFonts w:hint="default" w:ascii="Times New Roman" w:hAnsi="Times New Roman" w:eastAsia="宋体" w:cs="Times New Roman"/>
                <w:color w:val="auto"/>
                <w:spacing w:val="4"/>
                <w:sz w:val="21"/>
                <w:szCs w:val="21"/>
                <w:highlight w:val="none"/>
              </w:rPr>
              <w:t>洋种</w:t>
            </w:r>
          </w:p>
        </w:tc>
        <w:tc>
          <w:tcPr>
            <w:tcW w:w="558" w:type="dxa"/>
            <w:tcBorders>
              <w:tl2br w:val="nil"/>
              <w:tr2bl w:val="nil"/>
            </w:tcBorders>
            <w:noWrap w:val="0"/>
            <w:vAlign w:val="center"/>
          </w:tcPr>
          <w:p w14:paraId="50B955C6">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1"/>
                <w:position w:val="2"/>
                <w:sz w:val="21"/>
                <w:szCs w:val="21"/>
                <w:highlight w:val="none"/>
              </w:rPr>
              <w:t>+</w:t>
            </w:r>
          </w:p>
        </w:tc>
        <w:tc>
          <w:tcPr>
            <w:tcW w:w="684" w:type="dxa"/>
            <w:tcBorders>
              <w:tl2br w:val="nil"/>
              <w:tr2bl w:val="nil"/>
            </w:tcBorders>
            <w:noWrap w:val="0"/>
            <w:vAlign w:val="center"/>
          </w:tcPr>
          <w:p w14:paraId="02E673B2">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6"/>
                <w:sz w:val="21"/>
                <w:szCs w:val="21"/>
                <w:highlight w:val="none"/>
              </w:rPr>
              <w:t>国</w:t>
            </w:r>
            <w:r>
              <w:rPr>
                <w:rFonts w:hint="default" w:ascii="Times New Roman" w:hAnsi="Times New Roman" w:eastAsia="宋体" w:cs="Times New Roman"/>
                <w:color w:val="auto"/>
                <w:spacing w:val="-5"/>
                <w:sz w:val="21"/>
                <w:szCs w:val="21"/>
                <w:highlight w:val="none"/>
              </w:rPr>
              <w:t>家</w:t>
            </w:r>
            <w:r>
              <w:rPr>
                <w:rFonts w:hint="default" w:ascii="Times New Roman" w:hAnsi="Times New Roman" w:eastAsia="宋体" w:cs="Times New Roman"/>
                <w:color w:val="auto"/>
                <w:sz w:val="21"/>
                <w:szCs w:val="21"/>
                <w:highlight w:val="none"/>
              </w:rPr>
              <w:t xml:space="preserve"> </w:t>
            </w:r>
            <w:r>
              <w:rPr>
                <w:rFonts w:hint="default" w:ascii="Times New Roman" w:hAnsi="Times New Roman" w:eastAsia="宋体" w:cs="Times New Roman"/>
                <w:color w:val="auto"/>
                <w:spacing w:val="-14"/>
                <w:sz w:val="21"/>
                <w:szCs w:val="21"/>
                <w:highlight w:val="none"/>
              </w:rPr>
              <w:t>Ⅱ</w:t>
            </w:r>
            <w:r>
              <w:rPr>
                <w:rFonts w:hint="default" w:ascii="Times New Roman" w:hAnsi="Times New Roman" w:eastAsia="宋体" w:cs="Times New Roman"/>
                <w:color w:val="auto"/>
                <w:spacing w:val="-13"/>
                <w:sz w:val="21"/>
                <w:szCs w:val="21"/>
                <w:highlight w:val="none"/>
              </w:rPr>
              <w:t>级</w:t>
            </w:r>
          </w:p>
        </w:tc>
      </w:tr>
      <w:tr w14:paraId="27300ED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291" w:type="dxa"/>
            <w:tcBorders>
              <w:tl2br w:val="nil"/>
              <w:tr2bl w:val="nil"/>
            </w:tcBorders>
            <w:noWrap w:val="0"/>
            <w:vAlign w:val="center"/>
          </w:tcPr>
          <w:p w14:paraId="47AB574C">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pacing w:val="-2"/>
                <w:sz w:val="21"/>
                <w:szCs w:val="21"/>
                <w:highlight w:val="none"/>
                <w:lang w:val="en-US" w:eastAsia="zh-CN"/>
              </w:rPr>
              <w:t>7</w:t>
            </w:r>
            <w:r>
              <w:rPr>
                <w:rFonts w:hint="default" w:ascii="Times New Roman" w:hAnsi="Times New Roman" w:eastAsia="宋体" w:cs="Times New Roman"/>
                <w:color w:val="auto"/>
                <w:spacing w:val="-2"/>
                <w:sz w:val="21"/>
                <w:szCs w:val="21"/>
                <w:highlight w:val="none"/>
              </w:rPr>
              <w:t>.</w:t>
            </w:r>
            <w:r>
              <w:rPr>
                <w:rFonts w:hint="default" w:ascii="Times New Roman" w:hAnsi="Times New Roman" w:eastAsia="宋体" w:cs="Times New Roman"/>
                <w:color w:val="auto"/>
                <w:spacing w:val="-1"/>
                <w:sz w:val="21"/>
                <w:szCs w:val="21"/>
                <w:highlight w:val="none"/>
              </w:rPr>
              <w:t>斑头鸺鹠</w:t>
            </w:r>
            <w:r>
              <w:rPr>
                <w:rFonts w:hint="default" w:ascii="Times New Roman" w:hAnsi="Times New Roman" w:eastAsia="宋体" w:cs="Times New Roman"/>
                <w:i/>
                <w:iCs/>
                <w:color w:val="auto"/>
                <w:spacing w:val="-1"/>
                <w:sz w:val="21"/>
                <w:szCs w:val="21"/>
                <w:highlight w:val="none"/>
              </w:rPr>
              <w:t>Glancidium.cuculoides</w:t>
            </w:r>
          </w:p>
        </w:tc>
        <w:tc>
          <w:tcPr>
            <w:tcW w:w="3110" w:type="dxa"/>
            <w:tcBorders>
              <w:tl2br w:val="nil"/>
              <w:tr2bl w:val="nil"/>
            </w:tcBorders>
            <w:noWrap w:val="0"/>
            <w:vAlign w:val="center"/>
          </w:tcPr>
          <w:p w14:paraId="0BF04E55">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栖息于评价区的山地森林和林缘 灌丛地带。</w:t>
            </w:r>
          </w:p>
        </w:tc>
        <w:tc>
          <w:tcPr>
            <w:tcW w:w="847" w:type="dxa"/>
            <w:tcBorders>
              <w:tl2br w:val="nil"/>
              <w:tr2bl w:val="nil"/>
            </w:tcBorders>
            <w:noWrap w:val="0"/>
            <w:vAlign w:val="center"/>
          </w:tcPr>
          <w:p w14:paraId="40BF8A9E">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3"/>
                <w:sz w:val="21"/>
                <w:szCs w:val="21"/>
                <w:highlight w:val="none"/>
              </w:rPr>
              <w:t>留鸟</w:t>
            </w:r>
          </w:p>
        </w:tc>
        <w:tc>
          <w:tcPr>
            <w:tcW w:w="849" w:type="dxa"/>
            <w:tcBorders>
              <w:tl2br w:val="nil"/>
              <w:tr2bl w:val="nil"/>
            </w:tcBorders>
            <w:noWrap w:val="0"/>
            <w:vAlign w:val="center"/>
          </w:tcPr>
          <w:p w14:paraId="2CA9F615">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5"/>
                <w:sz w:val="21"/>
                <w:szCs w:val="21"/>
                <w:highlight w:val="none"/>
              </w:rPr>
              <w:t>东</w:t>
            </w:r>
            <w:r>
              <w:rPr>
                <w:rFonts w:hint="default" w:ascii="Times New Roman" w:hAnsi="Times New Roman" w:eastAsia="宋体" w:cs="Times New Roman"/>
                <w:color w:val="auto"/>
                <w:spacing w:val="4"/>
                <w:sz w:val="21"/>
                <w:szCs w:val="21"/>
                <w:highlight w:val="none"/>
              </w:rPr>
              <w:t>洋种</w:t>
            </w:r>
          </w:p>
        </w:tc>
        <w:tc>
          <w:tcPr>
            <w:tcW w:w="558" w:type="dxa"/>
            <w:tcBorders>
              <w:tl2br w:val="nil"/>
              <w:tr2bl w:val="nil"/>
            </w:tcBorders>
            <w:noWrap w:val="0"/>
            <w:vAlign w:val="center"/>
          </w:tcPr>
          <w:p w14:paraId="37D99B04">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p>
          <w:p w14:paraId="32C448B7">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
                <w:position w:val="2"/>
                <w:sz w:val="21"/>
                <w:szCs w:val="21"/>
                <w:highlight w:val="none"/>
              </w:rPr>
              <w:t>+</w:t>
            </w:r>
          </w:p>
        </w:tc>
        <w:tc>
          <w:tcPr>
            <w:tcW w:w="684" w:type="dxa"/>
            <w:tcBorders>
              <w:tl2br w:val="nil"/>
              <w:tr2bl w:val="nil"/>
            </w:tcBorders>
            <w:noWrap w:val="0"/>
            <w:vAlign w:val="center"/>
          </w:tcPr>
          <w:p w14:paraId="5F2A971C">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p>
          <w:p w14:paraId="566752C9">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6"/>
                <w:sz w:val="21"/>
                <w:szCs w:val="21"/>
                <w:highlight w:val="none"/>
              </w:rPr>
              <w:t>国</w:t>
            </w:r>
            <w:r>
              <w:rPr>
                <w:rFonts w:hint="default" w:ascii="Times New Roman" w:hAnsi="Times New Roman" w:eastAsia="宋体" w:cs="Times New Roman"/>
                <w:color w:val="auto"/>
                <w:spacing w:val="-5"/>
                <w:sz w:val="21"/>
                <w:szCs w:val="21"/>
                <w:highlight w:val="none"/>
              </w:rPr>
              <w:t>家</w:t>
            </w:r>
            <w:r>
              <w:rPr>
                <w:rFonts w:hint="default" w:ascii="Times New Roman" w:hAnsi="Times New Roman" w:eastAsia="宋体" w:cs="Times New Roman"/>
                <w:color w:val="auto"/>
                <w:sz w:val="21"/>
                <w:szCs w:val="21"/>
                <w:highlight w:val="none"/>
              </w:rPr>
              <w:t xml:space="preserve"> </w:t>
            </w:r>
            <w:r>
              <w:rPr>
                <w:rFonts w:hint="default" w:ascii="Times New Roman" w:hAnsi="Times New Roman" w:eastAsia="宋体" w:cs="Times New Roman"/>
                <w:color w:val="auto"/>
                <w:spacing w:val="-14"/>
                <w:sz w:val="21"/>
                <w:szCs w:val="21"/>
                <w:highlight w:val="none"/>
              </w:rPr>
              <w:t>Ⅱ</w:t>
            </w:r>
            <w:r>
              <w:rPr>
                <w:rFonts w:hint="default" w:ascii="Times New Roman" w:hAnsi="Times New Roman" w:eastAsia="宋体" w:cs="Times New Roman"/>
                <w:color w:val="auto"/>
                <w:spacing w:val="-13"/>
                <w:sz w:val="21"/>
                <w:szCs w:val="21"/>
                <w:highlight w:val="none"/>
              </w:rPr>
              <w:t>级</w:t>
            </w:r>
          </w:p>
        </w:tc>
      </w:tr>
      <w:tr w14:paraId="415037D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291" w:type="dxa"/>
            <w:tcBorders>
              <w:tl2br w:val="nil"/>
              <w:tr2bl w:val="nil"/>
            </w:tcBorders>
            <w:noWrap w:val="0"/>
            <w:vAlign w:val="center"/>
          </w:tcPr>
          <w:p w14:paraId="4130CE8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s="Times New Roman"/>
                <w:color w:val="auto"/>
                <w:spacing w:val="-6"/>
                <w:sz w:val="21"/>
                <w:szCs w:val="21"/>
                <w:highlight w:val="none"/>
                <w:lang w:val="en-US" w:eastAsia="zh-CN"/>
              </w:rPr>
            </w:pPr>
            <w:r>
              <w:rPr>
                <w:rFonts w:hint="eastAsia" w:ascii="Times New Roman" w:hAnsi="Times New Roman" w:eastAsia="宋体" w:cs="Times New Roman"/>
                <w:color w:val="auto"/>
                <w:spacing w:val="-6"/>
                <w:sz w:val="21"/>
                <w:szCs w:val="21"/>
                <w:highlight w:val="none"/>
                <w:lang w:val="en-US" w:eastAsia="zh-CN"/>
              </w:rPr>
              <w:t>8.小鸦鹃</w:t>
            </w:r>
          </w:p>
          <w:p w14:paraId="68D24FD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i/>
                <w:iCs/>
                <w:color w:val="auto"/>
                <w:spacing w:val="-6"/>
                <w:sz w:val="21"/>
                <w:szCs w:val="21"/>
                <w:highlight w:val="none"/>
                <w:lang w:val="en-US" w:eastAsia="zh-CN"/>
              </w:rPr>
              <w:t>Centropus bengalensis</w:t>
            </w:r>
          </w:p>
        </w:tc>
        <w:tc>
          <w:tcPr>
            <w:tcW w:w="3110" w:type="dxa"/>
            <w:tcBorders>
              <w:tl2br w:val="nil"/>
              <w:tr2bl w:val="nil"/>
            </w:tcBorders>
            <w:noWrap w:val="0"/>
            <w:vAlign w:val="center"/>
          </w:tcPr>
          <w:p w14:paraId="08C37168">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6"/>
                <w:sz w:val="21"/>
                <w:szCs w:val="21"/>
                <w:highlight w:val="none"/>
              </w:rPr>
              <w:t>栖息于</w:t>
            </w:r>
            <w:r>
              <w:rPr>
                <w:rFonts w:hint="default" w:ascii="Times New Roman" w:hAnsi="Times New Roman" w:eastAsia="宋体" w:cs="Times New Roman"/>
                <w:color w:val="auto"/>
                <w:spacing w:val="16"/>
                <w:sz w:val="21"/>
                <w:szCs w:val="21"/>
                <w:highlight w:val="none"/>
              </w:rPr>
              <w:fldChar w:fldCharType="begin"/>
            </w:r>
            <w:r>
              <w:rPr>
                <w:rFonts w:hint="default" w:ascii="Times New Roman" w:hAnsi="Times New Roman" w:eastAsia="宋体" w:cs="Times New Roman"/>
                <w:color w:val="auto"/>
                <w:spacing w:val="16"/>
                <w:sz w:val="21"/>
                <w:szCs w:val="21"/>
                <w:highlight w:val="none"/>
              </w:rPr>
              <w:instrText xml:space="preserve"> HYPERLINK "https://baike.so.com/doc/5894762-6107650.html" \t "https://baike.so.com/doc/_blank" </w:instrText>
            </w:r>
            <w:r>
              <w:rPr>
                <w:rFonts w:hint="default" w:ascii="Times New Roman" w:hAnsi="Times New Roman" w:eastAsia="宋体" w:cs="Times New Roman"/>
                <w:color w:val="auto"/>
                <w:spacing w:val="16"/>
                <w:sz w:val="21"/>
                <w:szCs w:val="21"/>
                <w:highlight w:val="none"/>
              </w:rPr>
              <w:fldChar w:fldCharType="separate"/>
            </w:r>
            <w:r>
              <w:rPr>
                <w:rFonts w:hint="default" w:ascii="Times New Roman" w:hAnsi="Times New Roman" w:eastAsia="宋体" w:cs="Times New Roman"/>
                <w:color w:val="auto"/>
                <w:spacing w:val="16"/>
                <w:sz w:val="21"/>
                <w:szCs w:val="21"/>
                <w:highlight w:val="none"/>
              </w:rPr>
              <w:t>草地</w:t>
            </w:r>
            <w:r>
              <w:rPr>
                <w:rFonts w:hint="default" w:ascii="Times New Roman" w:hAnsi="Times New Roman" w:eastAsia="宋体" w:cs="Times New Roman"/>
                <w:color w:val="auto"/>
                <w:spacing w:val="16"/>
                <w:sz w:val="21"/>
                <w:szCs w:val="21"/>
                <w:highlight w:val="none"/>
              </w:rPr>
              <w:fldChar w:fldCharType="end"/>
            </w:r>
            <w:r>
              <w:rPr>
                <w:rFonts w:hint="default" w:ascii="Times New Roman" w:hAnsi="Times New Roman" w:eastAsia="宋体" w:cs="Times New Roman"/>
                <w:color w:val="auto"/>
                <w:spacing w:val="16"/>
                <w:sz w:val="21"/>
                <w:szCs w:val="21"/>
                <w:highlight w:val="none"/>
              </w:rPr>
              <w:t>、</w:t>
            </w:r>
            <w:r>
              <w:rPr>
                <w:rFonts w:hint="default" w:ascii="Times New Roman" w:hAnsi="Times New Roman" w:eastAsia="宋体" w:cs="Times New Roman"/>
                <w:color w:val="auto"/>
                <w:spacing w:val="16"/>
                <w:sz w:val="21"/>
                <w:szCs w:val="21"/>
                <w:highlight w:val="none"/>
              </w:rPr>
              <w:fldChar w:fldCharType="begin"/>
            </w:r>
            <w:r>
              <w:rPr>
                <w:rFonts w:hint="default" w:ascii="Times New Roman" w:hAnsi="Times New Roman" w:eastAsia="宋体" w:cs="Times New Roman"/>
                <w:color w:val="auto"/>
                <w:spacing w:val="16"/>
                <w:sz w:val="21"/>
                <w:szCs w:val="21"/>
                <w:highlight w:val="none"/>
              </w:rPr>
              <w:instrText xml:space="preserve"> HYPERLINK "https://baike.so.com/doc/8477260-8797394.html" \t "https://baike.so.com/doc/_blank" </w:instrText>
            </w:r>
            <w:r>
              <w:rPr>
                <w:rFonts w:hint="default" w:ascii="Times New Roman" w:hAnsi="Times New Roman" w:eastAsia="宋体" w:cs="Times New Roman"/>
                <w:color w:val="auto"/>
                <w:spacing w:val="16"/>
                <w:sz w:val="21"/>
                <w:szCs w:val="21"/>
                <w:highlight w:val="none"/>
              </w:rPr>
              <w:fldChar w:fldCharType="separate"/>
            </w:r>
            <w:r>
              <w:rPr>
                <w:rFonts w:hint="default" w:ascii="Times New Roman" w:hAnsi="Times New Roman" w:eastAsia="宋体" w:cs="Times New Roman"/>
                <w:color w:val="auto"/>
                <w:spacing w:val="16"/>
                <w:sz w:val="21"/>
                <w:szCs w:val="21"/>
                <w:highlight w:val="none"/>
              </w:rPr>
              <w:t>灌木丛</w:t>
            </w:r>
            <w:r>
              <w:rPr>
                <w:rFonts w:hint="default" w:ascii="Times New Roman" w:hAnsi="Times New Roman" w:eastAsia="宋体" w:cs="Times New Roman"/>
                <w:color w:val="auto"/>
                <w:spacing w:val="16"/>
                <w:sz w:val="21"/>
                <w:szCs w:val="21"/>
                <w:highlight w:val="none"/>
              </w:rPr>
              <w:fldChar w:fldCharType="end"/>
            </w:r>
            <w:r>
              <w:rPr>
                <w:rFonts w:hint="default" w:ascii="Times New Roman" w:hAnsi="Times New Roman" w:eastAsia="宋体" w:cs="Times New Roman"/>
                <w:color w:val="auto"/>
                <w:spacing w:val="16"/>
                <w:sz w:val="21"/>
                <w:szCs w:val="21"/>
                <w:highlight w:val="none"/>
              </w:rPr>
              <w:t>和矮树丛地带</w:t>
            </w:r>
            <w:r>
              <w:rPr>
                <w:rFonts w:hint="default" w:ascii="Times New Roman" w:hAnsi="Times New Roman" w:eastAsia="宋体" w:cs="Times New Roman"/>
                <w:color w:val="auto"/>
                <w:spacing w:val="8"/>
                <w:sz w:val="21"/>
                <w:szCs w:val="21"/>
                <w:highlight w:val="none"/>
              </w:rPr>
              <w:t>。</w:t>
            </w:r>
          </w:p>
        </w:tc>
        <w:tc>
          <w:tcPr>
            <w:tcW w:w="847" w:type="dxa"/>
            <w:tcBorders>
              <w:tl2br w:val="nil"/>
              <w:tr2bl w:val="nil"/>
            </w:tcBorders>
            <w:noWrap w:val="0"/>
            <w:vAlign w:val="center"/>
          </w:tcPr>
          <w:p w14:paraId="3A8DAE6C">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3"/>
                <w:sz w:val="21"/>
                <w:szCs w:val="21"/>
                <w:highlight w:val="none"/>
              </w:rPr>
              <w:t>留鸟</w:t>
            </w:r>
          </w:p>
        </w:tc>
        <w:tc>
          <w:tcPr>
            <w:tcW w:w="849" w:type="dxa"/>
            <w:tcBorders>
              <w:tl2br w:val="nil"/>
              <w:tr2bl w:val="nil"/>
            </w:tcBorders>
            <w:noWrap w:val="0"/>
            <w:vAlign w:val="center"/>
          </w:tcPr>
          <w:p w14:paraId="07BD33B1">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7"/>
                <w:sz w:val="21"/>
                <w:szCs w:val="21"/>
                <w:highlight w:val="none"/>
              </w:rPr>
              <w:t>广布</w:t>
            </w:r>
            <w:r>
              <w:rPr>
                <w:rFonts w:hint="default" w:ascii="Times New Roman" w:hAnsi="Times New Roman" w:eastAsia="宋体" w:cs="Times New Roman"/>
                <w:color w:val="auto"/>
                <w:spacing w:val="6"/>
                <w:sz w:val="21"/>
                <w:szCs w:val="21"/>
                <w:highlight w:val="none"/>
              </w:rPr>
              <w:t>种</w:t>
            </w:r>
          </w:p>
        </w:tc>
        <w:tc>
          <w:tcPr>
            <w:tcW w:w="558" w:type="dxa"/>
            <w:tcBorders>
              <w:tl2br w:val="nil"/>
              <w:tr2bl w:val="nil"/>
            </w:tcBorders>
            <w:noWrap w:val="0"/>
            <w:vAlign w:val="center"/>
          </w:tcPr>
          <w:p w14:paraId="33C5A699">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1"/>
                <w:position w:val="2"/>
                <w:sz w:val="21"/>
                <w:szCs w:val="21"/>
                <w:highlight w:val="none"/>
              </w:rPr>
              <w:t>+</w:t>
            </w:r>
          </w:p>
        </w:tc>
        <w:tc>
          <w:tcPr>
            <w:tcW w:w="684" w:type="dxa"/>
            <w:tcBorders>
              <w:tl2br w:val="nil"/>
              <w:tr2bl w:val="nil"/>
            </w:tcBorders>
            <w:noWrap w:val="0"/>
            <w:vAlign w:val="center"/>
          </w:tcPr>
          <w:p w14:paraId="3AB41D34">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6"/>
                <w:sz w:val="21"/>
                <w:szCs w:val="21"/>
                <w:highlight w:val="none"/>
              </w:rPr>
              <w:t>国</w:t>
            </w:r>
            <w:r>
              <w:rPr>
                <w:rFonts w:hint="default" w:ascii="Times New Roman" w:hAnsi="Times New Roman" w:eastAsia="宋体" w:cs="Times New Roman"/>
                <w:color w:val="auto"/>
                <w:spacing w:val="-5"/>
                <w:sz w:val="21"/>
                <w:szCs w:val="21"/>
                <w:highlight w:val="none"/>
              </w:rPr>
              <w:t>家</w:t>
            </w:r>
            <w:r>
              <w:rPr>
                <w:rFonts w:hint="default" w:ascii="Times New Roman" w:hAnsi="Times New Roman" w:eastAsia="宋体" w:cs="Times New Roman"/>
                <w:color w:val="auto"/>
                <w:sz w:val="21"/>
                <w:szCs w:val="21"/>
                <w:highlight w:val="none"/>
              </w:rPr>
              <w:t xml:space="preserve"> </w:t>
            </w:r>
            <w:r>
              <w:rPr>
                <w:rFonts w:hint="default" w:ascii="Times New Roman" w:hAnsi="Times New Roman" w:eastAsia="宋体" w:cs="Times New Roman"/>
                <w:color w:val="auto"/>
                <w:spacing w:val="-14"/>
                <w:sz w:val="21"/>
                <w:szCs w:val="21"/>
                <w:highlight w:val="none"/>
              </w:rPr>
              <w:t>Ⅱ</w:t>
            </w:r>
            <w:r>
              <w:rPr>
                <w:rFonts w:hint="default" w:ascii="Times New Roman" w:hAnsi="Times New Roman" w:eastAsia="宋体" w:cs="Times New Roman"/>
                <w:color w:val="auto"/>
                <w:spacing w:val="-13"/>
                <w:sz w:val="21"/>
                <w:szCs w:val="21"/>
                <w:highlight w:val="none"/>
              </w:rPr>
              <w:t>级</w:t>
            </w:r>
          </w:p>
        </w:tc>
      </w:tr>
      <w:tr w14:paraId="74DF0AC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291" w:type="dxa"/>
            <w:tcBorders>
              <w:tl2br w:val="nil"/>
              <w:tr2bl w:val="nil"/>
            </w:tcBorders>
            <w:noWrap w:val="0"/>
            <w:vAlign w:val="center"/>
          </w:tcPr>
          <w:p w14:paraId="34A9BF35">
            <w:pPr>
              <w:keepNext w:val="0"/>
              <w:keepLines w:val="0"/>
              <w:pageBreakBefore w:val="0"/>
              <w:widowControl w:val="0"/>
              <w:numPr>
                <w:ilvl w:val="0"/>
                <w:numId w:val="9"/>
              </w:numPr>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s="Times New Roman"/>
                <w:color w:val="auto"/>
                <w:spacing w:val="-6"/>
                <w:sz w:val="21"/>
                <w:szCs w:val="21"/>
                <w:highlight w:val="none"/>
                <w:lang w:val="en-US" w:eastAsia="zh-CN"/>
              </w:rPr>
            </w:pPr>
            <w:r>
              <w:rPr>
                <w:rFonts w:hint="eastAsia" w:ascii="Times New Roman" w:hAnsi="Times New Roman" w:eastAsia="宋体" w:cs="Times New Roman"/>
                <w:color w:val="auto"/>
                <w:spacing w:val="-6"/>
                <w:sz w:val="21"/>
                <w:szCs w:val="21"/>
                <w:highlight w:val="none"/>
                <w:lang w:val="en-US" w:eastAsia="zh-CN"/>
              </w:rPr>
              <w:t>画眉</w:t>
            </w:r>
          </w:p>
          <w:p w14:paraId="3D851BCC">
            <w:pPr>
              <w:keepNext w:val="0"/>
              <w:keepLines w:val="0"/>
              <w:pageBreakBefore w:val="0"/>
              <w:widowControl w:val="0"/>
              <w:numPr>
                <w:ilvl w:val="0"/>
                <w:numId w:val="0"/>
              </w:numPr>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i/>
                <w:iCs/>
                <w:color w:val="auto"/>
                <w:spacing w:val="-6"/>
                <w:sz w:val="21"/>
                <w:szCs w:val="21"/>
                <w:highlight w:val="none"/>
                <w:lang w:val="en-US" w:eastAsia="zh-CN"/>
              </w:rPr>
              <w:t>Garrulax caniyus</w:t>
            </w:r>
          </w:p>
        </w:tc>
        <w:tc>
          <w:tcPr>
            <w:tcW w:w="3110" w:type="dxa"/>
            <w:tcBorders>
              <w:tl2br w:val="nil"/>
              <w:tr2bl w:val="nil"/>
            </w:tcBorders>
            <w:noWrap w:val="0"/>
            <w:vAlign w:val="center"/>
          </w:tcPr>
          <w:p w14:paraId="302433C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eastAsia="zh-CN"/>
              </w:rPr>
              <w:t>栖息于</w:t>
            </w:r>
            <w:r>
              <w:rPr>
                <w:rFonts w:hint="default" w:ascii="Times New Roman" w:hAnsi="Times New Roman" w:eastAsia="宋体" w:cs="Times New Roman"/>
                <w:color w:val="auto"/>
                <w:sz w:val="21"/>
                <w:szCs w:val="21"/>
                <w:highlight w:val="none"/>
              </w:rPr>
              <w:t>丘陵和山脚平原地带的矮树丛和灌木丛中，也栖于林缘、农田、旷野、村落和城镇附近小树丛、竹林及庭园内</w:t>
            </w:r>
          </w:p>
        </w:tc>
        <w:tc>
          <w:tcPr>
            <w:tcW w:w="847" w:type="dxa"/>
            <w:tcBorders>
              <w:tl2br w:val="nil"/>
              <w:tr2bl w:val="nil"/>
            </w:tcBorders>
            <w:noWrap w:val="0"/>
            <w:vAlign w:val="center"/>
          </w:tcPr>
          <w:p w14:paraId="4C197511">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留鸟</w:t>
            </w:r>
          </w:p>
        </w:tc>
        <w:tc>
          <w:tcPr>
            <w:tcW w:w="849" w:type="dxa"/>
            <w:tcBorders>
              <w:tl2br w:val="nil"/>
              <w:tr2bl w:val="nil"/>
            </w:tcBorders>
            <w:noWrap w:val="0"/>
            <w:vAlign w:val="center"/>
          </w:tcPr>
          <w:p w14:paraId="4A963A9C">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东洋种</w:t>
            </w:r>
          </w:p>
        </w:tc>
        <w:tc>
          <w:tcPr>
            <w:tcW w:w="558" w:type="dxa"/>
            <w:tcBorders>
              <w:tl2br w:val="nil"/>
              <w:tr2bl w:val="nil"/>
            </w:tcBorders>
            <w:noWrap w:val="0"/>
            <w:vAlign w:val="center"/>
          </w:tcPr>
          <w:p w14:paraId="56B6212D">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1"/>
                <w:position w:val="2"/>
                <w:sz w:val="21"/>
                <w:szCs w:val="21"/>
                <w:highlight w:val="none"/>
              </w:rPr>
              <w:t>+</w:t>
            </w:r>
          </w:p>
        </w:tc>
        <w:tc>
          <w:tcPr>
            <w:tcW w:w="684" w:type="dxa"/>
            <w:tcBorders>
              <w:tl2br w:val="nil"/>
              <w:tr2bl w:val="nil"/>
            </w:tcBorders>
            <w:noWrap w:val="0"/>
            <w:vAlign w:val="center"/>
          </w:tcPr>
          <w:p w14:paraId="4488F808">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6"/>
                <w:sz w:val="21"/>
                <w:szCs w:val="21"/>
                <w:highlight w:val="none"/>
              </w:rPr>
              <w:t>国</w:t>
            </w:r>
            <w:r>
              <w:rPr>
                <w:rFonts w:hint="default" w:ascii="Times New Roman" w:hAnsi="Times New Roman" w:eastAsia="宋体" w:cs="Times New Roman"/>
                <w:color w:val="auto"/>
                <w:spacing w:val="-5"/>
                <w:sz w:val="21"/>
                <w:szCs w:val="21"/>
                <w:highlight w:val="none"/>
              </w:rPr>
              <w:t>家</w:t>
            </w:r>
            <w:r>
              <w:rPr>
                <w:rFonts w:hint="default" w:ascii="Times New Roman" w:hAnsi="Times New Roman" w:eastAsia="宋体" w:cs="Times New Roman"/>
                <w:color w:val="auto"/>
                <w:sz w:val="21"/>
                <w:szCs w:val="21"/>
                <w:highlight w:val="none"/>
              </w:rPr>
              <w:t xml:space="preserve"> </w:t>
            </w:r>
            <w:r>
              <w:rPr>
                <w:rFonts w:hint="default" w:ascii="Times New Roman" w:hAnsi="Times New Roman" w:eastAsia="宋体" w:cs="Times New Roman"/>
                <w:color w:val="auto"/>
                <w:spacing w:val="-14"/>
                <w:sz w:val="21"/>
                <w:szCs w:val="21"/>
                <w:highlight w:val="none"/>
              </w:rPr>
              <w:t>Ⅱ</w:t>
            </w:r>
            <w:r>
              <w:rPr>
                <w:rFonts w:hint="default" w:ascii="Times New Roman" w:hAnsi="Times New Roman" w:eastAsia="宋体" w:cs="Times New Roman"/>
                <w:color w:val="auto"/>
                <w:spacing w:val="-13"/>
                <w:sz w:val="21"/>
                <w:szCs w:val="21"/>
                <w:highlight w:val="none"/>
              </w:rPr>
              <w:t>级</w:t>
            </w:r>
          </w:p>
        </w:tc>
      </w:tr>
    </w:tbl>
    <w:p w14:paraId="04E02F51">
      <w:pPr>
        <w:pStyle w:val="30"/>
        <w:keepNext w:val="0"/>
        <w:keepLines w:val="0"/>
        <w:pageBreakBefore w:val="0"/>
        <w:widowControl w:val="0"/>
        <w:kinsoku/>
        <w:wordWrap/>
        <w:overflowPunct/>
        <w:topLinePunct w:val="0"/>
        <w:autoSpaceDE/>
        <w:autoSpaceDN/>
        <w:bidi w:val="0"/>
        <w:adjustRightInd w:val="0"/>
        <w:snapToGrid w:val="0"/>
        <w:ind w:left="0" w:leftChars="0" w:firstLine="482" w:firstLineChars="200"/>
        <w:jc w:val="left"/>
        <w:textAlignment w:val="auto"/>
        <w:rPr>
          <w:rFonts w:hint="eastAsia"/>
          <w:b/>
          <w:bCs/>
          <w:color w:val="auto"/>
          <w:highlight w:val="none"/>
          <w:lang w:val="en-US" w:eastAsia="zh-CN"/>
        </w:rPr>
      </w:pPr>
      <w:r>
        <w:rPr>
          <w:rFonts w:hint="eastAsia"/>
          <w:b/>
          <w:bCs/>
          <w:color w:val="auto"/>
          <w:highlight w:val="none"/>
          <w:lang w:val="en-US" w:eastAsia="zh-CN"/>
        </w:rPr>
        <w:t>国家重点保护野生动物种类介绍</w:t>
      </w:r>
    </w:p>
    <w:p w14:paraId="02739A81">
      <w:pPr>
        <w:pStyle w:val="30"/>
        <w:keepNext w:val="0"/>
        <w:keepLines w:val="0"/>
        <w:pageBreakBefore w:val="0"/>
        <w:widowControl w:val="0"/>
        <w:kinsoku/>
        <w:wordWrap/>
        <w:overflowPunct/>
        <w:topLinePunct w:val="0"/>
        <w:autoSpaceDE/>
        <w:autoSpaceDN/>
        <w:bidi w:val="0"/>
        <w:adjustRightInd w:val="0"/>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 xml:space="preserve">1)虎纹蛙 </w:t>
      </w:r>
      <w:r>
        <w:rPr>
          <w:rFonts w:hint="eastAsia"/>
          <w:i/>
          <w:iCs/>
          <w:color w:val="auto"/>
          <w:highlight w:val="none"/>
          <w:lang w:val="en-US" w:eastAsia="zh-CN"/>
        </w:rPr>
        <w:t>Hoplobatrachus chinensis</w:t>
      </w:r>
    </w:p>
    <w:p w14:paraId="0EB9C295">
      <w:pPr>
        <w:pStyle w:val="30"/>
        <w:keepNext w:val="0"/>
        <w:keepLines w:val="0"/>
        <w:pageBreakBefore w:val="0"/>
        <w:widowControl w:val="0"/>
        <w:kinsoku/>
        <w:wordWrap/>
        <w:overflowPunct/>
        <w:topLinePunct w:val="0"/>
        <w:autoSpaceDE/>
        <w:autoSpaceDN/>
        <w:bidi w:val="0"/>
        <w:adjustRightInd w:val="0"/>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虎纹蛙体长可超过12cm ，体重250~500g 。皮肤较为粗糙，头部及体侧有深 色不规则的斑纹。背部呈黄绿色略带棕色，有十几行纵向排列的肤棱，肤棱间散 布小疣粒。腹面白色，也有不规则的斑纹，咽部和胸部还有灰棕色斑。前后肢有 横斑。分布于沟渠、水库、池塘、沼泽地等处，以及附近的草丛中。白天多藏匿 于深浅、大小不一的各种石洞和泥洞中。经访问调查，虎纹蛙在评价区内主要分布于距离场址较远的稻田、池塘、沟渠等静水水域中。</w:t>
      </w:r>
    </w:p>
    <w:p w14:paraId="4A048349">
      <w:pPr>
        <w:pStyle w:val="30"/>
        <w:keepNext w:val="0"/>
        <w:keepLines w:val="0"/>
        <w:pageBreakBefore w:val="0"/>
        <w:widowControl w:val="0"/>
        <w:kinsoku/>
        <w:wordWrap/>
        <w:overflowPunct/>
        <w:topLinePunct w:val="0"/>
        <w:autoSpaceDE/>
        <w:autoSpaceDN/>
        <w:bidi w:val="0"/>
        <w:adjustRightInd w:val="0"/>
        <w:snapToGrid w:val="0"/>
        <w:ind w:left="0" w:leftChars="0" w:firstLine="480" w:firstLineChars="200"/>
        <w:jc w:val="left"/>
        <w:textAlignment w:val="auto"/>
        <w:rPr>
          <w:rFonts w:hint="eastAsia"/>
          <w:i/>
          <w:iCs/>
          <w:color w:val="auto"/>
          <w:highlight w:val="none"/>
          <w:lang w:val="en-US" w:eastAsia="zh-CN"/>
        </w:rPr>
      </w:pPr>
      <w:r>
        <w:rPr>
          <w:rFonts w:hint="eastAsia"/>
          <w:color w:val="auto"/>
          <w:highlight w:val="none"/>
          <w:lang w:val="en-US" w:eastAsia="zh-CN"/>
        </w:rPr>
        <w:t>2)红隼</w:t>
      </w:r>
      <w:r>
        <w:rPr>
          <w:rFonts w:hint="eastAsia"/>
          <w:i/>
          <w:iCs/>
          <w:color w:val="auto"/>
          <w:highlight w:val="none"/>
          <w:lang w:val="en-US" w:eastAsia="zh-CN"/>
        </w:rPr>
        <w:t>Falco tinnunculus</w:t>
      </w:r>
    </w:p>
    <w:p w14:paraId="6323B001">
      <w:pPr>
        <w:pStyle w:val="30"/>
        <w:keepNext w:val="0"/>
        <w:keepLines w:val="0"/>
        <w:pageBreakBefore w:val="0"/>
        <w:widowControl w:val="0"/>
        <w:kinsoku/>
        <w:wordWrap/>
        <w:overflowPunct/>
        <w:topLinePunct w:val="0"/>
        <w:autoSpaceDE/>
        <w:autoSpaceDN/>
        <w:bidi w:val="0"/>
        <w:adjustRightInd w:val="0"/>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小型猛禽。体长 314-360mm ，体重 0.3-0.4kg 。雄鸟头顶、后颈、颈侧蓝灰色，具黑褐色羽干纹，额基、眼先和眉纹棕白色，耳羽灰色，髭纹灰黑色，背、 肩及上覆羽砖红色，各羽具三角形黑褐色横纹。红隼经常在空中盘旋，搜寻地面 上的老鼠、雀形目鸟类、蛙、蜥蜴、松鼠、蛇等小型脊椎动物，也吃蝗虫、蚱蜢、 蟋蟀等昆虫。红隼猎食在白天，主要在空中搜寻，或在空中迎风飞翔，或低空飞 行搜寻猎物，经常扇动两翅在空中作短暂停留观察猎物，一旦锁定目标，则收拢 双翅俯冲而下直扑猎物，然后再从地面上突然飞起，迅速升上高空。栖息于山地森林、林缘、农田等地，常见于农田和林缘地带。。</w:t>
      </w:r>
    </w:p>
    <w:p w14:paraId="35021642">
      <w:pPr>
        <w:pStyle w:val="30"/>
        <w:keepNext w:val="0"/>
        <w:keepLines w:val="0"/>
        <w:pageBreakBefore w:val="0"/>
        <w:widowControl w:val="0"/>
        <w:kinsoku/>
        <w:wordWrap/>
        <w:overflowPunct/>
        <w:topLinePunct w:val="0"/>
        <w:autoSpaceDE/>
        <w:autoSpaceDN/>
        <w:bidi w:val="0"/>
        <w:adjustRightInd w:val="0"/>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 xml:space="preserve">3)松雀鹰 </w:t>
      </w:r>
      <w:r>
        <w:rPr>
          <w:rFonts w:hint="eastAsia"/>
          <w:i/>
          <w:iCs/>
          <w:color w:val="auto"/>
          <w:highlight w:val="none"/>
          <w:lang w:val="en-US" w:eastAsia="zh-CN"/>
        </w:rPr>
        <w:t>Accipiter nisus</w:t>
      </w:r>
    </w:p>
    <w:p w14:paraId="386CE856">
      <w:pPr>
        <w:pStyle w:val="30"/>
        <w:keepNext w:val="0"/>
        <w:keepLines w:val="0"/>
        <w:pageBreakBefore w:val="0"/>
        <w:widowControl w:val="0"/>
        <w:kinsoku/>
        <w:wordWrap/>
        <w:overflowPunct/>
        <w:topLinePunct w:val="0"/>
        <w:autoSpaceDE/>
        <w:autoSpaceDN/>
        <w:bidi w:val="0"/>
        <w:adjustRightInd w:val="0"/>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松雀鹰是鹰科鹰属的小型猛禽，体长30~41cm 。雌较雄略大，翅阔而圆，尾较长。雄鸟上体暗灰色，雌鸟灰褐色，头后杂有少许白色。下体白色或淡灰白色，雄鸟具细密的红褐色横斑，雌鸟具褐色横斑。飞翔时翼后缘略为突出，通常快速鼓动两翅飞一阵后接着又滑翔一会。主要为留鸟，少数迁徙。栖息于茂密的针叶林和常绿阔叶林以及开阔的林缘疏林地带，冬季下常到山脚和平原地带的小块丛林、竹园与河谷地带。主要以雀形目小鸟、昆虫和鼠类为食。</w:t>
      </w:r>
    </w:p>
    <w:p w14:paraId="1B52EB16">
      <w:pPr>
        <w:pStyle w:val="30"/>
        <w:keepNext w:val="0"/>
        <w:keepLines w:val="0"/>
        <w:pageBreakBefore w:val="0"/>
        <w:widowControl w:val="0"/>
        <w:kinsoku/>
        <w:wordWrap/>
        <w:overflowPunct/>
        <w:topLinePunct w:val="0"/>
        <w:autoSpaceDE/>
        <w:autoSpaceDN/>
        <w:bidi w:val="0"/>
        <w:adjustRightInd w:val="0"/>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 xml:space="preserve">4)普通鵟 </w:t>
      </w:r>
      <w:r>
        <w:rPr>
          <w:rFonts w:hint="eastAsia"/>
          <w:i/>
          <w:iCs/>
          <w:color w:val="auto"/>
          <w:highlight w:val="none"/>
          <w:lang w:val="en-US" w:eastAsia="zh-CN"/>
        </w:rPr>
        <w:t>Buteo buteo</w:t>
      </w:r>
    </w:p>
    <w:p w14:paraId="684DDA62">
      <w:pPr>
        <w:pStyle w:val="30"/>
        <w:keepNext w:val="0"/>
        <w:keepLines w:val="0"/>
        <w:pageBreakBefore w:val="0"/>
        <w:widowControl w:val="0"/>
        <w:kinsoku/>
        <w:wordWrap/>
        <w:overflowPunct/>
        <w:topLinePunct w:val="0"/>
        <w:autoSpaceDE/>
        <w:autoSpaceDN/>
        <w:bidi w:val="0"/>
        <w:adjustRightInd w:val="0"/>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普通鵟为中型</w:t>
      </w:r>
      <w:r>
        <w:rPr>
          <w:rFonts w:hint="eastAsia"/>
          <w:color w:val="auto"/>
          <w:highlight w:val="none"/>
          <w:lang w:val="en-US" w:eastAsia="zh-CN"/>
        </w:rPr>
        <w:fldChar w:fldCharType="begin"/>
      </w:r>
      <w:r>
        <w:rPr>
          <w:rFonts w:hint="eastAsia"/>
          <w:color w:val="auto"/>
          <w:highlight w:val="none"/>
          <w:lang w:val="en-US" w:eastAsia="zh-CN"/>
        </w:rPr>
        <w:instrText xml:space="preserve"> HYPERLINK "http://baike.niaolei.org.cn/%E7%8C%9B%E7%A6%BD" </w:instrText>
      </w:r>
      <w:r>
        <w:rPr>
          <w:rFonts w:hint="eastAsia"/>
          <w:color w:val="auto"/>
          <w:highlight w:val="none"/>
          <w:lang w:val="en-US" w:eastAsia="zh-CN"/>
        </w:rPr>
        <w:fldChar w:fldCharType="separate"/>
      </w:r>
      <w:r>
        <w:rPr>
          <w:rFonts w:hint="eastAsia"/>
          <w:color w:val="auto"/>
          <w:highlight w:val="none"/>
          <w:lang w:val="en-US" w:eastAsia="zh-CN"/>
        </w:rPr>
        <w:t>猛禽</w:t>
      </w:r>
      <w:r>
        <w:rPr>
          <w:rFonts w:hint="eastAsia"/>
          <w:color w:val="auto"/>
          <w:highlight w:val="none"/>
          <w:lang w:val="en-US" w:eastAsia="zh-CN"/>
        </w:rPr>
        <w:fldChar w:fldCharType="end"/>
      </w:r>
      <w:r>
        <w:rPr>
          <w:rFonts w:hint="eastAsia"/>
          <w:color w:val="auto"/>
          <w:highlight w:val="none"/>
          <w:lang w:val="en-US" w:eastAsia="zh-CN"/>
        </w:rPr>
        <w:t>，体长50-59cm 。体色变化较大，上体主要为暗褐色，下体主要为暗褐色或淡褐色，翱翔时两翅微向上举成浅“V”字形。常见在开阔平原、 荒漠、旷野、开垦的耕作区、林缘草地和村庄上空盘旋翱翔。以森林鼠类为食， 食量甚大，除啮齿类外，也吃蛙、蜥蜴、蛇、野兔、小鸟和大型昆虫等动物性食物，有时亦到村庄捕食鸡等家禽。</w:t>
      </w:r>
    </w:p>
    <w:p w14:paraId="23B80495">
      <w:pPr>
        <w:pStyle w:val="30"/>
        <w:keepNext w:val="0"/>
        <w:keepLines w:val="0"/>
        <w:pageBreakBefore w:val="0"/>
        <w:widowControl w:val="0"/>
        <w:kinsoku/>
        <w:wordWrap/>
        <w:overflowPunct/>
        <w:topLinePunct w:val="0"/>
        <w:autoSpaceDE/>
        <w:autoSpaceDN/>
        <w:bidi w:val="0"/>
        <w:adjustRightInd w:val="0"/>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 xml:space="preserve">5)蛇雕 </w:t>
      </w:r>
      <w:r>
        <w:rPr>
          <w:rFonts w:hint="eastAsia"/>
          <w:i/>
          <w:iCs/>
          <w:color w:val="auto"/>
          <w:highlight w:val="none"/>
          <w:lang w:val="en-US" w:eastAsia="zh-CN"/>
        </w:rPr>
        <w:t>Spilornis cheela</w:t>
      </w:r>
    </w:p>
    <w:p w14:paraId="74CFBCC8">
      <w:pPr>
        <w:pStyle w:val="30"/>
        <w:keepNext w:val="0"/>
        <w:keepLines w:val="0"/>
        <w:pageBreakBefore w:val="0"/>
        <w:widowControl w:val="0"/>
        <w:kinsoku/>
        <w:wordWrap/>
        <w:overflowPunct/>
        <w:topLinePunct w:val="0"/>
        <w:autoSpaceDE/>
        <w:autoSpaceDN/>
        <w:bidi w:val="0"/>
        <w:adjustRightInd w:val="0"/>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蛇雕体长61～73厘米，大中型</w:t>
      </w:r>
      <w:r>
        <w:rPr>
          <w:rFonts w:hint="eastAsia"/>
          <w:color w:val="auto"/>
          <w:highlight w:val="none"/>
          <w:lang w:val="en-US" w:eastAsia="zh-CN"/>
        </w:rPr>
        <w:fldChar w:fldCharType="begin"/>
      </w:r>
      <w:r>
        <w:rPr>
          <w:rFonts w:hint="eastAsia"/>
          <w:color w:val="auto"/>
          <w:highlight w:val="none"/>
          <w:lang w:val="en-US" w:eastAsia="zh-CN"/>
        </w:rPr>
        <w:instrText xml:space="preserve"> HYPERLINK "https://baike.so.com/doc/2182891-2309738.html" \t "https://baike.so.com/doc/_blank" </w:instrText>
      </w:r>
      <w:r>
        <w:rPr>
          <w:rFonts w:hint="eastAsia"/>
          <w:color w:val="auto"/>
          <w:highlight w:val="none"/>
          <w:lang w:val="en-US" w:eastAsia="zh-CN"/>
        </w:rPr>
        <w:fldChar w:fldCharType="separate"/>
      </w:r>
      <w:r>
        <w:rPr>
          <w:rFonts w:hint="eastAsia"/>
          <w:color w:val="auto"/>
          <w:highlight w:val="none"/>
          <w:lang w:val="en-US" w:eastAsia="zh-CN"/>
        </w:rPr>
        <w:t>鹰</w:t>
      </w:r>
      <w:r>
        <w:rPr>
          <w:rFonts w:hint="eastAsia"/>
          <w:color w:val="auto"/>
          <w:highlight w:val="none"/>
          <w:lang w:val="en-US" w:eastAsia="zh-CN"/>
        </w:rPr>
        <w:fldChar w:fldCharType="end"/>
      </w:r>
      <w:r>
        <w:rPr>
          <w:rFonts w:hint="eastAsia"/>
          <w:color w:val="auto"/>
          <w:highlight w:val="none"/>
          <w:lang w:val="en-US" w:eastAsia="zh-CN"/>
        </w:rPr>
        <w:t>类。头顶具黑色杂白的圆形羽冠，覆盖后头。上体暗褐色，下体土黄色，颏、喉具暗褐色细横纹，腹部有黑白两色虫眼斑。飞羽暗褐色，羽端具白色羽缘；尾黑色，中间有一条宽的淡褐色带斑：尾下覆羽白色。喙灰绿色，蜡膜黄色。跗蹠及趾黄色，爪黑色。多成对活动。栖居于深山高大密林中，喜在林地及林缘活动，在高空盘旋飞翔，发出似啸声的鸣叫。以蛇、蛙、蜥蜴等为食，也吃鼠和鸟类、蟹及其他甲壳动物。用树枝筑巢于高大树上。每年3～5月份繁殖，产卵一枚，卵色乳白或黄白色杂以红棕色污渍。营巢于高树上，用树枝搭成平台式的巢，内铺绿叶。以小型两栖类、爬行类以及鸟类为食。</w:t>
      </w:r>
    </w:p>
    <w:p w14:paraId="2078FA0F">
      <w:pPr>
        <w:pStyle w:val="30"/>
        <w:keepNext w:val="0"/>
        <w:keepLines w:val="0"/>
        <w:pageBreakBefore w:val="0"/>
        <w:widowControl w:val="0"/>
        <w:kinsoku/>
        <w:wordWrap/>
        <w:overflowPunct/>
        <w:topLinePunct w:val="0"/>
        <w:autoSpaceDE/>
        <w:autoSpaceDN/>
        <w:bidi w:val="0"/>
        <w:adjustRightInd w:val="0"/>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 xml:space="preserve">6) 领角鸮 </w:t>
      </w:r>
      <w:r>
        <w:rPr>
          <w:rFonts w:hint="eastAsia"/>
          <w:i/>
          <w:iCs/>
          <w:color w:val="auto"/>
          <w:highlight w:val="none"/>
          <w:lang w:val="en-US" w:eastAsia="zh-CN"/>
        </w:rPr>
        <w:t>Otus lettia</w:t>
      </w:r>
    </w:p>
    <w:p w14:paraId="34BCE83D">
      <w:pPr>
        <w:pStyle w:val="30"/>
        <w:keepNext w:val="0"/>
        <w:keepLines w:val="0"/>
        <w:pageBreakBefore w:val="0"/>
        <w:widowControl w:val="0"/>
        <w:kinsoku/>
        <w:wordWrap/>
        <w:overflowPunct/>
        <w:topLinePunct w:val="0"/>
        <w:autoSpaceDE/>
        <w:autoSpaceDN/>
        <w:bidi w:val="0"/>
        <w:adjustRightInd w:val="0"/>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体型略大 (24cm) 的偏灰或偏褐色角鸮。具明显耳羽簇及特征性的浅沙色颈圈。上体偏灰或沙褐，并多具黑色及皮黄色的杂纹或斑块；下体皮黄色，条纹 黑色。领角鸮栖息于山地阔叶林和混交林中，也出现于山麓林缘和村寨附近树林 内。除繁殖期成对活动外，通常单独活动。 白天多躲藏在树上浓密的枝叶丛间， 晚上才开始活动和鸣叫。主要以鼠类、甲虫、蝗虫和鞘翅目昆虫等为食。生肉且须带骨，否则易因缺乏钙质造成无法站立。</w:t>
      </w:r>
    </w:p>
    <w:p w14:paraId="738DF81B">
      <w:pPr>
        <w:pStyle w:val="30"/>
        <w:keepNext w:val="0"/>
        <w:keepLines w:val="0"/>
        <w:pageBreakBefore w:val="0"/>
        <w:widowControl w:val="0"/>
        <w:kinsoku/>
        <w:wordWrap/>
        <w:overflowPunct/>
        <w:topLinePunct w:val="0"/>
        <w:autoSpaceDE/>
        <w:autoSpaceDN/>
        <w:bidi w:val="0"/>
        <w:adjustRightInd w:val="0"/>
        <w:snapToGrid w:val="0"/>
        <w:ind w:left="0" w:leftChars="0" w:firstLine="480" w:firstLineChars="200"/>
        <w:jc w:val="left"/>
        <w:textAlignment w:val="auto"/>
        <w:rPr>
          <w:rFonts w:hint="eastAsia"/>
          <w:i/>
          <w:iCs/>
          <w:color w:val="auto"/>
          <w:highlight w:val="none"/>
          <w:lang w:val="en-US" w:eastAsia="zh-CN"/>
        </w:rPr>
      </w:pPr>
      <w:r>
        <w:rPr>
          <w:rFonts w:hint="eastAsia"/>
          <w:color w:val="auto"/>
          <w:highlight w:val="none"/>
          <w:lang w:val="en-US" w:eastAsia="zh-CN"/>
        </w:rPr>
        <w:t>7) 斑头鸺鹠</w:t>
      </w:r>
      <w:r>
        <w:rPr>
          <w:rFonts w:hint="eastAsia"/>
          <w:i/>
          <w:iCs/>
          <w:color w:val="auto"/>
          <w:highlight w:val="none"/>
          <w:lang w:val="en-US" w:eastAsia="zh-CN"/>
        </w:rPr>
        <w:t>Glancidium.cuculoides</w:t>
      </w:r>
    </w:p>
    <w:p w14:paraId="3469C11E">
      <w:pPr>
        <w:pStyle w:val="30"/>
        <w:keepNext w:val="0"/>
        <w:keepLines w:val="0"/>
        <w:pageBreakBefore w:val="0"/>
        <w:widowControl w:val="0"/>
        <w:kinsoku/>
        <w:wordWrap/>
        <w:overflowPunct/>
        <w:topLinePunct w:val="0"/>
        <w:autoSpaceDE/>
        <w:autoSpaceDN/>
        <w:bidi w:val="0"/>
        <w:adjustRightInd w:val="0"/>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斑头鸺鹠的头、颈和整个上体包括两翅表面暗褐色，密被细狭的棕白色横斑，尤以头顶横斑特别细小而密。眉纹白色，较短狭。部分肩羽和大覆羽外翈有大的白斑，飞羽黑褐色，外翈缀以棕色或棕白色三角形羽缘斑，内翈有同色横斑；三级飞羽内外翈均具横斑；尾羽黑褐色，具6道显著的白色横斑和羽端斑；颏、颚纹白色，喉中部褐色，具皮黄色横斑；下喉和上胸白色，下胸白色，具褐色横斑；腹白色，具褐色纵纹；尾下覆羽纯白色，跗蹠被羽，白色而杂以褐斑，腋羽纯白色。幼鸟上体横斑较少，有时几乎纯褐色，仅具少许淡色斑点。雄性体重150-210g，雌性153-260g；雄性体长250-260mm，雌性241-260mm。斑头鸺鹠栖息于从平原、低山丘陵到海拔2000m左右的中山地带的阔叶林、</w:t>
      </w:r>
      <w:r>
        <w:rPr>
          <w:rFonts w:hint="eastAsia"/>
          <w:color w:val="auto"/>
          <w:highlight w:val="none"/>
          <w:lang w:val="en-US" w:eastAsia="zh-CN"/>
        </w:rPr>
        <w:fldChar w:fldCharType="begin"/>
      </w:r>
      <w:r>
        <w:rPr>
          <w:rFonts w:hint="eastAsia"/>
          <w:color w:val="auto"/>
          <w:highlight w:val="none"/>
          <w:lang w:val="en-US" w:eastAsia="zh-CN"/>
        </w:rPr>
        <w:instrText xml:space="preserve"> HYPERLINK "https://baike.so.com/doc/5879345-6092218.html" \t "https://baike.so.com/doc/_blank" </w:instrText>
      </w:r>
      <w:r>
        <w:rPr>
          <w:rFonts w:hint="eastAsia"/>
          <w:color w:val="auto"/>
          <w:highlight w:val="none"/>
          <w:lang w:val="en-US" w:eastAsia="zh-CN"/>
        </w:rPr>
        <w:fldChar w:fldCharType="separate"/>
      </w:r>
      <w:r>
        <w:rPr>
          <w:rFonts w:hint="eastAsia"/>
          <w:color w:val="auto"/>
          <w:highlight w:val="none"/>
          <w:lang w:val="en-US" w:eastAsia="zh-CN"/>
        </w:rPr>
        <w:t>混交林</w:t>
      </w:r>
      <w:r>
        <w:rPr>
          <w:rFonts w:hint="eastAsia"/>
          <w:color w:val="auto"/>
          <w:highlight w:val="none"/>
          <w:lang w:val="en-US" w:eastAsia="zh-CN"/>
        </w:rPr>
        <w:fldChar w:fldCharType="end"/>
      </w:r>
      <w:r>
        <w:rPr>
          <w:rFonts w:hint="eastAsia"/>
          <w:color w:val="auto"/>
          <w:highlight w:val="none"/>
          <w:lang w:val="en-US" w:eastAsia="zh-CN"/>
        </w:rPr>
        <w:t>、</w:t>
      </w:r>
      <w:r>
        <w:rPr>
          <w:rFonts w:hint="eastAsia"/>
          <w:color w:val="auto"/>
          <w:highlight w:val="none"/>
          <w:lang w:val="en-US" w:eastAsia="zh-CN"/>
        </w:rPr>
        <w:fldChar w:fldCharType="begin"/>
      </w:r>
      <w:r>
        <w:rPr>
          <w:rFonts w:hint="eastAsia"/>
          <w:color w:val="auto"/>
          <w:highlight w:val="none"/>
          <w:lang w:val="en-US" w:eastAsia="zh-CN"/>
        </w:rPr>
        <w:instrText xml:space="preserve"> HYPERLINK "https://baike.so.com/doc/593070-627782.html" \t "https://baike.so.com/doc/_blank" </w:instrText>
      </w:r>
      <w:r>
        <w:rPr>
          <w:rFonts w:hint="eastAsia"/>
          <w:color w:val="auto"/>
          <w:highlight w:val="none"/>
          <w:lang w:val="en-US" w:eastAsia="zh-CN"/>
        </w:rPr>
        <w:fldChar w:fldCharType="separate"/>
      </w:r>
      <w:r>
        <w:rPr>
          <w:rFonts w:hint="eastAsia"/>
          <w:color w:val="auto"/>
          <w:highlight w:val="none"/>
          <w:lang w:val="en-US" w:eastAsia="zh-CN"/>
        </w:rPr>
        <w:t>次生林</w:t>
      </w:r>
      <w:r>
        <w:rPr>
          <w:rFonts w:hint="eastAsia"/>
          <w:color w:val="auto"/>
          <w:highlight w:val="none"/>
          <w:lang w:val="en-US" w:eastAsia="zh-CN"/>
        </w:rPr>
        <w:fldChar w:fldCharType="end"/>
      </w:r>
      <w:r>
        <w:rPr>
          <w:rFonts w:hint="eastAsia"/>
          <w:color w:val="auto"/>
          <w:highlight w:val="none"/>
          <w:lang w:val="en-US" w:eastAsia="zh-CN"/>
        </w:rPr>
        <w:t>和林缘灌丛，也出现于村寨和农田附近的疏林和树上。</w:t>
      </w:r>
    </w:p>
    <w:p w14:paraId="244413DA">
      <w:pPr>
        <w:pStyle w:val="30"/>
        <w:keepNext w:val="0"/>
        <w:keepLines w:val="0"/>
        <w:pageBreakBefore w:val="0"/>
        <w:widowControl w:val="0"/>
        <w:kinsoku/>
        <w:wordWrap/>
        <w:overflowPunct/>
        <w:topLinePunct w:val="0"/>
        <w:autoSpaceDE/>
        <w:autoSpaceDN/>
        <w:bidi w:val="0"/>
        <w:adjustRightInd w:val="0"/>
        <w:snapToGrid w:val="0"/>
        <w:ind w:left="0" w:leftChars="0" w:firstLine="480" w:firstLineChars="200"/>
        <w:jc w:val="left"/>
        <w:textAlignment w:val="auto"/>
        <w:rPr>
          <w:rFonts w:hint="eastAsia"/>
          <w:i/>
          <w:iCs/>
          <w:color w:val="auto"/>
          <w:highlight w:val="none"/>
          <w:lang w:val="en-US" w:eastAsia="zh-CN"/>
        </w:rPr>
      </w:pPr>
      <w:r>
        <w:rPr>
          <w:rFonts w:hint="eastAsia"/>
          <w:color w:val="auto"/>
          <w:highlight w:val="none"/>
          <w:lang w:val="en-US" w:eastAsia="zh-CN"/>
        </w:rPr>
        <w:t>8) 小鸦鹃</w:t>
      </w:r>
      <w:r>
        <w:rPr>
          <w:rFonts w:hint="eastAsia"/>
          <w:i/>
          <w:iCs/>
          <w:color w:val="auto"/>
          <w:highlight w:val="none"/>
          <w:lang w:val="en-US" w:eastAsia="zh-CN"/>
        </w:rPr>
        <w:t>Centropus bengalensis</w:t>
      </w:r>
    </w:p>
    <w:p w14:paraId="3FFD04FC">
      <w:pPr>
        <w:pStyle w:val="30"/>
        <w:keepNext w:val="0"/>
        <w:keepLines w:val="0"/>
        <w:pageBreakBefore w:val="0"/>
        <w:widowControl w:val="0"/>
        <w:kinsoku/>
        <w:wordWrap/>
        <w:overflowPunct/>
        <w:topLinePunct w:val="0"/>
        <w:autoSpaceDE/>
        <w:autoSpaceDN/>
        <w:bidi w:val="0"/>
        <w:adjustRightInd w:val="0"/>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小鸦鹃头、颈、上背及下体黑色，具深蓝色光泽和亮黑色羽干纹。下背和尾上覆羽淡黑色，具蓝色光泽；尾黑色，具绿色金属光泽和窄的白色尖端；肩、肩内侧和两翅栗色，翅端和内侧次级飞羽较暗褐，显露出淡栗色羽干。小鸦鹃的虹膜深红色，幼鸟黄褐色；嘴黑色，幼鸟角黄色，仅嘴基和尖端较黑；脚铅黑色。雄性小鸦鹃体重85-140g，雌性105-167g；雄性体长301-380mm，雌性332-398mm。小鸦鹃栖息于低山丘陵和开阔鲍山脚平原地带的灌丛、草丛、果园和次生林中。</w:t>
      </w:r>
    </w:p>
    <w:p w14:paraId="257BF232">
      <w:pPr>
        <w:pStyle w:val="30"/>
        <w:keepNext w:val="0"/>
        <w:keepLines w:val="0"/>
        <w:pageBreakBefore w:val="0"/>
        <w:widowControl w:val="0"/>
        <w:kinsoku/>
        <w:wordWrap/>
        <w:overflowPunct/>
        <w:topLinePunct w:val="0"/>
        <w:autoSpaceDE/>
        <w:autoSpaceDN/>
        <w:bidi w:val="0"/>
        <w:adjustRightInd w:val="0"/>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9) 画眉</w:t>
      </w:r>
      <w:r>
        <w:rPr>
          <w:rFonts w:hint="eastAsia"/>
          <w:i/>
          <w:iCs/>
          <w:color w:val="auto"/>
          <w:highlight w:val="none"/>
          <w:lang w:val="en-US" w:eastAsia="zh-CN"/>
        </w:rPr>
        <w:t>Garrulax caniyus</w:t>
      </w:r>
    </w:p>
    <w:p w14:paraId="4F2357BE">
      <w:pPr>
        <w:pStyle w:val="30"/>
        <w:keepNext w:val="0"/>
        <w:keepLines w:val="0"/>
        <w:pageBreakBefore w:val="0"/>
        <w:widowControl w:val="0"/>
        <w:kinsoku/>
        <w:wordWrap/>
        <w:overflowPunct/>
        <w:topLinePunct w:val="0"/>
        <w:autoSpaceDE/>
        <w:autoSpaceDN/>
        <w:bidi w:val="0"/>
        <w:adjustRightInd w:val="0"/>
        <w:snapToGrid w:val="0"/>
        <w:ind w:left="0" w:leftChars="0" w:firstLine="480" w:firstLineChars="200"/>
        <w:jc w:val="left"/>
        <w:textAlignment w:val="auto"/>
        <w:rPr>
          <w:rFonts w:hint="eastAsia"/>
          <w:color w:val="auto"/>
          <w:highlight w:val="none"/>
          <w:lang w:val="en-US" w:eastAsia="zh-CN"/>
        </w:rPr>
      </w:pPr>
      <w:r>
        <w:rPr>
          <w:rFonts w:hint="eastAsia"/>
          <w:color w:val="auto"/>
          <w:highlight w:val="none"/>
          <w:lang w:val="en-US" w:eastAsia="zh-CN"/>
        </w:rPr>
        <w:t>体型略小（22厘米）的棕褐色鹛。特征为白色的眼圈在眼后延伸成狭窄的眉纹（画眉的名称由此而来）。顶冠及颈背有偏黑色纵纹。虹膜－黄色；嘴－偏黄；脚－偏黄。主要栖息于海拔1500米以下的低山、丘陵和山脚平原地带的矮树丛和灌木丛中，也栖于林缘、农田、旷野、村落和城镇附近小树丛、竹林及庭园内。杂食性，但在繁殖季节嗜食昆虫，其中有很多是农林害虫，如蝗虫、蝽象、松毛虫以及多种蛾类幼虫等；在非繁殖季节以野果和草籽等为食，偶尔也啄食豌豆及玉米等幼苗。</w:t>
      </w:r>
    </w:p>
    <w:tbl>
      <w:tblPr>
        <w:tblStyle w:val="38"/>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0"/>
        <w:gridCol w:w="4316"/>
        <w:gridCol w:w="29"/>
        <w:gridCol w:w="3943"/>
        <w:gridCol w:w="38"/>
      </w:tblGrid>
      <w:tr w14:paraId="444EE8C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4417" w:type="dxa"/>
            <w:gridSpan w:val="3"/>
            <w:tcBorders>
              <w:tl2br w:val="nil"/>
              <w:tr2bl w:val="nil"/>
            </w:tcBorders>
            <w:noWrap w:val="0"/>
            <w:vAlign w:val="center"/>
          </w:tcPr>
          <w:p w14:paraId="6ABEF2DC">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color w:val="auto"/>
                <w:sz w:val="21"/>
                <w:szCs w:val="21"/>
                <w:highlight w:val="none"/>
              </w:rPr>
            </w:pPr>
            <w:r>
              <w:rPr>
                <w:color w:val="auto"/>
                <w:sz w:val="21"/>
                <w:szCs w:val="21"/>
                <w:highlight w:val="none"/>
              </w:rPr>
              <w:drawing>
                <wp:inline distT="0" distB="0" distL="114300" distR="114300">
                  <wp:extent cx="2683510" cy="1891665"/>
                  <wp:effectExtent l="0" t="0" r="2540" b="13335"/>
                  <wp:docPr id="7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0"/>
                          <pic:cNvPicPr>
                            <a:picLocks noChangeAspect="1"/>
                          </pic:cNvPicPr>
                        </pic:nvPicPr>
                        <pic:blipFill>
                          <a:blip r:embed="rId46"/>
                          <a:stretch>
                            <a:fillRect/>
                          </a:stretch>
                        </pic:blipFill>
                        <pic:spPr>
                          <a:xfrm>
                            <a:off x="0" y="0"/>
                            <a:ext cx="2683510" cy="1891665"/>
                          </a:xfrm>
                          <a:prstGeom prst="rect">
                            <a:avLst/>
                          </a:prstGeom>
                          <a:noFill/>
                          <a:ln>
                            <a:noFill/>
                          </a:ln>
                        </pic:spPr>
                      </pic:pic>
                    </a:graphicData>
                  </a:graphic>
                </wp:inline>
              </w:drawing>
            </w:r>
          </w:p>
        </w:tc>
        <w:tc>
          <w:tcPr>
            <w:tcW w:w="4039" w:type="dxa"/>
            <w:gridSpan w:val="2"/>
            <w:tcBorders>
              <w:tl2br w:val="nil"/>
              <w:tr2bl w:val="nil"/>
            </w:tcBorders>
            <w:noWrap w:val="0"/>
            <w:vAlign w:val="center"/>
          </w:tcPr>
          <w:p w14:paraId="780B12E4">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color w:val="auto"/>
                <w:sz w:val="21"/>
                <w:szCs w:val="21"/>
                <w:highlight w:val="none"/>
              </w:rPr>
            </w:pPr>
            <w:r>
              <w:rPr>
                <w:color w:val="auto"/>
                <w:sz w:val="21"/>
                <w:szCs w:val="21"/>
                <w:highlight w:val="none"/>
              </w:rPr>
              <w:drawing>
                <wp:inline distT="0" distB="0" distL="114300" distR="114300">
                  <wp:extent cx="2562225" cy="1908175"/>
                  <wp:effectExtent l="0" t="0" r="9525" b="15875"/>
                  <wp:docPr id="6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41"/>
                          <pic:cNvPicPr>
                            <a:picLocks noChangeAspect="1"/>
                          </pic:cNvPicPr>
                        </pic:nvPicPr>
                        <pic:blipFill>
                          <a:blip r:embed="rId47"/>
                          <a:stretch>
                            <a:fillRect/>
                          </a:stretch>
                        </pic:blipFill>
                        <pic:spPr>
                          <a:xfrm>
                            <a:off x="0" y="0"/>
                            <a:ext cx="2562225" cy="1908175"/>
                          </a:xfrm>
                          <a:prstGeom prst="rect">
                            <a:avLst/>
                          </a:prstGeom>
                          <a:noFill/>
                          <a:ln>
                            <a:noFill/>
                          </a:ln>
                        </pic:spPr>
                      </pic:pic>
                    </a:graphicData>
                  </a:graphic>
                </wp:inline>
              </w:drawing>
            </w:r>
          </w:p>
        </w:tc>
      </w:tr>
      <w:tr w14:paraId="5945138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4417" w:type="dxa"/>
            <w:gridSpan w:val="3"/>
            <w:tcBorders>
              <w:tl2br w:val="nil"/>
              <w:tr2bl w:val="nil"/>
            </w:tcBorders>
            <w:noWrap w:val="0"/>
            <w:vAlign w:val="center"/>
          </w:tcPr>
          <w:p w14:paraId="33593A74">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rPr>
                <w:rFonts w:ascii="宋体" w:hAnsi="宋体" w:eastAsia="宋体" w:cs="宋体"/>
                <w:color w:val="auto"/>
                <w:sz w:val="21"/>
                <w:szCs w:val="21"/>
                <w:highlight w:val="none"/>
              </w:rPr>
            </w:pPr>
            <w:r>
              <w:rPr>
                <w:rFonts w:hint="eastAsia"/>
                <w:color w:val="auto"/>
                <w:sz w:val="21"/>
                <w:szCs w:val="21"/>
                <w:highlight w:val="none"/>
                <w:lang w:val="en-US" w:eastAsia="zh-CN"/>
              </w:rPr>
              <w:t xml:space="preserve">虎纹蛙 </w:t>
            </w:r>
            <w:r>
              <w:rPr>
                <w:rFonts w:hint="eastAsia"/>
                <w:i/>
                <w:iCs/>
                <w:color w:val="auto"/>
                <w:sz w:val="21"/>
                <w:szCs w:val="21"/>
                <w:highlight w:val="none"/>
                <w:lang w:val="en-US" w:eastAsia="zh-CN"/>
              </w:rPr>
              <w:t>Hoplobatrachus chinensis</w:t>
            </w:r>
          </w:p>
        </w:tc>
        <w:tc>
          <w:tcPr>
            <w:tcW w:w="4039" w:type="dxa"/>
            <w:gridSpan w:val="2"/>
            <w:tcBorders>
              <w:tl2br w:val="nil"/>
              <w:tr2bl w:val="nil"/>
            </w:tcBorders>
            <w:noWrap w:val="0"/>
            <w:vAlign w:val="center"/>
          </w:tcPr>
          <w:p w14:paraId="41D47926">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rPr>
                <w:rFonts w:ascii="宋体" w:hAnsi="宋体" w:eastAsia="宋体" w:cs="宋体"/>
                <w:color w:val="auto"/>
                <w:sz w:val="21"/>
                <w:szCs w:val="21"/>
                <w:highlight w:val="none"/>
              </w:rPr>
            </w:pPr>
            <w:r>
              <w:rPr>
                <w:rFonts w:hint="eastAsia"/>
                <w:color w:val="auto"/>
                <w:sz w:val="21"/>
                <w:szCs w:val="21"/>
                <w:highlight w:val="none"/>
                <w:lang w:val="en-US" w:eastAsia="zh-CN"/>
              </w:rPr>
              <w:t>红隼</w:t>
            </w:r>
            <w:r>
              <w:rPr>
                <w:rFonts w:hint="eastAsia"/>
                <w:i/>
                <w:iCs/>
                <w:color w:val="auto"/>
                <w:sz w:val="21"/>
                <w:szCs w:val="21"/>
                <w:highlight w:val="none"/>
                <w:lang w:val="en-US" w:eastAsia="zh-CN"/>
              </w:rPr>
              <w:t>Falco tinnunculus</w:t>
            </w:r>
          </w:p>
        </w:tc>
      </w:tr>
      <w:tr w14:paraId="791307D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4417" w:type="dxa"/>
            <w:gridSpan w:val="3"/>
            <w:tcBorders>
              <w:tl2br w:val="nil"/>
              <w:tr2bl w:val="nil"/>
            </w:tcBorders>
            <w:noWrap w:val="0"/>
            <w:vAlign w:val="center"/>
          </w:tcPr>
          <w:p w14:paraId="4ACE910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color w:val="auto"/>
                <w:sz w:val="21"/>
                <w:szCs w:val="21"/>
                <w:highlight w:val="none"/>
              </w:rPr>
            </w:pPr>
            <w:r>
              <w:rPr>
                <w:color w:val="auto"/>
                <w:sz w:val="21"/>
                <w:szCs w:val="21"/>
                <w:highlight w:val="none"/>
              </w:rPr>
              <w:drawing>
                <wp:inline distT="0" distB="0" distL="114300" distR="114300">
                  <wp:extent cx="2546985" cy="2021205"/>
                  <wp:effectExtent l="0" t="0" r="5715" b="17145"/>
                  <wp:docPr id="6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2"/>
                          <pic:cNvPicPr>
                            <a:picLocks noChangeAspect="1"/>
                          </pic:cNvPicPr>
                        </pic:nvPicPr>
                        <pic:blipFill>
                          <a:blip r:embed="rId48"/>
                          <a:stretch>
                            <a:fillRect/>
                          </a:stretch>
                        </pic:blipFill>
                        <pic:spPr>
                          <a:xfrm>
                            <a:off x="0" y="0"/>
                            <a:ext cx="2546985" cy="2021205"/>
                          </a:xfrm>
                          <a:prstGeom prst="rect">
                            <a:avLst/>
                          </a:prstGeom>
                          <a:noFill/>
                          <a:ln>
                            <a:noFill/>
                          </a:ln>
                        </pic:spPr>
                      </pic:pic>
                    </a:graphicData>
                  </a:graphic>
                </wp:inline>
              </w:drawing>
            </w:r>
          </w:p>
        </w:tc>
        <w:tc>
          <w:tcPr>
            <w:tcW w:w="4039" w:type="dxa"/>
            <w:gridSpan w:val="2"/>
            <w:tcBorders>
              <w:tl2br w:val="nil"/>
              <w:tr2bl w:val="nil"/>
            </w:tcBorders>
            <w:noWrap w:val="0"/>
            <w:vAlign w:val="center"/>
          </w:tcPr>
          <w:p w14:paraId="5F72DAB3">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color w:val="auto"/>
                <w:sz w:val="21"/>
                <w:szCs w:val="21"/>
                <w:highlight w:val="none"/>
              </w:rPr>
            </w:pPr>
            <w:r>
              <w:rPr>
                <w:color w:val="auto"/>
                <w:sz w:val="21"/>
                <w:szCs w:val="21"/>
                <w:highlight w:val="none"/>
              </w:rPr>
              <w:drawing>
                <wp:inline distT="0" distB="0" distL="114300" distR="114300">
                  <wp:extent cx="2556510" cy="2019300"/>
                  <wp:effectExtent l="0" t="0" r="15240" b="0"/>
                  <wp:docPr id="6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43"/>
                          <pic:cNvPicPr>
                            <a:picLocks noChangeAspect="1"/>
                          </pic:cNvPicPr>
                        </pic:nvPicPr>
                        <pic:blipFill>
                          <a:blip r:embed="rId49"/>
                          <a:stretch>
                            <a:fillRect/>
                          </a:stretch>
                        </pic:blipFill>
                        <pic:spPr>
                          <a:xfrm>
                            <a:off x="0" y="0"/>
                            <a:ext cx="2556510" cy="2019300"/>
                          </a:xfrm>
                          <a:prstGeom prst="rect">
                            <a:avLst/>
                          </a:prstGeom>
                          <a:noFill/>
                          <a:ln>
                            <a:noFill/>
                          </a:ln>
                        </pic:spPr>
                      </pic:pic>
                    </a:graphicData>
                  </a:graphic>
                </wp:inline>
              </w:drawing>
            </w:r>
          </w:p>
        </w:tc>
      </w:tr>
      <w:tr w14:paraId="75DF664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4417" w:type="dxa"/>
            <w:gridSpan w:val="3"/>
            <w:tcBorders>
              <w:tl2br w:val="nil"/>
              <w:tr2bl w:val="nil"/>
            </w:tcBorders>
            <w:noWrap w:val="0"/>
            <w:vAlign w:val="center"/>
          </w:tcPr>
          <w:p w14:paraId="3DEB6AD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rPr>
                <w:rFonts w:ascii="宋体" w:hAnsi="宋体" w:eastAsia="宋体" w:cs="宋体"/>
                <w:color w:val="auto"/>
                <w:sz w:val="21"/>
                <w:szCs w:val="21"/>
                <w:highlight w:val="none"/>
              </w:rPr>
            </w:pPr>
            <w:r>
              <w:rPr>
                <w:rFonts w:hint="eastAsia"/>
                <w:color w:val="auto"/>
                <w:sz w:val="21"/>
                <w:szCs w:val="21"/>
                <w:highlight w:val="none"/>
                <w:lang w:val="en-US" w:eastAsia="zh-CN"/>
              </w:rPr>
              <w:t xml:space="preserve">松雀鹰 </w:t>
            </w:r>
            <w:r>
              <w:rPr>
                <w:rFonts w:hint="eastAsia"/>
                <w:i/>
                <w:iCs/>
                <w:color w:val="auto"/>
                <w:sz w:val="21"/>
                <w:szCs w:val="21"/>
                <w:highlight w:val="none"/>
                <w:lang w:val="en-US" w:eastAsia="zh-CN"/>
              </w:rPr>
              <w:t>Accipiter nisus</w:t>
            </w:r>
          </w:p>
        </w:tc>
        <w:tc>
          <w:tcPr>
            <w:tcW w:w="4039" w:type="dxa"/>
            <w:gridSpan w:val="2"/>
            <w:tcBorders>
              <w:tl2br w:val="nil"/>
              <w:tr2bl w:val="nil"/>
            </w:tcBorders>
            <w:noWrap w:val="0"/>
            <w:vAlign w:val="center"/>
          </w:tcPr>
          <w:p w14:paraId="0A31060F">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rPr>
                <w:rFonts w:ascii="宋体" w:hAnsi="宋体" w:eastAsia="宋体" w:cs="宋体"/>
                <w:color w:val="auto"/>
                <w:sz w:val="21"/>
                <w:szCs w:val="21"/>
                <w:highlight w:val="none"/>
              </w:rPr>
            </w:pPr>
            <w:r>
              <w:rPr>
                <w:rFonts w:hint="eastAsia"/>
                <w:color w:val="auto"/>
                <w:sz w:val="21"/>
                <w:szCs w:val="21"/>
                <w:highlight w:val="none"/>
                <w:lang w:val="en-US" w:eastAsia="zh-CN"/>
              </w:rPr>
              <w:t xml:space="preserve">普通鵟 </w:t>
            </w:r>
            <w:r>
              <w:rPr>
                <w:rFonts w:hint="eastAsia"/>
                <w:i/>
                <w:iCs/>
                <w:color w:val="auto"/>
                <w:sz w:val="21"/>
                <w:szCs w:val="21"/>
                <w:highlight w:val="none"/>
                <w:lang w:val="en-US" w:eastAsia="zh-CN"/>
              </w:rPr>
              <w:t>Buteo buteo</w:t>
            </w:r>
          </w:p>
        </w:tc>
      </w:tr>
      <w:tr w14:paraId="16A6DBB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4417" w:type="dxa"/>
            <w:gridSpan w:val="3"/>
            <w:tcBorders>
              <w:tl2br w:val="nil"/>
              <w:tr2bl w:val="nil"/>
            </w:tcBorders>
            <w:noWrap w:val="0"/>
            <w:vAlign w:val="center"/>
          </w:tcPr>
          <w:p w14:paraId="450F1824">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color w:val="auto"/>
                <w:sz w:val="21"/>
                <w:szCs w:val="21"/>
                <w:highlight w:val="none"/>
              </w:rPr>
            </w:pPr>
            <w:r>
              <w:rPr>
                <w:color w:val="auto"/>
                <w:sz w:val="21"/>
                <w:szCs w:val="21"/>
                <w:highlight w:val="none"/>
              </w:rPr>
              <w:drawing>
                <wp:inline distT="0" distB="0" distL="114300" distR="114300">
                  <wp:extent cx="2798445" cy="2155825"/>
                  <wp:effectExtent l="0" t="0" r="1905" b="15875"/>
                  <wp:docPr id="7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4"/>
                          <pic:cNvPicPr>
                            <a:picLocks noChangeAspect="1"/>
                          </pic:cNvPicPr>
                        </pic:nvPicPr>
                        <pic:blipFill>
                          <a:blip r:embed="rId50"/>
                          <a:stretch>
                            <a:fillRect/>
                          </a:stretch>
                        </pic:blipFill>
                        <pic:spPr>
                          <a:xfrm>
                            <a:off x="0" y="0"/>
                            <a:ext cx="2798445" cy="2155825"/>
                          </a:xfrm>
                          <a:prstGeom prst="rect">
                            <a:avLst/>
                          </a:prstGeom>
                          <a:noFill/>
                          <a:ln>
                            <a:noFill/>
                          </a:ln>
                        </pic:spPr>
                      </pic:pic>
                    </a:graphicData>
                  </a:graphic>
                </wp:inline>
              </w:drawing>
            </w:r>
          </w:p>
        </w:tc>
        <w:tc>
          <w:tcPr>
            <w:tcW w:w="4039" w:type="dxa"/>
            <w:gridSpan w:val="2"/>
            <w:tcBorders>
              <w:tl2br w:val="nil"/>
              <w:tr2bl w:val="nil"/>
            </w:tcBorders>
            <w:noWrap w:val="0"/>
            <w:vAlign w:val="center"/>
          </w:tcPr>
          <w:p w14:paraId="736597A8">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color w:val="auto"/>
                <w:sz w:val="21"/>
                <w:szCs w:val="21"/>
                <w:highlight w:val="none"/>
              </w:rPr>
            </w:pPr>
            <w:r>
              <w:rPr>
                <w:color w:val="auto"/>
                <w:sz w:val="21"/>
                <w:szCs w:val="21"/>
                <w:highlight w:val="none"/>
              </w:rPr>
              <w:drawing>
                <wp:inline distT="0" distB="0" distL="114300" distR="114300">
                  <wp:extent cx="2470150" cy="1739900"/>
                  <wp:effectExtent l="0" t="0" r="6350" b="12700"/>
                  <wp:docPr id="6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5"/>
                          <pic:cNvPicPr>
                            <a:picLocks noChangeAspect="1"/>
                          </pic:cNvPicPr>
                        </pic:nvPicPr>
                        <pic:blipFill>
                          <a:blip r:embed="rId51"/>
                          <a:stretch>
                            <a:fillRect/>
                          </a:stretch>
                        </pic:blipFill>
                        <pic:spPr>
                          <a:xfrm>
                            <a:off x="0" y="0"/>
                            <a:ext cx="2470150" cy="1739900"/>
                          </a:xfrm>
                          <a:prstGeom prst="rect">
                            <a:avLst/>
                          </a:prstGeom>
                          <a:noFill/>
                          <a:ln>
                            <a:noFill/>
                          </a:ln>
                        </pic:spPr>
                      </pic:pic>
                    </a:graphicData>
                  </a:graphic>
                </wp:inline>
              </w:drawing>
            </w:r>
          </w:p>
        </w:tc>
      </w:tr>
      <w:tr w14:paraId="1B7A9BD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4417" w:type="dxa"/>
            <w:gridSpan w:val="3"/>
            <w:tcBorders>
              <w:tl2br w:val="nil"/>
              <w:tr2bl w:val="nil"/>
            </w:tcBorders>
            <w:noWrap w:val="0"/>
            <w:vAlign w:val="center"/>
          </w:tcPr>
          <w:p w14:paraId="0DAF8EB4">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rPr>
                <w:rFonts w:ascii="宋体" w:hAnsi="宋体" w:eastAsia="宋体" w:cs="宋体"/>
                <w:color w:val="auto"/>
                <w:sz w:val="21"/>
                <w:szCs w:val="21"/>
                <w:highlight w:val="none"/>
              </w:rPr>
            </w:pPr>
            <w:r>
              <w:rPr>
                <w:rFonts w:hint="eastAsia"/>
                <w:color w:val="auto"/>
                <w:sz w:val="21"/>
                <w:szCs w:val="21"/>
                <w:highlight w:val="none"/>
                <w:lang w:val="en-US" w:eastAsia="zh-CN"/>
              </w:rPr>
              <w:t xml:space="preserve">蛇雕 </w:t>
            </w:r>
            <w:r>
              <w:rPr>
                <w:rFonts w:hint="eastAsia"/>
                <w:i/>
                <w:iCs/>
                <w:color w:val="auto"/>
                <w:sz w:val="21"/>
                <w:szCs w:val="21"/>
                <w:highlight w:val="none"/>
                <w:lang w:val="en-US" w:eastAsia="zh-CN"/>
              </w:rPr>
              <w:t>Spilornis cheela</w:t>
            </w:r>
          </w:p>
        </w:tc>
        <w:tc>
          <w:tcPr>
            <w:tcW w:w="4039" w:type="dxa"/>
            <w:gridSpan w:val="2"/>
            <w:tcBorders>
              <w:tl2br w:val="nil"/>
              <w:tr2bl w:val="nil"/>
            </w:tcBorders>
            <w:noWrap w:val="0"/>
            <w:vAlign w:val="center"/>
          </w:tcPr>
          <w:p w14:paraId="57D30C42">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rPr>
                <w:rFonts w:ascii="宋体" w:hAnsi="宋体" w:eastAsia="宋体" w:cs="宋体"/>
                <w:color w:val="auto"/>
                <w:sz w:val="21"/>
                <w:szCs w:val="21"/>
                <w:highlight w:val="none"/>
              </w:rPr>
            </w:pPr>
            <w:r>
              <w:rPr>
                <w:rFonts w:hint="eastAsia"/>
                <w:color w:val="auto"/>
                <w:sz w:val="21"/>
                <w:szCs w:val="21"/>
                <w:highlight w:val="none"/>
                <w:lang w:val="en-US" w:eastAsia="zh-CN"/>
              </w:rPr>
              <w:t xml:space="preserve">领角鸮 </w:t>
            </w:r>
            <w:r>
              <w:rPr>
                <w:rFonts w:hint="eastAsia"/>
                <w:i/>
                <w:iCs/>
                <w:color w:val="auto"/>
                <w:sz w:val="21"/>
                <w:szCs w:val="21"/>
                <w:highlight w:val="none"/>
                <w:lang w:val="en-US" w:eastAsia="zh-CN"/>
              </w:rPr>
              <w:t>Otus lettia</w:t>
            </w:r>
          </w:p>
        </w:tc>
      </w:tr>
      <w:tr w14:paraId="52113AD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Before w:val="1"/>
          <w:gridAfter w:val="1"/>
          <w:wBefore w:w="10" w:type="dxa"/>
          <w:wAfter w:w="39" w:type="dxa"/>
          <w:trHeight w:val="340" w:hRule="atLeast"/>
          <w:jc w:val="center"/>
        </w:trPr>
        <w:tc>
          <w:tcPr>
            <w:tcW w:w="4378" w:type="dxa"/>
            <w:tcBorders>
              <w:tl2br w:val="nil"/>
              <w:tr2bl w:val="nil"/>
            </w:tcBorders>
            <w:noWrap w:val="0"/>
            <w:vAlign w:val="center"/>
          </w:tcPr>
          <w:p w14:paraId="728ED260">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color w:val="auto"/>
                <w:sz w:val="21"/>
                <w:szCs w:val="21"/>
                <w:highlight w:val="none"/>
              </w:rPr>
            </w:pPr>
            <w:r>
              <w:rPr>
                <w:color w:val="auto"/>
                <w:sz w:val="21"/>
                <w:szCs w:val="21"/>
                <w:highlight w:val="none"/>
              </w:rPr>
              <w:drawing>
                <wp:inline distT="0" distB="0" distL="114300" distR="114300">
                  <wp:extent cx="2769870" cy="2044700"/>
                  <wp:effectExtent l="0" t="0" r="11430" b="12700"/>
                  <wp:docPr id="6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6"/>
                          <pic:cNvPicPr>
                            <a:picLocks noChangeAspect="1"/>
                          </pic:cNvPicPr>
                        </pic:nvPicPr>
                        <pic:blipFill>
                          <a:blip r:embed="rId52"/>
                          <a:stretch>
                            <a:fillRect/>
                          </a:stretch>
                        </pic:blipFill>
                        <pic:spPr>
                          <a:xfrm>
                            <a:off x="0" y="0"/>
                            <a:ext cx="2769870" cy="2044700"/>
                          </a:xfrm>
                          <a:prstGeom prst="rect">
                            <a:avLst/>
                          </a:prstGeom>
                          <a:noFill/>
                          <a:ln>
                            <a:noFill/>
                          </a:ln>
                        </pic:spPr>
                      </pic:pic>
                    </a:graphicData>
                  </a:graphic>
                </wp:inline>
              </w:drawing>
            </w:r>
          </w:p>
        </w:tc>
        <w:tc>
          <w:tcPr>
            <w:tcW w:w="4029" w:type="dxa"/>
            <w:gridSpan w:val="2"/>
            <w:tcBorders>
              <w:tl2br w:val="nil"/>
              <w:tr2bl w:val="nil"/>
            </w:tcBorders>
            <w:noWrap w:val="0"/>
            <w:vAlign w:val="center"/>
          </w:tcPr>
          <w:p w14:paraId="49D38DE5">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color w:val="auto"/>
                <w:sz w:val="21"/>
                <w:szCs w:val="21"/>
                <w:highlight w:val="none"/>
              </w:rPr>
            </w:pPr>
            <w:r>
              <w:rPr>
                <w:color w:val="auto"/>
                <w:sz w:val="21"/>
                <w:szCs w:val="21"/>
                <w:highlight w:val="none"/>
              </w:rPr>
              <w:drawing>
                <wp:inline distT="0" distB="0" distL="114300" distR="114300">
                  <wp:extent cx="2553335" cy="2068195"/>
                  <wp:effectExtent l="0" t="0" r="18415" b="8255"/>
                  <wp:docPr id="72"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7"/>
                          <pic:cNvPicPr>
                            <a:picLocks noChangeAspect="1"/>
                          </pic:cNvPicPr>
                        </pic:nvPicPr>
                        <pic:blipFill>
                          <a:blip r:embed="rId53"/>
                          <a:stretch>
                            <a:fillRect/>
                          </a:stretch>
                        </pic:blipFill>
                        <pic:spPr>
                          <a:xfrm>
                            <a:off x="0" y="0"/>
                            <a:ext cx="2553335" cy="2068195"/>
                          </a:xfrm>
                          <a:prstGeom prst="rect">
                            <a:avLst/>
                          </a:prstGeom>
                          <a:noFill/>
                          <a:ln>
                            <a:noFill/>
                          </a:ln>
                        </pic:spPr>
                      </pic:pic>
                    </a:graphicData>
                  </a:graphic>
                </wp:inline>
              </w:drawing>
            </w:r>
          </w:p>
        </w:tc>
      </w:tr>
      <w:tr w14:paraId="3620324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Before w:val="1"/>
          <w:gridAfter w:val="1"/>
          <w:wBefore w:w="10" w:type="dxa"/>
          <w:wAfter w:w="39" w:type="dxa"/>
          <w:trHeight w:val="340" w:hRule="atLeast"/>
          <w:jc w:val="center"/>
        </w:trPr>
        <w:tc>
          <w:tcPr>
            <w:tcW w:w="4378" w:type="dxa"/>
            <w:tcBorders>
              <w:tl2br w:val="nil"/>
              <w:tr2bl w:val="nil"/>
            </w:tcBorders>
            <w:noWrap w:val="0"/>
            <w:vAlign w:val="center"/>
          </w:tcPr>
          <w:p w14:paraId="15B1E328">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rPr>
                <w:rFonts w:ascii="宋体" w:hAnsi="宋体" w:eastAsia="宋体" w:cs="宋体"/>
                <w:color w:val="auto"/>
                <w:sz w:val="21"/>
                <w:szCs w:val="21"/>
                <w:highlight w:val="none"/>
              </w:rPr>
            </w:pPr>
            <w:r>
              <w:rPr>
                <w:rFonts w:hint="eastAsia"/>
                <w:color w:val="auto"/>
                <w:sz w:val="21"/>
                <w:szCs w:val="21"/>
                <w:highlight w:val="none"/>
                <w:lang w:val="en-US" w:eastAsia="zh-CN"/>
              </w:rPr>
              <w:t xml:space="preserve">斑头鸺鹠 </w:t>
            </w:r>
            <w:r>
              <w:rPr>
                <w:rFonts w:hint="eastAsia"/>
                <w:i/>
                <w:iCs/>
                <w:color w:val="auto"/>
                <w:sz w:val="21"/>
                <w:szCs w:val="21"/>
                <w:highlight w:val="none"/>
                <w:lang w:val="en-US" w:eastAsia="zh-CN"/>
              </w:rPr>
              <w:t>lancidium.cuculoides</w:t>
            </w:r>
          </w:p>
        </w:tc>
        <w:tc>
          <w:tcPr>
            <w:tcW w:w="4029" w:type="dxa"/>
            <w:gridSpan w:val="2"/>
            <w:tcBorders>
              <w:tl2br w:val="nil"/>
              <w:tr2bl w:val="nil"/>
            </w:tcBorders>
            <w:noWrap w:val="0"/>
            <w:vAlign w:val="center"/>
          </w:tcPr>
          <w:p w14:paraId="76006E2E">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rPr>
                <w:rFonts w:ascii="宋体" w:hAnsi="宋体" w:eastAsia="宋体" w:cs="宋体"/>
                <w:color w:val="auto"/>
                <w:sz w:val="21"/>
                <w:szCs w:val="21"/>
                <w:highlight w:val="none"/>
              </w:rPr>
            </w:pPr>
            <w:r>
              <w:rPr>
                <w:rFonts w:hint="eastAsia"/>
                <w:color w:val="auto"/>
                <w:sz w:val="21"/>
                <w:szCs w:val="21"/>
                <w:highlight w:val="none"/>
                <w:lang w:val="en-US" w:eastAsia="zh-CN"/>
              </w:rPr>
              <w:t>小鸦鹃</w:t>
            </w:r>
            <w:r>
              <w:rPr>
                <w:rFonts w:hint="eastAsia"/>
                <w:i/>
                <w:iCs/>
                <w:color w:val="auto"/>
                <w:sz w:val="21"/>
                <w:szCs w:val="21"/>
                <w:highlight w:val="none"/>
                <w:lang w:val="en-US" w:eastAsia="zh-CN"/>
              </w:rPr>
              <w:t>Centropus bengalensis</w:t>
            </w:r>
          </w:p>
        </w:tc>
      </w:tr>
      <w:tr w14:paraId="49E8B3B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Before w:val="1"/>
          <w:gridAfter w:val="1"/>
          <w:wBefore w:w="10" w:type="dxa"/>
          <w:wAfter w:w="39" w:type="dxa"/>
          <w:trHeight w:val="340" w:hRule="atLeast"/>
          <w:jc w:val="center"/>
        </w:trPr>
        <w:tc>
          <w:tcPr>
            <w:tcW w:w="4378" w:type="dxa"/>
            <w:tcBorders>
              <w:tl2br w:val="nil"/>
              <w:tr2bl w:val="nil"/>
            </w:tcBorders>
            <w:noWrap w:val="0"/>
            <w:vAlign w:val="center"/>
          </w:tcPr>
          <w:p w14:paraId="54D2305E">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color w:val="auto"/>
                <w:sz w:val="21"/>
                <w:szCs w:val="21"/>
                <w:highlight w:val="none"/>
              </w:rPr>
            </w:pPr>
            <w:r>
              <w:rPr>
                <w:color w:val="auto"/>
                <w:sz w:val="21"/>
                <w:szCs w:val="21"/>
                <w:highlight w:val="none"/>
              </w:rPr>
              <w:drawing>
                <wp:inline distT="0" distB="0" distL="114300" distR="114300">
                  <wp:extent cx="2661285" cy="2025015"/>
                  <wp:effectExtent l="0" t="0" r="5715" b="13335"/>
                  <wp:docPr id="7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48"/>
                          <pic:cNvPicPr>
                            <a:picLocks noChangeAspect="1"/>
                          </pic:cNvPicPr>
                        </pic:nvPicPr>
                        <pic:blipFill>
                          <a:blip r:embed="rId54"/>
                          <a:stretch>
                            <a:fillRect/>
                          </a:stretch>
                        </pic:blipFill>
                        <pic:spPr>
                          <a:xfrm>
                            <a:off x="0" y="0"/>
                            <a:ext cx="2661285" cy="2025015"/>
                          </a:xfrm>
                          <a:prstGeom prst="rect">
                            <a:avLst/>
                          </a:prstGeom>
                          <a:noFill/>
                          <a:ln>
                            <a:noFill/>
                          </a:ln>
                        </pic:spPr>
                      </pic:pic>
                    </a:graphicData>
                  </a:graphic>
                </wp:inline>
              </w:drawing>
            </w:r>
          </w:p>
        </w:tc>
        <w:tc>
          <w:tcPr>
            <w:tcW w:w="4029" w:type="dxa"/>
            <w:gridSpan w:val="2"/>
            <w:tcBorders>
              <w:tl2br w:val="nil"/>
              <w:tr2bl w:val="nil"/>
            </w:tcBorders>
            <w:noWrap w:val="0"/>
            <w:vAlign w:val="center"/>
          </w:tcPr>
          <w:p w14:paraId="3AF7FB82">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textAlignment w:val="center"/>
              <w:rPr>
                <w:rFonts w:hint="eastAsia" w:eastAsia="宋体"/>
                <w:color w:val="auto"/>
                <w:sz w:val="21"/>
                <w:szCs w:val="21"/>
                <w:highlight w:val="none"/>
                <w:lang w:val="en-US" w:eastAsia="zh-CN"/>
              </w:rPr>
            </w:pPr>
            <w:r>
              <w:rPr>
                <w:rFonts w:hint="eastAsia"/>
                <w:color w:val="auto"/>
                <w:sz w:val="21"/>
                <w:szCs w:val="21"/>
                <w:highlight w:val="none"/>
                <w:lang w:val="en-US" w:eastAsia="zh-CN"/>
              </w:rPr>
              <w:t>/</w:t>
            </w:r>
          </w:p>
        </w:tc>
      </w:tr>
      <w:tr w14:paraId="7D11D07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gridBefore w:val="1"/>
          <w:gridAfter w:val="1"/>
          <w:wBefore w:w="10" w:type="dxa"/>
          <w:wAfter w:w="39" w:type="dxa"/>
          <w:trHeight w:val="340" w:hRule="atLeast"/>
          <w:jc w:val="center"/>
        </w:trPr>
        <w:tc>
          <w:tcPr>
            <w:tcW w:w="4407" w:type="dxa"/>
            <w:gridSpan w:val="2"/>
            <w:tcBorders>
              <w:tl2br w:val="nil"/>
              <w:tr2bl w:val="nil"/>
            </w:tcBorders>
            <w:noWrap w:val="0"/>
            <w:vAlign w:val="center"/>
          </w:tcPr>
          <w:p w14:paraId="24085F3B">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rPr>
                <w:rFonts w:ascii="宋体" w:hAnsi="宋体" w:eastAsia="宋体" w:cs="宋体"/>
                <w:color w:val="auto"/>
                <w:sz w:val="21"/>
                <w:szCs w:val="21"/>
                <w:highlight w:val="none"/>
              </w:rPr>
            </w:pPr>
            <w:r>
              <w:rPr>
                <w:rFonts w:hint="eastAsia"/>
                <w:color w:val="auto"/>
                <w:sz w:val="21"/>
                <w:szCs w:val="21"/>
                <w:highlight w:val="none"/>
                <w:lang w:val="en-US" w:eastAsia="zh-CN"/>
              </w:rPr>
              <w:t>画眉</w:t>
            </w:r>
            <w:r>
              <w:rPr>
                <w:rFonts w:hint="eastAsia"/>
                <w:i/>
                <w:iCs/>
                <w:color w:val="auto"/>
                <w:sz w:val="21"/>
                <w:szCs w:val="21"/>
                <w:highlight w:val="none"/>
                <w:lang w:val="en-US" w:eastAsia="zh-CN"/>
              </w:rPr>
              <w:t>Garrulax caniyus</w:t>
            </w:r>
          </w:p>
        </w:tc>
        <w:tc>
          <w:tcPr>
            <w:tcW w:w="4000" w:type="dxa"/>
            <w:tcBorders>
              <w:tl2br w:val="nil"/>
              <w:tr2bl w:val="nil"/>
            </w:tcBorders>
            <w:noWrap w:val="0"/>
            <w:vAlign w:val="center"/>
          </w:tcPr>
          <w:p w14:paraId="73CA971D">
            <w:pPr>
              <w:keepNext w:val="0"/>
              <w:keepLines w:val="0"/>
              <w:pageBreakBefore w:val="0"/>
              <w:widowControl w:val="0"/>
              <w:kinsoku/>
              <w:wordWrap/>
              <w:overflowPunct/>
              <w:topLinePunct w:val="0"/>
              <w:autoSpaceDE/>
              <w:autoSpaceDN/>
              <w:bidi w:val="0"/>
              <w:adjustRightInd w:val="0"/>
              <w:snapToGrid w:val="0"/>
              <w:spacing w:line="240" w:lineRule="auto"/>
              <w:ind w:left="0" w:right="0" w:firstLine="0" w:firstLineChars="0"/>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w:t>
            </w:r>
          </w:p>
        </w:tc>
      </w:tr>
    </w:tbl>
    <w:p w14:paraId="5FA78BB3">
      <w:pPr>
        <w:pStyle w:val="30"/>
        <w:keepNext w:val="0"/>
        <w:keepLines w:val="0"/>
        <w:pageBreakBefore w:val="0"/>
        <w:widowControl w:val="0"/>
        <w:kinsoku/>
        <w:wordWrap/>
        <w:overflowPunct/>
        <w:topLinePunct w:val="0"/>
        <w:autoSpaceDE/>
        <w:autoSpaceDN/>
        <w:bidi w:val="0"/>
        <w:adjustRightInd w:val="0"/>
        <w:snapToGrid w:val="0"/>
        <w:ind w:left="0" w:leftChars="0" w:firstLine="482" w:firstLineChars="200"/>
        <w:jc w:val="left"/>
        <w:textAlignment w:val="auto"/>
        <w:rPr>
          <w:rFonts w:hint="eastAsia"/>
          <w:b/>
          <w:bCs/>
          <w:color w:val="auto"/>
          <w:highlight w:val="none"/>
          <w:lang w:val="en-US" w:eastAsia="zh-CN"/>
        </w:rPr>
      </w:pPr>
      <w:r>
        <w:rPr>
          <w:rFonts w:hint="eastAsia"/>
          <w:b/>
          <w:bCs/>
          <w:color w:val="auto"/>
          <w:highlight w:val="none"/>
          <w:lang w:val="en-US" w:eastAsia="zh-CN"/>
        </w:rPr>
        <w:t>湖南省重点保护野生动物种类介绍</w:t>
      </w:r>
    </w:p>
    <w:p w14:paraId="72D2CB11">
      <w:pPr>
        <w:pStyle w:val="30"/>
        <w:ind w:left="0" w:leftChars="0" w:firstLine="480" w:firstLineChars="200"/>
        <w:jc w:val="both"/>
        <w:rPr>
          <w:rFonts w:hint="eastAsia"/>
          <w:color w:val="auto"/>
          <w:highlight w:val="none"/>
          <w:lang w:val="en-US" w:eastAsia="zh-CN"/>
        </w:rPr>
      </w:pPr>
      <w:r>
        <w:rPr>
          <w:rFonts w:hint="eastAsia"/>
          <w:color w:val="auto"/>
          <w:highlight w:val="none"/>
          <w:lang w:val="en-US" w:eastAsia="zh-CN"/>
        </w:rPr>
        <w:t>评价区内陆生脊椎动物中，有湖南省重点保护动物86种，包括中华蟾蜍、沼蛙、黑斑侧褶蛙、泽陆蛙、饰纹姬蛙、中国石龙子、铜蜓蜥、王锦蛇、滑鼠蛇、乌梢蛇、银环蛇、灰胸竹鸡、环颈雉、山斑鸠、普通翠鸟、领雀嘴鹎、棕背伯劳、隐纹花松鼠、野猪、小麂、华南兔等。评价区省级重点保护野生动物名录见表5.3.5-4。</w:t>
      </w:r>
    </w:p>
    <w:p w14:paraId="4F90821B">
      <w:pPr>
        <w:pStyle w:val="46"/>
        <w:bidi w:val="0"/>
        <w:rPr>
          <w:rFonts w:hint="default"/>
        </w:rPr>
      </w:pPr>
      <w:r>
        <w:rPr>
          <w:rFonts w:hint="default"/>
        </w:rPr>
        <w:t>表</w:t>
      </w:r>
      <w:r>
        <w:rPr>
          <w:rFonts w:hint="eastAsia"/>
          <w:lang w:val="en-US" w:eastAsia="zh-CN"/>
        </w:rPr>
        <w:t xml:space="preserve">5.3.5-4 </w:t>
      </w:r>
      <w:r>
        <w:rPr>
          <w:rFonts w:hint="default"/>
        </w:rPr>
        <w:t xml:space="preserve"> 评价区湖南省级重点保护野生动物名录</w:t>
      </w:r>
    </w:p>
    <w:tbl>
      <w:tblPr>
        <w:tblStyle w:val="38"/>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2739"/>
        <w:gridCol w:w="2685"/>
        <w:gridCol w:w="1153"/>
        <w:gridCol w:w="1009"/>
        <w:gridCol w:w="750"/>
      </w:tblGrid>
      <w:tr w14:paraId="25FA654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7AF2B572">
            <w:pPr>
              <w:pStyle w:val="23"/>
              <w:bidi w:val="0"/>
              <w:jc w:val="center"/>
              <w:rPr>
                <w:rFonts w:hint="default"/>
                <w:color w:val="auto"/>
                <w:highlight w:val="none"/>
              </w:rPr>
            </w:pPr>
            <w:r>
              <w:rPr>
                <w:rFonts w:hint="default"/>
                <w:color w:val="auto"/>
                <w:highlight w:val="none"/>
              </w:rPr>
              <w:t>种名</w:t>
            </w:r>
          </w:p>
        </w:tc>
        <w:tc>
          <w:tcPr>
            <w:tcW w:w="2721" w:type="dxa"/>
            <w:tcBorders>
              <w:tl2br w:val="nil"/>
              <w:tr2bl w:val="nil"/>
            </w:tcBorders>
            <w:noWrap w:val="0"/>
            <w:vAlign w:val="center"/>
          </w:tcPr>
          <w:p w14:paraId="57C64E2F">
            <w:pPr>
              <w:pStyle w:val="23"/>
              <w:bidi w:val="0"/>
              <w:jc w:val="center"/>
              <w:rPr>
                <w:rFonts w:hint="default"/>
                <w:color w:val="auto"/>
                <w:highlight w:val="none"/>
              </w:rPr>
            </w:pPr>
            <w:r>
              <w:rPr>
                <w:rFonts w:hint="default"/>
                <w:color w:val="auto"/>
                <w:highlight w:val="none"/>
              </w:rPr>
              <w:t>分布区域</w:t>
            </w:r>
          </w:p>
        </w:tc>
        <w:tc>
          <w:tcPr>
            <w:tcW w:w="1168" w:type="dxa"/>
            <w:tcBorders>
              <w:tl2br w:val="nil"/>
              <w:tr2bl w:val="nil"/>
            </w:tcBorders>
            <w:noWrap w:val="0"/>
            <w:vAlign w:val="center"/>
          </w:tcPr>
          <w:p w14:paraId="2D27133F">
            <w:pPr>
              <w:pStyle w:val="23"/>
              <w:bidi w:val="0"/>
              <w:jc w:val="center"/>
              <w:rPr>
                <w:rFonts w:hint="default"/>
                <w:color w:val="auto"/>
                <w:highlight w:val="none"/>
              </w:rPr>
            </w:pPr>
            <w:r>
              <w:rPr>
                <w:rFonts w:hint="default"/>
                <w:color w:val="auto"/>
                <w:highlight w:val="none"/>
              </w:rPr>
              <w:t>居留型 (鸟类)</w:t>
            </w:r>
          </w:p>
        </w:tc>
        <w:tc>
          <w:tcPr>
            <w:tcW w:w="1023" w:type="dxa"/>
            <w:tcBorders>
              <w:tl2br w:val="nil"/>
              <w:tr2bl w:val="nil"/>
            </w:tcBorders>
            <w:noWrap w:val="0"/>
            <w:vAlign w:val="center"/>
          </w:tcPr>
          <w:p w14:paraId="1944C78C">
            <w:pPr>
              <w:pStyle w:val="23"/>
              <w:bidi w:val="0"/>
              <w:jc w:val="center"/>
              <w:rPr>
                <w:rFonts w:hint="default"/>
                <w:color w:val="auto"/>
                <w:highlight w:val="none"/>
              </w:rPr>
            </w:pPr>
            <w:r>
              <w:rPr>
                <w:rFonts w:hint="default"/>
                <w:color w:val="auto"/>
                <w:highlight w:val="none"/>
              </w:rPr>
              <w:t>区系</w:t>
            </w:r>
          </w:p>
          <w:p w14:paraId="4F0C94B0">
            <w:pPr>
              <w:pStyle w:val="23"/>
              <w:bidi w:val="0"/>
              <w:jc w:val="center"/>
              <w:rPr>
                <w:rFonts w:hint="default"/>
                <w:color w:val="auto"/>
                <w:highlight w:val="none"/>
              </w:rPr>
            </w:pPr>
            <w:r>
              <w:rPr>
                <w:rFonts w:hint="default"/>
                <w:color w:val="auto"/>
                <w:highlight w:val="none"/>
              </w:rPr>
              <w:t>类型</w:t>
            </w:r>
          </w:p>
        </w:tc>
        <w:tc>
          <w:tcPr>
            <w:tcW w:w="760" w:type="dxa"/>
            <w:tcBorders>
              <w:tl2br w:val="nil"/>
              <w:tr2bl w:val="nil"/>
            </w:tcBorders>
            <w:noWrap w:val="0"/>
            <w:vAlign w:val="center"/>
          </w:tcPr>
          <w:p w14:paraId="72340E7E">
            <w:pPr>
              <w:pStyle w:val="23"/>
              <w:bidi w:val="0"/>
              <w:jc w:val="center"/>
              <w:rPr>
                <w:rFonts w:hint="default"/>
                <w:color w:val="auto"/>
                <w:highlight w:val="none"/>
              </w:rPr>
            </w:pPr>
            <w:r>
              <w:rPr>
                <w:rFonts w:hint="default"/>
                <w:color w:val="auto"/>
                <w:highlight w:val="none"/>
              </w:rPr>
              <w:t>保护</w:t>
            </w:r>
          </w:p>
          <w:p w14:paraId="5AEB60F3">
            <w:pPr>
              <w:pStyle w:val="23"/>
              <w:bidi w:val="0"/>
              <w:jc w:val="center"/>
              <w:rPr>
                <w:rFonts w:hint="default"/>
                <w:color w:val="auto"/>
                <w:highlight w:val="none"/>
              </w:rPr>
            </w:pPr>
            <w:r>
              <w:rPr>
                <w:rFonts w:hint="default"/>
                <w:color w:val="auto"/>
                <w:highlight w:val="none"/>
              </w:rPr>
              <w:t>等级</w:t>
            </w:r>
          </w:p>
        </w:tc>
      </w:tr>
      <w:tr w14:paraId="76555F7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2319E292">
            <w:pPr>
              <w:pStyle w:val="23"/>
              <w:bidi w:val="0"/>
              <w:jc w:val="center"/>
              <w:rPr>
                <w:rFonts w:hint="default"/>
                <w:color w:val="auto"/>
                <w:highlight w:val="none"/>
              </w:rPr>
            </w:pPr>
            <w:r>
              <w:rPr>
                <w:rFonts w:hint="default"/>
                <w:color w:val="auto"/>
                <w:highlight w:val="none"/>
              </w:rPr>
              <w:t>1.中华蟾蜍</w:t>
            </w:r>
          </w:p>
          <w:p w14:paraId="62E12990">
            <w:pPr>
              <w:pStyle w:val="23"/>
              <w:bidi w:val="0"/>
              <w:jc w:val="center"/>
              <w:rPr>
                <w:rFonts w:hint="default"/>
                <w:color w:val="auto"/>
                <w:highlight w:val="none"/>
              </w:rPr>
            </w:pPr>
            <w:r>
              <w:rPr>
                <w:rFonts w:hint="default"/>
                <w:i/>
                <w:iCs/>
                <w:color w:val="auto"/>
                <w:highlight w:val="none"/>
              </w:rPr>
              <w:t>Bufo gargarizans</w:t>
            </w:r>
          </w:p>
        </w:tc>
        <w:tc>
          <w:tcPr>
            <w:tcW w:w="2721" w:type="dxa"/>
            <w:tcBorders>
              <w:tl2br w:val="nil"/>
              <w:tr2bl w:val="nil"/>
            </w:tcBorders>
            <w:noWrap w:val="0"/>
            <w:vAlign w:val="center"/>
          </w:tcPr>
          <w:p w14:paraId="6CA02A0A">
            <w:pPr>
              <w:pStyle w:val="23"/>
              <w:bidi w:val="0"/>
              <w:jc w:val="center"/>
              <w:rPr>
                <w:rFonts w:hint="default"/>
                <w:color w:val="auto"/>
                <w:highlight w:val="none"/>
              </w:rPr>
            </w:pPr>
            <w:r>
              <w:rPr>
                <w:rFonts w:hint="default"/>
                <w:color w:val="auto"/>
                <w:highlight w:val="none"/>
              </w:rPr>
              <w:t>评价区林下、草丛、耕地、水塘附近广泛分布</w:t>
            </w:r>
          </w:p>
        </w:tc>
        <w:tc>
          <w:tcPr>
            <w:tcW w:w="1168" w:type="dxa"/>
            <w:tcBorders>
              <w:tl2br w:val="nil"/>
              <w:tr2bl w:val="nil"/>
            </w:tcBorders>
            <w:noWrap w:val="0"/>
            <w:vAlign w:val="center"/>
          </w:tcPr>
          <w:p w14:paraId="0B57BC45">
            <w:pPr>
              <w:pStyle w:val="23"/>
              <w:bidi w:val="0"/>
              <w:jc w:val="center"/>
              <w:rPr>
                <w:rFonts w:hint="default"/>
                <w:color w:val="auto"/>
                <w:highlight w:val="none"/>
              </w:rPr>
            </w:pPr>
          </w:p>
        </w:tc>
        <w:tc>
          <w:tcPr>
            <w:tcW w:w="1023" w:type="dxa"/>
            <w:tcBorders>
              <w:tl2br w:val="nil"/>
              <w:tr2bl w:val="nil"/>
            </w:tcBorders>
            <w:noWrap w:val="0"/>
            <w:vAlign w:val="center"/>
          </w:tcPr>
          <w:p w14:paraId="3780EEDF">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533C1C54">
            <w:pPr>
              <w:pStyle w:val="23"/>
              <w:bidi w:val="0"/>
              <w:jc w:val="center"/>
              <w:rPr>
                <w:rFonts w:hint="default"/>
                <w:color w:val="auto"/>
                <w:highlight w:val="none"/>
              </w:rPr>
            </w:pPr>
            <w:r>
              <w:rPr>
                <w:rFonts w:hint="default"/>
                <w:color w:val="auto"/>
                <w:highlight w:val="none"/>
              </w:rPr>
              <w:t>省级</w:t>
            </w:r>
          </w:p>
        </w:tc>
      </w:tr>
      <w:tr w14:paraId="593D242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672DCBA5">
            <w:pPr>
              <w:pStyle w:val="23"/>
              <w:bidi w:val="0"/>
              <w:jc w:val="center"/>
              <w:rPr>
                <w:rFonts w:hint="default"/>
                <w:color w:val="auto"/>
                <w:highlight w:val="none"/>
              </w:rPr>
            </w:pPr>
            <w:r>
              <w:rPr>
                <w:rFonts w:hint="default"/>
                <w:color w:val="auto"/>
                <w:highlight w:val="none"/>
              </w:rPr>
              <w:t>2.沼蛙</w:t>
            </w:r>
          </w:p>
          <w:p w14:paraId="74BA8BD3">
            <w:pPr>
              <w:pStyle w:val="23"/>
              <w:bidi w:val="0"/>
              <w:jc w:val="center"/>
              <w:rPr>
                <w:rFonts w:hint="default"/>
                <w:color w:val="auto"/>
                <w:highlight w:val="none"/>
              </w:rPr>
            </w:pPr>
            <w:r>
              <w:rPr>
                <w:rFonts w:hint="default"/>
                <w:i/>
                <w:iCs/>
                <w:color w:val="auto"/>
                <w:highlight w:val="none"/>
              </w:rPr>
              <w:t>Boulengerana guentheri</w:t>
            </w:r>
          </w:p>
        </w:tc>
        <w:tc>
          <w:tcPr>
            <w:tcW w:w="2721" w:type="dxa"/>
            <w:tcBorders>
              <w:tl2br w:val="nil"/>
              <w:tr2bl w:val="nil"/>
            </w:tcBorders>
            <w:noWrap w:val="0"/>
            <w:vAlign w:val="center"/>
          </w:tcPr>
          <w:p w14:paraId="4123A667">
            <w:pPr>
              <w:pStyle w:val="23"/>
              <w:bidi w:val="0"/>
              <w:jc w:val="center"/>
              <w:rPr>
                <w:rFonts w:hint="default"/>
                <w:color w:val="auto"/>
                <w:highlight w:val="none"/>
              </w:rPr>
            </w:pPr>
            <w:r>
              <w:rPr>
                <w:rFonts w:hint="default"/>
                <w:color w:val="auto"/>
                <w:highlight w:val="none"/>
              </w:rPr>
              <w:t>评价区稻田、水塘等静水水域</w:t>
            </w:r>
          </w:p>
        </w:tc>
        <w:tc>
          <w:tcPr>
            <w:tcW w:w="1168" w:type="dxa"/>
            <w:tcBorders>
              <w:tl2br w:val="nil"/>
              <w:tr2bl w:val="nil"/>
            </w:tcBorders>
            <w:noWrap w:val="0"/>
            <w:vAlign w:val="center"/>
          </w:tcPr>
          <w:p w14:paraId="44EAADEC">
            <w:pPr>
              <w:pStyle w:val="23"/>
              <w:bidi w:val="0"/>
              <w:jc w:val="center"/>
              <w:rPr>
                <w:rFonts w:hint="default"/>
                <w:color w:val="auto"/>
                <w:highlight w:val="none"/>
              </w:rPr>
            </w:pPr>
          </w:p>
        </w:tc>
        <w:tc>
          <w:tcPr>
            <w:tcW w:w="1023" w:type="dxa"/>
            <w:tcBorders>
              <w:tl2br w:val="nil"/>
              <w:tr2bl w:val="nil"/>
            </w:tcBorders>
            <w:noWrap w:val="0"/>
            <w:vAlign w:val="center"/>
          </w:tcPr>
          <w:p w14:paraId="0DC4AE14">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3B01B81C">
            <w:pPr>
              <w:pStyle w:val="23"/>
              <w:bidi w:val="0"/>
              <w:jc w:val="center"/>
              <w:rPr>
                <w:rFonts w:hint="default"/>
                <w:color w:val="auto"/>
                <w:highlight w:val="none"/>
              </w:rPr>
            </w:pPr>
            <w:r>
              <w:rPr>
                <w:rFonts w:hint="default"/>
                <w:color w:val="auto"/>
                <w:highlight w:val="none"/>
              </w:rPr>
              <w:t>省级</w:t>
            </w:r>
          </w:p>
        </w:tc>
      </w:tr>
      <w:tr w14:paraId="3D447F8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54B07997">
            <w:pPr>
              <w:pStyle w:val="23"/>
              <w:bidi w:val="0"/>
              <w:jc w:val="center"/>
              <w:rPr>
                <w:rFonts w:hint="default"/>
                <w:color w:val="auto"/>
                <w:highlight w:val="none"/>
              </w:rPr>
            </w:pPr>
            <w:r>
              <w:rPr>
                <w:rFonts w:hint="default"/>
                <w:color w:val="auto"/>
                <w:highlight w:val="none"/>
              </w:rPr>
              <w:t>3.黑斑侧褶蛙</w:t>
            </w:r>
          </w:p>
          <w:p w14:paraId="07F102F0">
            <w:pPr>
              <w:pStyle w:val="23"/>
              <w:bidi w:val="0"/>
              <w:jc w:val="center"/>
              <w:rPr>
                <w:rFonts w:hint="default"/>
                <w:color w:val="auto"/>
                <w:highlight w:val="none"/>
              </w:rPr>
            </w:pPr>
            <w:r>
              <w:rPr>
                <w:rFonts w:hint="default"/>
                <w:i/>
                <w:iCs/>
                <w:color w:val="auto"/>
                <w:highlight w:val="none"/>
              </w:rPr>
              <w:t>Pelophylax nigromaculatus</w:t>
            </w:r>
          </w:p>
        </w:tc>
        <w:tc>
          <w:tcPr>
            <w:tcW w:w="2721" w:type="dxa"/>
            <w:tcBorders>
              <w:tl2br w:val="nil"/>
              <w:tr2bl w:val="nil"/>
            </w:tcBorders>
            <w:noWrap w:val="0"/>
            <w:vAlign w:val="center"/>
          </w:tcPr>
          <w:p w14:paraId="2090ADE9">
            <w:pPr>
              <w:pStyle w:val="23"/>
              <w:bidi w:val="0"/>
              <w:jc w:val="center"/>
              <w:rPr>
                <w:rFonts w:hint="default"/>
                <w:color w:val="auto"/>
                <w:highlight w:val="none"/>
              </w:rPr>
            </w:pPr>
            <w:r>
              <w:rPr>
                <w:rFonts w:hint="default"/>
                <w:color w:val="auto"/>
                <w:highlight w:val="none"/>
              </w:rPr>
              <w:t>评价区水域附近稻田、沟渠、池塘</w:t>
            </w:r>
          </w:p>
        </w:tc>
        <w:tc>
          <w:tcPr>
            <w:tcW w:w="1168" w:type="dxa"/>
            <w:tcBorders>
              <w:tl2br w:val="nil"/>
              <w:tr2bl w:val="nil"/>
            </w:tcBorders>
            <w:noWrap w:val="0"/>
            <w:vAlign w:val="center"/>
          </w:tcPr>
          <w:p w14:paraId="7CA5F77D">
            <w:pPr>
              <w:pStyle w:val="23"/>
              <w:bidi w:val="0"/>
              <w:jc w:val="center"/>
              <w:rPr>
                <w:rFonts w:hint="default"/>
                <w:color w:val="auto"/>
                <w:highlight w:val="none"/>
              </w:rPr>
            </w:pPr>
          </w:p>
        </w:tc>
        <w:tc>
          <w:tcPr>
            <w:tcW w:w="1023" w:type="dxa"/>
            <w:tcBorders>
              <w:tl2br w:val="nil"/>
              <w:tr2bl w:val="nil"/>
            </w:tcBorders>
            <w:noWrap w:val="0"/>
            <w:vAlign w:val="center"/>
          </w:tcPr>
          <w:p w14:paraId="2E2DBFE9">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097277B1">
            <w:pPr>
              <w:pStyle w:val="23"/>
              <w:bidi w:val="0"/>
              <w:jc w:val="center"/>
              <w:rPr>
                <w:rFonts w:hint="default"/>
                <w:color w:val="auto"/>
                <w:highlight w:val="none"/>
              </w:rPr>
            </w:pPr>
            <w:r>
              <w:rPr>
                <w:rFonts w:hint="default"/>
                <w:color w:val="auto"/>
                <w:highlight w:val="none"/>
              </w:rPr>
              <w:t>省级</w:t>
            </w:r>
          </w:p>
        </w:tc>
      </w:tr>
      <w:tr w14:paraId="4E557E3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0FF92C7F">
            <w:pPr>
              <w:pStyle w:val="23"/>
              <w:bidi w:val="0"/>
              <w:jc w:val="center"/>
              <w:rPr>
                <w:rFonts w:hint="default"/>
                <w:color w:val="auto"/>
                <w:highlight w:val="none"/>
              </w:rPr>
            </w:pPr>
            <w:r>
              <w:rPr>
                <w:rFonts w:hint="default"/>
                <w:color w:val="auto"/>
                <w:highlight w:val="none"/>
              </w:rPr>
              <w:t>4.湖北侧褶蛙</w:t>
            </w:r>
          </w:p>
          <w:p w14:paraId="38AD0E67">
            <w:pPr>
              <w:pStyle w:val="23"/>
              <w:bidi w:val="0"/>
              <w:jc w:val="center"/>
              <w:rPr>
                <w:rFonts w:hint="default"/>
                <w:color w:val="auto"/>
                <w:highlight w:val="none"/>
              </w:rPr>
            </w:pPr>
            <w:r>
              <w:rPr>
                <w:rFonts w:hint="default"/>
                <w:i/>
                <w:iCs/>
                <w:color w:val="auto"/>
                <w:highlight w:val="none"/>
              </w:rPr>
              <w:t>Pelophylax hubeiensis</w:t>
            </w:r>
          </w:p>
        </w:tc>
        <w:tc>
          <w:tcPr>
            <w:tcW w:w="2721" w:type="dxa"/>
            <w:tcBorders>
              <w:tl2br w:val="nil"/>
              <w:tr2bl w:val="nil"/>
            </w:tcBorders>
            <w:noWrap w:val="0"/>
            <w:vAlign w:val="center"/>
          </w:tcPr>
          <w:p w14:paraId="56DD76A4">
            <w:pPr>
              <w:pStyle w:val="23"/>
              <w:bidi w:val="0"/>
              <w:jc w:val="center"/>
              <w:rPr>
                <w:rFonts w:hint="default"/>
                <w:color w:val="auto"/>
                <w:highlight w:val="none"/>
              </w:rPr>
            </w:pPr>
            <w:r>
              <w:rPr>
                <w:rFonts w:hint="default"/>
                <w:color w:val="auto"/>
                <w:highlight w:val="none"/>
              </w:rPr>
              <w:t>栖息于评价区的稻田、水塘</w:t>
            </w:r>
          </w:p>
        </w:tc>
        <w:tc>
          <w:tcPr>
            <w:tcW w:w="1168" w:type="dxa"/>
            <w:tcBorders>
              <w:tl2br w:val="nil"/>
              <w:tr2bl w:val="nil"/>
            </w:tcBorders>
            <w:noWrap w:val="0"/>
            <w:vAlign w:val="center"/>
          </w:tcPr>
          <w:p w14:paraId="54417514">
            <w:pPr>
              <w:pStyle w:val="23"/>
              <w:bidi w:val="0"/>
              <w:jc w:val="center"/>
              <w:rPr>
                <w:rFonts w:hint="default"/>
                <w:color w:val="auto"/>
                <w:highlight w:val="none"/>
              </w:rPr>
            </w:pPr>
          </w:p>
        </w:tc>
        <w:tc>
          <w:tcPr>
            <w:tcW w:w="1023" w:type="dxa"/>
            <w:tcBorders>
              <w:tl2br w:val="nil"/>
              <w:tr2bl w:val="nil"/>
            </w:tcBorders>
            <w:noWrap w:val="0"/>
            <w:vAlign w:val="center"/>
          </w:tcPr>
          <w:p w14:paraId="1959C5EC">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3C141AA3">
            <w:pPr>
              <w:pStyle w:val="23"/>
              <w:bidi w:val="0"/>
              <w:jc w:val="center"/>
              <w:rPr>
                <w:rFonts w:hint="default"/>
                <w:color w:val="auto"/>
                <w:highlight w:val="none"/>
              </w:rPr>
            </w:pPr>
            <w:r>
              <w:rPr>
                <w:rFonts w:hint="default"/>
                <w:color w:val="auto"/>
                <w:highlight w:val="none"/>
              </w:rPr>
              <w:t>省级</w:t>
            </w:r>
          </w:p>
        </w:tc>
      </w:tr>
      <w:tr w14:paraId="0CCB54E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34EBF9B9">
            <w:pPr>
              <w:pStyle w:val="23"/>
              <w:bidi w:val="0"/>
              <w:jc w:val="center"/>
              <w:rPr>
                <w:rFonts w:hint="default"/>
                <w:color w:val="auto"/>
                <w:highlight w:val="none"/>
              </w:rPr>
            </w:pPr>
            <w:r>
              <w:rPr>
                <w:rFonts w:hint="default"/>
                <w:color w:val="auto"/>
                <w:highlight w:val="none"/>
              </w:rPr>
              <w:t>5.泽陆蛙</w:t>
            </w:r>
          </w:p>
          <w:p w14:paraId="6E04B05D">
            <w:pPr>
              <w:pStyle w:val="23"/>
              <w:bidi w:val="0"/>
              <w:jc w:val="center"/>
              <w:rPr>
                <w:rFonts w:hint="default"/>
                <w:color w:val="auto"/>
                <w:highlight w:val="none"/>
              </w:rPr>
            </w:pPr>
            <w:r>
              <w:rPr>
                <w:rFonts w:hint="default"/>
                <w:i/>
                <w:iCs/>
                <w:color w:val="auto"/>
                <w:highlight w:val="none"/>
              </w:rPr>
              <w:t>Fejervarya multistriata</w:t>
            </w:r>
          </w:p>
        </w:tc>
        <w:tc>
          <w:tcPr>
            <w:tcW w:w="2721" w:type="dxa"/>
            <w:tcBorders>
              <w:tl2br w:val="nil"/>
              <w:tr2bl w:val="nil"/>
            </w:tcBorders>
            <w:noWrap w:val="0"/>
            <w:vAlign w:val="center"/>
          </w:tcPr>
          <w:p w14:paraId="609F0477">
            <w:pPr>
              <w:pStyle w:val="23"/>
              <w:bidi w:val="0"/>
              <w:jc w:val="center"/>
              <w:rPr>
                <w:rFonts w:hint="default"/>
                <w:color w:val="auto"/>
                <w:highlight w:val="none"/>
              </w:rPr>
            </w:pPr>
            <w:r>
              <w:rPr>
                <w:rFonts w:hint="default"/>
                <w:color w:val="auto"/>
                <w:highlight w:val="none"/>
              </w:rPr>
              <w:t>评价区水域附近田地</w:t>
            </w:r>
          </w:p>
        </w:tc>
        <w:tc>
          <w:tcPr>
            <w:tcW w:w="1168" w:type="dxa"/>
            <w:tcBorders>
              <w:tl2br w:val="nil"/>
              <w:tr2bl w:val="nil"/>
            </w:tcBorders>
            <w:noWrap w:val="0"/>
            <w:vAlign w:val="center"/>
          </w:tcPr>
          <w:p w14:paraId="2B04AC66">
            <w:pPr>
              <w:pStyle w:val="23"/>
              <w:bidi w:val="0"/>
              <w:jc w:val="center"/>
              <w:rPr>
                <w:rFonts w:hint="default"/>
                <w:color w:val="auto"/>
                <w:highlight w:val="none"/>
              </w:rPr>
            </w:pPr>
          </w:p>
        </w:tc>
        <w:tc>
          <w:tcPr>
            <w:tcW w:w="1023" w:type="dxa"/>
            <w:tcBorders>
              <w:tl2br w:val="nil"/>
              <w:tr2bl w:val="nil"/>
            </w:tcBorders>
            <w:noWrap w:val="0"/>
            <w:vAlign w:val="center"/>
          </w:tcPr>
          <w:p w14:paraId="37C7B4A2">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4A87A066">
            <w:pPr>
              <w:pStyle w:val="23"/>
              <w:bidi w:val="0"/>
              <w:jc w:val="center"/>
              <w:rPr>
                <w:rFonts w:hint="default"/>
                <w:color w:val="auto"/>
                <w:highlight w:val="none"/>
              </w:rPr>
            </w:pPr>
            <w:r>
              <w:rPr>
                <w:rFonts w:hint="default"/>
                <w:color w:val="auto"/>
                <w:highlight w:val="none"/>
              </w:rPr>
              <w:t>省级</w:t>
            </w:r>
          </w:p>
        </w:tc>
      </w:tr>
      <w:tr w14:paraId="58103CF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29054D75">
            <w:pPr>
              <w:pStyle w:val="23"/>
              <w:bidi w:val="0"/>
              <w:jc w:val="center"/>
              <w:rPr>
                <w:rFonts w:hint="default"/>
                <w:color w:val="auto"/>
                <w:highlight w:val="none"/>
              </w:rPr>
            </w:pPr>
            <w:r>
              <w:rPr>
                <w:rFonts w:hint="default"/>
                <w:color w:val="auto"/>
                <w:highlight w:val="none"/>
              </w:rPr>
              <w:t>6.棘腹蛙</w:t>
            </w:r>
          </w:p>
          <w:p w14:paraId="78AF4DF2">
            <w:pPr>
              <w:pStyle w:val="23"/>
              <w:bidi w:val="0"/>
              <w:jc w:val="center"/>
              <w:rPr>
                <w:rFonts w:hint="default"/>
                <w:color w:val="auto"/>
                <w:highlight w:val="none"/>
              </w:rPr>
            </w:pPr>
            <w:r>
              <w:rPr>
                <w:rFonts w:hint="default"/>
                <w:i/>
                <w:iCs/>
                <w:color w:val="auto"/>
                <w:highlight w:val="none"/>
              </w:rPr>
              <w:t>Quasipaa boulengeri</w:t>
            </w:r>
          </w:p>
        </w:tc>
        <w:tc>
          <w:tcPr>
            <w:tcW w:w="2721" w:type="dxa"/>
            <w:tcBorders>
              <w:tl2br w:val="nil"/>
              <w:tr2bl w:val="nil"/>
            </w:tcBorders>
            <w:noWrap w:val="0"/>
            <w:vAlign w:val="center"/>
          </w:tcPr>
          <w:p w14:paraId="7657E319">
            <w:pPr>
              <w:pStyle w:val="23"/>
              <w:bidi w:val="0"/>
              <w:jc w:val="center"/>
              <w:rPr>
                <w:rFonts w:hint="default"/>
                <w:color w:val="auto"/>
                <w:highlight w:val="none"/>
              </w:rPr>
            </w:pPr>
            <w:r>
              <w:rPr>
                <w:rFonts w:hint="default"/>
                <w:color w:val="auto"/>
                <w:highlight w:val="none"/>
              </w:rPr>
              <w:t>评价区山地密林下的山涧溪流</w:t>
            </w:r>
          </w:p>
        </w:tc>
        <w:tc>
          <w:tcPr>
            <w:tcW w:w="1168" w:type="dxa"/>
            <w:tcBorders>
              <w:tl2br w:val="nil"/>
              <w:tr2bl w:val="nil"/>
            </w:tcBorders>
            <w:noWrap w:val="0"/>
            <w:vAlign w:val="center"/>
          </w:tcPr>
          <w:p w14:paraId="4F114231">
            <w:pPr>
              <w:pStyle w:val="23"/>
              <w:bidi w:val="0"/>
              <w:jc w:val="center"/>
              <w:rPr>
                <w:rFonts w:hint="default"/>
                <w:color w:val="auto"/>
                <w:highlight w:val="none"/>
              </w:rPr>
            </w:pPr>
          </w:p>
        </w:tc>
        <w:tc>
          <w:tcPr>
            <w:tcW w:w="1023" w:type="dxa"/>
            <w:tcBorders>
              <w:tl2br w:val="nil"/>
              <w:tr2bl w:val="nil"/>
            </w:tcBorders>
            <w:noWrap w:val="0"/>
            <w:vAlign w:val="center"/>
          </w:tcPr>
          <w:p w14:paraId="76C96FEB">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52FFAEF6">
            <w:pPr>
              <w:pStyle w:val="23"/>
              <w:bidi w:val="0"/>
              <w:jc w:val="center"/>
              <w:rPr>
                <w:rFonts w:hint="default"/>
                <w:color w:val="auto"/>
                <w:highlight w:val="none"/>
              </w:rPr>
            </w:pPr>
            <w:r>
              <w:rPr>
                <w:rFonts w:hint="default"/>
                <w:color w:val="auto"/>
                <w:highlight w:val="none"/>
              </w:rPr>
              <w:t>省级</w:t>
            </w:r>
          </w:p>
        </w:tc>
      </w:tr>
      <w:tr w14:paraId="2FBF265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5D037C3C">
            <w:pPr>
              <w:pStyle w:val="23"/>
              <w:bidi w:val="0"/>
              <w:jc w:val="center"/>
              <w:rPr>
                <w:rFonts w:hint="default"/>
                <w:color w:val="auto"/>
                <w:highlight w:val="none"/>
              </w:rPr>
            </w:pPr>
            <w:r>
              <w:rPr>
                <w:rFonts w:hint="default"/>
                <w:color w:val="auto"/>
                <w:highlight w:val="none"/>
              </w:rPr>
              <w:t>7.斑腿泛树蛙</w:t>
            </w:r>
          </w:p>
          <w:p w14:paraId="7FE9A04C">
            <w:pPr>
              <w:pStyle w:val="23"/>
              <w:bidi w:val="0"/>
              <w:jc w:val="center"/>
              <w:rPr>
                <w:rFonts w:hint="default"/>
                <w:color w:val="auto"/>
                <w:highlight w:val="none"/>
              </w:rPr>
            </w:pPr>
            <w:r>
              <w:rPr>
                <w:rFonts w:hint="default"/>
                <w:i/>
                <w:iCs/>
                <w:color w:val="auto"/>
                <w:highlight w:val="none"/>
              </w:rPr>
              <w:t>Polypedates megacephalus</w:t>
            </w:r>
          </w:p>
        </w:tc>
        <w:tc>
          <w:tcPr>
            <w:tcW w:w="2721" w:type="dxa"/>
            <w:tcBorders>
              <w:tl2br w:val="nil"/>
              <w:tr2bl w:val="nil"/>
            </w:tcBorders>
            <w:noWrap w:val="0"/>
            <w:vAlign w:val="center"/>
          </w:tcPr>
          <w:p w14:paraId="54A8A3A9">
            <w:pPr>
              <w:pStyle w:val="23"/>
              <w:bidi w:val="0"/>
              <w:jc w:val="center"/>
              <w:rPr>
                <w:rFonts w:hint="default"/>
                <w:color w:val="auto"/>
                <w:highlight w:val="none"/>
              </w:rPr>
            </w:pPr>
            <w:r>
              <w:rPr>
                <w:rFonts w:hint="default"/>
                <w:color w:val="auto"/>
                <w:highlight w:val="none"/>
              </w:rPr>
              <w:t>评价区稻田及田埂附近的灌草丛和泥窝</w:t>
            </w:r>
          </w:p>
        </w:tc>
        <w:tc>
          <w:tcPr>
            <w:tcW w:w="1168" w:type="dxa"/>
            <w:tcBorders>
              <w:tl2br w:val="nil"/>
              <w:tr2bl w:val="nil"/>
            </w:tcBorders>
            <w:noWrap w:val="0"/>
            <w:vAlign w:val="center"/>
          </w:tcPr>
          <w:p w14:paraId="1C6217F2">
            <w:pPr>
              <w:pStyle w:val="23"/>
              <w:bidi w:val="0"/>
              <w:jc w:val="center"/>
              <w:rPr>
                <w:rFonts w:hint="default"/>
                <w:color w:val="auto"/>
                <w:highlight w:val="none"/>
              </w:rPr>
            </w:pPr>
          </w:p>
        </w:tc>
        <w:tc>
          <w:tcPr>
            <w:tcW w:w="1023" w:type="dxa"/>
            <w:tcBorders>
              <w:tl2br w:val="nil"/>
              <w:tr2bl w:val="nil"/>
            </w:tcBorders>
            <w:noWrap w:val="0"/>
            <w:vAlign w:val="center"/>
          </w:tcPr>
          <w:p w14:paraId="2EAB2A7A">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728609E1">
            <w:pPr>
              <w:pStyle w:val="23"/>
              <w:bidi w:val="0"/>
              <w:jc w:val="center"/>
              <w:rPr>
                <w:rFonts w:hint="default"/>
                <w:color w:val="auto"/>
                <w:highlight w:val="none"/>
              </w:rPr>
            </w:pPr>
            <w:r>
              <w:rPr>
                <w:rFonts w:hint="default"/>
                <w:color w:val="auto"/>
                <w:highlight w:val="none"/>
              </w:rPr>
              <w:t>省级</w:t>
            </w:r>
          </w:p>
        </w:tc>
      </w:tr>
      <w:tr w14:paraId="2AA707A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57A9AE1D">
            <w:pPr>
              <w:pStyle w:val="23"/>
              <w:bidi w:val="0"/>
              <w:jc w:val="center"/>
              <w:rPr>
                <w:rFonts w:hint="default"/>
                <w:color w:val="auto"/>
                <w:highlight w:val="none"/>
              </w:rPr>
            </w:pPr>
            <w:r>
              <w:rPr>
                <w:rFonts w:hint="default"/>
                <w:color w:val="auto"/>
                <w:highlight w:val="none"/>
              </w:rPr>
              <w:t>8.大树蛙</w:t>
            </w:r>
          </w:p>
          <w:p w14:paraId="12BC584E">
            <w:pPr>
              <w:pStyle w:val="23"/>
              <w:bidi w:val="0"/>
              <w:jc w:val="center"/>
              <w:rPr>
                <w:rFonts w:hint="default"/>
                <w:color w:val="auto"/>
                <w:highlight w:val="none"/>
              </w:rPr>
            </w:pPr>
            <w:r>
              <w:rPr>
                <w:rFonts w:hint="default"/>
                <w:i/>
                <w:iCs/>
                <w:color w:val="auto"/>
                <w:highlight w:val="none"/>
              </w:rPr>
              <w:t>Rhacophorus dennysi</w:t>
            </w:r>
          </w:p>
        </w:tc>
        <w:tc>
          <w:tcPr>
            <w:tcW w:w="2721" w:type="dxa"/>
            <w:tcBorders>
              <w:tl2br w:val="nil"/>
              <w:tr2bl w:val="nil"/>
            </w:tcBorders>
            <w:noWrap w:val="0"/>
            <w:vAlign w:val="center"/>
          </w:tcPr>
          <w:p w14:paraId="26DD5EBD">
            <w:pPr>
              <w:pStyle w:val="23"/>
              <w:bidi w:val="0"/>
              <w:jc w:val="center"/>
              <w:rPr>
                <w:rFonts w:hint="default"/>
                <w:color w:val="auto"/>
                <w:highlight w:val="none"/>
              </w:rPr>
            </w:pPr>
            <w:r>
              <w:rPr>
                <w:rFonts w:hint="default"/>
                <w:color w:val="auto"/>
                <w:highlight w:val="none"/>
              </w:rPr>
              <w:t>评价区山地树林或附近的田边、灌丛</w:t>
            </w:r>
          </w:p>
        </w:tc>
        <w:tc>
          <w:tcPr>
            <w:tcW w:w="1168" w:type="dxa"/>
            <w:tcBorders>
              <w:tl2br w:val="nil"/>
              <w:tr2bl w:val="nil"/>
            </w:tcBorders>
            <w:noWrap w:val="0"/>
            <w:vAlign w:val="center"/>
          </w:tcPr>
          <w:p w14:paraId="7A7ABC0A">
            <w:pPr>
              <w:pStyle w:val="23"/>
              <w:bidi w:val="0"/>
              <w:jc w:val="center"/>
              <w:rPr>
                <w:rFonts w:hint="default"/>
                <w:color w:val="auto"/>
                <w:highlight w:val="none"/>
              </w:rPr>
            </w:pPr>
          </w:p>
        </w:tc>
        <w:tc>
          <w:tcPr>
            <w:tcW w:w="1023" w:type="dxa"/>
            <w:tcBorders>
              <w:tl2br w:val="nil"/>
              <w:tr2bl w:val="nil"/>
            </w:tcBorders>
            <w:noWrap w:val="0"/>
            <w:vAlign w:val="center"/>
          </w:tcPr>
          <w:p w14:paraId="335BBE7B">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4E1D4669">
            <w:pPr>
              <w:pStyle w:val="23"/>
              <w:bidi w:val="0"/>
              <w:jc w:val="center"/>
              <w:rPr>
                <w:rFonts w:hint="default"/>
                <w:color w:val="auto"/>
                <w:highlight w:val="none"/>
              </w:rPr>
            </w:pPr>
            <w:r>
              <w:rPr>
                <w:rFonts w:hint="default"/>
                <w:color w:val="auto"/>
                <w:highlight w:val="none"/>
              </w:rPr>
              <w:t>省级</w:t>
            </w:r>
          </w:p>
        </w:tc>
      </w:tr>
      <w:tr w14:paraId="1E4C9D9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45293E5B">
            <w:pPr>
              <w:pStyle w:val="23"/>
              <w:bidi w:val="0"/>
              <w:jc w:val="center"/>
              <w:rPr>
                <w:rFonts w:hint="default"/>
                <w:color w:val="auto"/>
                <w:highlight w:val="none"/>
              </w:rPr>
            </w:pPr>
            <w:r>
              <w:rPr>
                <w:rFonts w:hint="default"/>
                <w:color w:val="auto"/>
                <w:highlight w:val="none"/>
              </w:rPr>
              <w:t>9.饰纹姬蛙</w:t>
            </w:r>
          </w:p>
          <w:p w14:paraId="3E92EAFD">
            <w:pPr>
              <w:pStyle w:val="23"/>
              <w:bidi w:val="0"/>
              <w:jc w:val="center"/>
              <w:rPr>
                <w:rFonts w:hint="default"/>
                <w:color w:val="auto"/>
                <w:highlight w:val="none"/>
              </w:rPr>
            </w:pPr>
            <w:r>
              <w:rPr>
                <w:rFonts w:hint="default"/>
                <w:i/>
                <w:iCs/>
                <w:color w:val="auto"/>
                <w:highlight w:val="none"/>
              </w:rPr>
              <w:t>Microhyla ornata</w:t>
            </w:r>
          </w:p>
        </w:tc>
        <w:tc>
          <w:tcPr>
            <w:tcW w:w="2721" w:type="dxa"/>
            <w:tcBorders>
              <w:tl2br w:val="nil"/>
              <w:tr2bl w:val="nil"/>
            </w:tcBorders>
            <w:noWrap w:val="0"/>
            <w:vAlign w:val="center"/>
          </w:tcPr>
          <w:p w14:paraId="33B3870D">
            <w:pPr>
              <w:pStyle w:val="23"/>
              <w:bidi w:val="0"/>
              <w:jc w:val="center"/>
              <w:rPr>
                <w:rFonts w:hint="default"/>
                <w:color w:val="auto"/>
                <w:highlight w:val="none"/>
              </w:rPr>
            </w:pPr>
            <w:r>
              <w:rPr>
                <w:rFonts w:hint="default"/>
                <w:color w:val="auto"/>
                <w:highlight w:val="none"/>
              </w:rPr>
              <w:t>评价区水塘附近的泥窝、土穴、草丛</w:t>
            </w:r>
          </w:p>
        </w:tc>
        <w:tc>
          <w:tcPr>
            <w:tcW w:w="1168" w:type="dxa"/>
            <w:tcBorders>
              <w:tl2br w:val="nil"/>
              <w:tr2bl w:val="nil"/>
            </w:tcBorders>
            <w:noWrap w:val="0"/>
            <w:vAlign w:val="center"/>
          </w:tcPr>
          <w:p w14:paraId="4F0FE0A0">
            <w:pPr>
              <w:pStyle w:val="23"/>
              <w:bidi w:val="0"/>
              <w:jc w:val="center"/>
              <w:rPr>
                <w:rFonts w:hint="default"/>
                <w:color w:val="auto"/>
                <w:highlight w:val="none"/>
              </w:rPr>
            </w:pPr>
          </w:p>
        </w:tc>
        <w:tc>
          <w:tcPr>
            <w:tcW w:w="1023" w:type="dxa"/>
            <w:tcBorders>
              <w:tl2br w:val="nil"/>
              <w:tr2bl w:val="nil"/>
            </w:tcBorders>
            <w:noWrap w:val="0"/>
            <w:vAlign w:val="center"/>
          </w:tcPr>
          <w:p w14:paraId="05514754">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11E98BD4">
            <w:pPr>
              <w:pStyle w:val="23"/>
              <w:bidi w:val="0"/>
              <w:jc w:val="center"/>
              <w:rPr>
                <w:rFonts w:hint="default"/>
                <w:color w:val="auto"/>
                <w:highlight w:val="none"/>
              </w:rPr>
            </w:pPr>
            <w:r>
              <w:rPr>
                <w:rFonts w:hint="default"/>
                <w:color w:val="auto"/>
                <w:highlight w:val="none"/>
              </w:rPr>
              <w:t>省级</w:t>
            </w:r>
          </w:p>
        </w:tc>
      </w:tr>
      <w:tr w14:paraId="4940021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74FFEC50">
            <w:pPr>
              <w:pStyle w:val="23"/>
              <w:bidi w:val="0"/>
              <w:jc w:val="center"/>
              <w:rPr>
                <w:rFonts w:hint="default"/>
                <w:color w:val="auto"/>
                <w:highlight w:val="none"/>
              </w:rPr>
            </w:pPr>
            <w:r>
              <w:rPr>
                <w:rFonts w:hint="default"/>
                <w:color w:val="auto"/>
                <w:highlight w:val="none"/>
              </w:rPr>
              <w:t>10.小弧斑姬蛙</w:t>
            </w:r>
          </w:p>
          <w:p w14:paraId="73FD0341">
            <w:pPr>
              <w:pStyle w:val="23"/>
              <w:bidi w:val="0"/>
              <w:jc w:val="center"/>
              <w:rPr>
                <w:rFonts w:hint="default"/>
                <w:color w:val="auto"/>
                <w:highlight w:val="none"/>
              </w:rPr>
            </w:pPr>
            <w:r>
              <w:rPr>
                <w:rFonts w:hint="default"/>
                <w:i/>
                <w:iCs/>
                <w:color w:val="auto"/>
                <w:highlight w:val="none"/>
              </w:rPr>
              <w:t>Microhyla heymonisi</w:t>
            </w:r>
          </w:p>
        </w:tc>
        <w:tc>
          <w:tcPr>
            <w:tcW w:w="2721" w:type="dxa"/>
            <w:tcBorders>
              <w:tl2br w:val="nil"/>
              <w:tr2bl w:val="nil"/>
            </w:tcBorders>
            <w:noWrap w:val="0"/>
            <w:vAlign w:val="center"/>
          </w:tcPr>
          <w:p w14:paraId="0044876A">
            <w:pPr>
              <w:pStyle w:val="23"/>
              <w:bidi w:val="0"/>
              <w:jc w:val="center"/>
              <w:rPr>
                <w:rFonts w:hint="default"/>
                <w:color w:val="auto"/>
                <w:highlight w:val="none"/>
              </w:rPr>
            </w:pPr>
            <w:r>
              <w:rPr>
                <w:rFonts w:hint="default"/>
                <w:color w:val="auto"/>
                <w:highlight w:val="none"/>
              </w:rPr>
              <w:t>评价区山地水域附近，稻田、泥窝等处，不常见</w:t>
            </w:r>
          </w:p>
        </w:tc>
        <w:tc>
          <w:tcPr>
            <w:tcW w:w="1168" w:type="dxa"/>
            <w:tcBorders>
              <w:tl2br w:val="nil"/>
              <w:tr2bl w:val="nil"/>
            </w:tcBorders>
            <w:noWrap w:val="0"/>
            <w:vAlign w:val="center"/>
          </w:tcPr>
          <w:p w14:paraId="31E86D4C">
            <w:pPr>
              <w:pStyle w:val="23"/>
              <w:bidi w:val="0"/>
              <w:jc w:val="center"/>
              <w:rPr>
                <w:rFonts w:hint="default"/>
                <w:color w:val="auto"/>
                <w:highlight w:val="none"/>
              </w:rPr>
            </w:pPr>
          </w:p>
        </w:tc>
        <w:tc>
          <w:tcPr>
            <w:tcW w:w="1023" w:type="dxa"/>
            <w:tcBorders>
              <w:tl2br w:val="nil"/>
              <w:tr2bl w:val="nil"/>
            </w:tcBorders>
            <w:noWrap w:val="0"/>
            <w:vAlign w:val="center"/>
          </w:tcPr>
          <w:p w14:paraId="1EFB8877">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12772FE2">
            <w:pPr>
              <w:pStyle w:val="23"/>
              <w:bidi w:val="0"/>
              <w:jc w:val="center"/>
              <w:rPr>
                <w:rFonts w:hint="default"/>
                <w:color w:val="auto"/>
                <w:highlight w:val="none"/>
              </w:rPr>
            </w:pPr>
            <w:r>
              <w:rPr>
                <w:rFonts w:hint="default"/>
                <w:color w:val="auto"/>
                <w:highlight w:val="none"/>
              </w:rPr>
              <w:t>省级</w:t>
            </w:r>
          </w:p>
        </w:tc>
      </w:tr>
      <w:tr w14:paraId="4BDAD19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597F8809">
            <w:pPr>
              <w:pStyle w:val="23"/>
              <w:bidi w:val="0"/>
              <w:jc w:val="center"/>
              <w:rPr>
                <w:rFonts w:hint="default"/>
                <w:color w:val="auto"/>
                <w:highlight w:val="none"/>
              </w:rPr>
            </w:pPr>
            <w:r>
              <w:rPr>
                <w:rFonts w:hint="default"/>
                <w:color w:val="auto"/>
                <w:highlight w:val="none"/>
              </w:rPr>
              <w:t>11.多疣壁虎</w:t>
            </w:r>
          </w:p>
          <w:p w14:paraId="4B7FA565">
            <w:pPr>
              <w:pStyle w:val="23"/>
              <w:bidi w:val="0"/>
              <w:jc w:val="center"/>
              <w:rPr>
                <w:rFonts w:hint="default"/>
                <w:color w:val="auto"/>
                <w:highlight w:val="none"/>
              </w:rPr>
            </w:pPr>
            <w:r>
              <w:rPr>
                <w:rFonts w:hint="default"/>
                <w:i/>
                <w:iCs/>
                <w:color w:val="auto"/>
                <w:highlight w:val="none"/>
              </w:rPr>
              <w:t>Gekkojaponicas</w:t>
            </w:r>
          </w:p>
        </w:tc>
        <w:tc>
          <w:tcPr>
            <w:tcW w:w="2721" w:type="dxa"/>
            <w:tcBorders>
              <w:tl2br w:val="nil"/>
              <w:tr2bl w:val="nil"/>
            </w:tcBorders>
            <w:noWrap w:val="0"/>
            <w:vAlign w:val="center"/>
          </w:tcPr>
          <w:p w14:paraId="44F8E4CE">
            <w:pPr>
              <w:pStyle w:val="23"/>
              <w:bidi w:val="0"/>
              <w:jc w:val="center"/>
              <w:rPr>
                <w:rFonts w:hint="default"/>
                <w:color w:val="auto"/>
                <w:highlight w:val="none"/>
              </w:rPr>
            </w:pPr>
            <w:r>
              <w:rPr>
                <w:rFonts w:hint="default"/>
                <w:color w:val="auto"/>
                <w:highlight w:val="none"/>
              </w:rPr>
              <w:t>评价区树林及住宅附近</w:t>
            </w:r>
          </w:p>
        </w:tc>
        <w:tc>
          <w:tcPr>
            <w:tcW w:w="1168" w:type="dxa"/>
            <w:tcBorders>
              <w:tl2br w:val="nil"/>
              <w:tr2bl w:val="nil"/>
            </w:tcBorders>
            <w:noWrap w:val="0"/>
            <w:vAlign w:val="center"/>
          </w:tcPr>
          <w:p w14:paraId="1BEED94C">
            <w:pPr>
              <w:pStyle w:val="23"/>
              <w:bidi w:val="0"/>
              <w:jc w:val="center"/>
              <w:rPr>
                <w:rFonts w:hint="default"/>
                <w:color w:val="auto"/>
                <w:highlight w:val="none"/>
              </w:rPr>
            </w:pPr>
          </w:p>
        </w:tc>
        <w:tc>
          <w:tcPr>
            <w:tcW w:w="1023" w:type="dxa"/>
            <w:tcBorders>
              <w:tl2br w:val="nil"/>
              <w:tr2bl w:val="nil"/>
            </w:tcBorders>
            <w:noWrap w:val="0"/>
            <w:vAlign w:val="center"/>
          </w:tcPr>
          <w:p w14:paraId="2E61E500">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4F9C725B">
            <w:pPr>
              <w:pStyle w:val="23"/>
              <w:bidi w:val="0"/>
              <w:jc w:val="center"/>
              <w:rPr>
                <w:rFonts w:hint="default"/>
                <w:color w:val="auto"/>
                <w:highlight w:val="none"/>
              </w:rPr>
            </w:pPr>
            <w:r>
              <w:rPr>
                <w:rFonts w:hint="default"/>
                <w:color w:val="auto"/>
                <w:highlight w:val="none"/>
              </w:rPr>
              <w:t>省级</w:t>
            </w:r>
          </w:p>
        </w:tc>
      </w:tr>
      <w:tr w14:paraId="33723D4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7962B991">
            <w:pPr>
              <w:pStyle w:val="23"/>
              <w:bidi w:val="0"/>
              <w:jc w:val="center"/>
              <w:rPr>
                <w:rFonts w:hint="default"/>
                <w:color w:val="auto"/>
                <w:highlight w:val="none"/>
              </w:rPr>
            </w:pPr>
            <w:r>
              <w:rPr>
                <w:rFonts w:hint="default"/>
                <w:color w:val="auto"/>
                <w:highlight w:val="none"/>
              </w:rPr>
              <w:t>12.中国石龙子</w:t>
            </w:r>
          </w:p>
          <w:p w14:paraId="4F10291D">
            <w:pPr>
              <w:pStyle w:val="23"/>
              <w:bidi w:val="0"/>
              <w:jc w:val="center"/>
              <w:rPr>
                <w:rFonts w:hint="default"/>
                <w:color w:val="auto"/>
                <w:highlight w:val="none"/>
              </w:rPr>
            </w:pPr>
            <w:r>
              <w:rPr>
                <w:rFonts w:hint="default"/>
                <w:i/>
                <w:iCs/>
                <w:color w:val="auto"/>
                <w:highlight w:val="none"/>
              </w:rPr>
              <w:t>Plestiodon chinensis</w:t>
            </w:r>
          </w:p>
        </w:tc>
        <w:tc>
          <w:tcPr>
            <w:tcW w:w="2721" w:type="dxa"/>
            <w:tcBorders>
              <w:tl2br w:val="nil"/>
              <w:tr2bl w:val="nil"/>
            </w:tcBorders>
            <w:noWrap w:val="0"/>
            <w:vAlign w:val="center"/>
          </w:tcPr>
          <w:p w14:paraId="79552E34">
            <w:pPr>
              <w:pStyle w:val="23"/>
              <w:bidi w:val="0"/>
              <w:jc w:val="center"/>
              <w:rPr>
                <w:rFonts w:hint="default"/>
                <w:color w:val="auto"/>
                <w:highlight w:val="none"/>
              </w:rPr>
            </w:pPr>
            <w:r>
              <w:rPr>
                <w:rFonts w:hint="default"/>
                <w:color w:val="auto"/>
                <w:highlight w:val="none"/>
              </w:rPr>
              <w:t>评价区山地路边的草丛、山区农田</w:t>
            </w:r>
          </w:p>
        </w:tc>
        <w:tc>
          <w:tcPr>
            <w:tcW w:w="1168" w:type="dxa"/>
            <w:tcBorders>
              <w:tl2br w:val="nil"/>
              <w:tr2bl w:val="nil"/>
            </w:tcBorders>
            <w:noWrap w:val="0"/>
            <w:vAlign w:val="center"/>
          </w:tcPr>
          <w:p w14:paraId="45F5BB40">
            <w:pPr>
              <w:pStyle w:val="23"/>
              <w:bidi w:val="0"/>
              <w:jc w:val="center"/>
              <w:rPr>
                <w:rFonts w:hint="default"/>
                <w:color w:val="auto"/>
                <w:highlight w:val="none"/>
              </w:rPr>
            </w:pPr>
          </w:p>
        </w:tc>
        <w:tc>
          <w:tcPr>
            <w:tcW w:w="1023" w:type="dxa"/>
            <w:tcBorders>
              <w:tl2br w:val="nil"/>
              <w:tr2bl w:val="nil"/>
            </w:tcBorders>
            <w:noWrap w:val="0"/>
            <w:vAlign w:val="center"/>
          </w:tcPr>
          <w:p w14:paraId="02A54429">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4AE4EE26">
            <w:pPr>
              <w:pStyle w:val="23"/>
              <w:bidi w:val="0"/>
              <w:jc w:val="center"/>
              <w:rPr>
                <w:rFonts w:hint="default"/>
                <w:color w:val="auto"/>
                <w:highlight w:val="none"/>
              </w:rPr>
            </w:pPr>
            <w:r>
              <w:rPr>
                <w:rFonts w:hint="default"/>
                <w:color w:val="auto"/>
                <w:highlight w:val="none"/>
              </w:rPr>
              <w:t>省级</w:t>
            </w:r>
          </w:p>
        </w:tc>
      </w:tr>
      <w:tr w14:paraId="5DF8841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68B4A7EB">
            <w:pPr>
              <w:pStyle w:val="23"/>
              <w:bidi w:val="0"/>
              <w:jc w:val="center"/>
              <w:rPr>
                <w:rFonts w:hint="default"/>
                <w:color w:val="auto"/>
                <w:highlight w:val="none"/>
              </w:rPr>
            </w:pPr>
            <w:r>
              <w:rPr>
                <w:rFonts w:hint="default"/>
                <w:color w:val="auto"/>
                <w:highlight w:val="none"/>
              </w:rPr>
              <w:t>13.铜蜓蜥</w:t>
            </w:r>
          </w:p>
          <w:p w14:paraId="67B81444">
            <w:pPr>
              <w:pStyle w:val="23"/>
              <w:bidi w:val="0"/>
              <w:jc w:val="center"/>
              <w:rPr>
                <w:rFonts w:hint="default"/>
                <w:color w:val="auto"/>
                <w:highlight w:val="none"/>
              </w:rPr>
            </w:pPr>
            <w:r>
              <w:rPr>
                <w:rFonts w:hint="default"/>
                <w:i/>
                <w:iCs/>
                <w:color w:val="auto"/>
                <w:highlight w:val="none"/>
              </w:rPr>
              <w:t>Sphenomorphus indicus</w:t>
            </w:r>
          </w:p>
        </w:tc>
        <w:tc>
          <w:tcPr>
            <w:tcW w:w="2721" w:type="dxa"/>
            <w:tcBorders>
              <w:tl2br w:val="nil"/>
              <w:tr2bl w:val="nil"/>
            </w:tcBorders>
            <w:noWrap w:val="0"/>
            <w:vAlign w:val="center"/>
          </w:tcPr>
          <w:p w14:paraId="2B333412">
            <w:pPr>
              <w:pStyle w:val="23"/>
              <w:bidi w:val="0"/>
              <w:jc w:val="center"/>
              <w:rPr>
                <w:rFonts w:hint="default"/>
                <w:color w:val="auto"/>
                <w:highlight w:val="none"/>
              </w:rPr>
            </w:pPr>
            <w:r>
              <w:rPr>
                <w:rFonts w:hint="default"/>
                <w:color w:val="auto"/>
                <w:highlight w:val="none"/>
              </w:rPr>
              <w:t>评价区山坡、路边、草丛</w:t>
            </w:r>
          </w:p>
        </w:tc>
        <w:tc>
          <w:tcPr>
            <w:tcW w:w="1168" w:type="dxa"/>
            <w:tcBorders>
              <w:tl2br w:val="nil"/>
              <w:tr2bl w:val="nil"/>
            </w:tcBorders>
            <w:noWrap w:val="0"/>
            <w:vAlign w:val="center"/>
          </w:tcPr>
          <w:p w14:paraId="6DAA4DA9">
            <w:pPr>
              <w:pStyle w:val="23"/>
              <w:bidi w:val="0"/>
              <w:jc w:val="center"/>
              <w:rPr>
                <w:rFonts w:hint="default"/>
                <w:color w:val="auto"/>
                <w:highlight w:val="none"/>
              </w:rPr>
            </w:pPr>
          </w:p>
        </w:tc>
        <w:tc>
          <w:tcPr>
            <w:tcW w:w="1023" w:type="dxa"/>
            <w:tcBorders>
              <w:tl2br w:val="nil"/>
              <w:tr2bl w:val="nil"/>
            </w:tcBorders>
            <w:noWrap w:val="0"/>
            <w:vAlign w:val="center"/>
          </w:tcPr>
          <w:p w14:paraId="3949467D">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2BAB36C3">
            <w:pPr>
              <w:pStyle w:val="23"/>
              <w:bidi w:val="0"/>
              <w:jc w:val="center"/>
              <w:rPr>
                <w:rFonts w:hint="default"/>
                <w:color w:val="auto"/>
                <w:highlight w:val="none"/>
              </w:rPr>
            </w:pPr>
            <w:r>
              <w:rPr>
                <w:rFonts w:hint="default"/>
                <w:color w:val="auto"/>
                <w:highlight w:val="none"/>
              </w:rPr>
              <w:t>省级</w:t>
            </w:r>
          </w:p>
        </w:tc>
      </w:tr>
      <w:tr w14:paraId="379430D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25BED089">
            <w:pPr>
              <w:pStyle w:val="23"/>
              <w:bidi w:val="0"/>
              <w:jc w:val="center"/>
              <w:rPr>
                <w:rFonts w:hint="default"/>
                <w:color w:val="auto"/>
                <w:highlight w:val="none"/>
              </w:rPr>
            </w:pPr>
            <w:r>
              <w:rPr>
                <w:rFonts w:hint="default"/>
                <w:color w:val="auto"/>
                <w:highlight w:val="none"/>
              </w:rPr>
              <w:t>14.北草蜥</w:t>
            </w:r>
          </w:p>
          <w:p w14:paraId="10CE53DE">
            <w:pPr>
              <w:pStyle w:val="23"/>
              <w:bidi w:val="0"/>
              <w:jc w:val="center"/>
              <w:rPr>
                <w:rFonts w:hint="default"/>
                <w:color w:val="auto"/>
                <w:highlight w:val="none"/>
              </w:rPr>
            </w:pPr>
            <w:r>
              <w:rPr>
                <w:rFonts w:hint="default"/>
                <w:i/>
                <w:iCs/>
                <w:color w:val="auto"/>
                <w:highlight w:val="none"/>
              </w:rPr>
              <w:t>Takydromus septentrionalis</w:t>
            </w:r>
          </w:p>
        </w:tc>
        <w:tc>
          <w:tcPr>
            <w:tcW w:w="2721" w:type="dxa"/>
            <w:tcBorders>
              <w:tl2br w:val="nil"/>
              <w:tr2bl w:val="nil"/>
            </w:tcBorders>
            <w:noWrap w:val="0"/>
            <w:vAlign w:val="center"/>
          </w:tcPr>
          <w:p w14:paraId="43CE33C2">
            <w:pPr>
              <w:pStyle w:val="23"/>
              <w:bidi w:val="0"/>
              <w:jc w:val="center"/>
              <w:rPr>
                <w:rFonts w:hint="default"/>
                <w:color w:val="auto"/>
                <w:highlight w:val="none"/>
              </w:rPr>
            </w:pPr>
            <w:r>
              <w:rPr>
                <w:rFonts w:hint="default"/>
                <w:color w:val="auto"/>
                <w:highlight w:val="none"/>
              </w:rPr>
              <w:t>评价区山地灌草丛、农田、路边</w:t>
            </w:r>
          </w:p>
        </w:tc>
        <w:tc>
          <w:tcPr>
            <w:tcW w:w="1168" w:type="dxa"/>
            <w:tcBorders>
              <w:tl2br w:val="nil"/>
              <w:tr2bl w:val="nil"/>
            </w:tcBorders>
            <w:noWrap w:val="0"/>
            <w:vAlign w:val="center"/>
          </w:tcPr>
          <w:p w14:paraId="1923052B">
            <w:pPr>
              <w:pStyle w:val="23"/>
              <w:bidi w:val="0"/>
              <w:jc w:val="center"/>
              <w:rPr>
                <w:rFonts w:hint="default"/>
                <w:color w:val="auto"/>
                <w:highlight w:val="none"/>
              </w:rPr>
            </w:pPr>
          </w:p>
        </w:tc>
        <w:tc>
          <w:tcPr>
            <w:tcW w:w="1023" w:type="dxa"/>
            <w:tcBorders>
              <w:tl2br w:val="nil"/>
              <w:tr2bl w:val="nil"/>
            </w:tcBorders>
            <w:noWrap w:val="0"/>
            <w:vAlign w:val="center"/>
          </w:tcPr>
          <w:p w14:paraId="17EF257E">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051F6197">
            <w:pPr>
              <w:pStyle w:val="23"/>
              <w:bidi w:val="0"/>
              <w:jc w:val="center"/>
              <w:rPr>
                <w:rFonts w:hint="default"/>
                <w:color w:val="auto"/>
                <w:highlight w:val="none"/>
              </w:rPr>
            </w:pPr>
            <w:r>
              <w:rPr>
                <w:rFonts w:hint="default"/>
                <w:color w:val="auto"/>
                <w:highlight w:val="none"/>
              </w:rPr>
              <w:t>省级</w:t>
            </w:r>
          </w:p>
        </w:tc>
      </w:tr>
      <w:tr w14:paraId="7CBA1E6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1040B59D">
            <w:pPr>
              <w:pStyle w:val="23"/>
              <w:bidi w:val="0"/>
              <w:jc w:val="center"/>
              <w:rPr>
                <w:rFonts w:hint="default"/>
                <w:color w:val="auto"/>
                <w:highlight w:val="none"/>
              </w:rPr>
            </w:pPr>
            <w:r>
              <w:rPr>
                <w:rFonts w:hint="default"/>
                <w:color w:val="auto"/>
                <w:highlight w:val="none"/>
              </w:rPr>
              <w:t>15.王锦蛇</w:t>
            </w:r>
          </w:p>
          <w:p w14:paraId="1B646FF0">
            <w:pPr>
              <w:pStyle w:val="23"/>
              <w:bidi w:val="0"/>
              <w:jc w:val="center"/>
              <w:rPr>
                <w:rFonts w:hint="default"/>
                <w:color w:val="auto"/>
                <w:highlight w:val="none"/>
              </w:rPr>
            </w:pPr>
            <w:r>
              <w:rPr>
                <w:rFonts w:hint="default"/>
                <w:i/>
                <w:iCs/>
                <w:color w:val="auto"/>
                <w:highlight w:val="none"/>
              </w:rPr>
              <w:t>Elaphe carinata</w:t>
            </w:r>
          </w:p>
        </w:tc>
        <w:tc>
          <w:tcPr>
            <w:tcW w:w="2721" w:type="dxa"/>
            <w:vMerge w:val="restart"/>
            <w:tcBorders>
              <w:tl2br w:val="nil"/>
              <w:tr2bl w:val="nil"/>
            </w:tcBorders>
            <w:noWrap w:val="0"/>
            <w:vAlign w:val="center"/>
          </w:tcPr>
          <w:p w14:paraId="664BA286">
            <w:pPr>
              <w:pStyle w:val="23"/>
              <w:bidi w:val="0"/>
              <w:jc w:val="center"/>
              <w:rPr>
                <w:rFonts w:hint="default"/>
                <w:color w:val="auto"/>
                <w:highlight w:val="none"/>
              </w:rPr>
            </w:pPr>
            <w:r>
              <w:rPr>
                <w:rFonts w:hint="default"/>
                <w:color w:val="auto"/>
                <w:highlight w:val="none"/>
              </w:rPr>
              <w:t>评价区山地草丛、灌丛、田</w:t>
            </w:r>
          </w:p>
          <w:p w14:paraId="1FF51DF5">
            <w:pPr>
              <w:pStyle w:val="23"/>
              <w:bidi w:val="0"/>
              <w:jc w:val="center"/>
              <w:rPr>
                <w:rFonts w:hint="default"/>
                <w:color w:val="auto"/>
                <w:highlight w:val="none"/>
              </w:rPr>
            </w:pPr>
            <w:r>
              <w:rPr>
                <w:rFonts w:hint="default"/>
                <w:color w:val="auto"/>
                <w:highlight w:val="none"/>
              </w:rPr>
              <w:t>地、水塘、沟渠、水域附近</w:t>
            </w:r>
          </w:p>
          <w:p w14:paraId="19CED60A">
            <w:pPr>
              <w:pStyle w:val="23"/>
              <w:bidi w:val="0"/>
              <w:jc w:val="center"/>
              <w:rPr>
                <w:rFonts w:hint="default"/>
                <w:color w:val="auto"/>
                <w:highlight w:val="none"/>
              </w:rPr>
            </w:pPr>
            <w:r>
              <w:rPr>
                <w:rFonts w:hint="default"/>
                <w:color w:val="auto"/>
                <w:highlight w:val="none"/>
              </w:rPr>
              <w:t>等</w:t>
            </w:r>
          </w:p>
        </w:tc>
        <w:tc>
          <w:tcPr>
            <w:tcW w:w="1168" w:type="dxa"/>
            <w:tcBorders>
              <w:tl2br w:val="nil"/>
              <w:tr2bl w:val="nil"/>
            </w:tcBorders>
            <w:noWrap w:val="0"/>
            <w:vAlign w:val="center"/>
          </w:tcPr>
          <w:p w14:paraId="6C4F6CA2">
            <w:pPr>
              <w:pStyle w:val="23"/>
              <w:bidi w:val="0"/>
              <w:jc w:val="center"/>
              <w:rPr>
                <w:rFonts w:hint="default"/>
                <w:color w:val="auto"/>
                <w:highlight w:val="none"/>
              </w:rPr>
            </w:pPr>
          </w:p>
        </w:tc>
        <w:tc>
          <w:tcPr>
            <w:tcW w:w="1023" w:type="dxa"/>
            <w:tcBorders>
              <w:tl2br w:val="nil"/>
              <w:tr2bl w:val="nil"/>
            </w:tcBorders>
            <w:noWrap w:val="0"/>
            <w:vAlign w:val="center"/>
          </w:tcPr>
          <w:p w14:paraId="24A77B27">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5DE2FE16">
            <w:pPr>
              <w:pStyle w:val="23"/>
              <w:bidi w:val="0"/>
              <w:jc w:val="center"/>
              <w:rPr>
                <w:rFonts w:hint="default"/>
                <w:color w:val="auto"/>
                <w:highlight w:val="none"/>
              </w:rPr>
            </w:pPr>
            <w:r>
              <w:rPr>
                <w:rFonts w:hint="default"/>
                <w:color w:val="auto"/>
                <w:highlight w:val="none"/>
              </w:rPr>
              <w:t>省级</w:t>
            </w:r>
          </w:p>
        </w:tc>
      </w:tr>
      <w:tr w14:paraId="4C71A1A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725F76B7">
            <w:pPr>
              <w:pStyle w:val="23"/>
              <w:bidi w:val="0"/>
              <w:jc w:val="center"/>
              <w:rPr>
                <w:rFonts w:hint="default"/>
                <w:color w:val="auto"/>
                <w:highlight w:val="none"/>
              </w:rPr>
            </w:pPr>
            <w:r>
              <w:rPr>
                <w:rFonts w:hint="default"/>
                <w:color w:val="auto"/>
                <w:highlight w:val="none"/>
              </w:rPr>
              <w:t>16.黑眉晨蛇</w:t>
            </w:r>
          </w:p>
          <w:p w14:paraId="64893060">
            <w:pPr>
              <w:pStyle w:val="23"/>
              <w:bidi w:val="0"/>
              <w:jc w:val="center"/>
              <w:rPr>
                <w:rFonts w:hint="default"/>
                <w:color w:val="auto"/>
                <w:highlight w:val="none"/>
              </w:rPr>
            </w:pPr>
            <w:r>
              <w:rPr>
                <w:rFonts w:hint="default"/>
                <w:i/>
                <w:iCs/>
                <w:color w:val="auto"/>
                <w:highlight w:val="none"/>
              </w:rPr>
              <w:t>Orthriophis taeniurus</w:t>
            </w:r>
          </w:p>
        </w:tc>
        <w:tc>
          <w:tcPr>
            <w:tcW w:w="2721" w:type="dxa"/>
            <w:vMerge w:val="continue"/>
            <w:tcBorders>
              <w:tl2br w:val="nil"/>
              <w:tr2bl w:val="nil"/>
            </w:tcBorders>
            <w:noWrap w:val="0"/>
            <w:vAlign w:val="center"/>
          </w:tcPr>
          <w:p w14:paraId="69F6772E">
            <w:pPr>
              <w:pStyle w:val="23"/>
              <w:bidi w:val="0"/>
              <w:jc w:val="center"/>
              <w:rPr>
                <w:rFonts w:hint="default"/>
                <w:color w:val="auto"/>
                <w:highlight w:val="none"/>
              </w:rPr>
            </w:pPr>
          </w:p>
        </w:tc>
        <w:tc>
          <w:tcPr>
            <w:tcW w:w="1168" w:type="dxa"/>
            <w:tcBorders>
              <w:tl2br w:val="nil"/>
              <w:tr2bl w:val="nil"/>
            </w:tcBorders>
            <w:noWrap w:val="0"/>
            <w:vAlign w:val="center"/>
          </w:tcPr>
          <w:p w14:paraId="727A360B">
            <w:pPr>
              <w:pStyle w:val="23"/>
              <w:bidi w:val="0"/>
              <w:jc w:val="center"/>
              <w:rPr>
                <w:rFonts w:hint="default"/>
                <w:color w:val="auto"/>
                <w:highlight w:val="none"/>
              </w:rPr>
            </w:pPr>
          </w:p>
        </w:tc>
        <w:tc>
          <w:tcPr>
            <w:tcW w:w="1023" w:type="dxa"/>
            <w:tcBorders>
              <w:tl2br w:val="nil"/>
              <w:tr2bl w:val="nil"/>
            </w:tcBorders>
            <w:noWrap w:val="0"/>
            <w:vAlign w:val="center"/>
          </w:tcPr>
          <w:p w14:paraId="46A74F79">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54C57670">
            <w:pPr>
              <w:pStyle w:val="23"/>
              <w:bidi w:val="0"/>
              <w:jc w:val="center"/>
              <w:rPr>
                <w:rFonts w:hint="default"/>
                <w:color w:val="auto"/>
                <w:highlight w:val="none"/>
              </w:rPr>
            </w:pPr>
            <w:r>
              <w:rPr>
                <w:rFonts w:hint="default"/>
                <w:color w:val="auto"/>
                <w:highlight w:val="none"/>
              </w:rPr>
              <w:t>省级</w:t>
            </w:r>
          </w:p>
        </w:tc>
      </w:tr>
      <w:tr w14:paraId="329FD6E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553E0589">
            <w:pPr>
              <w:pStyle w:val="23"/>
              <w:bidi w:val="0"/>
              <w:jc w:val="center"/>
              <w:rPr>
                <w:rFonts w:hint="default"/>
                <w:color w:val="auto"/>
                <w:highlight w:val="none"/>
              </w:rPr>
            </w:pPr>
            <w:r>
              <w:rPr>
                <w:rFonts w:hint="default"/>
                <w:color w:val="auto"/>
                <w:highlight w:val="none"/>
              </w:rPr>
              <w:t>17.赤链蛇</w:t>
            </w:r>
          </w:p>
          <w:p w14:paraId="482DBD74">
            <w:pPr>
              <w:pStyle w:val="23"/>
              <w:bidi w:val="0"/>
              <w:jc w:val="center"/>
              <w:rPr>
                <w:rFonts w:hint="default"/>
                <w:color w:val="auto"/>
                <w:highlight w:val="none"/>
              </w:rPr>
            </w:pPr>
            <w:r>
              <w:rPr>
                <w:rFonts w:hint="default"/>
                <w:i/>
                <w:iCs/>
                <w:color w:val="auto"/>
                <w:highlight w:val="none"/>
              </w:rPr>
              <w:t>Lycodon rufozonatum</w:t>
            </w:r>
          </w:p>
        </w:tc>
        <w:tc>
          <w:tcPr>
            <w:tcW w:w="2721" w:type="dxa"/>
            <w:vMerge w:val="continue"/>
            <w:tcBorders>
              <w:tl2br w:val="nil"/>
              <w:tr2bl w:val="nil"/>
            </w:tcBorders>
            <w:noWrap w:val="0"/>
            <w:vAlign w:val="center"/>
          </w:tcPr>
          <w:p w14:paraId="3F465FFF">
            <w:pPr>
              <w:pStyle w:val="23"/>
              <w:bidi w:val="0"/>
              <w:jc w:val="center"/>
              <w:rPr>
                <w:rFonts w:hint="default"/>
                <w:color w:val="auto"/>
                <w:highlight w:val="none"/>
              </w:rPr>
            </w:pPr>
          </w:p>
        </w:tc>
        <w:tc>
          <w:tcPr>
            <w:tcW w:w="1168" w:type="dxa"/>
            <w:tcBorders>
              <w:tl2br w:val="nil"/>
              <w:tr2bl w:val="nil"/>
            </w:tcBorders>
            <w:noWrap w:val="0"/>
            <w:vAlign w:val="center"/>
          </w:tcPr>
          <w:p w14:paraId="43C4B0E0">
            <w:pPr>
              <w:pStyle w:val="23"/>
              <w:bidi w:val="0"/>
              <w:jc w:val="center"/>
              <w:rPr>
                <w:rFonts w:hint="default"/>
                <w:color w:val="auto"/>
                <w:highlight w:val="none"/>
              </w:rPr>
            </w:pPr>
          </w:p>
        </w:tc>
        <w:tc>
          <w:tcPr>
            <w:tcW w:w="1023" w:type="dxa"/>
            <w:tcBorders>
              <w:tl2br w:val="nil"/>
              <w:tr2bl w:val="nil"/>
            </w:tcBorders>
            <w:noWrap w:val="0"/>
            <w:vAlign w:val="center"/>
          </w:tcPr>
          <w:p w14:paraId="403D0CFC">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67CE6B97">
            <w:pPr>
              <w:pStyle w:val="23"/>
              <w:bidi w:val="0"/>
              <w:jc w:val="center"/>
              <w:rPr>
                <w:rFonts w:hint="default"/>
                <w:color w:val="auto"/>
                <w:highlight w:val="none"/>
              </w:rPr>
            </w:pPr>
            <w:r>
              <w:rPr>
                <w:rFonts w:hint="default"/>
                <w:color w:val="auto"/>
                <w:highlight w:val="none"/>
              </w:rPr>
              <w:t>省级</w:t>
            </w:r>
          </w:p>
        </w:tc>
      </w:tr>
      <w:tr w14:paraId="6A8F5D0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1F36E5C3">
            <w:pPr>
              <w:pStyle w:val="23"/>
              <w:bidi w:val="0"/>
              <w:jc w:val="center"/>
              <w:rPr>
                <w:rFonts w:hint="default"/>
                <w:color w:val="auto"/>
                <w:highlight w:val="none"/>
              </w:rPr>
            </w:pPr>
            <w:r>
              <w:rPr>
                <w:rFonts w:hint="default"/>
                <w:color w:val="auto"/>
                <w:highlight w:val="none"/>
              </w:rPr>
              <w:t>18.锈链腹链蛇</w:t>
            </w:r>
          </w:p>
          <w:p w14:paraId="6EB096BA">
            <w:pPr>
              <w:pStyle w:val="23"/>
              <w:bidi w:val="0"/>
              <w:jc w:val="center"/>
              <w:rPr>
                <w:rFonts w:hint="default"/>
                <w:color w:val="auto"/>
                <w:highlight w:val="none"/>
              </w:rPr>
            </w:pPr>
            <w:r>
              <w:rPr>
                <w:rFonts w:hint="default"/>
                <w:i/>
                <w:iCs/>
                <w:color w:val="auto"/>
                <w:highlight w:val="none"/>
              </w:rPr>
              <w:t>Hebius craspedogaster</w:t>
            </w:r>
          </w:p>
        </w:tc>
        <w:tc>
          <w:tcPr>
            <w:tcW w:w="2721" w:type="dxa"/>
            <w:vMerge w:val="continue"/>
            <w:tcBorders>
              <w:tl2br w:val="nil"/>
              <w:tr2bl w:val="nil"/>
            </w:tcBorders>
            <w:noWrap w:val="0"/>
            <w:vAlign w:val="center"/>
          </w:tcPr>
          <w:p w14:paraId="2B72202F">
            <w:pPr>
              <w:pStyle w:val="23"/>
              <w:bidi w:val="0"/>
              <w:jc w:val="center"/>
              <w:rPr>
                <w:rFonts w:hint="default"/>
                <w:color w:val="auto"/>
                <w:highlight w:val="none"/>
              </w:rPr>
            </w:pPr>
          </w:p>
        </w:tc>
        <w:tc>
          <w:tcPr>
            <w:tcW w:w="1168" w:type="dxa"/>
            <w:tcBorders>
              <w:tl2br w:val="nil"/>
              <w:tr2bl w:val="nil"/>
            </w:tcBorders>
            <w:noWrap w:val="0"/>
            <w:vAlign w:val="center"/>
          </w:tcPr>
          <w:p w14:paraId="57603272">
            <w:pPr>
              <w:pStyle w:val="23"/>
              <w:bidi w:val="0"/>
              <w:jc w:val="center"/>
              <w:rPr>
                <w:rFonts w:hint="default"/>
                <w:color w:val="auto"/>
                <w:highlight w:val="none"/>
              </w:rPr>
            </w:pPr>
          </w:p>
        </w:tc>
        <w:tc>
          <w:tcPr>
            <w:tcW w:w="1023" w:type="dxa"/>
            <w:tcBorders>
              <w:tl2br w:val="nil"/>
              <w:tr2bl w:val="nil"/>
            </w:tcBorders>
            <w:noWrap w:val="0"/>
            <w:vAlign w:val="center"/>
          </w:tcPr>
          <w:p w14:paraId="6F085D5C">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6ACE9E77">
            <w:pPr>
              <w:pStyle w:val="23"/>
              <w:bidi w:val="0"/>
              <w:jc w:val="center"/>
              <w:rPr>
                <w:rFonts w:hint="default"/>
                <w:color w:val="auto"/>
                <w:highlight w:val="none"/>
              </w:rPr>
            </w:pPr>
            <w:r>
              <w:rPr>
                <w:rFonts w:hint="default"/>
                <w:color w:val="auto"/>
                <w:highlight w:val="none"/>
              </w:rPr>
              <w:t>省级</w:t>
            </w:r>
          </w:p>
        </w:tc>
      </w:tr>
      <w:tr w14:paraId="199A6C8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415D1B04">
            <w:pPr>
              <w:pStyle w:val="23"/>
              <w:bidi w:val="0"/>
              <w:jc w:val="center"/>
              <w:rPr>
                <w:rFonts w:hint="default"/>
                <w:color w:val="auto"/>
                <w:highlight w:val="none"/>
              </w:rPr>
            </w:pPr>
            <w:r>
              <w:rPr>
                <w:rFonts w:hint="default"/>
                <w:color w:val="auto"/>
                <w:highlight w:val="none"/>
              </w:rPr>
              <w:t>19.红纹滞卵蛇</w:t>
            </w:r>
          </w:p>
          <w:p w14:paraId="088781DC">
            <w:pPr>
              <w:pStyle w:val="23"/>
              <w:bidi w:val="0"/>
              <w:jc w:val="center"/>
              <w:rPr>
                <w:rFonts w:hint="default"/>
                <w:color w:val="auto"/>
                <w:highlight w:val="none"/>
              </w:rPr>
            </w:pPr>
            <w:r>
              <w:rPr>
                <w:rFonts w:hint="default"/>
                <w:i/>
                <w:iCs/>
                <w:color w:val="auto"/>
                <w:highlight w:val="none"/>
              </w:rPr>
              <w:t>Oocatochus rufodorsatus</w:t>
            </w:r>
          </w:p>
        </w:tc>
        <w:tc>
          <w:tcPr>
            <w:tcW w:w="2721" w:type="dxa"/>
            <w:vMerge w:val="continue"/>
            <w:tcBorders>
              <w:tl2br w:val="nil"/>
              <w:tr2bl w:val="nil"/>
            </w:tcBorders>
            <w:noWrap w:val="0"/>
            <w:vAlign w:val="center"/>
          </w:tcPr>
          <w:p w14:paraId="7CC1744D">
            <w:pPr>
              <w:pStyle w:val="23"/>
              <w:bidi w:val="0"/>
              <w:jc w:val="center"/>
              <w:rPr>
                <w:rFonts w:hint="default"/>
                <w:color w:val="auto"/>
                <w:highlight w:val="none"/>
              </w:rPr>
            </w:pPr>
          </w:p>
        </w:tc>
        <w:tc>
          <w:tcPr>
            <w:tcW w:w="1168" w:type="dxa"/>
            <w:tcBorders>
              <w:tl2br w:val="nil"/>
              <w:tr2bl w:val="nil"/>
            </w:tcBorders>
            <w:noWrap w:val="0"/>
            <w:vAlign w:val="center"/>
          </w:tcPr>
          <w:p w14:paraId="0076AB33">
            <w:pPr>
              <w:pStyle w:val="23"/>
              <w:bidi w:val="0"/>
              <w:jc w:val="center"/>
              <w:rPr>
                <w:rFonts w:hint="default"/>
                <w:color w:val="auto"/>
                <w:highlight w:val="none"/>
              </w:rPr>
            </w:pPr>
          </w:p>
        </w:tc>
        <w:tc>
          <w:tcPr>
            <w:tcW w:w="1023" w:type="dxa"/>
            <w:tcBorders>
              <w:tl2br w:val="nil"/>
              <w:tr2bl w:val="nil"/>
            </w:tcBorders>
            <w:noWrap w:val="0"/>
            <w:vAlign w:val="center"/>
          </w:tcPr>
          <w:p w14:paraId="4CAB479E">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42757127">
            <w:pPr>
              <w:pStyle w:val="23"/>
              <w:bidi w:val="0"/>
              <w:jc w:val="center"/>
              <w:rPr>
                <w:rFonts w:hint="default"/>
                <w:color w:val="auto"/>
                <w:highlight w:val="none"/>
              </w:rPr>
            </w:pPr>
            <w:r>
              <w:rPr>
                <w:rFonts w:hint="default"/>
                <w:color w:val="auto"/>
                <w:highlight w:val="none"/>
              </w:rPr>
              <w:t>省级</w:t>
            </w:r>
          </w:p>
        </w:tc>
      </w:tr>
      <w:tr w14:paraId="2311FA7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7308EF8A">
            <w:pPr>
              <w:pStyle w:val="23"/>
              <w:bidi w:val="0"/>
              <w:jc w:val="center"/>
              <w:rPr>
                <w:rFonts w:hint="default"/>
                <w:color w:val="auto"/>
                <w:highlight w:val="none"/>
              </w:rPr>
            </w:pPr>
            <w:r>
              <w:rPr>
                <w:rFonts w:hint="default"/>
                <w:color w:val="auto"/>
                <w:highlight w:val="none"/>
              </w:rPr>
              <w:t>20.滑鼠蛇</w:t>
            </w:r>
          </w:p>
          <w:p w14:paraId="3D928035">
            <w:pPr>
              <w:pStyle w:val="23"/>
              <w:bidi w:val="0"/>
              <w:jc w:val="center"/>
              <w:rPr>
                <w:rFonts w:hint="default"/>
                <w:color w:val="auto"/>
                <w:highlight w:val="none"/>
              </w:rPr>
            </w:pPr>
            <w:r>
              <w:rPr>
                <w:rFonts w:hint="default"/>
                <w:i/>
                <w:iCs/>
                <w:color w:val="auto"/>
                <w:highlight w:val="none"/>
              </w:rPr>
              <w:t>Ptyas mucosa</w:t>
            </w:r>
          </w:p>
        </w:tc>
        <w:tc>
          <w:tcPr>
            <w:tcW w:w="2721" w:type="dxa"/>
            <w:vMerge w:val="continue"/>
            <w:tcBorders>
              <w:tl2br w:val="nil"/>
              <w:tr2bl w:val="nil"/>
            </w:tcBorders>
            <w:noWrap w:val="0"/>
            <w:vAlign w:val="center"/>
          </w:tcPr>
          <w:p w14:paraId="567229E4">
            <w:pPr>
              <w:pStyle w:val="23"/>
              <w:bidi w:val="0"/>
              <w:jc w:val="center"/>
              <w:rPr>
                <w:rFonts w:hint="default"/>
                <w:color w:val="auto"/>
                <w:highlight w:val="none"/>
              </w:rPr>
            </w:pPr>
          </w:p>
        </w:tc>
        <w:tc>
          <w:tcPr>
            <w:tcW w:w="1168" w:type="dxa"/>
            <w:tcBorders>
              <w:tl2br w:val="nil"/>
              <w:tr2bl w:val="nil"/>
            </w:tcBorders>
            <w:noWrap w:val="0"/>
            <w:vAlign w:val="center"/>
          </w:tcPr>
          <w:p w14:paraId="5DF7883B">
            <w:pPr>
              <w:pStyle w:val="23"/>
              <w:bidi w:val="0"/>
              <w:jc w:val="center"/>
              <w:rPr>
                <w:rFonts w:hint="default"/>
                <w:color w:val="auto"/>
                <w:highlight w:val="none"/>
              </w:rPr>
            </w:pPr>
          </w:p>
        </w:tc>
        <w:tc>
          <w:tcPr>
            <w:tcW w:w="1023" w:type="dxa"/>
            <w:tcBorders>
              <w:tl2br w:val="nil"/>
              <w:tr2bl w:val="nil"/>
            </w:tcBorders>
            <w:noWrap w:val="0"/>
            <w:vAlign w:val="center"/>
          </w:tcPr>
          <w:p w14:paraId="194C11B5">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4F2B0220">
            <w:pPr>
              <w:pStyle w:val="23"/>
              <w:bidi w:val="0"/>
              <w:jc w:val="center"/>
              <w:rPr>
                <w:rFonts w:hint="default"/>
                <w:color w:val="auto"/>
                <w:highlight w:val="none"/>
              </w:rPr>
            </w:pPr>
            <w:r>
              <w:rPr>
                <w:rFonts w:hint="default"/>
                <w:color w:val="auto"/>
                <w:highlight w:val="none"/>
              </w:rPr>
              <w:t>省级</w:t>
            </w:r>
          </w:p>
        </w:tc>
      </w:tr>
      <w:tr w14:paraId="33E0876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0A7C701E">
            <w:pPr>
              <w:pStyle w:val="23"/>
              <w:bidi w:val="0"/>
              <w:jc w:val="center"/>
              <w:rPr>
                <w:rFonts w:hint="default"/>
                <w:color w:val="auto"/>
                <w:highlight w:val="none"/>
              </w:rPr>
            </w:pPr>
            <w:r>
              <w:rPr>
                <w:rFonts w:hint="default"/>
                <w:color w:val="auto"/>
                <w:highlight w:val="none"/>
              </w:rPr>
              <w:t>21.乌梢蛇</w:t>
            </w:r>
          </w:p>
          <w:p w14:paraId="69D927F9">
            <w:pPr>
              <w:pStyle w:val="23"/>
              <w:bidi w:val="0"/>
              <w:jc w:val="center"/>
              <w:rPr>
                <w:rFonts w:hint="default"/>
                <w:color w:val="auto"/>
                <w:highlight w:val="none"/>
              </w:rPr>
            </w:pPr>
            <w:r>
              <w:rPr>
                <w:rFonts w:hint="default"/>
                <w:i/>
                <w:iCs/>
                <w:color w:val="auto"/>
                <w:highlight w:val="none"/>
              </w:rPr>
              <w:t>Ptyas dhumnades</w:t>
            </w:r>
          </w:p>
        </w:tc>
        <w:tc>
          <w:tcPr>
            <w:tcW w:w="2721" w:type="dxa"/>
            <w:vMerge w:val="continue"/>
            <w:tcBorders>
              <w:tl2br w:val="nil"/>
              <w:tr2bl w:val="nil"/>
            </w:tcBorders>
            <w:noWrap w:val="0"/>
            <w:vAlign w:val="center"/>
          </w:tcPr>
          <w:p w14:paraId="1A72BFF0">
            <w:pPr>
              <w:pStyle w:val="23"/>
              <w:bidi w:val="0"/>
              <w:jc w:val="center"/>
              <w:rPr>
                <w:rFonts w:hint="default"/>
                <w:color w:val="auto"/>
                <w:highlight w:val="none"/>
              </w:rPr>
            </w:pPr>
          </w:p>
        </w:tc>
        <w:tc>
          <w:tcPr>
            <w:tcW w:w="1168" w:type="dxa"/>
            <w:tcBorders>
              <w:tl2br w:val="nil"/>
              <w:tr2bl w:val="nil"/>
            </w:tcBorders>
            <w:noWrap w:val="0"/>
            <w:vAlign w:val="center"/>
          </w:tcPr>
          <w:p w14:paraId="6F5B012A">
            <w:pPr>
              <w:pStyle w:val="23"/>
              <w:bidi w:val="0"/>
              <w:jc w:val="center"/>
              <w:rPr>
                <w:rFonts w:hint="default"/>
                <w:color w:val="auto"/>
                <w:highlight w:val="none"/>
              </w:rPr>
            </w:pPr>
          </w:p>
        </w:tc>
        <w:tc>
          <w:tcPr>
            <w:tcW w:w="1023" w:type="dxa"/>
            <w:tcBorders>
              <w:tl2br w:val="nil"/>
              <w:tr2bl w:val="nil"/>
            </w:tcBorders>
            <w:noWrap w:val="0"/>
            <w:vAlign w:val="center"/>
          </w:tcPr>
          <w:p w14:paraId="57E492AC">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45C9833C">
            <w:pPr>
              <w:pStyle w:val="23"/>
              <w:bidi w:val="0"/>
              <w:jc w:val="center"/>
              <w:rPr>
                <w:rFonts w:hint="default"/>
                <w:color w:val="auto"/>
                <w:highlight w:val="none"/>
              </w:rPr>
            </w:pPr>
            <w:r>
              <w:rPr>
                <w:rFonts w:hint="default"/>
                <w:color w:val="auto"/>
                <w:highlight w:val="none"/>
              </w:rPr>
              <w:t>省级</w:t>
            </w:r>
          </w:p>
        </w:tc>
      </w:tr>
      <w:tr w14:paraId="1396839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3DE2D8DB">
            <w:pPr>
              <w:pStyle w:val="23"/>
              <w:bidi w:val="0"/>
              <w:jc w:val="center"/>
              <w:rPr>
                <w:rFonts w:hint="default"/>
                <w:color w:val="auto"/>
                <w:highlight w:val="none"/>
              </w:rPr>
            </w:pPr>
            <w:r>
              <w:rPr>
                <w:rFonts w:hint="default"/>
                <w:color w:val="auto"/>
                <w:highlight w:val="none"/>
              </w:rPr>
              <w:t>22.虎斑颈槽蛇</w:t>
            </w:r>
          </w:p>
          <w:p w14:paraId="5BB339AC">
            <w:pPr>
              <w:pStyle w:val="23"/>
              <w:bidi w:val="0"/>
              <w:jc w:val="center"/>
              <w:rPr>
                <w:rFonts w:hint="default"/>
                <w:color w:val="auto"/>
                <w:highlight w:val="none"/>
              </w:rPr>
            </w:pPr>
            <w:r>
              <w:rPr>
                <w:rFonts w:hint="default"/>
                <w:i/>
                <w:iCs/>
                <w:color w:val="auto"/>
                <w:highlight w:val="none"/>
              </w:rPr>
              <w:t>Rhabdophis tigrinus</w:t>
            </w:r>
          </w:p>
        </w:tc>
        <w:tc>
          <w:tcPr>
            <w:tcW w:w="2721" w:type="dxa"/>
            <w:vMerge w:val="continue"/>
            <w:tcBorders>
              <w:tl2br w:val="nil"/>
              <w:tr2bl w:val="nil"/>
            </w:tcBorders>
            <w:noWrap w:val="0"/>
            <w:vAlign w:val="center"/>
          </w:tcPr>
          <w:p w14:paraId="4943E8DC">
            <w:pPr>
              <w:pStyle w:val="23"/>
              <w:bidi w:val="0"/>
              <w:jc w:val="center"/>
              <w:rPr>
                <w:rFonts w:hint="default"/>
                <w:color w:val="auto"/>
                <w:highlight w:val="none"/>
              </w:rPr>
            </w:pPr>
          </w:p>
        </w:tc>
        <w:tc>
          <w:tcPr>
            <w:tcW w:w="1168" w:type="dxa"/>
            <w:tcBorders>
              <w:tl2br w:val="nil"/>
              <w:tr2bl w:val="nil"/>
            </w:tcBorders>
            <w:noWrap w:val="0"/>
            <w:vAlign w:val="center"/>
          </w:tcPr>
          <w:p w14:paraId="4C473E64">
            <w:pPr>
              <w:pStyle w:val="23"/>
              <w:bidi w:val="0"/>
              <w:jc w:val="center"/>
              <w:rPr>
                <w:rFonts w:hint="default"/>
                <w:color w:val="auto"/>
                <w:highlight w:val="none"/>
              </w:rPr>
            </w:pPr>
          </w:p>
        </w:tc>
        <w:tc>
          <w:tcPr>
            <w:tcW w:w="1023" w:type="dxa"/>
            <w:tcBorders>
              <w:tl2br w:val="nil"/>
              <w:tr2bl w:val="nil"/>
            </w:tcBorders>
            <w:noWrap w:val="0"/>
            <w:vAlign w:val="center"/>
          </w:tcPr>
          <w:p w14:paraId="253A9E38">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06F20F1A">
            <w:pPr>
              <w:pStyle w:val="23"/>
              <w:bidi w:val="0"/>
              <w:jc w:val="center"/>
              <w:rPr>
                <w:rFonts w:hint="default"/>
                <w:color w:val="auto"/>
                <w:highlight w:val="none"/>
              </w:rPr>
            </w:pPr>
            <w:r>
              <w:rPr>
                <w:rFonts w:hint="default"/>
                <w:color w:val="auto"/>
                <w:highlight w:val="none"/>
              </w:rPr>
              <w:t>省级</w:t>
            </w:r>
          </w:p>
        </w:tc>
      </w:tr>
      <w:tr w14:paraId="795A1E8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40ED56DE">
            <w:pPr>
              <w:pStyle w:val="23"/>
              <w:bidi w:val="0"/>
              <w:jc w:val="center"/>
              <w:rPr>
                <w:rFonts w:hint="default"/>
                <w:color w:val="auto"/>
                <w:highlight w:val="none"/>
              </w:rPr>
            </w:pPr>
            <w:r>
              <w:rPr>
                <w:rFonts w:hint="default"/>
                <w:color w:val="auto"/>
                <w:highlight w:val="none"/>
              </w:rPr>
              <w:t>23.中国沼蛇</w:t>
            </w:r>
          </w:p>
          <w:p w14:paraId="1C0DD838">
            <w:pPr>
              <w:pStyle w:val="23"/>
              <w:bidi w:val="0"/>
              <w:jc w:val="center"/>
              <w:rPr>
                <w:rFonts w:hint="default"/>
                <w:color w:val="auto"/>
                <w:highlight w:val="none"/>
              </w:rPr>
            </w:pPr>
            <w:r>
              <w:rPr>
                <w:rFonts w:hint="default"/>
                <w:i/>
                <w:iCs/>
                <w:color w:val="auto"/>
                <w:highlight w:val="none"/>
              </w:rPr>
              <w:t>Myrrophis chinensis</w:t>
            </w:r>
          </w:p>
        </w:tc>
        <w:tc>
          <w:tcPr>
            <w:tcW w:w="2721" w:type="dxa"/>
            <w:vMerge w:val="continue"/>
            <w:tcBorders>
              <w:tl2br w:val="nil"/>
              <w:tr2bl w:val="nil"/>
            </w:tcBorders>
            <w:noWrap w:val="0"/>
            <w:vAlign w:val="center"/>
          </w:tcPr>
          <w:p w14:paraId="42C11A35">
            <w:pPr>
              <w:pStyle w:val="23"/>
              <w:bidi w:val="0"/>
              <w:jc w:val="center"/>
              <w:rPr>
                <w:rFonts w:hint="default"/>
                <w:color w:val="auto"/>
                <w:highlight w:val="none"/>
              </w:rPr>
            </w:pPr>
          </w:p>
        </w:tc>
        <w:tc>
          <w:tcPr>
            <w:tcW w:w="1168" w:type="dxa"/>
            <w:tcBorders>
              <w:tl2br w:val="nil"/>
              <w:tr2bl w:val="nil"/>
            </w:tcBorders>
            <w:noWrap w:val="0"/>
            <w:vAlign w:val="center"/>
          </w:tcPr>
          <w:p w14:paraId="44B16F69">
            <w:pPr>
              <w:pStyle w:val="23"/>
              <w:bidi w:val="0"/>
              <w:jc w:val="center"/>
              <w:rPr>
                <w:rFonts w:hint="default"/>
                <w:color w:val="auto"/>
                <w:highlight w:val="none"/>
              </w:rPr>
            </w:pPr>
          </w:p>
        </w:tc>
        <w:tc>
          <w:tcPr>
            <w:tcW w:w="1023" w:type="dxa"/>
            <w:tcBorders>
              <w:tl2br w:val="nil"/>
              <w:tr2bl w:val="nil"/>
            </w:tcBorders>
            <w:noWrap w:val="0"/>
            <w:vAlign w:val="center"/>
          </w:tcPr>
          <w:p w14:paraId="07EB6E04">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303DCD46">
            <w:pPr>
              <w:pStyle w:val="23"/>
              <w:bidi w:val="0"/>
              <w:jc w:val="center"/>
              <w:rPr>
                <w:rFonts w:hint="default"/>
                <w:color w:val="auto"/>
                <w:highlight w:val="none"/>
              </w:rPr>
            </w:pPr>
            <w:r>
              <w:rPr>
                <w:rFonts w:hint="default"/>
                <w:color w:val="auto"/>
                <w:highlight w:val="none"/>
              </w:rPr>
              <w:t>省级</w:t>
            </w:r>
          </w:p>
        </w:tc>
      </w:tr>
      <w:tr w14:paraId="3A20498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1E480CFB">
            <w:pPr>
              <w:pStyle w:val="23"/>
              <w:bidi w:val="0"/>
              <w:jc w:val="center"/>
              <w:rPr>
                <w:rFonts w:hint="default"/>
                <w:color w:val="auto"/>
                <w:highlight w:val="none"/>
              </w:rPr>
            </w:pPr>
            <w:r>
              <w:rPr>
                <w:rFonts w:hint="default"/>
                <w:color w:val="auto"/>
                <w:highlight w:val="none"/>
              </w:rPr>
              <w:t>24.银环蛇</w:t>
            </w:r>
          </w:p>
          <w:p w14:paraId="2A9E4480">
            <w:pPr>
              <w:pStyle w:val="23"/>
              <w:bidi w:val="0"/>
              <w:jc w:val="center"/>
              <w:rPr>
                <w:rFonts w:hint="default"/>
                <w:color w:val="auto"/>
                <w:highlight w:val="none"/>
              </w:rPr>
            </w:pPr>
            <w:r>
              <w:rPr>
                <w:rFonts w:hint="default"/>
                <w:i/>
                <w:iCs/>
                <w:color w:val="auto"/>
                <w:highlight w:val="none"/>
              </w:rPr>
              <w:t>Bungarus multicinctus</w:t>
            </w:r>
          </w:p>
        </w:tc>
        <w:tc>
          <w:tcPr>
            <w:tcW w:w="2721" w:type="dxa"/>
            <w:tcBorders>
              <w:tl2br w:val="nil"/>
              <w:tr2bl w:val="nil"/>
            </w:tcBorders>
            <w:noWrap w:val="0"/>
            <w:vAlign w:val="center"/>
          </w:tcPr>
          <w:p w14:paraId="2CDD6E70">
            <w:pPr>
              <w:pStyle w:val="23"/>
              <w:bidi w:val="0"/>
              <w:jc w:val="center"/>
              <w:rPr>
                <w:rFonts w:hint="default"/>
                <w:color w:val="auto"/>
                <w:highlight w:val="none"/>
              </w:rPr>
            </w:pPr>
            <w:r>
              <w:rPr>
                <w:rFonts w:hint="default"/>
                <w:color w:val="auto"/>
                <w:highlight w:val="none"/>
              </w:rPr>
              <w:t>评价区稻田、水域附近草丛</w:t>
            </w:r>
          </w:p>
        </w:tc>
        <w:tc>
          <w:tcPr>
            <w:tcW w:w="1168" w:type="dxa"/>
            <w:tcBorders>
              <w:tl2br w:val="nil"/>
              <w:tr2bl w:val="nil"/>
            </w:tcBorders>
            <w:noWrap w:val="0"/>
            <w:vAlign w:val="center"/>
          </w:tcPr>
          <w:p w14:paraId="3C1B348A">
            <w:pPr>
              <w:pStyle w:val="23"/>
              <w:bidi w:val="0"/>
              <w:jc w:val="center"/>
              <w:rPr>
                <w:rFonts w:hint="default"/>
                <w:color w:val="auto"/>
                <w:highlight w:val="none"/>
              </w:rPr>
            </w:pPr>
          </w:p>
        </w:tc>
        <w:tc>
          <w:tcPr>
            <w:tcW w:w="1023" w:type="dxa"/>
            <w:tcBorders>
              <w:tl2br w:val="nil"/>
              <w:tr2bl w:val="nil"/>
            </w:tcBorders>
            <w:noWrap w:val="0"/>
            <w:vAlign w:val="center"/>
          </w:tcPr>
          <w:p w14:paraId="518394AF">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5FDA418C">
            <w:pPr>
              <w:pStyle w:val="23"/>
              <w:bidi w:val="0"/>
              <w:jc w:val="center"/>
              <w:rPr>
                <w:rFonts w:hint="default"/>
                <w:color w:val="auto"/>
                <w:highlight w:val="none"/>
              </w:rPr>
            </w:pPr>
            <w:r>
              <w:rPr>
                <w:rFonts w:hint="default"/>
                <w:color w:val="auto"/>
                <w:highlight w:val="none"/>
              </w:rPr>
              <w:t>省级</w:t>
            </w:r>
          </w:p>
        </w:tc>
      </w:tr>
      <w:tr w14:paraId="18EEB0F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7DF0442D">
            <w:pPr>
              <w:pStyle w:val="23"/>
              <w:bidi w:val="0"/>
              <w:jc w:val="center"/>
              <w:rPr>
                <w:rFonts w:hint="default"/>
                <w:color w:val="auto"/>
                <w:highlight w:val="none"/>
              </w:rPr>
            </w:pPr>
            <w:r>
              <w:rPr>
                <w:rFonts w:hint="default"/>
                <w:color w:val="auto"/>
                <w:highlight w:val="none"/>
              </w:rPr>
              <w:t>25.短尾蝮</w:t>
            </w:r>
          </w:p>
          <w:p w14:paraId="2F324388">
            <w:pPr>
              <w:pStyle w:val="23"/>
              <w:bidi w:val="0"/>
              <w:jc w:val="center"/>
              <w:rPr>
                <w:rFonts w:hint="default"/>
                <w:color w:val="auto"/>
                <w:highlight w:val="none"/>
              </w:rPr>
            </w:pPr>
            <w:r>
              <w:rPr>
                <w:rFonts w:hint="default"/>
                <w:i/>
                <w:iCs/>
                <w:color w:val="auto"/>
                <w:highlight w:val="none"/>
              </w:rPr>
              <w:t>Gloydius brevicaudus</w:t>
            </w:r>
          </w:p>
        </w:tc>
        <w:tc>
          <w:tcPr>
            <w:tcW w:w="2721" w:type="dxa"/>
            <w:tcBorders>
              <w:tl2br w:val="nil"/>
              <w:tr2bl w:val="nil"/>
            </w:tcBorders>
            <w:noWrap w:val="0"/>
            <w:vAlign w:val="center"/>
          </w:tcPr>
          <w:p w14:paraId="4CAB8698">
            <w:pPr>
              <w:pStyle w:val="23"/>
              <w:bidi w:val="0"/>
              <w:jc w:val="center"/>
              <w:rPr>
                <w:rFonts w:hint="default"/>
                <w:color w:val="auto"/>
                <w:highlight w:val="none"/>
              </w:rPr>
            </w:pPr>
            <w:r>
              <w:rPr>
                <w:rFonts w:hint="default"/>
                <w:color w:val="auto"/>
                <w:highlight w:val="none"/>
              </w:rPr>
              <w:t>评价区农田、沟渠和村落周边</w:t>
            </w:r>
          </w:p>
        </w:tc>
        <w:tc>
          <w:tcPr>
            <w:tcW w:w="1168" w:type="dxa"/>
            <w:tcBorders>
              <w:tl2br w:val="nil"/>
              <w:tr2bl w:val="nil"/>
            </w:tcBorders>
            <w:noWrap w:val="0"/>
            <w:vAlign w:val="center"/>
          </w:tcPr>
          <w:p w14:paraId="52188BF1">
            <w:pPr>
              <w:pStyle w:val="23"/>
              <w:bidi w:val="0"/>
              <w:jc w:val="center"/>
              <w:rPr>
                <w:rFonts w:hint="default"/>
                <w:color w:val="auto"/>
                <w:highlight w:val="none"/>
              </w:rPr>
            </w:pPr>
          </w:p>
        </w:tc>
        <w:tc>
          <w:tcPr>
            <w:tcW w:w="1023" w:type="dxa"/>
            <w:tcBorders>
              <w:tl2br w:val="nil"/>
              <w:tr2bl w:val="nil"/>
            </w:tcBorders>
            <w:noWrap w:val="0"/>
            <w:vAlign w:val="center"/>
          </w:tcPr>
          <w:p w14:paraId="64CF61A6">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5A205FBE">
            <w:pPr>
              <w:pStyle w:val="23"/>
              <w:bidi w:val="0"/>
              <w:jc w:val="center"/>
              <w:rPr>
                <w:rFonts w:hint="default"/>
                <w:color w:val="auto"/>
                <w:highlight w:val="none"/>
              </w:rPr>
            </w:pPr>
            <w:r>
              <w:rPr>
                <w:rFonts w:hint="default"/>
                <w:color w:val="auto"/>
                <w:highlight w:val="none"/>
              </w:rPr>
              <w:t>省级</w:t>
            </w:r>
          </w:p>
        </w:tc>
      </w:tr>
      <w:tr w14:paraId="02CFD12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3C291F6C">
            <w:pPr>
              <w:pStyle w:val="23"/>
              <w:bidi w:val="0"/>
              <w:jc w:val="center"/>
              <w:rPr>
                <w:rFonts w:hint="default"/>
                <w:color w:val="auto"/>
                <w:highlight w:val="none"/>
              </w:rPr>
            </w:pPr>
            <w:r>
              <w:rPr>
                <w:rFonts w:hint="default"/>
                <w:color w:val="auto"/>
                <w:highlight w:val="none"/>
              </w:rPr>
              <w:t>26.尖吻蝮</w:t>
            </w:r>
          </w:p>
          <w:p w14:paraId="0465661C">
            <w:pPr>
              <w:pStyle w:val="23"/>
              <w:bidi w:val="0"/>
              <w:jc w:val="center"/>
              <w:rPr>
                <w:rFonts w:hint="default"/>
                <w:color w:val="auto"/>
                <w:highlight w:val="none"/>
              </w:rPr>
            </w:pPr>
            <w:r>
              <w:rPr>
                <w:rFonts w:hint="default"/>
                <w:i/>
                <w:iCs/>
                <w:color w:val="auto"/>
                <w:highlight w:val="none"/>
              </w:rPr>
              <w:t>Deinagkistrodon acutus</w:t>
            </w:r>
          </w:p>
        </w:tc>
        <w:tc>
          <w:tcPr>
            <w:tcW w:w="2721" w:type="dxa"/>
            <w:tcBorders>
              <w:tl2br w:val="nil"/>
              <w:tr2bl w:val="nil"/>
            </w:tcBorders>
            <w:noWrap w:val="0"/>
            <w:vAlign w:val="center"/>
          </w:tcPr>
          <w:p w14:paraId="7C9186FA">
            <w:pPr>
              <w:pStyle w:val="23"/>
              <w:bidi w:val="0"/>
              <w:jc w:val="center"/>
              <w:rPr>
                <w:rFonts w:hint="default"/>
                <w:color w:val="auto"/>
                <w:highlight w:val="none"/>
              </w:rPr>
            </w:pPr>
            <w:r>
              <w:rPr>
                <w:rFonts w:hint="default"/>
                <w:color w:val="auto"/>
                <w:highlight w:val="none"/>
              </w:rPr>
              <w:t>评价区山地树丛、沟边、路旁和农田</w:t>
            </w:r>
          </w:p>
        </w:tc>
        <w:tc>
          <w:tcPr>
            <w:tcW w:w="1168" w:type="dxa"/>
            <w:tcBorders>
              <w:tl2br w:val="nil"/>
              <w:tr2bl w:val="nil"/>
            </w:tcBorders>
            <w:noWrap w:val="0"/>
            <w:vAlign w:val="center"/>
          </w:tcPr>
          <w:p w14:paraId="48272270">
            <w:pPr>
              <w:pStyle w:val="23"/>
              <w:bidi w:val="0"/>
              <w:jc w:val="center"/>
              <w:rPr>
                <w:rFonts w:hint="default"/>
                <w:color w:val="auto"/>
                <w:highlight w:val="none"/>
              </w:rPr>
            </w:pPr>
          </w:p>
        </w:tc>
        <w:tc>
          <w:tcPr>
            <w:tcW w:w="1023" w:type="dxa"/>
            <w:tcBorders>
              <w:tl2br w:val="nil"/>
              <w:tr2bl w:val="nil"/>
            </w:tcBorders>
            <w:noWrap w:val="0"/>
            <w:vAlign w:val="center"/>
          </w:tcPr>
          <w:p w14:paraId="6CEC0DC7">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4F2A8B13">
            <w:pPr>
              <w:pStyle w:val="23"/>
              <w:bidi w:val="0"/>
              <w:jc w:val="center"/>
              <w:rPr>
                <w:rFonts w:hint="default"/>
                <w:color w:val="auto"/>
                <w:highlight w:val="none"/>
              </w:rPr>
            </w:pPr>
            <w:r>
              <w:rPr>
                <w:rFonts w:hint="default"/>
                <w:color w:val="auto"/>
                <w:highlight w:val="none"/>
              </w:rPr>
              <w:t>省级</w:t>
            </w:r>
          </w:p>
        </w:tc>
      </w:tr>
      <w:tr w14:paraId="55C218F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461BB52C">
            <w:pPr>
              <w:pStyle w:val="23"/>
              <w:bidi w:val="0"/>
              <w:jc w:val="center"/>
              <w:rPr>
                <w:rFonts w:hint="default"/>
                <w:color w:val="auto"/>
                <w:highlight w:val="none"/>
              </w:rPr>
            </w:pPr>
            <w:r>
              <w:rPr>
                <w:rFonts w:hint="default"/>
                <w:color w:val="auto"/>
                <w:highlight w:val="none"/>
              </w:rPr>
              <w:t>27.绿头鸭</w:t>
            </w:r>
          </w:p>
          <w:p w14:paraId="17D8D627">
            <w:pPr>
              <w:pStyle w:val="23"/>
              <w:bidi w:val="0"/>
              <w:jc w:val="center"/>
              <w:rPr>
                <w:rFonts w:hint="default"/>
                <w:color w:val="auto"/>
                <w:highlight w:val="none"/>
              </w:rPr>
            </w:pPr>
            <w:r>
              <w:rPr>
                <w:rFonts w:hint="default"/>
                <w:i/>
                <w:iCs/>
                <w:color w:val="auto"/>
                <w:highlight w:val="none"/>
              </w:rPr>
              <w:t>Anas platyrhynchos</w:t>
            </w:r>
          </w:p>
        </w:tc>
        <w:tc>
          <w:tcPr>
            <w:tcW w:w="2721" w:type="dxa"/>
            <w:tcBorders>
              <w:tl2br w:val="nil"/>
              <w:tr2bl w:val="nil"/>
            </w:tcBorders>
            <w:noWrap w:val="0"/>
            <w:vAlign w:val="center"/>
          </w:tcPr>
          <w:p w14:paraId="083735E4">
            <w:pPr>
              <w:pStyle w:val="23"/>
              <w:bidi w:val="0"/>
              <w:jc w:val="center"/>
              <w:rPr>
                <w:rFonts w:hint="default"/>
                <w:color w:val="auto"/>
                <w:highlight w:val="none"/>
              </w:rPr>
            </w:pPr>
            <w:r>
              <w:rPr>
                <w:rFonts w:hint="default"/>
                <w:color w:val="auto"/>
                <w:highlight w:val="none"/>
              </w:rPr>
              <w:t>评价区池塘、水库等水域</w:t>
            </w:r>
          </w:p>
        </w:tc>
        <w:tc>
          <w:tcPr>
            <w:tcW w:w="1168" w:type="dxa"/>
            <w:tcBorders>
              <w:tl2br w:val="nil"/>
              <w:tr2bl w:val="nil"/>
            </w:tcBorders>
            <w:noWrap w:val="0"/>
            <w:vAlign w:val="center"/>
          </w:tcPr>
          <w:p w14:paraId="71AEA459">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54D0F291">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2952927B">
            <w:pPr>
              <w:pStyle w:val="23"/>
              <w:bidi w:val="0"/>
              <w:jc w:val="center"/>
              <w:rPr>
                <w:rFonts w:hint="default"/>
                <w:color w:val="auto"/>
                <w:highlight w:val="none"/>
              </w:rPr>
            </w:pPr>
            <w:r>
              <w:rPr>
                <w:rFonts w:hint="default"/>
                <w:color w:val="auto"/>
                <w:highlight w:val="none"/>
              </w:rPr>
              <w:t>省级</w:t>
            </w:r>
          </w:p>
        </w:tc>
      </w:tr>
      <w:tr w14:paraId="3765B75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0E9D4EEC">
            <w:pPr>
              <w:pStyle w:val="23"/>
              <w:bidi w:val="0"/>
              <w:jc w:val="center"/>
              <w:rPr>
                <w:rFonts w:hint="default"/>
                <w:color w:val="auto"/>
                <w:highlight w:val="none"/>
              </w:rPr>
            </w:pPr>
            <w:r>
              <w:rPr>
                <w:rFonts w:hint="default"/>
                <w:color w:val="auto"/>
                <w:highlight w:val="none"/>
              </w:rPr>
              <w:t>28.灰胸竹鸡</w:t>
            </w:r>
          </w:p>
          <w:p w14:paraId="025C1F9B">
            <w:pPr>
              <w:pStyle w:val="23"/>
              <w:bidi w:val="0"/>
              <w:jc w:val="center"/>
              <w:rPr>
                <w:rFonts w:hint="default"/>
                <w:color w:val="auto"/>
                <w:highlight w:val="none"/>
              </w:rPr>
            </w:pPr>
            <w:r>
              <w:rPr>
                <w:rFonts w:hint="default"/>
                <w:i/>
                <w:iCs/>
                <w:color w:val="auto"/>
                <w:highlight w:val="none"/>
              </w:rPr>
              <w:t>Bambusicola thoracica</w:t>
            </w:r>
          </w:p>
        </w:tc>
        <w:tc>
          <w:tcPr>
            <w:tcW w:w="2721" w:type="dxa"/>
            <w:tcBorders>
              <w:tl2br w:val="nil"/>
              <w:tr2bl w:val="nil"/>
            </w:tcBorders>
            <w:noWrap w:val="0"/>
            <w:vAlign w:val="center"/>
          </w:tcPr>
          <w:p w14:paraId="614A7638">
            <w:pPr>
              <w:pStyle w:val="23"/>
              <w:bidi w:val="0"/>
              <w:jc w:val="center"/>
              <w:rPr>
                <w:rFonts w:hint="default"/>
                <w:color w:val="auto"/>
                <w:highlight w:val="none"/>
              </w:rPr>
            </w:pPr>
            <w:r>
              <w:rPr>
                <w:rFonts w:hint="default"/>
                <w:color w:val="auto"/>
                <w:highlight w:val="none"/>
              </w:rPr>
              <w:t>评价区山地灌丛、林地、耕地附近灌丛</w:t>
            </w:r>
          </w:p>
        </w:tc>
        <w:tc>
          <w:tcPr>
            <w:tcW w:w="1168" w:type="dxa"/>
            <w:tcBorders>
              <w:tl2br w:val="nil"/>
              <w:tr2bl w:val="nil"/>
            </w:tcBorders>
            <w:noWrap w:val="0"/>
            <w:vAlign w:val="center"/>
          </w:tcPr>
          <w:p w14:paraId="27DF4039">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5D6865C4">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26C2DC55">
            <w:pPr>
              <w:pStyle w:val="23"/>
              <w:bidi w:val="0"/>
              <w:jc w:val="center"/>
              <w:rPr>
                <w:rFonts w:hint="default"/>
                <w:color w:val="auto"/>
                <w:highlight w:val="none"/>
              </w:rPr>
            </w:pPr>
            <w:r>
              <w:rPr>
                <w:rFonts w:hint="default"/>
                <w:color w:val="auto"/>
                <w:highlight w:val="none"/>
              </w:rPr>
              <w:t>省级</w:t>
            </w:r>
          </w:p>
        </w:tc>
      </w:tr>
      <w:tr w14:paraId="6D05E2F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5719F56B">
            <w:pPr>
              <w:pStyle w:val="23"/>
              <w:bidi w:val="0"/>
              <w:jc w:val="center"/>
              <w:rPr>
                <w:rFonts w:hint="default"/>
                <w:color w:val="auto"/>
                <w:highlight w:val="none"/>
              </w:rPr>
            </w:pPr>
            <w:r>
              <w:rPr>
                <w:rFonts w:hint="default"/>
                <w:color w:val="auto"/>
                <w:highlight w:val="none"/>
              </w:rPr>
              <w:t>29.环颈雉</w:t>
            </w:r>
          </w:p>
          <w:p w14:paraId="24157FF9">
            <w:pPr>
              <w:pStyle w:val="23"/>
              <w:bidi w:val="0"/>
              <w:jc w:val="center"/>
              <w:rPr>
                <w:rFonts w:hint="default"/>
                <w:color w:val="auto"/>
                <w:highlight w:val="none"/>
              </w:rPr>
            </w:pPr>
            <w:r>
              <w:rPr>
                <w:rFonts w:hint="default"/>
                <w:i/>
                <w:iCs/>
                <w:color w:val="auto"/>
                <w:highlight w:val="none"/>
              </w:rPr>
              <w:t>Phasianus colchicus</w:t>
            </w:r>
          </w:p>
        </w:tc>
        <w:tc>
          <w:tcPr>
            <w:tcW w:w="2721" w:type="dxa"/>
            <w:tcBorders>
              <w:tl2br w:val="nil"/>
              <w:tr2bl w:val="nil"/>
            </w:tcBorders>
            <w:noWrap w:val="0"/>
            <w:vAlign w:val="center"/>
          </w:tcPr>
          <w:p w14:paraId="6A469772">
            <w:pPr>
              <w:pStyle w:val="23"/>
              <w:bidi w:val="0"/>
              <w:jc w:val="center"/>
              <w:rPr>
                <w:rFonts w:hint="default"/>
                <w:color w:val="auto"/>
                <w:highlight w:val="none"/>
              </w:rPr>
            </w:pPr>
            <w:r>
              <w:rPr>
                <w:rFonts w:hint="default"/>
                <w:color w:val="auto"/>
                <w:highlight w:val="none"/>
              </w:rPr>
              <w:t>评价区内广泛分布</w:t>
            </w:r>
          </w:p>
        </w:tc>
        <w:tc>
          <w:tcPr>
            <w:tcW w:w="1168" w:type="dxa"/>
            <w:tcBorders>
              <w:tl2br w:val="nil"/>
              <w:tr2bl w:val="nil"/>
            </w:tcBorders>
            <w:noWrap w:val="0"/>
            <w:vAlign w:val="center"/>
          </w:tcPr>
          <w:p w14:paraId="54B911BC">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10A2E46E">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0CF59D69">
            <w:pPr>
              <w:pStyle w:val="23"/>
              <w:bidi w:val="0"/>
              <w:jc w:val="center"/>
              <w:rPr>
                <w:rFonts w:hint="default"/>
                <w:color w:val="auto"/>
                <w:highlight w:val="none"/>
              </w:rPr>
            </w:pPr>
            <w:r>
              <w:rPr>
                <w:rFonts w:hint="default"/>
                <w:color w:val="auto"/>
                <w:highlight w:val="none"/>
              </w:rPr>
              <w:t>省级</w:t>
            </w:r>
          </w:p>
        </w:tc>
      </w:tr>
      <w:tr w14:paraId="72F30E1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2C8A2C6C">
            <w:pPr>
              <w:pStyle w:val="23"/>
              <w:bidi w:val="0"/>
              <w:jc w:val="center"/>
              <w:rPr>
                <w:rFonts w:hint="default"/>
                <w:color w:val="auto"/>
                <w:highlight w:val="none"/>
              </w:rPr>
            </w:pPr>
            <w:r>
              <w:rPr>
                <w:rFonts w:hint="default"/>
                <w:color w:val="auto"/>
                <w:highlight w:val="none"/>
              </w:rPr>
              <w:t>30.山斑鸠</w:t>
            </w:r>
          </w:p>
          <w:p w14:paraId="5B06FF86">
            <w:pPr>
              <w:pStyle w:val="23"/>
              <w:bidi w:val="0"/>
              <w:jc w:val="center"/>
              <w:rPr>
                <w:rFonts w:hint="default"/>
                <w:color w:val="auto"/>
                <w:highlight w:val="none"/>
              </w:rPr>
            </w:pPr>
            <w:r>
              <w:rPr>
                <w:rFonts w:hint="default"/>
                <w:i/>
                <w:iCs/>
                <w:color w:val="auto"/>
                <w:highlight w:val="none"/>
              </w:rPr>
              <w:t>Streptopelia orientalis</w:t>
            </w:r>
          </w:p>
        </w:tc>
        <w:tc>
          <w:tcPr>
            <w:tcW w:w="2721" w:type="dxa"/>
            <w:vMerge w:val="restart"/>
            <w:tcBorders>
              <w:tl2br w:val="nil"/>
              <w:tr2bl w:val="nil"/>
            </w:tcBorders>
            <w:noWrap w:val="0"/>
            <w:vAlign w:val="center"/>
          </w:tcPr>
          <w:p w14:paraId="1E1D38F7">
            <w:pPr>
              <w:pStyle w:val="23"/>
              <w:bidi w:val="0"/>
              <w:jc w:val="center"/>
              <w:rPr>
                <w:rFonts w:hint="default"/>
                <w:color w:val="auto"/>
                <w:highlight w:val="none"/>
              </w:rPr>
            </w:pPr>
            <w:r>
              <w:rPr>
                <w:rFonts w:hint="default"/>
                <w:color w:val="auto"/>
                <w:highlight w:val="none"/>
              </w:rPr>
              <w:t>评价区广泛分布</w:t>
            </w:r>
          </w:p>
        </w:tc>
        <w:tc>
          <w:tcPr>
            <w:tcW w:w="1168" w:type="dxa"/>
            <w:tcBorders>
              <w:tl2br w:val="nil"/>
              <w:tr2bl w:val="nil"/>
            </w:tcBorders>
            <w:noWrap w:val="0"/>
            <w:vAlign w:val="center"/>
          </w:tcPr>
          <w:p w14:paraId="195020BB">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31057922">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3107DC65">
            <w:pPr>
              <w:pStyle w:val="23"/>
              <w:bidi w:val="0"/>
              <w:jc w:val="center"/>
              <w:rPr>
                <w:rFonts w:hint="default"/>
                <w:color w:val="auto"/>
                <w:highlight w:val="none"/>
              </w:rPr>
            </w:pPr>
            <w:r>
              <w:rPr>
                <w:rFonts w:hint="default"/>
                <w:color w:val="auto"/>
                <w:highlight w:val="none"/>
              </w:rPr>
              <w:t>省级</w:t>
            </w:r>
          </w:p>
        </w:tc>
      </w:tr>
      <w:tr w14:paraId="2B6DDC5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3FD16356">
            <w:pPr>
              <w:pStyle w:val="23"/>
              <w:bidi w:val="0"/>
              <w:jc w:val="center"/>
              <w:rPr>
                <w:rFonts w:hint="default"/>
                <w:color w:val="auto"/>
                <w:highlight w:val="none"/>
              </w:rPr>
            </w:pPr>
            <w:r>
              <w:rPr>
                <w:rFonts w:hint="default"/>
                <w:color w:val="auto"/>
                <w:highlight w:val="none"/>
              </w:rPr>
              <w:t>31.珠颈斑鸠</w:t>
            </w:r>
          </w:p>
          <w:p w14:paraId="56E64656">
            <w:pPr>
              <w:pStyle w:val="23"/>
              <w:bidi w:val="0"/>
              <w:jc w:val="center"/>
              <w:rPr>
                <w:rFonts w:hint="default"/>
                <w:color w:val="auto"/>
                <w:highlight w:val="none"/>
              </w:rPr>
            </w:pPr>
            <w:r>
              <w:rPr>
                <w:rFonts w:hint="default"/>
                <w:i/>
                <w:iCs/>
                <w:color w:val="auto"/>
                <w:highlight w:val="none"/>
              </w:rPr>
              <w:t>Streptopelia chinensis</w:t>
            </w:r>
          </w:p>
        </w:tc>
        <w:tc>
          <w:tcPr>
            <w:tcW w:w="2721" w:type="dxa"/>
            <w:vMerge w:val="continue"/>
            <w:tcBorders>
              <w:tl2br w:val="nil"/>
              <w:tr2bl w:val="nil"/>
            </w:tcBorders>
            <w:noWrap w:val="0"/>
            <w:vAlign w:val="center"/>
          </w:tcPr>
          <w:p w14:paraId="00D52D48">
            <w:pPr>
              <w:pStyle w:val="23"/>
              <w:bidi w:val="0"/>
              <w:jc w:val="center"/>
              <w:rPr>
                <w:rFonts w:hint="default"/>
                <w:color w:val="auto"/>
                <w:highlight w:val="none"/>
              </w:rPr>
            </w:pPr>
          </w:p>
        </w:tc>
        <w:tc>
          <w:tcPr>
            <w:tcW w:w="1168" w:type="dxa"/>
            <w:tcBorders>
              <w:tl2br w:val="nil"/>
              <w:tr2bl w:val="nil"/>
            </w:tcBorders>
            <w:noWrap w:val="0"/>
            <w:vAlign w:val="center"/>
          </w:tcPr>
          <w:p w14:paraId="0B2127B3">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6790A29F">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37850DE5">
            <w:pPr>
              <w:pStyle w:val="23"/>
              <w:bidi w:val="0"/>
              <w:jc w:val="center"/>
              <w:rPr>
                <w:rFonts w:hint="default"/>
                <w:color w:val="auto"/>
                <w:highlight w:val="none"/>
              </w:rPr>
            </w:pPr>
            <w:r>
              <w:rPr>
                <w:rFonts w:hint="default"/>
                <w:color w:val="auto"/>
                <w:highlight w:val="none"/>
              </w:rPr>
              <w:t>省级</w:t>
            </w:r>
          </w:p>
        </w:tc>
      </w:tr>
      <w:tr w14:paraId="1A35EBB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6C275CD0">
            <w:pPr>
              <w:pStyle w:val="23"/>
              <w:bidi w:val="0"/>
              <w:jc w:val="center"/>
              <w:rPr>
                <w:rFonts w:hint="default"/>
                <w:color w:val="auto"/>
                <w:highlight w:val="none"/>
              </w:rPr>
            </w:pPr>
            <w:r>
              <w:rPr>
                <w:rFonts w:hint="default"/>
                <w:color w:val="auto"/>
                <w:highlight w:val="none"/>
              </w:rPr>
              <w:t>32.大鹰鹃</w:t>
            </w:r>
          </w:p>
          <w:p w14:paraId="09557891">
            <w:pPr>
              <w:pStyle w:val="23"/>
              <w:bidi w:val="0"/>
              <w:jc w:val="center"/>
              <w:rPr>
                <w:rFonts w:hint="default"/>
                <w:color w:val="auto"/>
                <w:highlight w:val="none"/>
              </w:rPr>
            </w:pPr>
            <w:r>
              <w:rPr>
                <w:rFonts w:hint="default"/>
                <w:i/>
                <w:iCs/>
                <w:color w:val="auto"/>
                <w:highlight w:val="none"/>
              </w:rPr>
              <w:t>Cuculus sparverioides</w:t>
            </w:r>
          </w:p>
        </w:tc>
        <w:tc>
          <w:tcPr>
            <w:tcW w:w="2721" w:type="dxa"/>
            <w:vMerge w:val="restart"/>
            <w:tcBorders>
              <w:tl2br w:val="nil"/>
              <w:tr2bl w:val="nil"/>
            </w:tcBorders>
            <w:noWrap w:val="0"/>
            <w:vAlign w:val="center"/>
          </w:tcPr>
          <w:p w14:paraId="7C730966">
            <w:pPr>
              <w:pStyle w:val="23"/>
              <w:bidi w:val="0"/>
              <w:jc w:val="center"/>
              <w:rPr>
                <w:rFonts w:hint="default"/>
                <w:color w:val="auto"/>
                <w:highlight w:val="none"/>
              </w:rPr>
            </w:pPr>
            <w:r>
              <w:rPr>
                <w:rFonts w:hint="default"/>
                <w:color w:val="auto"/>
                <w:highlight w:val="none"/>
              </w:rPr>
              <w:t>评价区林地</w:t>
            </w:r>
          </w:p>
        </w:tc>
        <w:tc>
          <w:tcPr>
            <w:tcW w:w="1168" w:type="dxa"/>
            <w:tcBorders>
              <w:tl2br w:val="nil"/>
              <w:tr2bl w:val="nil"/>
            </w:tcBorders>
            <w:noWrap w:val="0"/>
            <w:vAlign w:val="center"/>
          </w:tcPr>
          <w:p w14:paraId="0241D67D">
            <w:pPr>
              <w:pStyle w:val="23"/>
              <w:bidi w:val="0"/>
              <w:jc w:val="center"/>
              <w:rPr>
                <w:rFonts w:hint="default"/>
                <w:color w:val="auto"/>
                <w:highlight w:val="none"/>
              </w:rPr>
            </w:pPr>
            <w:r>
              <w:rPr>
                <w:rFonts w:hint="default"/>
                <w:color w:val="auto"/>
                <w:highlight w:val="none"/>
              </w:rPr>
              <w:t>夏候鸟</w:t>
            </w:r>
          </w:p>
        </w:tc>
        <w:tc>
          <w:tcPr>
            <w:tcW w:w="1023" w:type="dxa"/>
            <w:tcBorders>
              <w:tl2br w:val="nil"/>
              <w:tr2bl w:val="nil"/>
            </w:tcBorders>
            <w:noWrap w:val="0"/>
            <w:vAlign w:val="center"/>
          </w:tcPr>
          <w:p w14:paraId="4E856B18">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0B70B406">
            <w:pPr>
              <w:pStyle w:val="23"/>
              <w:bidi w:val="0"/>
              <w:jc w:val="center"/>
              <w:rPr>
                <w:rFonts w:hint="default"/>
                <w:color w:val="auto"/>
                <w:highlight w:val="none"/>
              </w:rPr>
            </w:pPr>
            <w:r>
              <w:rPr>
                <w:rFonts w:hint="default"/>
                <w:color w:val="auto"/>
                <w:highlight w:val="none"/>
              </w:rPr>
              <w:t>省级</w:t>
            </w:r>
          </w:p>
        </w:tc>
      </w:tr>
      <w:tr w14:paraId="5598AA3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7191ECE7">
            <w:pPr>
              <w:pStyle w:val="23"/>
              <w:bidi w:val="0"/>
              <w:jc w:val="center"/>
              <w:rPr>
                <w:rFonts w:hint="default"/>
                <w:color w:val="auto"/>
                <w:highlight w:val="none"/>
              </w:rPr>
            </w:pPr>
            <w:r>
              <w:rPr>
                <w:rFonts w:hint="default"/>
                <w:color w:val="auto"/>
                <w:highlight w:val="none"/>
              </w:rPr>
              <w:t>33.大杜鹃</w:t>
            </w:r>
          </w:p>
          <w:p w14:paraId="17BDEF9A">
            <w:pPr>
              <w:pStyle w:val="23"/>
              <w:bidi w:val="0"/>
              <w:jc w:val="center"/>
              <w:rPr>
                <w:rFonts w:hint="default"/>
                <w:color w:val="auto"/>
                <w:highlight w:val="none"/>
              </w:rPr>
            </w:pPr>
            <w:r>
              <w:rPr>
                <w:rFonts w:hint="default"/>
                <w:i/>
                <w:iCs/>
                <w:color w:val="auto"/>
                <w:highlight w:val="none"/>
              </w:rPr>
              <w:t>Cuculus canorus</w:t>
            </w:r>
          </w:p>
        </w:tc>
        <w:tc>
          <w:tcPr>
            <w:tcW w:w="2721" w:type="dxa"/>
            <w:vMerge w:val="continue"/>
            <w:tcBorders>
              <w:tl2br w:val="nil"/>
              <w:tr2bl w:val="nil"/>
            </w:tcBorders>
            <w:noWrap w:val="0"/>
            <w:vAlign w:val="center"/>
          </w:tcPr>
          <w:p w14:paraId="2085A562">
            <w:pPr>
              <w:pStyle w:val="23"/>
              <w:bidi w:val="0"/>
              <w:jc w:val="center"/>
              <w:rPr>
                <w:rFonts w:hint="default"/>
                <w:color w:val="auto"/>
                <w:highlight w:val="none"/>
              </w:rPr>
            </w:pPr>
          </w:p>
        </w:tc>
        <w:tc>
          <w:tcPr>
            <w:tcW w:w="1168" w:type="dxa"/>
            <w:tcBorders>
              <w:tl2br w:val="nil"/>
              <w:tr2bl w:val="nil"/>
            </w:tcBorders>
            <w:noWrap w:val="0"/>
            <w:vAlign w:val="center"/>
          </w:tcPr>
          <w:p w14:paraId="4DA35448">
            <w:pPr>
              <w:pStyle w:val="23"/>
              <w:bidi w:val="0"/>
              <w:jc w:val="center"/>
              <w:rPr>
                <w:rFonts w:hint="default"/>
                <w:color w:val="auto"/>
                <w:highlight w:val="none"/>
              </w:rPr>
            </w:pPr>
            <w:r>
              <w:rPr>
                <w:rFonts w:hint="default"/>
                <w:color w:val="auto"/>
                <w:highlight w:val="none"/>
              </w:rPr>
              <w:t>夏候鸟</w:t>
            </w:r>
          </w:p>
        </w:tc>
        <w:tc>
          <w:tcPr>
            <w:tcW w:w="1023" w:type="dxa"/>
            <w:tcBorders>
              <w:tl2br w:val="nil"/>
              <w:tr2bl w:val="nil"/>
            </w:tcBorders>
            <w:noWrap w:val="0"/>
            <w:vAlign w:val="center"/>
          </w:tcPr>
          <w:p w14:paraId="0973863F">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170F70BC">
            <w:pPr>
              <w:pStyle w:val="23"/>
              <w:bidi w:val="0"/>
              <w:jc w:val="center"/>
              <w:rPr>
                <w:rFonts w:hint="default"/>
                <w:color w:val="auto"/>
                <w:highlight w:val="none"/>
              </w:rPr>
            </w:pPr>
            <w:r>
              <w:rPr>
                <w:rFonts w:hint="default"/>
                <w:color w:val="auto"/>
                <w:highlight w:val="none"/>
              </w:rPr>
              <w:t>省级</w:t>
            </w:r>
          </w:p>
        </w:tc>
      </w:tr>
      <w:tr w14:paraId="18EC9E1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3CFCF56D">
            <w:pPr>
              <w:pStyle w:val="23"/>
              <w:bidi w:val="0"/>
              <w:jc w:val="center"/>
              <w:rPr>
                <w:rFonts w:hint="default"/>
                <w:color w:val="auto"/>
                <w:highlight w:val="none"/>
              </w:rPr>
            </w:pPr>
            <w:r>
              <w:rPr>
                <w:rFonts w:hint="default"/>
                <w:color w:val="auto"/>
                <w:highlight w:val="none"/>
              </w:rPr>
              <w:t>34.四声杜鹃</w:t>
            </w:r>
          </w:p>
          <w:p w14:paraId="78652556">
            <w:pPr>
              <w:pStyle w:val="23"/>
              <w:bidi w:val="0"/>
              <w:jc w:val="center"/>
              <w:rPr>
                <w:rFonts w:hint="default"/>
                <w:color w:val="auto"/>
                <w:highlight w:val="none"/>
              </w:rPr>
            </w:pPr>
            <w:r>
              <w:rPr>
                <w:rFonts w:hint="default"/>
                <w:i/>
                <w:iCs/>
                <w:color w:val="auto"/>
                <w:highlight w:val="none"/>
              </w:rPr>
              <w:t>Cucolus micropterus</w:t>
            </w:r>
          </w:p>
        </w:tc>
        <w:tc>
          <w:tcPr>
            <w:tcW w:w="2721" w:type="dxa"/>
            <w:vMerge w:val="continue"/>
            <w:tcBorders>
              <w:tl2br w:val="nil"/>
              <w:tr2bl w:val="nil"/>
            </w:tcBorders>
            <w:noWrap w:val="0"/>
            <w:vAlign w:val="center"/>
          </w:tcPr>
          <w:p w14:paraId="0DF09948">
            <w:pPr>
              <w:pStyle w:val="23"/>
              <w:bidi w:val="0"/>
              <w:jc w:val="center"/>
              <w:rPr>
                <w:rFonts w:hint="default"/>
                <w:color w:val="auto"/>
                <w:highlight w:val="none"/>
              </w:rPr>
            </w:pPr>
          </w:p>
        </w:tc>
        <w:tc>
          <w:tcPr>
            <w:tcW w:w="1168" w:type="dxa"/>
            <w:tcBorders>
              <w:tl2br w:val="nil"/>
              <w:tr2bl w:val="nil"/>
            </w:tcBorders>
            <w:noWrap w:val="0"/>
            <w:vAlign w:val="center"/>
          </w:tcPr>
          <w:p w14:paraId="77E14DFA">
            <w:pPr>
              <w:pStyle w:val="23"/>
              <w:bidi w:val="0"/>
              <w:jc w:val="center"/>
              <w:rPr>
                <w:rFonts w:hint="default"/>
                <w:color w:val="auto"/>
                <w:highlight w:val="none"/>
              </w:rPr>
            </w:pPr>
            <w:r>
              <w:rPr>
                <w:rFonts w:hint="default"/>
                <w:color w:val="auto"/>
                <w:highlight w:val="none"/>
              </w:rPr>
              <w:t>夏候鸟</w:t>
            </w:r>
          </w:p>
        </w:tc>
        <w:tc>
          <w:tcPr>
            <w:tcW w:w="1023" w:type="dxa"/>
            <w:tcBorders>
              <w:tl2br w:val="nil"/>
              <w:tr2bl w:val="nil"/>
            </w:tcBorders>
            <w:noWrap w:val="0"/>
            <w:vAlign w:val="center"/>
          </w:tcPr>
          <w:p w14:paraId="51089020">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750DB52E">
            <w:pPr>
              <w:pStyle w:val="23"/>
              <w:bidi w:val="0"/>
              <w:jc w:val="center"/>
              <w:rPr>
                <w:rFonts w:hint="default"/>
                <w:color w:val="auto"/>
                <w:highlight w:val="none"/>
              </w:rPr>
            </w:pPr>
            <w:r>
              <w:rPr>
                <w:rFonts w:hint="default"/>
                <w:color w:val="auto"/>
                <w:highlight w:val="none"/>
              </w:rPr>
              <w:t>省级</w:t>
            </w:r>
          </w:p>
        </w:tc>
      </w:tr>
      <w:tr w14:paraId="0139024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3E16F650">
            <w:pPr>
              <w:pStyle w:val="23"/>
              <w:bidi w:val="0"/>
              <w:jc w:val="center"/>
              <w:rPr>
                <w:rFonts w:hint="default"/>
                <w:color w:val="auto"/>
                <w:highlight w:val="none"/>
              </w:rPr>
            </w:pPr>
            <w:r>
              <w:rPr>
                <w:rFonts w:hint="default"/>
                <w:color w:val="auto"/>
                <w:highlight w:val="none"/>
              </w:rPr>
              <w:t>35.普通夜鹰</w:t>
            </w:r>
          </w:p>
          <w:p w14:paraId="7681B5B4">
            <w:pPr>
              <w:pStyle w:val="23"/>
              <w:bidi w:val="0"/>
              <w:jc w:val="center"/>
              <w:rPr>
                <w:rFonts w:hint="default"/>
                <w:color w:val="auto"/>
                <w:highlight w:val="none"/>
              </w:rPr>
            </w:pPr>
            <w:r>
              <w:rPr>
                <w:rFonts w:hint="default"/>
                <w:i/>
                <w:iCs/>
                <w:color w:val="auto"/>
                <w:highlight w:val="none"/>
              </w:rPr>
              <w:t>Caprimulgus indicus</w:t>
            </w:r>
          </w:p>
        </w:tc>
        <w:tc>
          <w:tcPr>
            <w:tcW w:w="2721" w:type="dxa"/>
            <w:tcBorders>
              <w:tl2br w:val="nil"/>
              <w:tr2bl w:val="nil"/>
            </w:tcBorders>
            <w:noWrap w:val="0"/>
            <w:vAlign w:val="center"/>
          </w:tcPr>
          <w:p w14:paraId="32E90120">
            <w:pPr>
              <w:pStyle w:val="23"/>
              <w:bidi w:val="0"/>
              <w:jc w:val="center"/>
              <w:rPr>
                <w:rFonts w:hint="default"/>
                <w:color w:val="auto"/>
                <w:highlight w:val="none"/>
              </w:rPr>
            </w:pPr>
            <w:r>
              <w:rPr>
                <w:rFonts w:hint="default"/>
                <w:color w:val="auto"/>
                <w:highlight w:val="none"/>
              </w:rPr>
              <w:t>评价区山地森林及林缘</w:t>
            </w:r>
          </w:p>
        </w:tc>
        <w:tc>
          <w:tcPr>
            <w:tcW w:w="1168" w:type="dxa"/>
            <w:tcBorders>
              <w:tl2br w:val="nil"/>
              <w:tr2bl w:val="nil"/>
            </w:tcBorders>
            <w:noWrap w:val="0"/>
            <w:vAlign w:val="center"/>
          </w:tcPr>
          <w:p w14:paraId="680249C4">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4E8DAA46">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16E9C609">
            <w:pPr>
              <w:pStyle w:val="23"/>
              <w:bidi w:val="0"/>
              <w:jc w:val="center"/>
              <w:rPr>
                <w:rFonts w:hint="default"/>
                <w:color w:val="auto"/>
                <w:highlight w:val="none"/>
              </w:rPr>
            </w:pPr>
            <w:r>
              <w:rPr>
                <w:rFonts w:hint="default"/>
                <w:color w:val="auto"/>
                <w:highlight w:val="none"/>
              </w:rPr>
              <w:t>省级</w:t>
            </w:r>
          </w:p>
        </w:tc>
      </w:tr>
      <w:tr w14:paraId="0E477B1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3424B441">
            <w:pPr>
              <w:pStyle w:val="23"/>
              <w:bidi w:val="0"/>
              <w:jc w:val="center"/>
              <w:rPr>
                <w:rFonts w:hint="default"/>
                <w:color w:val="auto"/>
                <w:highlight w:val="none"/>
              </w:rPr>
            </w:pPr>
            <w:r>
              <w:rPr>
                <w:rFonts w:hint="default"/>
                <w:color w:val="auto"/>
                <w:highlight w:val="none"/>
              </w:rPr>
              <w:t>36.小白腰雨燕</w:t>
            </w:r>
          </w:p>
          <w:p w14:paraId="6A84C1A4">
            <w:pPr>
              <w:pStyle w:val="23"/>
              <w:bidi w:val="0"/>
              <w:jc w:val="center"/>
              <w:rPr>
                <w:rFonts w:hint="default"/>
                <w:color w:val="auto"/>
                <w:highlight w:val="none"/>
              </w:rPr>
            </w:pPr>
            <w:r>
              <w:rPr>
                <w:rFonts w:hint="default"/>
                <w:i/>
                <w:iCs/>
                <w:color w:val="auto"/>
                <w:highlight w:val="none"/>
              </w:rPr>
              <w:t>Apus nipalensis</w:t>
            </w:r>
          </w:p>
        </w:tc>
        <w:tc>
          <w:tcPr>
            <w:tcW w:w="2721" w:type="dxa"/>
            <w:tcBorders>
              <w:tl2br w:val="nil"/>
              <w:tr2bl w:val="nil"/>
            </w:tcBorders>
            <w:noWrap w:val="0"/>
            <w:vAlign w:val="center"/>
          </w:tcPr>
          <w:p w14:paraId="42AFD787">
            <w:pPr>
              <w:pStyle w:val="23"/>
              <w:bidi w:val="0"/>
              <w:jc w:val="center"/>
              <w:rPr>
                <w:rFonts w:hint="default"/>
                <w:color w:val="auto"/>
                <w:highlight w:val="none"/>
              </w:rPr>
            </w:pPr>
            <w:r>
              <w:rPr>
                <w:rFonts w:hint="default"/>
                <w:color w:val="auto"/>
                <w:highlight w:val="none"/>
              </w:rPr>
              <w:t>在评价区开阔地的上空捕</w:t>
            </w:r>
          </w:p>
          <w:p w14:paraId="0FCB8212">
            <w:pPr>
              <w:pStyle w:val="23"/>
              <w:bidi w:val="0"/>
              <w:jc w:val="center"/>
              <w:rPr>
                <w:rFonts w:hint="default"/>
                <w:color w:val="auto"/>
                <w:highlight w:val="none"/>
              </w:rPr>
            </w:pPr>
            <w:r>
              <w:rPr>
                <w:rFonts w:hint="default"/>
                <w:color w:val="auto"/>
                <w:highlight w:val="none"/>
              </w:rPr>
              <w:t>食，飞行平稳。营巢于屋檐</w:t>
            </w:r>
          </w:p>
          <w:p w14:paraId="6C9560FA">
            <w:pPr>
              <w:pStyle w:val="23"/>
              <w:bidi w:val="0"/>
              <w:jc w:val="center"/>
              <w:rPr>
                <w:rFonts w:hint="default"/>
                <w:color w:val="auto"/>
                <w:highlight w:val="none"/>
              </w:rPr>
            </w:pPr>
            <w:r>
              <w:rPr>
                <w:rFonts w:hint="default"/>
                <w:color w:val="auto"/>
                <w:highlight w:val="none"/>
              </w:rPr>
              <w:t>下或洞穴口</w:t>
            </w:r>
          </w:p>
        </w:tc>
        <w:tc>
          <w:tcPr>
            <w:tcW w:w="1168" w:type="dxa"/>
            <w:tcBorders>
              <w:tl2br w:val="nil"/>
              <w:tr2bl w:val="nil"/>
            </w:tcBorders>
            <w:noWrap w:val="0"/>
            <w:vAlign w:val="center"/>
          </w:tcPr>
          <w:p w14:paraId="3B76278D">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4FE2DD79">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58375256">
            <w:pPr>
              <w:pStyle w:val="23"/>
              <w:bidi w:val="0"/>
              <w:jc w:val="center"/>
              <w:rPr>
                <w:rFonts w:hint="default"/>
                <w:color w:val="auto"/>
                <w:highlight w:val="none"/>
              </w:rPr>
            </w:pPr>
            <w:r>
              <w:rPr>
                <w:rFonts w:hint="default"/>
                <w:color w:val="auto"/>
                <w:highlight w:val="none"/>
              </w:rPr>
              <w:t>省级</w:t>
            </w:r>
          </w:p>
        </w:tc>
      </w:tr>
      <w:tr w14:paraId="5A56C7F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4C4A2ED0">
            <w:pPr>
              <w:pStyle w:val="23"/>
              <w:bidi w:val="0"/>
              <w:jc w:val="center"/>
              <w:rPr>
                <w:rFonts w:hint="default"/>
                <w:color w:val="auto"/>
                <w:highlight w:val="none"/>
              </w:rPr>
            </w:pPr>
            <w:r>
              <w:rPr>
                <w:rFonts w:hint="default"/>
                <w:color w:val="auto"/>
                <w:highlight w:val="none"/>
              </w:rPr>
              <w:t>37.普通翠鸟</w:t>
            </w:r>
          </w:p>
          <w:p w14:paraId="48617B5A">
            <w:pPr>
              <w:pStyle w:val="23"/>
              <w:bidi w:val="0"/>
              <w:jc w:val="center"/>
              <w:rPr>
                <w:rFonts w:hint="default"/>
                <w:color w:val="auto"/>
                <w:highlight w:val="none"/>
              </w:rPr>
            </w:pPr>
            <w:r>
              <w:rPr>
                <w:rFonts w:hint="default"/>
                <w:i/>
                <w:iCs/>
                <w:color w:val="auto"/>
                <w:highlight w:val="none"/>
              </w:rPr>
              <w:t>Alcedo atthis</w:t>
            </w:r>
          </w:p>
        </w:tc>
        <w:tc>
          <w:tcPr>
            <w:tcW w:w="2721" w:type="dxa"/>
            <w:tcBorders>
              <w:tl2br w:val="nil"/>
              <w:tr2bl w:val="nil"/>
            </w:tcBorders>
            <w:noWrap w:val="0"/>
            <w:vAlign w:val="center"/>
          </w:tcPr>
          <w:p w14:paraId="30F3AC42">
            <w:pPr>
              <w:pStyle w:val="23"/>
              <w:bidi w:val="0"/>
              <w:jc w:val="center"/>
              <w:rPr>
                <w:rFonts w:hint="default"/>
                <w:color w:val="auto"/>
                <w:highlight w:val="none"/>
              </w:rPr>
            </w:pPr>
            <w:r>
              <w:rPr>
                <w:rFonts w:hint="default"/>
                <w:color w:val="auto"/>
                <w:highlight w:val="none"/>
              </w:rPr>
              <w:t>评价区溪流、水塘等水域附 近</w:t>
            </w:r>
          </w:p>
        </w:tc>
        <w:tc>
          <w:tcPr>
            <w:tcW w:w="1168" w:type="dxa"/>
            <w:tcBorders>
              <w:tl2br w:val="nil"/>
              <w:tr2bl w:val="nil"/>
            </w:tcBorders>
            <w:noWrap w:val="0"/>
            <w:vAlign w:val="center"/>
          </w:tcPr>
          <w:p w14:paraId="55E03CC2">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6EB02A03">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7B6E77A5">
            <w:pPr>
              <w:pStyle w:val="23"/>
              <w:bidi w:val="0"/>
              <w:jc w:val="center"/>
              <w:rPr>
                <w:rFonts w:hint="default"/>
                <w:color w:val="auto"/>
                <w:highlight w:val="none"/>
              </w:rPr>
            </w:pPr>
            <w:r>
              <w:rPr>
                <w:rFonts w:hint="default"/>
                <w:color w:val="auto"/>
                <w:highlight w:val="none"/>
              </w:rPr>
              <w:t>省级</w:t>
            </w:r>
          </w:p>
        </w:tc>
      </w:tr>
      <w:tr w14:paraId="7C8274D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57701051">
            <w:pPr>
              <w:pStyle w:val="23"/>
              <w:bidi w:val="0"/>
              <w:jc w:val="center"/>
              <w:rPr>
                <w:rFonts w:hint="default"/>
                <w:color w:val="auto"/>
                <w:highlight w:val="none"/>
              </w:rPr>
            </w:pPr>
            <w:r>
              <w:rPr>
                <w:rFonts w:hint="default"/>
                <w:color w:val="auto"/>
                <w:highlight w:val="none"/>
              </w:rPr>
              <w:t>38.蚁鴷</w:t>
            </w:r>
          </w:p>
          <w:p w14:paraId="4F0F22F3">
            <w:pPr>
              <w:pStyle w:val="23"/>
              <w:bidi w:val="0"/>
              <w:jc w:val="center"/>
              <w:rPr>
                <w:rFonts w:hint="default"/>
                <w:color w:val="auto"/>
                <w:highlight w:val="none"/>
              </w:rPr>
            </w:pPr>
            <w:r>
              <w:rPr>
                <w:rFonts w:hint="default"/>
                <w:i/>
                <w:iCs/>
                <w:color w:val="auto"/>
                <w:highlight w:val="none"/>
              </w:rPr>
              <w:t>Jynx torquilla</w:t>
            </w:r>
          </w:p>
        </w:tc>
        <w:tc>
          <w:tcPr>
            <w:tcW w:w="2721" w:type="dxa"/>
            <w:tcBorders>
              <w:tl2br w:val="nil"/>
              <w:tr2bl w:val="nil"/>
            </w:tcBorders>
            <w:noWrap w:val="0"/>
            <w:vAlign w:val="center"/>
          </w:tcPr>
          <w:p w14:paraId="2AF01642">
            <w:pPr>
              <w:pStyle w:val="23"/>
              <w:bidi w:val="0"/>
              <w:jc w:val="center"/>
              <w:rPr>
                <w:rFonts w:hint="default"/>
                <w:color w:val="auto"/>
                <w:highlight w:val="none"/>
              </w:rPr>
            </w:pPr>
            <w:r>
              <w:rPr>
                <w:rFonts w:hint="default"/>
                <w:color w:val="auto"/>
                <w:highlight w:val="none"/>
              </w:rPr>
              <w:t>评价区低山开阔的疏林地 带</w:t>
            </w:r>
          </w:p>
        </w:tc>
        <w:tc>
          <w:tcPr>
            <w:tcW w:w="1168" w:type="dxa"/>
            <w:tcBorders>
              <w:tl2br w:val="nil"/>
              <w:tr2bl w:val="nil"/>
            </w:tcBorders>
            <w:noWrap w:val="0"/>
            <w:vAlign w:val="center"/>
          </w:tcPr>
          <w:p w14:paraId="637BBEB2">
            <w:pPr>
              <w:pStyle w:val="23"/>
              <w:bidi w:val="0"/>
              <w:jc w:val="center"/>
              <w:rPr>
                <w:rFonts w:hint="default"/>
                <w:color w:val="auto"/>
                <w:highlight w:val="none"/>
              </w:rPr>
            </w:pPr>
            <w:r>
              <w:rPr>
                <w:rFonts w:hint="default"/>
                <w:color w:val="auto"/>
                <w:highlight w:val="none"/>
              </w:rPr>
              <w:t>冬候鸟</w:t>
            </w:r>
          </w:p>
        </w:tc>
        <w:tc>
          <w:tcPr>
            <w:tcW w:w="1023" w:type="dxa"/>
            <w:tcBorders>
              <w:tl2br w:val="nil"/>
              <w:tr2bl w:val="nil"/>
            </w:tcBorders>
            <w:noWrap w:val="0"/>
            <w:vAlign w:val="center"/>
          </w:tcPr>
          <w:p w14:paraId="26809B22">
            <w:pPr>
              <w:pStyle w:val="23"/>
              <w:bidi w:val="0"/>
              <w:jc w:val="center"/>
              <w:rPr>
                <w:rFonts w:hint="default"/>
                <w:color w:val="auto"/>
                <w:highlight w:val="none"/>
              </w:rPr>
            </w:pPr>
            <w:r>
              <w:rPr>
                <w:rFonts w:hint="default"/>
                <w:color w:val="auto"/>
                <w:highlight w:val="none"/>
              </w:rPr>
              <w:t>古北种</w:t>
            </w:r>
          </w:p>
        </w:tc>
        <w:tc>
          <w:tcPr>
            <w:tcW w:w="760" w:type="dxa"/>
            <w:tcBorders>
              <w:tl2br w:val="nil"/>
              <w:tr2bl w:val="nil"/>
            </w:tcBorders>
            <w:noWrap w:val="0"/>
            <w:vAlign w:val="center"/>
          </w:tcPr>
          <w:p w14:paraId="624FB3B1">
            <w:pPr>
              <w:pStyle w:val="23"/>
              <w:bidi w:val="0"/>
              <w:jc w:val="center"/>
              <w:rPr>
                <w:rFonts w:hint="default"/>
                <w:color w:val="auto"/>
                <w:highlight w:val="none"/>
              </w:rPr>
            </w:pPr>
            <w:r>
              <w:rPr>
                <w:rFonts w:hint="default"/>
                <w:color w:val="auto"/>
                <w:highlight w:val="none"/>
              </w:rPr>
              <w:t>省级</w:t>
            </w:r>
          </w:p>
        </w:tc>
      </w:tr>
      <w:tr w14:paraId="0185A2C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4060C5A0">
            <w:pPr>
              <w:pStyle w:val="23"/>
              <w:bidi w:val="0"/>
              <w:jc w:val="center"/>
              <w:rPr>
                <w:rFonts w:hint="default"/>
                <w:color w:val="auto"/>
                <w:highlight w:val="none"/>
              </w:rPr>
            </w:pPr>
            <w:r>
              <w:rPr>
                <w:rFonts w:hint="default"/>
                <w:color w:val="auto"/>
                <w:highlight w:val="none"/>
              </w:rPr>
              <w:t>39.斑姬啄木鸟</w:t>
            </w:r>
          </w:p>
          <w:p w14:paraId="54FE822A">
            <w:pPr>
              <w:pStyle w:val="23"/>
              <w:bidi w:val="0"/>
              <w:jc w:val="center"/>
              <w:rPr>
                <w:rFonts w:hint="default"/>
                <w:color w:val="auto"/>
                <w:highlight w:val="none"/>
              </w:rPr>
            </w:pPr>
            <w:r>
              <w:rPr>
                <w:rFonts w:hint="default"/>
                <w:i/>
                <w:iCs/>
                <w:color w:val="auto"/>
                <w:highlight w:val="none"/>
              </w:rPr>
              <w:t>Picumnus innominatus</w:t>
            </w:r>
          </w:p>
        </w:tc>
        <w:tc>
          <w:tcPr>
            <w:tcW w:w="2721" w:type="dxa"/>
            <w:tcBorders>
              <w:tl2br w:val="nil"/>
              <w:tr2bl w:val="nil"/>
            </w:tcBorders>
            <w:noWrap w:val="0"/>
            <w:vAlign w:val="center"/>
          </w:tcPr>
          <w:p w14:paraId="744731DC">
            <w:pPr>
              <w:pStyle w:val="23"/>
              <w:bidi w:val="0"/>
              <w:jc w:val="center"/>
              <w:rPr>
                <w:rFonts w:hint="default"/>
                <w:color w:val="auto"/>
                <w:highlight w:val="none"/>
              </w:rPr>
            </w:pPr>
            <w:r>
              <w:rPr>
                <w:rFonts w:hint="default"/>
                <w:color w:val="auto"/>
                <w:highlight w:val="none"/>
              </w:rPr>
              <w:t>评价区竹林、灌丛</w:t>
            </w:r>
          </w:p>
        </w:tc>
        <w:tc>
          <w:tcPr>
            <w:tcW w:w="1168" w:type="dxa"/>
            <w:tcBorders>
              <w:tl2br w:val="nil"/>
              <w:tr2bl w:val="nil"/>
            </w:tcBorders>
            <w:noWrap w:val="0"/>
            <w:vAlign w:val="center"/>
          </w:tcPr>
          <w:p w14:paraId="03D16C81">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0D0FAE02">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505C8F4F">
            <w:pPr>
              <w:pStyle w:val="23"/>
              <w:bidi w:val="0"/>
              <w:jc w:val="center"/>
              <w:rPr>
                <w:rFonts w:hint="default"/>
                <w:color w:val="auto"/>
                <w:highlight w:val="none"/>
              </w:rPr>
            </w:pPr>
            <w:r>
              <w:rPr>
                <w:rFonts w:hint="default"/>
                <w:color w:val="auto"/>
                <w:highlight w:val="none"/>
              </w:rPr>
              <w:t>省级</w:t>
            </w:r>
          </w:p>
        </w:tc>
      </w:tr>
      <w:tr w14:paraId="1285C05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203A79D7">
            <w:pPr>
              <w:pStyle w:val="23"/>
              <w:bidi w:val="0"/>
              <w:jc w:val="center"/>
              <w:rPr>
                <w:rFonts w:hint="default"/>
                <w:color w:val="auto"/>
                <w:highlight w:val="none"/>
              </w:rPr>
            </w:pPr>
            <w:r>
              <w:rPr>
                <w:rFonts w:hint="default"/>
                <w:color w:val="auto"/>
                <w:highlight w:val="none"/>
              </w:rPr>
              <w:t>40.灰头绿啄木鸟</w:t>
            </w:r>
          </w:p>
          <w:p w14:paraId="2A565D88">
            <w:pPr>
              <w:pStyle w:val="23"/>
              <w:bidi w:val="0"/>
              <w:jc w:val="center"/>
              <w:rPr>
                <w:rFonts w:hint="default"/>
                <w:color w:val="auto"/>
                <w:highlight w:val="none"/>
              </w:rPr>
            </w:pPr>
            <w:r>
              <w:rPr>
                <w:rFonts w:hint="default"/>
                <w:i/>
                <w:iCs/>
                <w:color w:val="auto"/>
                <w:highlight w:val="none"/>
              </w:rPr>
              <w:t>Picus canus</w:t>
            </w:r>
          </w:p>
        </w:tc>
        <w:tc>
          <w:tcPr>
            <w:tcW w:w="2721" w:type="dxa"/>
            <w:vMerge w:val="restart"/>
            <w:tcBorders>
              <w:tl2br w:val="nil"/>
              <w:tr2bl w:val="nil"/>
            </w:tcBorders>
            <w:noWrap w:val="0"/>
            <w:vAlign w:val="center"/>
          </w:tcPr>
          <w:p w14:paraId="75A6E2D2">
            <w:pPr>
              <w:pStyle w:val="23"/>
              <w:bidi w:val="0"/>
              <w:jc w:val="center"/>
              <w:rPr>
                <w:rFonts w:hint="default"/>
                <w:color w:val="auto"/>
                <w:highlight w:val="none"/>
              </w:rPr>
            </w:pPr>
            <w:r>
              <w:rPr>
                <w:rFonts w:hint="default"/>
                <w:color w:val="auto"/>
                <w:highlight w:val="none"/>
              </w:rPr>
              <w:t>评价区广泛分布</w:t>
            </w:r>
          </w:p>
        </w:tc>
        <w:tc>
          <w:tcPr>
            <w:tcW w:w="1168" w:type="dxa"/>
            <w:tcBorders>
              <w:tl2br w:val="nil"/>
              <w:tr2bl w:val="nil"/>
            </w:tcBorders>
            <w:noWrap w:val="0"/>
            <w:vAlign w:val="center"/>
          </w:tcPr>
          <w:p w14:paraId="71B9C1A1">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6E4D29AC">
            <w:pPr>
              <w:pStyle w:val="23"/>
              <w:bidi w:val="0"/>
              <w:jc w:val="center"/>
              <w:rPr>
                <w:rFonts w:hint="default"/>
                <w:color w:val="auto"/>
                <w:highlight w:val="none"/>
              </w:rPr>
            </w:pPr>
            <w:r>
              <w:rPr>
                <w:rFonts w:hint="default"/>
                <w:color w:val="auto"/>
                <w:highlight w:val="none"/>
              </w:rPr>
              <w:t>古北种</w:t>
            </w:r>
          </w:p>
        </w:tc>
        <w:tc>
          <w:tcPr>
            <w:tcW w:w="760" w:type="dxa"/>
            <w:tcBorders>
              <w:tl2br w:val="nil"/>
              <w:tr2bl w:val="nil"/>
            </w:tcBorders>
            <w:noWrap w:val="0"/>
            <w:vAlign w:val="center"/>
          </w:tcPr>
          <w:p w14:paraId="602C09DC">
            <w:pPr>
              <w:pStyle w:val="23"/>
              <w:bidi w:val="0"/>
              <w:jc w:val="center"/>
              <w:rPr>
                <w:rFonts w:hint="default"/>
                <w:color w:val="auto"/>
                <w:highlight w:val="none"/>
              </w:rPr>
            </w:pPr>
            <w:r>
              <w:rPr>
                <w:rFonts w:hint="default"/>
                <w:color w:val="auto"/>
                <w:highlight w:val="none"/>
              </w:rPr>
              <w:t>省级</w:t>
            </w:r>
          </w:p>
        </w:tc>
      </w:tr>
      <w:tr w14:paraId="1DBF894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57AC0392">
            <w:pPr>
              <w:pStyle w:val="23"/>
              <w:bidi w:val="0"/>
              <w:jc w:val="center"/>
              <w:rPr>
                <w:rFonts w:hint="default"/>
                <w:color w:val="auto"/>
                <w:highlight w:val="none"/>
              </w:rPr>
            </w:pPr>
            <w:r>
              <w:rPr>
                <w:rFonts w:hint="default"/>
                <w:color w:val="auto"/>
                <w:highlight w:val="none"/>
              </w:rPr>
              <w:t>41.大斑啄木鸟</w:t>
            </w:r>
          </w:p>
          <w:p w14:paraId="477A1D8B">
            <w:pPr>
              <w:pStyle w:val="23"/>
              <w:bidi w:val="0"/>
              <w:jc w:val="center"/>
              <w:rPr>
                <w:rFonts w:hint="default"/>
                <w:color w:val="auto"/>
                <w:highlight w:val="none"/>
              </w:rPr>
            </w:pPr>
            <w:r>
              <w:rPr>
                <w:rFonts w:hint="default"/>
                <w:i/>
                <w:iCs/>
                <w:color w:val="auto"/>
                <w:highlight w:val="none"/>
              </w:rPr>
              <w:t>Dendrocopos major</w:t>
            </w:r>
          </w:p>
        </w:tc>
        <w:tc>
          <w:tcPr>
            <w:tcW w:w="2721" w:type="dxa"/>
            <w:vMerge w:val="continue"/>
            <w:tcBorders>
              <w:tl2br w:val="nil"/>
              <w:tr2bl w:val="nil"/>
            </w:tcBorders>
            <w:noWrap w:val="0"/>
            <w:vAlign w:val="center"/>
          </w:tcPr>
          <w:p w14:paraId="3D675EED">
            <w:pPr>
              <w:pStyle w:val="23"/>
              <w:bidi w:val="0"/>
              <w:jc w:val="center"/>
              <w:rPr>
                <w:rFonts w:hint="default"/>
                <w:color w:val="auto"/>
                <w:highlight w:val="none"/>
              </w:rPr>
            </w:pPr>
          </w:p>
        </w:tc>
        <w:tc>
          <w:tcPr>
            <w:tcW w:w="1168" w:type="dxa"/>
            <w:tcBorders>
              <w:tl2br w:val="nil"/>
              <w:tr2bl w:val="nil"/>
            </w:tcBorders>
            <w:noWrap w:val="0"/>
            <w:vAlign w:val="center"/>
          </w:tcPr>
          <w:p w14:paraId="2F88690F">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1D6B877A">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5051A62F">
            <w:pPr>
              <w:pStyle w:val="23"/>
              <w:bidi w:val="0"/>
              <w:jc w:val="center"/>
              <w:rPr>
                <w:rFonts w:hint="default"/>
                <w:color w:val="auto"/>
                <w:highlight w:val="none"/>
              </w:rPr>
            </w:pPr>
            <w:r>
              <w:rPr>
                <w:rFonts w:hint="default"/>
                <w:color w:val="auto"/>
                <w:highlight w:val="none"/>
              </w:rPr>
              <w:t>省级</w:t>
            </w:r>
          </w:p>
        </w:tc>
      </w:tr>
      <w:tr w14:paraId="339EB0F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20E99973">
            <w:pPr>
              <w:pStyle w:val="23"/>
              <w:bidi w:val="0"/>
              <w:jc w:val="center"/>
              <w:rPr>
                <w:rFonts w:hint="default"/>
                <w:color w:val="auto"/>
                <w:highlight w:val="none"/>
              </w:rPr>
            </w:pPr>
            <w:r>
              <w:rPr>
                <w:rFonts w:hint="default"/>
                <w:color w:val="auto"/>
                <w:highlight w:val="none"/>
              </w:rPr>
              <w:t>42.金腰燕</w:t>
            </w:r>
          </w:p>
          <w:p w14:paraId="6198217F">
            <w:pPr>
              <w:pStyle w:val="23"/>
              <w:bidi w:val="0"/>
              <w:jc w:val="center"/>
              <w:rPr>
                <w:rFonts w:hint="default"/>
                <w:color w:val="auto"/>
                <w:highlight w:val="none"/>
              </w:rPr>
            </w:pPr>
            <w:r>
              <w:rPr>
                <w:rFonts w:hint="default"/>
                <w:i/>
                <w:iCs/>
                <w:color w:val="auto"/>
                <w:highlight w:val="none"/>
              </w:rPr>
              <w:t>Hirundo daurica</w:t>
            </w:r>
          </w:p>
        </w:tc>
        <w:tc>
          <w:tcPr>
            <w:tcW w:w="2721" w:type="dxa"/>
            <w:vMerge w:val="continue"/>
            <w:tcBorders>
              <w:tl2br w:val="nil"/>
              <w:tr2bl w:val="nil"/>
            </w:tcBorders>
            <w:noWrap w:val="0"/>
            <w:vAlign w:val="center"/>
          </w:tcPr>
          <w:p w14:paraId="76F59999">
            <w:pPr>
              <w:pStyle w:val="23"/>
              <w:bidi w:val="0"/>
              <w:jc w:val="center"/>
              <w:rPr>
                <w:rFonts w:hint="default"/>
                <w:color w:val="auto"/>
                <w:highlight w:val="none"/>
              </w:rPr>
            </w:pPr>
          </w:p>
        </w:tc>
        <w:tc>
          <w:tcPr>
            <w:tcW w:w="1168" w:type="dxa"/>
            <w:tcBorders>
              <w:tl2br w:val="nil"/>
              <w:tr2bl w:val="nil"/>
            </w:tcBorders>
            <w:noWrap w:val="0"/>
            <w:vAlign w:val="center"/>
          </w:tcPr>
          <w:p w14:paraId="0FF473BE">
            <w:pPr>
              <w:pStyle w:val="23"/>
              <w:bidi w:val="0"/>
              <w:jc w:val="center"/>
              <w:rPr>
                <w:rFonts w:hint="default"/>
                <w:color w:val="auto"/>
                <w:highlight w:val="none"/>
              </w:rPr>
            </w:pPr>
            <w:r>
              <w:rPr>
                <w:rFonts w:hint="default"/>
                <w:color w:val="auto"/>
                <w:highlight w:val="none"/>
              </w:rPr>
              <w:t>夏候鸟</w:t>
            </w:r>
          </w:p>
        </w:tc>
        <w:tc>
          <w:tcPr>
            <w:tcW w:w="1023" w:type="dxa"/>
            <w:tcBorders>
              <w:tl2br w:val="nil"/>
              <w:tr2bl w:val="nil"/>
            </w:tcBorders>
            <w:noWrap w:val="0"/>
            <w:vAlign w:val="center"/>
          </w:tcPr>
          <w:p w14:paraId="1DC41223">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625FE61C">
            <w:pPr>
              <w:pStyle w:val="23"/>
              <w:bidi w:val="0"/>
              <w:jc w:val="center"/>
              <w:rPr>
                <w:rFonts w:hint="default"/>
                <w:color w:val="auto"/>
                <w:highlight w:val="none"/>
              </w:rPr>
            </w:pPr>
            <w:r>
              <w:rPr>
                <w:rFonts w:hint="default"/>
                <w:color w:val="auto"/>
                <w:highlight w:val="none"/>
              </w:rPr>
              <w:t>省级</w:t>
            </w:r>
          </w:p>
        </w:tc>
      </w:tr>
      <w:tr w14:paraId="7E42FA9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03AF0BEB">
            <w:pPr>
              <w:pStyle w:val="23"/>
              <w:bidi w:val="0"/>
              <w:jc w:val="center"/>
              <w:rPr>
                <w:rFonts w:hint="default"/>
                <w:color w:val="auto"/>
                <w:highlight w:val="none"/>
              </w:rPr>
            </w:pPr>
            <w:r>
              <w:rPr>
                <w:rFonts w:hint="default"/>
                <w:color w:val="auto"/>
                <w:highlight w:val="none"/>
              </w:rPr>
              <w:t>43.家燕</w:t>
            </w:r>
          </w:p>
          <w:p w14:paraId="28D46E75">
            <w:pPr>
              <w:pStyle w:val="23"/>
              <w:bidi w:val="0"/>
              <w:jc w:val="center"/>
              <w:rPr>
                <w:rFonts w:hint="default"/>
                <w:color w:val="auto"/>
                <w:highlight w:val="none"/>
              </w:rPr>
            </w:pPr>
            <w:r>
              <w:rPr>
                <w:rFonts w:hint="default"/>
                <w:i/>
                <w:iCs/>
                <w:color w:val="auto"/>
                <w:highlight w:val="none"/>
              </w:rPr>
              <w:t>Hirundo rustica</w:t>
            </w:r>
          </w:p>
        </w:tc>
        <w:tc>
          <w:tcPr>
            <w:tcW w:w="2721" w:type="dxa"/>
            <w:vMerge w:val="continue"/>
            <w:tcBorders>
              <w:tl2br w:val="nil"/>
              <w:tr2bl w:val="nil"/>
            </w:tcBorders>
            <w:noWrap w:val="0"/>
            <w:vAlign w:val="center"/>
          </w:tcPr>
          <w:p w14:paraId="3FCD3E75">
            <w:pPr>
              <w:pStyle w:val="23"/>
              <w:bidi w:val="0"/>
              <w:jc w:val="center"/>
              <w:rPr>
                <w:rFonts w:hint="default"/>
                <w:color w:val="auto"/>
                <w:highlight w:val="none"/>
              </w:rPr>
            </w:pPr>
          </w:p>
        </w:tc>
        <w:tc>
          <w:tcPr>
            <w:tcW w:w="1168" w:type="dxa"/>
            <w:tcBorders>
              <w:tl2br w:val="nil"/>
              <w:tr2bl w:val="nil"/>
            </w:tcBorders>
            <w:noWrap w:val="0"/>
            <w:vAlign w:val="center"/>
          </w:tcPr>
          <w:p w14:paraId="3F94B76B">
            <w:pPr>
              <w:pStyle w:val="23"/>
              <w:bidi w:val="0"/>
              <w:jc w:val="center"/>
              <w:rPr>
                <w:rFonts w:hint="default"/>
                <w:color w:val="auto"/>
                <w:highlight w:val="none"/>
              </w:rPr>
            </w:pPr>
            <w:r>
              <w:rPr>
                <w:rFonts w:hint="default"/>
                <w:color w:val="auto"/>
                <w:highlight w:val="none"/>
              </w:rPr>
              <w:t>夏候鸟</w:t>
            </w:r>
          </w:p>
        </w:tc>
        <w:tc>
          <w:tcPr>
            <w:tcW w:w="1023" w:type="dxa"/>
            <w:tcBorders>
              <w:tl2br w:val="nil"/>
              <w:tr2bl w:val="nil"/>
            </w:tcBorders>
            <w:noWrap w:val="0"/>
            <w:vAlign w:val="center"/>
          </w:tcPr>
          <w:p w14:paraId="5EDDE46C">
            <w:pPr>
              <w:pStyle w:val="23"/>
              <w:bidi w:val="0"/>
              <w:jc w:val="center"/>
              <w:rPr>
                <w:rFonts w:hint="default"/>
                <w:color w:val="auto"/>
                <w:highlight w:val="none"/>
              </w:rPr>
            </w:pPr>
            <w:r>
              <w:rPr>
                <w:rFonts w:hint="default"/>
                <w:color w:val="auto"/>
                <w:highlight w:val="none"/>
              </w:rPr>
              <w:t>古北种</w:t>
            </w:r>
          </w:p>
        </w:tc>
        <w:tc>
          <w:tcPr>
            <w:tcW w:w="760" w:type="dxa"/>
            <w:tcBorders>
              <w:tl2br w:val="nil"/>
              <w:tr2bl w:val="nil"/>
            </w:tcBorders>
            <w:noWrap w:val="0"/>
            <w:vAlign w:val="center"/>
          </w:tcPr>
          <w:p w14:paraId="3C4CBE2A">
            <w:pPr>
              <w:pStyle w:val="23"/>
              <w:bidi w:val="0"/>
              <w:jc w:val="center"/>
              <w:rPr>
                <w:rFonts w:hint="default"/>
                <w:color w:val="auto"/>
                <w:highlight w:val="none"/>
              </w:rPr>
            </w:pPr>
            <w:r>
              <w:rPr>
                <w:rFonts w:hint="default"/>
                <w:color w:val="auto"/>
                <w:highlight w:val="none"/>
              </w:rPr>
              <w:t>省级</w:t>
            </w:r>
          </w:p>
        </w:tc>
      </w:tr>
      <w:tr w14:paraId="0F5DA01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6F4DD634">
            <w:pPr>
              <w:pStyle w:val="23"/>
              <w:bidi w:val="0"/>
              <w:jc w:val="center"/>
              <w:rPr>
                <w:rFonts w:hint="default"/>
                <w:color w:val="auto"/>
                <w:highlight w:val="none"/>
              </w:rPr>
            </w:pPr>
            <w:r>
              <w:rPr>
                <w:rFonts w:hint="default"/>
                <w:color w:val="auto"/>
                <w:highlight w:val="none"/>
              </w:rPr>
              <w:t>44.白头鹎</w:t>
            </w:r>
          </w:p>
          <w:p w14:paraId="16EA210A">
            <w:pPr>
              <w:pStyle w:val="23"/>
              <w:bidi w:val="0"/>
              <w:jc w:val="center"/>
              <w:rPr>
                <w:rFonts w:hint="default"/>
                <w:color w:val="auto"/>
                <w:highlight w:val="none"/>
              </w:rPr>
            </w:pPr>
            <w:r>
              <w:rPr>
                <w:rFonts w:hint="default"/>
                <w:i/>
                <w:iCs/>
                <w:color w:val="auto"/>
                <w:highlight w:val="none"/>
              </w:rPr>
              <w:t>Pycnonotus sinensis</w:t>
            </w:r>
          </w:p>
        </w:tc>
        <w:tc>
          <w:tcPr>
            <w:tcW w:w="2721" w:type="dxa"/>
            <w:vMerge w:val="continue"/>
            <w:tcBorders>
              <w:tl2br w:val="nil"/>
              <w:tr2bl w:val="nil"/>
            </w:tcBorders>
            <w:noWrap w:val="0"/>
            <w:vAlign w:val="center"/>
          </w:tcPr>
          <w:p w14:paraId="2D2585B7">
            <w:pPr>
              <w:pStyle w:val="23"/>
              <w:bidi w:val="0"/>
              <w:jc w:val="center"/>
              <w:rPr>
                <w:rFonts w:hint="default"/>
                <w:color w:val="auto"/>
                <w:highlight w:val="none"/>
              </w:rPr>
            </w:pPr>
          </w:p>
        </w:tc>
        <w:tc>
          <w:tcPr>
            <w:tcW w:w="1168" w:type="dxa"/>
            <w:tcBorders>
              <w:tl2br w:val="nil"/>
              <w:tr2bl w:val="nil"/>
            </w:tcBorders>
            <w:noWrap w:val="0"/>
            <w:vAlign w:val="center"/>
          </w:tcPr>
          <w:p w14:paraId="7C4B3DA0">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49ED04E1">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75BDFB08">
            <w:pPr>
              <w:pStyle w:val="23"/>
              <w:bidi w:val="0"/>
              <w:jc w:val="center"/>
              <w:rPr>
                <w:rFonts w:hint="default"/>
                <w:color w:val="auto"/>
                <w:highlight w:val="none"/>
              </w:rPr>
            </w:pPr>
            <w:r>
              <w:rPr>
                <w:rFonts w:hint="default"/>
                <w:color w:val="auto"/>
                <w:highlight w:val="none"/>
              </w:rPr>
              <w:t>省级</w:t>
            </w:r>
          </w:p>
        </w:tc>
      </w:tr>
      <w:tr w14:paraId="467977B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3C4EB071">
            <w:pPr>
              <w:pStyle w:val="23"/>
              <w:bidi w:val="0"/>
              <w:jc w:val="center"/>
              <w:rPr>
                <w:rFonts w:hint="default"/>
                <w:color w:val="auto"/>
                <w:highlight w:val="none"/>
              </w:rPr>
            </w:pPr>
            <w:r>
              <w:rPr>
                <w:rFonts w:hint="default"/>
                <w:color w:val="auto"/>
                <w:highlight w:val="none"/>
              </w:rPr>
              <w:t>45.黄臀鹎</w:t>
            </w:r>
          </w:p>
          <w:p w14:paraId="3EEA2DA0">
            <w:pPr>
              <w:pStyle w:val="23"/>
              <w:bidi w:val="0"/>
              <w:jc w:val="center"/>
              <w:rPr>
                <w:rFonts w:hint="default"/>
                <w:color w:val="auto"/>
                <w:highlight w:val="none"/>
              </w:rPr>
            </w:pPr>
            <w:r>
              <w:rPr>
                <w:rFonts w:hint="default"/>
                <w:i/>
                <w:iCs/>
                <w:color w:val="auto"/>
                <w:highlight w:val="none"/>
              </w:rPr>
              <w:t>Pycnonotus xanthorrhous</w:t>
            </w:r>
          </w:p>
        </w:tc>
        <w:tc>
          <w:tcPr>
            <w:tcW w:w="2721" w:type="dxa"/>
            <w:vMerge w:val="continue"/>
            <w:tcBorders>
              <w:tl2br w:val="nil"/>
              <w:tr2bl w:val="nil"/>
            </w:tcBorders>
            <w:noWrap w:val="0"/>
            <w:vAlign w:val="center"/>
          </w:tcPr>
          <w:p w14:paraId="47C80BD8">
            <w:pPr>
              <w:pStyle w:val="23"/>
              <w:bidi w:val="0"/>
              <w:jc w:val="center"/>
              <w:rPr>
                <w:rFonts w:hint="default"/>
                <w:color w:val="auto"/>
                <w:highlight w:val="none"/>
              </w:rPr>
            </w:pPr>
          </w:p>
        </w:tc>
        <w:tc>
          <w:tcPr>
            <w:tcW w:w="1168" w:type="dxa"/>
            <w:tcBorders>
              <w:tl2br w:val="nil"/>
              <w:tr2bl w:val="nil"/>
            </w:tcBorders>
            <w:noWrap w:val="0"/>
            <w:vAlign w:val="center"/>
          </w:tcPr>
          <w:p w14:paraId="191777FB">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49236155">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5EC0FC9E">
            <w:pPr>
              <w:pStyle w:val="23"/>
              <w:bidi w:val="0"/>
              <w:jc w:val="center"/>
              <w:rPr>
                <w:rFonts w:hint="default"/>
                <w:color w:val="auto"/>
                <w:highlight w:val="none"/>
              </w:rPr>
            </w:pPr>
            <w:r>
              <w:rPr>
                <w:rFonts w:hint="default"/>
                <w:color w:val="auto"/>
                <w:highlight w:val="none"/>
              </w:rPr>
              <w:t>省级</w:t>
            </w:r>
          </w:p>
        </w:tc>
      </w:tr>
      <w:tr w14:paraId="40BDF16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2F2A8475">
            <w:pPr>
              <w:pStyle w:val="23"/>
              <w:bidi w:val="0"/>
              <w:jc w:val="center"/>
              <w:rPr>
                <w:rFonts w:hint="default"/>
                <w:color w:val="auto"/>
                <w:highlight w:val="none"/>
              </w:rPr>
            </w:pPr>
            <w:r>
              <w:rPr>
                <w:rFonts w:hint="default"/>
                <w:color w:val="auto"/>
                <w:highlight w:val="none"/>
              </w:rPr>
              <w:t>46.领雀嘴鹎</w:t>
            </w:r>
          </w:p>
          <w:p w14:paraId="3E11BA96">
            <w:pPr>
              <w:pStyle w:val="23"/>
              <w:bidi w:val="0"/>
              <w:jc w:val="center"/>
              <w:rPr>
                <w:rFonts w:hint="default"/>
                <w:color w:val="auto"/>
                <w:highlight w:val="none"/>
              </w:rPr>
            </w:pPr>
            <w:r>
              <w:rPr>
                <w:rFonts w:hint="default"/>
                <w:i/>
                <w:iCs/>
                <w:color w:val="auto"/>
                <w:highlight w:val="none"/>
              </w:rPr>
              <w:t>Spizixos semitorques</w:t>
            </w:r>
          </w:p>
        </w:tc>
        <w:tc>
          <w:tcPr>
            <w:tcW w:w="2721" w:type="dxa"/>
            <w:vMerge w:val="continue"/>
            <w:tcBorders>
              <w:tl2br w:val="nil"/>
              <w:tr2bl w:val="nil"/>
            </w:tcBorders>
            <w:noWrap w:val="0"/>
            <w:vAlign w:val="center"/>
          </w:tcPr>
          <w:p w14:paraId="0C0ECC9E">
            <w:pPr>
              <w:pStyle w:val="23"/>
              <w:bidi w:val="0"/>
              <w:jc w:val="center"/>
              <w:rPr>
                <w:rFonts w:hint="default"/>
                <w:color w:val="auto"/>
                <w:highlight w:val="none"/>
              </w:rPr>
            </w:pPr>
          </w:p>
        </w:tc>
        <w:tc>
          <w:tcPr>
            <w:tcW w:w="1168" w:type="dxa"/>
            <w:tcBorders>
              <w:tl2br w:val="nil"/>
              <w:tr2bl w:val="nil"/>
            </w:tcBorders>
            <w:noWrap w:val="0"/>
            <w:vAlign w:val="center"/>
          </w:tcPr>
          <w:p w14:paraId="33439A59">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0682FC13">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7E2C3E35">
            <w:pPr>
              <w:pStyle w:val="23"/>
              <w:bidi w:val="0"/>
              <w:jc w:val="center"/>
              <w:rPr>
                <w:rFonts w:hint="default"/>
                <w:color w:val="auto"/>
                <w:highlight w:val="none"/>
              </w:rPr>
            </w:pPr>
            <w:r>
              <w:rPr>
                <w:rFonts w:hint="default"/>
                <w:color w:val="auto"/>
                <w:highlight w:val="none"/>
              </w:rPr>
              <w:t>省级</w:t>
            </w:r>
          </w:p>
        </w:tc>
      </w:tr>
      <w:tr w14:paraId="3569EDB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0F04C1ED">
            <w:pPr>
              <w:pStyle w:val="23"/>
              <w:bidi w:val="0"/>
              <w:jc w:val="center"/>
              <w:rPr>
                <w:rFonts w:hint="default"/>
                <w:color w:val="auto"/>
                <w:highlight w:val="none"/>
              </w:rPr>
            </w:pPr>
            <w:r>
              <w:rPr>
                <w:rFonts w:hint="default"/>
                <w:color w:val="auto"/>
                <w:highlight w:val="none"/>
              </w:rPr>
              <w:t>47.棕背伯劳</w:t>
            </w:r>
          </w:p>
          <w:p w14:paraId="276E8011">
            <w:pPr>
              <w:pStyle w:val="23"/>
              <w:bidi w:val="0"/>
              <w:jc w:val="center"/>
              <w:rPr>
                <w:rFonts w:hint="default"/>
                <w:color w:val="auto"/>
                <w:highlight w:val="none"/>
              </w:rPr>
            </w:pPr>
            <w:r>
              <w:rPr>
                <w:rFonts w:hint="default"/>
                <w:i/>
                <w:iCs/>
                <w:color w:val="auto"/>
                <w:highlight w:val="none"/>
              </w:rPr>
              <w:t>Lanius schach</w:t>
            </w:r>
          </w:p>
        </w:tc>
        <w:tc>
          <w:tcPr>
            <w:tcW w:w="2721" w:type="dxa"/>
            <w:vMerge w:val="continue"/>
            <w:tcBorders>
              <w:tl2br w:val="nil"/>
              <w:tr2bl w:val="nil"/>
            </w:tcBorders>
            <w:noWrap w:val="0"/>
            <w:vAlign w:val="center"/>
          </w:tcPr>
          <w:p w14:paraId="0F911681">
            <w:pPr>
              <w:pStyle w:val="23"/>
              <w:bidi w:val="0"/>
              <w:jc w:val="center"/>
              <w:rPr>
                <w:rFonts w:hint="default"/>
                <w:color w:val="auto"/>
                <w:highlight w:val="none"/>
              </w:rPr>
            </w:pPr>
          </w:p>
        </w:tc>
        <w:tc>
          <w:tcPr>
            <w:tcW w:w="1168" w:type="dxa"/>
            <w:tcBorders>
              <w:tl2br w:val="nil"/>
              <w:tr2bl w:val="nil"/>
            </w:tcBorders>
            <w:noWrap w:val="0"/>
            <w:vAlign w:val="center"/>
          </w:tcPr>
          <w:p w14:paraId="54A6C089">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2124578A">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68A49790">
            <w:pPr>
              <w:pStyle w:val="23"/>
              <w:bidi w:val="0"/>
              <w:jc w:val="center"/>
              <w:rPr>
                <w:rFonts w:hint="default"/>
                <w:color w:val="auto"/>
                <w:highlight w:val="none"/>
              </w:rPr>
            </w:pPr>
            <w:r>
              <w:rPr>
                <w:rFonts w:hint="default"/>
                <w:color w:val="auto"/>
                <w:highlight w:val="none"/>
              </w:rPr>
              <w:t>省级</w:t>
            </w:r>
          </w:p>
        </w:tc>
      </w:tr>
      <w:tr w14:paraId="43AE9D7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526C885C">
            <w:pPr>
              <w:pStyle w:val="23"/>
              <w:bidi w:val="0"/>
              <w:jc w:val="center"/>
              <w:rPr>
                <w:rFonts w:hint="default"/>
                <w:color w:val="auto"/>
                <w:highlight w:val="none"/>
              </w:rPr>
            </w:pPr>
            <w:r>
              <w:rPr>
                <w:rFonts w:hint="default"/>
                <w:color w:val="auto"/>
                <w:highlight w:val="none"/>
              </w:rPr>
              <w:t>48.红尾伯劳</w:t>
            </w:r>
          </w:p>
          <w:p w14:paraId="6F261163">
            <w:pPr>
              <w:pStyle w:val="23"/>
              <w:bidi w:val="0"/>
              <w:jc w:val="center"/>
              <w:rPr>
                <w:rFonts w:hint="default"/>
                <w:color w:val="auto"/>
                <w:highlight w:val="none"/>
              </w:rPr>
            </w:pPr>
            <w:r>
              <w:rPr>
                <w:rFonts w:hint="default"/>
                <w:i/>
                <w:iCs/>
                <w:color w:val="auto"/>
                <w:highlight w:val="none"/>
              </w:rPr>
              <w:t>Lanius cristatus</w:t>
            </w:r>
          </w:p>
        </w:tc>
        <w:tc>
          <w:tcPr>
            <w:tcW w:w="2721" w:type="dxa"/>
            <w:vMerge w:val="continue"/>
            <w:tcBorders>
              <w:tl2br w:val="nil"/>
              <w:tr2bl w:val="nil"/>
            </w:tcBorders>
            <w:noWrap w:val="0"/>
            <w:vAlign w:val="center"/>
          </w:tcPr>
          <w:p w14:paraId="33BB2CB7">
            <w:pPr>
              <w:pStyle w:val="23"/>
              <w:bidi w:val="0"/>
              <w:jc w:val="center"/>
              <w:rPr>
                <w:rFonts w:hint="default"/>
                <w:color w:val="auto"/>
                <w:highlight w:val="none"/>
              </w:rPr>
            </w:pPr>
          </w:p>
        </w:tc>
        <w:tc>
          <w:tcPr>
            <w:tcW w:w="1168" w:type="dxa"/>
            <w:tcBorders>
              <w:tl2br w:val="nil"/>
              <w:tr2bl w:val="nil"/>
            </w:tcBorders>
            <w:noWrap w:val="0"/>
            <w:vAlign w:val="center"/>
          </w:tcPr>
          <w:p w14:paraId="7C926BE5">
            <w:pPr>
              <w:pStyle w:val="23"/>
              <w:bidi w:val="0"/>
              <w:jc w:val="center"/>
              <w:rPr>
                <w:rFonts w:hint="default"/>
                <w:color w:val="auto"/>
                <w:highlight w:val="none"/>
              </w:rPr>
            </w:pPr>
            <w:r>
              <w:rPr>
                <w:rFonts w:hint="default"/>
                <w:color w:val="auto"/>
                <w:highlight w:val="none"/>
              </w:rPr>
              <w:t>夏候鸟</w:t>
            </w:r>
          </w:p>
        </w:tc>
        <w:tc>
          <w:tcPr>
            <w:tcW w:w="1023" w:type="dxa"/>
            <w:tcBorders>
              <w:tl2br w:val="nil"/>
              <w:tr2bl w:val="nil"/>
            </w:tcBorders>
            <w:noWrap w:val="0"/>
            <w:vAlign w:val="center"/>
          </w:tcPr>
          <w:p w14:paraId="43150D05">
            <w:pPr>
              <w:pStyle w:val="23"/>
              <w:bidi w:val="0"/>
              <w:jc w:val="center"/>
              <w:rPr>
                <w:rFonts w:hint="default"/>
                <w:color w:val="auto"/>
                <w:highlight w:val="none"/>
              </w:rPr>
            </w:pPr>
            <w:r>
              <w:rPr>
                <w:rFonts w:hint="default"/>
                <w:color w:val="auto"/>
                <w:highlight w:val="none"/>
              </w:rPr>
              <w:t>古北种</w:t>
            </w:r>
          </w:p>
        </w:tc>
        <w:tc>
          <w:tcPr>
            <w:tcW w:w="760" w:type="dxa"/>
            <w:tcBorders>
              <w:tl2br w:val="nil"/>
              <w:tr2bl w:val="nil"/>
            </w:tcBorders>
            <w:noWrap w:val="0"/>
            <w:vAlign w:val="center"/>
          </w:tcPr>
          <w:p w14:paraId="55A525C5">
            <w:pPr>
              <w:pStyle w:val="23"/>
              <w:bidi w:val="0"/>
              <w:jc w:val="center"/>
              <w:rPr>
                <w:rFonts w:hint="default"/>
                <w:color w:val="auto"/>
                <w:highlight w:val="none"/>
              </w:rPr>
            </w:pPr>
            <w:r>
              <w:rPr>
                <w:rFonts w:hint="default"/>
                <w:color w:val="auto"/>
                <w:highlight w:val="none"/>
              </w:rPr>
              <w:t>省级</w:t>
            </w:r>
          </w:p>
        </w:tc>
      </w:tr>
      <w:tr w14:paraId="7F5A615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6AC469EA">
            <w:pPr>
              <w:pStyle w:val="23"/>
              <w:bidi w:val="0"/>
              <w:jc w:val="center"/>
              <w:rPr>
                <w:rFonts w:hint="default"/>
                <w:color w:val="auto"/>
                <w:highlight w:val="none"/>
              </w:rPr>
            </w:pPr>
            <w:r>
              <w:rPr>
                <w:rFonts w:hint="default"/>
                <w:color w:val="auto"/>
                <w:highlight w:val="none"/>
              </w:rPr>
              <w:t>49.黑卷尾</w:t>
            </w:r>
          </w:p>
          <w:p w14:paraId="2C6EF131">
            <w:pPr>
              <w:pStyle w:val="23"/>
              <w:bidi w:val="0"/>
              <w:jc w:val="center"/>
              <w:rPr>
                <w:rFonts w:hint="default"/>
                <w:color w:val="auto"/>
                <w:highlight w:val="none"/>
              </w:rPr>
            </w:pPr>
            <w:r>
              <w:rPr>
                <w:rFonts w:hint="default"/>
                <w:i/>
                <w:iCs/>
                <w:color w:val="auto"/>
                <w:highlight w:val="none"/>
              </w:rPr>
              <w:t>Dicrurus macrocercus</w:t>
            </w:r>
          </w:p>
        </w:tc>
        <w:tc>
          <w:tcPr>
            <w:tcW w:w="2721" w:type="dxa"/>
            <w:vMerge w:val="continue"/>
            <w:tcBorders>
              <w:tl2br w:val="nil"/>
              <w:tr2bl w:val="nil"/>
            </w:tcBorders>
            <w:noWrap w:val="0"/>
            <w:vAlign w:val="center"/>
          </w:tcPr>
          <w:p w14:paraId="258AAB2F">
            <w:pPr>
              <w:pStyle w:val="23"/>
              <w:bidi w:val="0"/>
              <w:jc w:val="center"/>
              <w:rPr>
                <w:rFonts w:hint="default"/>
                <w:color w:val="auto"/>
                <w:highlight w:val="none"/>
              </w:rPr>
            </w:pPr>
          </w:p>
        </w:tc>
        <w:tc>
          <w:tcPr>
            <w:tcW w:w="1168" w:type="dxa"/>
            <w:tcBorders>
              <w:tl2br w:val="nil"/>
              <w:tr2bl w:val="nil"/>
            </w:tcBorders>
            <w:noWrap w:val="0"/>
            <w:vAlign w:val="center"/>
          </w:tcPr>
          <w:p w14:paraId="47C262D8">
            <w:pPr>
              <w:pStyle w:val="23"/>
              <w:bidi w:val="0"/>
              <w:jc w:val="center"/>
              <w:rPr>
                <w:rFonts w:hint="default"/>
                <w:color w:val="auto"/>
                <w:highlight w:val="none"/>
              </w:rPr>
            </w:pPr>
            <w:r>
              <w:rPr>
                <w:rFonts w:hint="default"/>
                <w:color w:val="auto"/>
                <w:highlight w:val="none"/>
              </w:rPr>
              <w:t>夏候鸟</w:t>
            </w:r>
          </w:p>
        </w:tc>
        <w:tc>
          <w:tcPr>
            <w:tcW w:w="1023" w:type="dxa"/>
            <w:tcBorders>
              <w:tl2br w:val="nil"/>
              <w:tr2bl w:val="nil"/>
            </w:tcBorders>
            <w:noWrap w:val="0"/>
            <w:vAlign w:val="center"/>
          </w:tcPr>
          <w:p w14:paraId="44BF4639">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14855815">
            <w:pPr>
              <w:pStyle w:val="23"/>
              <w:bidi w:val="0"/>
              <w:jc w:val="center"/>
              <w:rPr>
                <w:rFonts w:hint="default"/>
                <w:color w:val="auto"/>
                <w:highlight w:val="none"/>
              </w:rPr>
            </w:pPr>
            <w:r>
              <w:rPr>
                <w:rFonts w:hint="default"/>
                <w:color w:val="auto"/>
                <w:highlight w:val="none"/>
              </w:rPr>
              <w:t>省级</w:t>
            </w:r>
          </w:p>
        </w:tc>
      </w:tr>
      <w:tr w14:paraId="04C23BB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572DE1F5">
            <w:pPr>
              <w:pStyle w:val="23"/>
              <w:bidi w:val="0"/>
              <w:jc w:val="center"/>
              <w:rPr>
                <w:rFonts w:hint="default"/>
                <w:color w:val="auto"/>
                <w:highlight w:val="none"/>
              </w:rPr>
            </w:pPr>
            <w:r>
              <w:rPr>
                <w:rFonts w:hint="default"/>
                <w:color w:val="auto"/>
                <w:highlight w:val="none"/>
              </w:rPr>
              <w:t>50.八哥</w:t>
            </w:r>
          </w:p>
          <w:p w14:paraId="76C9D300">
            <w:pPr>
              <w:pStyle w:val="23"/>
              <w:bidi w:val="0"/>
              <w:jc w:val="center"/>
              <w:rPr>
                <w:rFonts w:hint="default"/>
                <w:color w:val="auto"/>
                <w:highlight w:val="none"/>
              </w:rPr>
            </w:pPr>
            <w:r>
              <w:rPr>
                <w:rFonts w:hint="default"/>
                <w:i/>
                <w:iCs/>
                <w:color w:val="auto"/>
                <w:highlight w:val="none"/>
              </w:rPr>
              <w:t>Acridotheres cristatellus</w:t>
            </w:r>
          </w:p>
        </w:tc>
        <w:tc>
          <w:tcPr>
            <w:tcW w:w="2721" w:type="dxa"/>
            <w:vMerge w:val="continue"/>
            <w:tcBorders>
              <w:tl2br w:val="nil"/>
              <w:tr2bl w:val="nil"/>
            </w:tcBorders>
            <w:noWrap w:val="0"/>
            <w:vAlign w:val="center"/>
          </w:tcPr>
          <w:p w14:paraId="5CC7A60B">
            <w:pPr>
              <w:pStyle w:val="23"/>
              <w:bidi w:val="0"/>
              <w:jc w:val="center"/>
              <w:rPr>
                <w:rFonts w:hint="default"/>
                <w:color w:val="auto"/>
                <w:highlight w:val="none"/>
              </w:rPr>
            </w:pPr>
          </w:p>
        </w:tc>
        <w:tc>
          <w:tcPr>
            <w:tcW w:w="1168" w:type="dxa"/>
            <w:tcBorders>
              <w:tl2br w:val="nil"/>
              <w:tr2bl w:val="nil"/>
            </w:tcBorders>
            <w:noWrap w:val="0"/>
            <w:vAlign w:val="center"/>
          </w:tcPr>
          <w:p w14:paraId="400ADDB6">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27D6D469">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5694906B">
            <w:pPr>
              <w:pStyle w:val="23"/>
              <w:bidi w:val="0"/>
              <w:jc w:val="center"/>
              <w:rPr>
                <w:rFonts w:hint="default"/>
                <w:color w:val="auto"/>
                <w:highlight w:val="none"/>
              </w:rPr>
            </w:pPr>
            <w:r>
              <w:rPr>
                <w:rFonts w:hint="default"/>
                <w:color w:val="auto"/>
                <w:highlight w:val="none"/>
              </w:rPr>
              <w:t>省级</w:t>
            </w:r>
          </w:p>
        </w:tc>
      </w:tr>
      <w:tr w14:paraId="7A22447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373C2083">
            <w:pPr>
              <w:pStyle w:val="23"/>
              <w:bidi w:val="0"/>
              <w:jc w:val="center"/>
              <w:rPr>
                <w:rFonts w:hint="default"/>
                <w:color w:val="auto"/>
                <w:highlight w:val="none"/>
              </w:rPr>
            </w:pPr>
            <w:r>
              <w:rPr>
                <w:rFonts w:hint="default"/>
                <w:color w:val="auto"/>
                <w:highlight w:val="none"/>
              </w:rPr>
              <w:t>51.喜鹊</w:t>
            </w:r>
          </w:p>
          <w:p w14:paraId="6042B091">
            <w:pPr>
              <w:pStyle w:val="23"/>
              <w:bidi w:val="0"/>
              <w:jc w:val="center"/>
              <w:rPr>
                <w:rFonts w:hint="default"/>
                <w:color w:val="auto"/>
                <w:highlight w:val="none"/>
              </w:rPr>
            </w:pPr>
            <w:r>
              <w:rPr>
                <w:rFonts w:hint="default"/>
                <w:i/>
                <w:iCs/>
                <w:color w:val="auto"/>
                <w:highlight w:val="none"/>
              </w:rPr>
              <w:t>Pica pica</w:t>
            </w:r>
          </w:p>
        </w:tc>
        <w:tc>
          <w:tcPr>
            <w:tcW w:w="2721" w:type="dxa"/>
            <w:vMerge w:val="continue"/>
            <w:tcBorders>
              <w:tl2br w:val="nil"/>
              <w:tr2bl w:val="nil"/>
            </w:tcBorders>
            <w:noWrap w:val="0"/>
            <w:vAlign w:val="center"/>
          </w:tcPr>
          <w:p w14:paraId="6E494A77">
            <w:pPr>
              <w:pStyle w:val="23"/>
              <w:bidi w:val="0"/>
              <w:jc w:val="center"/>
              <w:rPr>
                <w:rFonts w:hint="default"/>
                <w:color w:val="auto"/>
                <w:highlight w:val="none"/>
              </w:rPr>
            </w:pPr>
          </w:p>
        </w:tc>
        <w:tc>
          <w:tcPr>
            <w:tcW w:w="1168" w:type="dxa"/>
            <w:tcBorders>
              <w:tl2br w:val="nil"/>
              <w:tr2bl w:val="nil"/>
            </w:tcBorders>
            <w:noWrap w:val="0"/>
            <w:vAlign w:val="center"/>
          </w:tcPr>
          <w:p w14:paraId="4D7CFFC9">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7D6CE4F0">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1EE2065C">
            <w:pPr>
              <w:pStyle w:val="23"/>
              <w:bidi w:val="0"/>
              <w:jc w:val="center"/>
              <w:rPr>
                <w:rFonts w:hint="default"/>
                <w:color w:val="auto"/>
                <w:highlight w:val="none"/>
              </w:rPr>
            </w:pPr>
            <w:r>
              <w:rPr>
                <w:rFonts w:hint="default"/>
                <w:color w:val="auto"/>
                <w:highlight w:val="none"/>
              </w:rPr>
              <w:t>省级</w:t>
            </w:r>
          </w:p>
        </w:tc>
      </w:tr>
      <w:tr w14:paraId="0F4EA8B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624B5ECB">
            <w:pPr>
              <w:pStyle w:val="23"/>
              <w:bidi w:val="0"/>
              <w:jc w:val="center"/>
              <w:rPr>
                <w:rFonts w:hint="default"/>
                <w:color w:val="auto"/>
                <w:highlight w:val="none"/>
              </w:rPr>
            </w:pPr>
            <w:r>
              <w:rPr>
                <w:rFonts w:hint="default"/>
                <w:color w:val="auto"/>
                <w:highlight w:val="none"/>
              </w:rPr>
              <w:t>52.红嘴蓝鹊</w:t>
            </w:r>
          </w:p>
          <w:p w14:paraId="45D387E8">
            <w:pPr>
              <w:pStyle w:val="23"/>
              <w:bidi w:val="0"/>
              <w:jc w:val="center"/>
              <w:rPr>
                <w:rFonts w:hint="default"/>
                <w:color w:val="auto"/>
                <w:highlight w:val="none"/>
              </w:rPr>
            </w:pPr>
            <w:r>
              <w:rPr>
                <w:rFonts w:hint="default"/>
                <w:i/>
                <w:iCs/>
                <w:color w:val="auto"/>
                <w:highlight w:val="none"/>
              </w:rPr>
              <w:t>Urocissa erythrorhynchus</w:t>
            </w:r>
          </w:p>
        </w:tc>
        <w:tc>
          <w:tcPr>
            <w:tcW w:w="2721" w:type="dxa"/>
            <w:vMerge w:val="continue"/>
            <w:tcBorders>
              <w:tl2br w:val="nil"/>
              <w:tr2bl w:val="nil"/>
            </w:tcBorders>
            <w:noWrap w:val="0"/>
            <w:vAlign w:val="center"/>
          </w:tcPr>
          <w:p w14:paraId="77D46A53">
            <w:pPr>
              <w:pStyle w:val="23"/>
              <w:bidi w:val="0"/>
              <w:jc w:val="center"/>
              <w:rPr>
                <w:rFonts w:hint="default"/>
                <w:color w:val="auto"/>
                <w:highlight w:val="none"/>
              </w:rPr>
            </w:pPr>
          </w:p>
        </w:tc>
        <w:tc>
          <w:tcPr>
            <w:tcW w:w="1168" w:type="dxa"/>
            <w:tcBorders>
              <w:tl2br w:val="nil"/>
              <w:tr2bl w:val="nil"/>
            </w:tcBorders>
            <w:noWrap w:val="0"/>
            <w:vAlign w:val="center"/>
          </w:tcPr>
          <w:p w14:paraId="4941ECEA">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181697A8">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1B62F737">
            <w:pPr>
              <w:pStyle w:val="23"/>
              <w:bidi w:val="0"/>
              <w:jc w:val="center"/>
              <w:rPr>
                <w:rFonts w:hint="default"/>
                <w:color w:val="auto"/>
                <w:highlight w:val="none"/>
              </w:rPr>
            </w:pPr>
            <w:r>
              <w:rPr>
                <w:rFonts w:hint="default"/>
                <w:color w:val="auto"/>
                <w:highlight w:val="none"/>
              </w:rPr>
              <w:t>省级</w:t>
            </w:r>
          </w:p>
        </w:tc>
      </w:tr>
      <w:tr w14:paraId="48E8F57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059BEBAB">
            <w:pPr>
              <w:pStyle w:val="23"/>
              <w:bidi w:val="0"/>
              <w:jc w:val="center"/>
              <w:rPr>
                <w:rFonts w:hint="default"/>
                <w:color w:val="auto"/>
                <w:highlight w:val="none"/>
              </w:rPr>
            </w:pPr>
            <w:r>
              <w:rPr>
                <w:rFonts w:hint="default"/>
                <w:color w:val="auto"/>
                <w:highlight w:val="none"/>
              </w:rPr>
              <w:t>53.松鸦</w:t>
            </w:r>
          </w:p>
          <w:p w14:paraId="767A8485">
            <w:pPr>
              <w:pStyle w:val="23"/>
              <w:bidi w:val="0"/>
              <w:jc w:val="center"/>
              <w:rPr>
                <w:rFonts w:hint="default"/>
                <w:color w:val="auto"/>
                <w:highlight w:val="none"/>
              </w:rPr>
            </w:pPr>
            <w:r>
              <w:rPr>
                <w:rFonts w:hint="default"/>
                <w:i/>
                <w:iCs/>
                <w:color w:val="auto"/>
                <w:highlight w:val="none"/>
              </w:rPr>
              <w:t>Garrulus glandarius</w:t>
            </w:r>
          </w:p>
        </w:tc>
        <w:tc>
          <w:tcPr>
            <w:tcW w:w="2721" w:type="dxa"/>
            <w:vMerge w:val="continue"/>
            <w:tcBorders>
              <w:tl2br w:val="nil"/>
              <w:tr2bl w:val="nil"/>
            </w:tcBorders>
            <w:noWrap w:val="0"/>
            <w:vAlign w:val="center"/>
          </w:tcPr>
          <w:p w14:paraId="2853CE53">
            <w:pPr>
              <w:pStyle w:val="23"/>
              <w:bidi w:val="0"/>
              <w:jc w:val="center"/>
              <w:rPr>
                <w:rFonts w:hint="default"/>
                <w:color w:val="auto"/>
                <w:highlight w:val="none"/>
              </w:rPr>
            </w:pPr>
          </w:p>
        </w:tc>
        <w:tc>
          <w:tcPr>
            <w:tcW w:w="1168" w:type="dxa"/>
            <w:tcBorders>
              <w:tl2br w:val="nil"/>
              <w:tr2bl w:val="nil"/>
            </w:tcBorders>
            <w:noWrap w:val="0"/>
            <w:vAlign w:val="center"/>
          </w:tcPr>
          <w:p w14:paraId="24245EA1">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4C5D6AEE">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4BB3299F">
            <w:pPr>
              <w:pStyle w:val="23"/>
              <w:bidi w:val="0"/>
              <w:jc w:val="center"/>
              <w:rPr>
                <w:rFonts w:hint="default"/>
                <w:color w:val="auto"/>
                <w:highlight w:val="none"/>
              </w:rPr>
            </w:pPr>
            <w:r>
              <w:rPr>
                <w:rFonts w:hint="default"/>
                <w:color w:val="auto"/>
                <w:highlight w:val="none"/>
              </w:rPr>
              <w:t>省级</w:t>
            </w:r>
          </w:p>
        </w:tc>
      </w:tr>
      <w:tr w14:paraId="455F156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255A0231">
            <w:pPr>
              <w:pStyle w:val="23"/>
              <w:bidi w:val="0"/>
              <w:jc w:val="center"/>
              <w:rPr>
                <w:rFonts w:hint="default"/>
                <w:color w:val="auto"/>
                <w:highlight w:val="none"/>
              </w:rPr>
            </w:pPr>
            <w:r>
              <w:rPr>
                <w:rFonts w:hint="default"/>
                <w:color w:val="auto"/>
                <w:highlight w:val="none"/>
              </w:rPr>
              <w:t>54.红胁蓝尾鸲</w:t>
            </w:r>
          </w:p>
          <w:p w14:paraId="4F577580">
            <w:pPr>
              <w:pStyle w:val="23"/>
              <w:bidi w:val="0"/>
              <w:jc w:val="center"/>
              <w:rPr>
                <w:rFonts w:hint="default"/>
                <w:color w:val="auto"/>
                <w:highlight w:val="none"/>
              </w:rPr>
            </w:pPr>
            <w:r>
              <w:rPr>
                <w:rFonts w:hint="default"/>
                <w:i/>
                <w:iCs/>
                <w:color w:val="auto"/>
                <w:highlight w:val="none"/>
              </w:rPr>
              <w:t>Tarsiger cyanurus</w:t>
            </w:r>
          </w:p>
        </w:tc>
        <w:tc>
          <w:tcPr>
            <w:tcW w:w="2721" w:type="dxa"/>
            <w:vMerge w:val="continue"/>
            <w:tcBorders>
              <w:tl2br w:val="nil"/>
              <w:tr2bl w:val="nil"/>
            </w:tcBorders>
            <w:noWrap w:val="0"/>
            <w:vAlign w:val="center"/>
          </w:tcPr>
          <w:p w14:paraId="7BC6FD5A">
            <w:pPr>
              <w:pStyle w:val="23"/>
              <w:bidi w:val="0"/>
              <w:jc w:val="center"/>
              <w:rPr>
                <w:rFonts w:hint="default"/>
                <w:color w:val="auto"/>
                <w:highlight w:val="none"/>
              </w:rPr>
            </w:pPr>
          </w:p>
        </w:tc>
        <w:tc>
          <w:tcPr>
            <w:tcW w:w="1168" w:type="dxa"/>
            <w:tcBorders>
              <w:tl2br w:val="nil"/>
              <w:tr2bl w:val="nil"/>
            </w:tcBorders>
            <w:noWrap w:val="0"/>
            <w:vAlign w:val="center"/>
          </w:tcPr>
          <w:p w14:paraId="1ADF8064">
            <w:pPr>
              <w:pStyle w:val="23"/>
              <w:bidi w:val="0"/>
              <w:jc w:val="center"/>
              <w:rPr>
                <w:rFonts w:hint="default"/>
                <w:color w:val="auto"/>
                <w:highlight w:val="none"/>
              </w:rPr>
            </w:pPr>
            <w:r>
              <w:rPr>
                <w:rFonts w:hint="default"/>
                <w:color w:val="auto"/>
                <w:highlight w:val="none"/>
              </w:rPr>
              <w:t>冬候鸟</w:t>
            </w:r>
          </w:p>
        </w:tc>
        <w:tc>
          <w:tcPr>
            <w:tcW w:w="1023" w:type="dxa"/>
            <w:tcBorders>
              <w:tl2br w:val="nil"/>
              <w:tr2bl w:val="nil"/>
            </w:tcBorders>
            <w:noWrap w:val="0"/>
            <w:vAlign w:val="center"/>
          </w:tcPr>
          <w:p w14:paraId="2D2EEA44">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14EEEC54">
            <w:pPr>
              <w:pStyle w:val="23"/>
              <w:bidi w:val="0"/>
              <w:jc w:val="center"/>
              <w:rPr>
                <w:rFonts w:hint="default"/>
                <w:color w:val="auto"/>
                <w:highlight w:val="none"/>
              </w:rPr>
            </w:pPr>
            <w:r>
              <w:rPr>
                <w:rFonts w:hint="default"/>
                <w:color w:val="auto"/>
                <w:highlight w:val="none"/>
              </w:rPr>
              <w:t>省级</w:t>
            </w:r>
          </w:p>
        </w:tc>
      </w:tr>
      <w:tr w14:paraId="0B0DB6C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07116FC5">
            <w:pPr>
              <w:pStyle w:val="23"/>
              <w:bidi w:val="0"/>
              <w:jc w:val="center"/>
              <w:rPr>
                <w:rFonts w:hint="default"/>
                <w:color w:val="auto"/>
                <w:highlight w:val="none"/>
              </w:rPr>
            </w:pPr>
            <w:r>
              <w:rPr>
                <w:rFonts w:hint="default"/>
                <w:color w:val="auto"/>
                <w:highlight w:val="none"/>
              </w:rPr>
              <w:t>55.乌鸫</w:t>
            </w:r>
          </w:p>
          <w:p w14:paraId="4F8A1F70">
            <w:pPr>
              <w:pStyle w:val="23"/>
              <w:bidi w:val="0"/>
              <w:jc w:val="center"/>
              <w:rPr>
                <w:rFonts w:hint="default"/>
                <w:color w:val="auto"/>
                <w:highlight w:val="none"/>
              </w:rPr>
            </w:pPr>
            <w:r>
              <w:rPr>
                <w:rFonts w:hint="default"/>
                <w:i/>
                <w:iCs/>
                <w:color w:val="auto"/>
                <w:highlight w:val="none"/>
              </w:rPr>
              <w:t>Turdus merula</w:t>
            </w:r>
          </w:p>
        </w:tc>
        <w:tc>
          <w:tcPr>
            <w:tcW w:w="2721" w:type="dxa"/>
            <w:vMerge w:val="continue"/>
            <w:tcBorders>
              <w:tl2br w:val="nil"/>
              <w:tr2bl w:val="nil"/>
            </w:tcBorders>
            <w:noWrap w:val="0"/>
            <w:vAlign w:val="center"/>
          </w:tcPr>
          <w:p w14:paraId="341E689E">
            <w:pPr>
              <w:pStyle w:val="23"/>
              <w:bidi w:val="0"/>
              <w:jc w:val="center"/>
              <w:rPr>
                <w:rFonts w:hint="default"/>
                <w:color w:val="auto"/>
                <w:highlight w:val="none"/>
              </w:rPr>
            </w:pPr>
          </w:p>
        </w:tc>
        <w:tc>
          <w:tcPr>
            <w:tcW w:w="1168" w:type="dxa"/>
            <w:tcBorders>
              <w:tl2br w:val="nil"/>
              <w:tr2bl w:val="nil"/>
            </w:tcBorders>
            <w:noWrap w:val="0"/>
            <w:vAlign w:val="center"/>
          </w:tcPr>
          <w:p w14:paraId="4E22E2EA">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1D6BE739">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4AB5A533">
            <w:pPr>
              <w:pStyle w:val="23"/>
              <w:bidi w:val="0"/>
              <w:jc w:val="center"/>
              <w:rPr>
                <w:rFonts w:hint="default"/>
                <w:color w:val="auto"/>
                <w:highlight w:val="none"/>
              </w:rPr>
            </w:pPr>
            <w:r>
              <w:rPr>
                <w:rFonts w:hint="default"/>
                <w:color w:val="auto"/>
                <w:highlight w:val="none"/>
              </w:rPr>
              <w:t>省级</w:t>
            </w:r>
          </w:p>
        </w:tc>
      </w:tr>
      <w:tr w14:paraId="13DEBBE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7110F5D1">
            <w:pPr>
              <w:pStyle w:val="23"/>
              <w:bidi w:val="0"/>
              <w:jc w:val="center"/>
              <w:rPr>
                <w:rFonts w:hint="default"/>
                <w:color w:val="auto"/>
                <w:highlight w:val="none"/>
              </w:rPr>
            </w:pPr>
            <w:r>
              <w:rPr>
                <w:rFonts w:hint="default"/>
                <w:color w:val="auto"/>
                <w:highlight w:val="none"/>
              </w:rPr>
              <w:t>56.画眉</w:t>
            </w:r>
          </w:p>
          <w:p w14:paraId="621D00CB">
            <w:pPr>
              <w:pStyle w:val="23"/>
              <w:bidi w:val="0"/>
              <w:jc w:val="center"/>
              <w:rPr>
                <w:rFonts w:hint="default"/>
                <w:color w:val="auto"/>
                <w:highlight w:val="none"/>
              </w:rPr>
            </w:pPr>
            <w:r>
              <w:rPr>
                <w:rFonts w:hint="default"/>
                <w:i/>
                <w:iCs/>
                <w:color w:val="auto"/>
                <w:highlight w:val="none"/>
              </w:rPr>
              <w:t>Garrulax canorus</w:t>
            </w:r>
          </w:p>
        </w:tc>
        <w:tc>
          <w:tcPr>
            <w:tcW w:w="2721" w:type="dxa"/>
            <w:vMerge w:val="continue"/>
            <w:tcBorders>
              <w:tl2br w:val="nil"/>
              <w:tr2bl w:val="nil"/>
            </w:tcBorders>
            <w:noWrap w:val="0"/>
            <w:vAlign w:val="center"/>
          </w:tcPr>
          <w:p w14:paraId="0DDCE417">
            <w:pPr>
              <w:pStyle w:val="23"/>
              <w:bidi w:val="0"/>
              <w:jc w:val="center"/>
              <w:rPr>
                <w:rFonts w:hint="default"/>
                <w:color w:val="auto"/>
                <w:highlight w:val="none"/>
              </w:rPr>
            </w:pPr>
          </w:p>
        </w:tc>
        <w:tc>
          <w:tcPr>
            <w:tcW w:w="1168" w:type="dxa"/>
            <w:tcBorders>
              <w:tl2br w:val="nil"/>
              <w:tr2bl w:val="nil"/>
            </w:tcBorders>
            <w:noWrap w:val="0"/>
            <w:vAlign w:val="center"/>
          </w:tcPr>
          <w:p w14:paraId="08170E43">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09A1D582">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0569F339">
            <w:pPr>
              <w:pStyle w:val="23"/>
              <w:bidi w:val="0"/>
              <w:jc w:val="center"/>
              <w:rPr>
                <w:rFonts w:hint="default"/>
                <w:color w:val="auto"/>
                <w:highlight w:val="none"/>
              </w:rPr>
            </w:pPr>
            <w:r>
              <w:rPr>
                <w:rFonts w:hint="default"/>
                <w:color w:val="auto"/>
                <w:highlight w:val="none"/>
              </w:rPr>
              <w:t>省级</w:t>
            </w:r>
          </w:p>
        </w:tc>
      </w:tr>
      <w:tr w14:paraId="637D7FF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631B7AEE">
            <w:pPr>
              <w:pStyle w:val="23"/>
              <w:bidi w:val="0"/>
              <w:jc w:val="center"/>
              <w:rPr>
                <w:rFonts w:hint="default"/>
                <w:color w:val="auto"/>
                <w:highlight w:val="none"/>
              </w:rPr>
            </w:pPr>
            <w:r>
              <w:rPr>
                <w:rFonts w:hint="default"/>
                <w:color w:val="auto"/>
                <w:highlight w:val="none"/>
              </w:rPr>
              <w:t>57.小燕尾</w:t>
            </w:r>
          </w:p>
          <w:p w14:paraId="7BD3F46D">
            <w:pPr>
              <w:pStyle w:val="23"/>
              <w:bidi w:val="0"/>
              <w:jc w:val="center"/>
              <w:rPr>
                <w:rFonts w:hint="default"/>
                <w:color w:val="auto"/>
                <w:highlight w:val="none"/>
              </w:rPr>
            </w:pPr>
            <w:r>
              <w:rPr>
                <w:rFonts w:hint="default"/>
                <w:i/>
                <w:iCs/>
                <w:color w:val="auto"/>
                <w:highlight w:val="none"/>
              </w:rPr>
              <w:t>Enicurus scouleri</w:t>
            </w:r>
          </w:p>
        </w:tc>
        <w:tc>
          <w:tcPr>
            <w:tcW w:w="2721" w:type="dxa"/>
            <w:vMerge w:val="restart"/>
            <w:tcBorders>
              <w:tl2br w:val="nil"/>
              <w:tr2bl w:val="nil"/>
            </w:tcBorders>
            <w:noWrap w:val="0"/>
            <w:vAlign w:val="center"/>
          </w:tcPr>
          <w:p w14:paraId="7FFA93F8">
            <w:pPr>
              <w:pStyle w:val="23"/>
              <w:bidi w:val="0"/>
              <w:jc w:val="center"/>
              <w:rPr>
                <w:rFonts w:hint="default"/>
                <w:color w:val="auto"/>
                <w:highlight w:val="none"/>
              </w:rPr>
            </w:pPr>
            <w:r>
              <w:rPr>
                <w:rFonts w:hint="default"/>
                <w:color w:val="auto"/>
                <w:highlight w:val="none"/>
              </w:rPr>
              <w:t>栖息于评价区山涧溪流</w:t>
            </w:r>
            <w:r>
              <w:rPr>
                <w:rFonts w:hint="eastAsia"/>
                <w:color w:val="auto"/>
                <w:highlight w:val="none"/>
                <w:lang w:eastAsia="zh-CN"/>
              </w:rPr>
              <w:t>边</w:t>
            </w:r>
            <w:r>
              <w:rPr>
                <w:rFonts w:hint="default"/>
                <w:color w:val="auto"/>
                <w:highlight w:val="none"/>
              </w:rPr>
              <w:t>以及河边的岩石上</w:t>
            </w:r>
          </w:p>
        </w:tc>
        <w:tc>
          <w:tcPr>
            <w:tcW w:w="1168" w:type="dxa"/>
            <w:tcBorders>
              <w:tl2br w:val="nil"/>
              <w:tr2bl w:val="nil"/>
            </w:tcBorders>
            <w:noWrap w:val="0"/>
            <w:vAlign w:val="center"/>
          </w:tcPr>
          <w:p w14:paraId="71A25AC3">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7D1DDCD8">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5BE653BB">
            <w:pPr>
              <w:pStyle w:val="23"/>
              <w:bidi w:val="0"/>
              <w:jc w:val="center"/>
              <w:rPr>
                <w:rFonts w:hint="default"/>
                <w:color w:val="auto"/>
                <w:highlight w:val="none"/>
              </w:rPr>
            </w:pPr>
            <w:r>
              <w:rPr>
                <w:rFonts w:hint="default"/>
                <w:color w:val="auto"/>
                <w:highlight w:val="none"/>
              </w:rPr>
              <w:t>省级</w:t>
            </w:r>
          </w:p>
        </w:tc>
      </w:tr>
      <w:tr w14:paraId="5453E9F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34E27E77">
            <w:pPr>
              <w:pStyle w:val="23"/>
              <w:bidi w:val="0"/>
              <w:jc w:val="center"/>
              <w:rPr>
                <w:rFonts w:hint="default"/>
                <w:color w:val="auto"/>
                <w:highlight w:val="none"/>
              </w:rPr>
            </w:pPr>
            <w:r>
              <w:rPr>
                <w:rFonts w:hint="default"/>
                <w:color w:val="auto"/>
                <w:highlight w:val="none"/>
              </w:rPr>
              <w:t>58.灰背燕尾</w:t>
            </w:r>
          </w:p>
          <w:p w14:paraId="13090CFC">
            <w:pPr>
              <w:pStyle w:val="23"/>
              <w:bidi w:val="0"/>
              <w:jc w:val="center"/>
              <w:rPr>
                <w:rFonts w:hint="default"/>
                <w:color w:val="auto"/>
                <w:highlight w:val="none"/>
              </w:rPr>
            </w:pPr>
            <w:r>
              <w:rPr>
                <w:rFonts w:hint="default"/>
                <w:i/>
                <w:iCs/>
                <w:color w:val="auto"/>
                <w:highlight w:val="none"/>
              </w:rPr>
              <w:t>Enicurus schistaceus</w:t>
            </w:r>
          </w:p>
        </w:tc>
        <w:tc>
          <w:tcPr>
            <w:tcW w:w="2721" w:type="dxa"/>
            <w:vMerge w:val="continue"/>
            <w:tcBorders>
              <w:tl2br w:val="nil"/>
              <w:tr2bl w:val="nil"/>
            </w:tcBorders>
            <w:noWrap w:val="0"/>
            <w:vAlign w:val="center"/>
          </w:tcPr>
          <w:p w14:paraId="13214777">
            <w:pPr>
              <w:pStyle w:val="23"/>
              <w:bidi w:val="0"/>
              <w:jc w:val="center"/>
              <w:rPr>
                <w:rFonts w:hint="default"/>
                <w:color w:val="auto"/>
                <w:highlight w:val="none"/>
              </w:rPr>
            </w:pPr>
          </w:p>
        </w:tc>
        <w:tc>
          <w:tcPr>
            <w:tcW w:w="1168" w:type="dxa"/>
            <w:tcBorders>
              <w:tl2br w:val="nil"/>
              <w:tr2bl w:val="nil"/>
            </w:tcBorders>
            <w:noWrap w:val="0"/>
            <w:vAlign w:val="center"/>
          </w:tcPr>
          <w:p w14:paraId="6F9C1A9E">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11010E35">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67592DE4">
            <w:pPr>
              <w:pStyle w:val="23"/>
              <w:bidi w:val="0"/>
              <w:jc w:val="center"/>
              <w:rPr>
                <w:rFonts w:hint="default"/>
                <w:color w:val="auto"/>
                <w:highlight w:val="none"/>
              </w:rPr>
            </w:pPr>
            <w:r>
              <w:rPr>
                <w:rFonts w:hint="default"/>
                <w:color w:val="auto"/>
                <w:highlight w:val="none"/>
              </w:rPr>
              <w:t>省级</w:t>
            </w:r>
          </w:p>
        </w:tc>
      </w:tr>
      <w:tr w14:paraId="498F858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34F498C8">
            <w:pPr>
              <w:pStyle w:val="23"/>
              <w:bidi w:val="0"/>
              <w:jc w:val="center"/>
              <w:rPr>
                <w:rFonts w:hint="default"/>
                <w:color w:val="auto"/>
                <w:highlight w:val="none"/>
              </w:rPr>
            </w:pPr>
            <w:r>
              <w:rPr>
                <w:rFonts w:hint="default"/>
                <w:color w:val="auto"/>
                <w:highlight w:val="none"/>
              </w:rPr>
              <w:t>59.黑背燕尾</w:t>
            </w:r>
          </w:p>
          <w:p w14:paraId="35DB766E">
            <w:pPr>
              <w:pStyle w:val="23"/>
              <w:bidi w:val="0"/>
              <w:jc w:val="center"/>
              <w:rPr>
                <w:rFonts w:hint="default"/>
                <w:color w:val="auto"/>
                <w:highlight w:val="none"/>
              </w:rPr>
            </w:pPr>
            <w:r>
              <w:rPr>
                <w:rFonts w:hint="default"/>
                <w:i/>
                <w:iCs/>
                <w:color w:val="auto"/>
                <w:highlight w:val="none"/>
              </w:rPr>
              <w:t>Enicurus immaculatus</w:t>
            </w:r>
          </w:p>
        </w:tc>
        <w:tc>
          <w:tcPr>
            <w:tcW w:w="2721" w:type="dxa"/>
            <w:vMerge w:val="continue"/>
            <w:tcBorders>
              <w:tl2br w:val="nil"/>
              <w:tr2bl w:val="nil"/>
            </w:tcBorders>
            <w:noWrap w:val="0"/>
            <w:vAlign w:val="center"/>
          </w:tcPr>
          <w:p w14:paraId="3526E9FE">
            <w:pPr>
              <w:pStyle w:val="23"/>
              <w:bidi w:val="0"/>
              <w:jc w:val="center"/>
              <w:rPr>
                <w:rFonts w:hint="default"/>
                <w:color w:val="auto"/>
                <w:highlight w:val="none"/>
              </w:rPr>
            </w:pPr>
          </w:p>
        </w:tc>
        <w:tc>
          <w:tcPr>
            <w:tcW w:w="1168" w:type="dxa"/>
            <w:tcBorders>
              <w:tl2br w:val="nil"/>
              <w:tr2bl w:val="nil"/>
            </w:tcBorders>
            <w:noWrap w:val="0"/>
            <w:vAlign w:val="center"/>
          </w:tcPr>
          <w:p w14:paraId="65B8DB29">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6D06AE28">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6E90B4A1">
            <w:pPr>
              <w:pStyle w:val="23"/>
              <w:bidi w:val="0"/>
              <w:jc w:val="center"/>
              <w:rPr>
                <w:rFonts w:hint="default"/>
                <w:color w:val="auto"/>
                <w:highlight w:val="none"/>
              </w:rPr>
            </w:pPr>
            <w:r>
              <w:rPr>
                <w:rFonts w:hint="default"/>
                <w:color w:val="auto"/>
                <w:highlight w:val="none"/>
              </w:rPr>
              <w:t>省级</w:t>
            </w:r>
          </w:p>
        </w:tc>
      </w:tr>
      <w:tr w14:paraId="45CF5DE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6DF21338">
            <w:pPr>
              <w:pStyle w:val="23"/>
              <w:bidi w:val="0"/>
              <w:jc w:val="center"/>
              <w:rPr>
                <w:rFonts w:hint="default"/>
                <w:color w:val="auto"/>
                <w:highlight w:val="none"/>
              </w:rPr>
            </w:pPr>
            <w:r>
              <w:rPr>
                <w:rFonts w:hint="default"/>
                <w:color w:val="auto"/>
                <w:highlight w:val="none"/>
              </w:rPr>
              <w:t>60.紫啸鸫</w:t>
            </w:r>
          </w:p>
          <w:p w14:paraId="4A7D3996">
            <w:pPr>
              <w:pStyle w:val="23"/>
              <w:bidi w:val="0"/>
              <w:jc w:val="center"/>
              <w:rPr>
                <w:rFonts w:hint="default"/>
                <w:color w:val="auto"/>
                <w:highlight w:val="none"/>
              </w:rPr>
            </w:pPr>
            <w:r>
              <w:rPr>
                <w:rFonts w:hint="default"/>
                <w:i/>
                <w:iCs/>
                <w:color w:val="auto"/>
                <w:highlight w:val="none"/>
              </w:rPr>
              <w:t>Myophonus caeruleus</w:t>
            </w:r>
          </w:p>
        </w:tc>
        <w:tc>
          <w:tcPr>
            <w:tcW w:w="2721" w:type="dxa"/>
            <w:vMerge w:val="continue"/>
            <w:tcBorders>
              <w:tl2br w:val="nil"/>
              <w:tr2bl w:val="nil"/>
            </w:tcBorders>
            <w:noWrap w:val="0"/>
            <w:vAlign w:val="center"/>
          </w:tcPr>
          <w:p w14:paraId="358148BE">
            <w:pPr>
              <w:pStyle w:val="23"/>
              <w:bidi w:val="0"/>
              <w:jc w:val="center"/>
              <w:rPr>
                <w:rFonts w:hint="default"/>
                <w:color w:val="auto"/>
                <w:highlight w:val="none"/>
              </w:rPr>
            </w:pPr>
          </w:p>
        </w:tc>
        <w:tc>
          <w:tcPr>
            <w:tcW w:w="1168" w:type="dxa"/>
            <w:tcBorders>
              <w:tl2br w:val="nil"/>
              <w:tr2bl w:val="nil"/>
            </w:tcBorders>
            <w:noWrap w:val="0"/>
            <w:vAlign w:val="center"/>
          </w:tcPr>
          <w:p w14:paraId="22ABB271">
            <w:pPr>
              <w:pStyle w:val="23"/>
              <w:bidi w:val="0"/>
              <w:jc w:val="center"/>
              <w:rPr>
                <w:rFonts w:hint="default"/>
                <w:color w:val="auto"/>
                <w:highlight w:val="none"/>
              </w:rPr>
            </w:pPr>
            <w:r>
              <w:rPr>
                <w:rFonts w:hint="default"/>
                <w:color w:val="auto"/>
                <w:highlight w:val="none"/>
              </w:rPr>
              <w:t>夏候鸟</w:t>
            </w:r>
          </w:p>
        </w:tc>
        <w:tc>
          <w:tcPr>
            <w:tcW w:w="1023" w:type="dxa"/>
            <w:tcBorders>
              <w:tl2br w:val="nil"/>
              <w:tr2bl w:val="nil"/>
            </w:tcBorders>
            <w:noWrap w:val="0"/>
            <w:vAlign w:val="center"/>
          </w:tcPr>
          <w:p w14:paraId="6128935E">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4301F18E">
            <w:pPr>
              <w:pStyle w:val="23"/>
              <w:bidi w:val="0"/>
              <w:jc w:val="center"/>
              <w:rPr>
                <w:rFonts w:hint="default"/>
                <w:color w:val="auto"/>
                <w:highlight w:val="none"/>
              </w:rPr>
            </w:pPr>
            <w:r>
              <w:rPr>
                <w:rFonts w:hint="default"/>
                <w:color w:val="auto"/>
                <w:highlight w:val="none"/>
              </w:rPr>
              <w:t>省级</w:t>
            </w:r>
          </w:p>
        </w:tc>
      </w:tr>
      <w:tr w14:paraId="0CB0677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42028C08">
            <w:pPr>
              <w:pStyle w:val="23"/>
              <w:bidi w:val="0"/>
              <w:jc w:val="center"/>
              <w:rPr>
                <w:rFonts w:hint="default"/>
                <w:color w:val="auto"/>
                <w:highlight w:val="none"/>
              </w:rPr>
            </w:pPr>
            <w:r>
              <w:rPr>
                <w:rFonts w:hint="default"/>
                <w:color w:val="auto"/>
                <w:highlight w:val="none"/>
              </w:rPr>
              <w:t>61.红尾鸫</w:t>
            </w:r>
          </w:p>
          <w:p w14:paraId="0C155A6E">
            <w:pPr>
              <w:pStyle w:val="23"/>
              <w:bidi w:val="0"/>
              <w:jc w:val="center"/>
              <w:rPr>
                <w:rFonts w:hint="default"/>
                <w:color w:val="auto"/>
                <w:highlight w:val="none"/>
              </w:rPr>
            </w:pPr>
            <w:r>
              <w:rPr>
                <w:rFonts w:hint="default"/>
                <w:i/>
                <w:iCs/>
                <w:color w:val="auto"/>
                <w:highlight w:val="none"/>
              </w:rPr>
              <w:t>Turdus naumanni</w:t>
            </w:r>
          </w:p>
        </w:tc>
        <w:tc>
          <w:tcPr>
            <w:tcW w:w="2721" w:type="dxa"/>
            <w:tcBorders>
              <w:tl2br w:val="nil"/>
              <w:tr2bl w:val="nil"/>
            </w:tcBorders>
            <w:noWrap w:val="0"/>
            <w:vAlign w:val="center"/>
          </w:tcPr>
          <w:p w14:paraId="4E9D50EF">
            <w:pPr>
              <w:pStyle w:val="23"/>
              <w:bidi w:val="0"/>
              <w:jc w:val="center"/>
              <w:rPr>
                <w:rFonts w:hint="default"/>
                <w:color w:val="auto"/>
                <w:highlight w:val="none"/>
              </w:rPr>
            </w:pPr>
            <w:r>
              <w:rPr>
                <w:rFonts w:hint="default"/>
                <w:color w:val="auto"/>
                <w:highlight w:val="none"/>
              </w:rPr>
              <w:t>栖息于评价区森林和林缘、农田、果园和村镇附近的草地和路边树上</w:t>
            </w:r>
          </w:p>
        </w:tc>
        <w:tc>
          <w:tcPr>
            <w:tcW w:w="1168" w:type="dxa"/>
            <w:tcBorders>
              <w:tl2br w:val="nil"/>
              <w:tr2bl w:val="nil"/>
            </w:tcBorders>
            <w:noWrap w:val="0"/>
            <w:vAlign w:val="center"/>
          </w:tcPr>
          <w:p w14:paraId="5D90F196">
            <w:pPr>
              <w:pStyle w:val="23"/>
              <w:bidi w:val="0"/>
              <w:jc w:val="center"/>
              <w:rPr>
                <w:rFonts w:hint="default"/>
                <w:color w:val="auto"/>
                <w:highlight w:val="none"/>
              </w:rPr>
            </w:pPr>
            <w:r>
              <w:rPr>
                <w:rFonts w:hint="default"/>
                <w:color w:val="auto"/>
                <w:highlight w:val="none"/>
              </w:rPr>
              <w:t>冬候鸟</w:t>
            </w:r>
          </w:p>
        </w:tc>
        <w:tc>
          <w:tcPr>
            <w:tcW w:w="1023" w:type="dxa"/>
            <w:tcBorders>
              <w:tl2br w:val="nil"/>
              <w:tr2bl w:val="nil"/>
            </w:tcBorders>
            <w:noWrap w:val="0"/>
            <w:vAlign w:val="center"/>
          </w:tcPr>
          <w:p w14:paraId="22B93F27">
            <w:pPr>
              <w:pStyle w:val="23"/>
              <w:bidi w:val="0"/>
              <w:jc w:val="center"/>
              <w:rPr>
                <w:rFonts w:hint="default"/>
                <w:color w:val="auto"/>
                <w:highlight w:val="none"/>
              </w:rPr>
            </w:pPr>
            <w:r>
              <w:rPr>
                <w:rFonts w:hint="default"/>
                <w:color w:val="auto"/>
                <w:highlight w:val="none"/>
              </w:rPr>
              <w:t>古北种</w:t>
            </w:r>
          </w:p>
        </w:tc>
        <w:tc>
          <w:tcPr>
            <w:tcW w:w="760" w:type="dxa"/>
            <w:tcBorders>
              <w:tl2br w:val="nil"/>
              <w:tr2bl w:val="nil"/>
            </w:tcBorders>
            <w:noWrap w:val="0"/>
            <w:vAlign w:val="center"/>
          </w:tcPr>
          <w:p w14:paraId="5C6ABE57">
            <w:pPr>
              <w:pStyle w:val="23"/>
              <w:bidi w:val="0"/>
              <w:jc w:val="center"/>
              <w:rPr>
                <w:rFonts w:hint="default"/>
                <w:color w:val="auto"/>
                <w:highlight w:val="none"/>
              </w:rPr>
            </w:pPr>
            <w:r>
              <w:rPr>
                <w:rFonts w:hint="default"/>
                <w:color w:val="auto"/>
                <w:highlight w:val="none"/>
              </w:rPr>
              <w:t>省级</w:t>
            </w:r>
          </w:p>
        </w:tc>
      </w:tr>
      <w:tr w14:paraId="371989A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2D701AF3">
            <w:pPr>
              <w:pStyle w:val="23"/>
              <w:bidi w:val="0"/>
              <w:jc w:val="center"/>
              <w:rPr>
                <w:rFonts w:hint="default"/>
                <w:color w:val="auto"/>
                <w:highlight w:val="none"/>
              </w:rPr>
            </w:pPr>
            <w:r>
              <w:rPr>
                <w:rFonts w:hint="default"/>
                <w:color w:val="auto"/>
                <w:highlight w:val="none"/>
              </w:rPr>
              <w:t>62.斑鸫</w:t>
            </w:r>
          </w:p>
          <w:p w14:paraId="107B8E43">
            <w:pPr>
              <w:pStyle w:val="23"/>
              <w:bidi w:val="0"/>
              <w:jc w:val="center"/>
              <w:rPr>
                <w:rFonts w:hint="default"/>
                <w:color w:val="auto"/>
                <w:highlight w:val="none"/>
              </w:rPr>
            </w:pPr>
            <w:r>
              <w:rPr>
                <w:rFonts w:hint="default"/>
                <w:i/>
                <w:iCs/>
                <w:color w:val="auto"/>
                <w:highlight w:val="none"/>
              </w:rPr>
              <w:t>Turdus eunomus</w:t>
            </w:r>
          </w:p>
        </w:tc>
        <w:tc>
          <w:tcPr>
            <w:tcW w:w="2721" w:type="dxa"/>
            <w:tcBorders>
              <w:tl2br w:val="nil"/>
              <w:tr2bl w:val="nil"/>
            </w:tcBorders>
            <w:noWrap w:val="0"/>
            <w:vAlign w:val="center"/>
          </w:tcPr>
          <w:p w14:paraId="19F5B073">
            <w:pPr>
              <w:pStyle w:val="23"/>
              <w:bidi w:val="0"/>
              <w:jc w:val="center"/>
              <w:rPr>
                <w:rFonts w:hint="default"/>
                <w:color w:val="auto"/>
                <w:highlight w:val="none"/>
              </w:rPr>
            </w:pPr>
            <w:r>
              <w:rPr>
                <w:rFonts w:hint="default"/>
                <w:color w:val="auto"/>
                <w:highlight w:val="none"/>
              </w:rPr>
              <w:t>评价区开阔田地、山坡的灌 木草丛及林缘地带</w:t>
            </w:r>
          </w:p>
        </w:tc>
        <w:tc>
          <w:tcPr>
            <w:tcW w:w="1168" w:type="dxa"/>
            <w:tcBorders>
              <w:tl2br w:val="nil"/>
              <w:tr2bl w:val="nil"/>
            </w:tcBorders>
            <w:noWrap w:val="0"/>
            <w:vAlign w:val="center"/>
          </w:tcPr>
          <w:p w14:paraId="50CBE82A">
            <w:pPr>
              <w:pStyle w:val="23"/>
              <w:bidi w:val="0"/>
              <w:jc w:val="center"/>
              <w:rPr>
                <w:rFonts w:hint="default"/>
                <w:color w:val="auto"/>
                <w:highlight w:val="none"/>
              </w:rPr>
            </w:pPr>
          </w:p>
        </w:tc>
        <w:tc>
          <w:tcPr>
            <w:tcW w:w="1023" w:type="dxa"/>
            <w:tcBorders>
              <w:tl2br w:val="nil"/>
              <w:tr2bl w:val="nil"/>
            </w:tcBorders>
            <w:noWrap w:val="0"/>
            <w:vAlign w:val="center"/>
          </w:tcPr>
          <w:p w14:paraId="1E529815">
            <w:pPr>
              <w:pStyle w:val="23"/>
              <w:bidi w:val="0"/>
              <w:jc w:val="center"/>
              <w:rPr>
                <w:rFonts w:hint="default"/>
                <w:color w:val="auto"/>
                <w:highlight w:val="none"/>
              </w:rPr>
            </w:pPr>
          </w:p>
        </w:tc>
        <w:tc>
          <w:tcPr>
            <w:tcW w:w="760" w:type="dxa"/>
            <w:tcBorders>
              <w:tl2br w:val="nil"/>
              <w:tr2bl w:val="nil"/>
            </w:tcBorders>
            <w:noWrap w:val="0"/>
            <w:vAlign w:val="center"/>
          </w:tcPr>
          <w:p w14:paraId="4270ED02">
            <w:pPr>
              <w:pStyle w:val="23"/>
              <w:bidi w:val="0"/>
              <w:jc w:val="center"/>
              <w:rPr>
                <w:rFonts w:hint="default"/>
                <w:color w:val="auto"/>
                <w:highlight w:val="none"/>
              </w:rPr>
            </w:pPr>
          </w:p>
        </w:tc>
      </w:tr>
      <w:tr w14:paraId="1FD7BF9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1667AA14">
            <w:pPr>
              <w:pStyle w:val="23"/>
              <w:bidi w:val="0"/>
              <w:jc w:val="center"/>
              <w:rPr>
                <w:rFonts w:hint="default"/>
                <w:color w:val="auto"/>
                <w:highlight w:val="none"/>
              </w:rPr>
            </w:pPr>
            <w:r>
              <w:rPr>
                <w:rFonts w:hint="default"/>
                <w:color w:val="auto"/>
                <w:highlight w:val="none"/>
              </w:rPr>
              <w:t>63.棕颈钩嘴鹛</w:t>
            </w:r>
          </w:p>
          <w:p w14:paraId="57DE319F">
            <w:pPr>
              <w:pStyle w:val="23"/>
              <w:bidi w:val="0"/>
              <w:jc w:val="center"/>
              <w:rPr>
                <w:rFonts w:hint="default"/>
                <w:color w:val="auto"/>
                <w:highlight w:val="none"/>
              </w:rPr>
            </w:pPr>
            <w:r>
              <w:rPr>
                <w:rFonts w:hint="default"/>
                <w:i/>
                <w:iCs/>
                <w:color w:val="auto"/>
                <w:highlight w:val="none"/>
              </w:rPr>
              <w:t>Pomatorhinus ruficllis</w:t>
            </w:r>
          </w:p>
        </w:tc>
        <w:tc>
          <w:tcPr>
            <w:tcW w:w="2721" w:type="dxa"/>
            <w:vMerge w:val="restart"/>
            <w:tcBorders>
              <w:tl2br w:val="nil"/>
              <w:tr2bl w:val="nil"/>
            </w:tcBorders>
            <w:noWrap w:val="0"/>
            <w:vAlign w:val="center"/>
          </w:tcPr>
          <w:p w14:paraId="1A392316">
            <w:pPr>
              <w:pStyle w:val="23"/>
              <w:bidi w:val="0"/>
              <w:jc w:val="center"/>
              <w:rPr>
                <w:rFonts w:hint="default"/>
                <w:color w:val="auto"/>
                <w:highlight w:val="none"/>
              </w:rPr>
            </w:pPr>
            <w:r>
              <w:rPr>
                <w:rFonts w:hint="default"/>
                <w:color w:val="auto"/>
                <w:highlight w:val="none"/>
              </w:rPr>
              <w:t>评价区山地森林、竹林、灌 丛、林缘</w:t>
            </w:r>
          </w:p>
        </w:tc>
        <w:tc>
          <w:tcPr>
            <w:tcW w:w="1168" w:type="dxa"/>
            <w:tcBorders>
              <w:tl2br w:val="nil"/>
              <w:tr2bl w:val="nil"/>
            </w:tcBorders>
            <w:noWrap w:val="0"/>
            <w:vAlign w:val="center"/>
          </w:tcPr>
          <w:p w14:paraId="5BF163B4">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6076578D">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162AE72E">
            <w:pPr>
              <w:pStyle w:val="23"/>
              <w:bidi w:val="0"/>
              <w:jc w:val="center"/>
              <w:rPr>
                <w:rFonts w:hint="default"/>
                <w:color w:val="auto"/>
                <w:highlight w:val="none"/>
              </w:rPr>
            </w:pPr>
            <w:r>
              <w:rPr>
                <w:rFonts w:hint="default"/>
                <w:color w:val="auto"/>
                <w:highlight w:val="none"/>
              </w:rPr>
              <w:t>省级</w:t>
            </w:r>
          </w:p>
        </w:tc>
      </w:tr>
      <w:tr w14:paraId="7063466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099B2D2E">
            <w:pPr>
              <w:pStyle w:val="23"/>
              <w:bidi w:val="0"/>
              <w:jc w:val="center"/>
              <w:rPr>
                <w:rFonts w:hint="default"/>
                <w:color w:val="auto"/>
                <w:highlight w:val="none"/>
              </w:rPr>
            </w:pPr>
            <w:r>
              <w:rPr>
                <w:rFonts w:hint="default"/>
                <w:color w:val="auto"/>
                <w:highlight w:val="none"/>
              </w:rPr>
              <w:t>64.斑胸钩嘴鹛</w:t>
            </w:r>
          </w:p>
          <w:p w14:paraId="060067D8">
            <w:pPr>
              <w:pStyle w:val="23"/>
              <w:bidi w:val="0"/>
              <w:jc w:val="center"/>
              <w:rPr>
                <w:rFonts w:hint="default"/>
                <w:color w:val="auto"/>
                <w:highlight w:val="none"/>
              </w:rPr>
            </w:pPr>
            <w:r>
              <w:rPr>
                <w:rFonts w:hint="default"/>
                <w:i/>
                <w:iCs/>
                <w:color w:val="auto"/>
                <w:highlight w:val="none"/>
              </w:rPr>
              <w:t>Pomatorhinus erythrocnemis</w:t>
            </w:r>
          </w:p>
        </w:tc>
        <w:tc>
          <w:tcPr>
            <w:tcW w:w="2721" w:type="dxa"/>
            <w:vMerge w:val="continue"/>
            <w:tcBorders>
              <w:tl2br w:val="nil"/>
              <w:tr2bl w:val="nil"/>
            </w:tcBorders>
            <w:noWrap w:val="0"/>
            <w:vAlign w:val="center"/>
          </w:tcPr>
          <w:p w14:paraId="7D022E88">
            <w:pPr>
              <w:pStyle w:val="23"/>
              <w:bidi w:val="0"/>
              <w:jc w:val="center"/>
              <w:rPr>
                <w:rFonts w:hint="default"/>
                <w:color w:val="auto"/>
                <w:highlight w:val="none"/>
              </w:rPr>
            </w:pPr>
          </w:p>
        </w:tc>
        <w:tc>
          <w:tcPr>
            <w:tcW w:w="1168" w:type="dxa"/>
            <w:tcBorders>
              <w:tl2br w:val="nil"/>
              <w:tr2bl w:val="nil"/>
            </w:tcBorders>
            <w:noWrap w:val="0"/>
            <w:vAlign w:val="center"/>
          </w:tcPr>
          <w:p w14:paraId="44BFE7C6">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528C5B17">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307AC0EE">
            <w:pPr>
              <w:pStyle w:val="23"/>
              <w:bidi w:val="0"/>
              <w:jc w:val="center"/>
              <w:rPr>
                <w:rFonts w:hint="default"/>
                <w:color w:val="auto"/>
                <w:highlight w:val="none"/>
              </w:rPr>
            </w:pPr>
            <w:r>
              <w:rPr>
                <w:rFonts w:hint="default"/>
                <w:color w:val="auto"/>
                <w:highlight w:val="none"/>
              </w:rPr>
              <w:t>省级</w:t>
            </w:r>
          </w:p>
        </w:tc>
      </w:tr>
      <w:tr w14:paraId="1A52535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3B3957ED">
            <w:pPr>
              <w:pStyle w:val="23"/>
              <w:bidi w:val="0"/>
              <w:jc w:val="center"/>
              <w:rPr>
                <w:rFonts w:hint="default"/>
                <w:color w:val="auto"/>
                <w:highlight w:val="none"/>
              </w:rPr>
            </w:pPr>
            <w:r>
              <w:rPr>
                <w:rFonts w:hint="default"/>
                <w:color w:val="auto"/>
                <w:highlight w:val="none"/>
              </w:rPr>
              <w:t>65.黑脸噪鹛</w:t>
            </w:r>
          </w:p>
          <w:p w14:paraId="12F5DB80">
            <w:pPr>
              <w:pStyle w:val="23"/>
              <w:bidi w:val="0"/>
              <w:jc w:val="center"/>
              <w:rPr>
                <w:rFonts w:hint="default"/>
                <w:color w:val="auto"/>
                <w:highlight w:val="none"/>
              </w:rPr>
            </w:pPr>
            <w:r>
              <w:rPr>
                <w:rFonts w:hint="default"/>
                <w:i/>
                <w:iCs/>
                <w:color w:val="auto"/>
                <w:highlight w:val="none"/>
              </w:rPr>
              <w:t>Garrulax perspicillatus</w:t>
            </w:r>
          </w:p>
        </w:tc>
        <w:tc>
          <w:tcPr>
            <w:tcW w:w="2721" w:type="dxa"/>
            <w:tcBorders>
              <w:tl2br w:val="nil"/>
              <w:tr2bl w:val="nil"/>
            </w:tcBorders>
            <w:noWrap w:val="0"/>
            <w:vAlign w:val="center"/>
          </w:tcPr>
          <w:p w14:paraId="5B471D0A">
            <w:pPr>
              <w:pStyle w:val="23"/>
              <w:bidi w:val="0"/>
              <w:jc w:val="center"/>
              <w:rPr>
                <w:rFonts w:hint="default"/>
                <w:color w:val="auto"/>
                <w:highlight w:val="none"/>
              </w:rPr>
            </w:pPr>
            <w:r>
              <w:rPr>
                <w:rFonts w:hint="default"/>
                <w:color w:val="auto"/>
                <w:highlight w:val="none"/>
              </w:rPr>
              <w:t>评价区低山灌丛、竹丛</w:t>
            </w:r>
          </w:p>
        </w:tc>
        <w:tc>
          <w:tcPr>
            <w:tcW w:w="1168" w:type="dxa"/>
            <w:tcBorders>
              <w:tl2br w:val="nil"/>
              <w:tr2bl w:val="nil"/>
            </w:tcBorders>
            <w:noWrap w:val="0"/>
            <w:vAlign w:val="center"/>
          </w:tcPr>
          <w:p w14:paraId="6DDEDC4D">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7ED122BC">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5F9D9102">
            <w:pPr>
              <w:pStyle w:val="23"/>
              <w:bidi w:val="0"/>
              <w:jc w:val="center"/>
              <w:rPr>
                <w:rFonts w:hint="default"/>
                <w:color w:val="auto"/>
                <w:highlight w:val="none"/>
              </w:rPr>
            </w:pPr>
            <w:r>
              <w:rPr>
                <w:rFonts w:hint="default"/>
                <w:color w:val="auto"/>
                <w:highlight w:val="none"/>
              </w:rPr>
              <w:t>省级</w:t>
            </w:r>
          </w:p>
        </w:tc>
      </w:tr>
      <w:tr w14:paraId="4789064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66E9300B">
            <w:pPr>
              <w:pStyle w:val="23"/>
              <w:bidi w:val="0"/>
              <w:jc w:val="center"/>
              <w:rPr>
                <w:rFonts w:hint="default"/>
                <w:color w:val="auto"/>
                <w:highlight w:val="none"/>
              </w:rPr>
            </w:pPr>
            <w:r>
              <w:rPr>
                <w:rFonts w:hint="default"/>
                <w:color w:val="auto"/>
                <w:highlight w:val="none"/>
              </w:rPr>
              <w:t>66.红嘴相思鸟</w:t>
            </w:r>
          </w:p>
          <w:p w14:paraId="53866BF1">
            <w:pPr>
              <w:pStyle w:val="23"/>
              <w:bidi w:val="0"/>
              <w:jc w:val="center"/>
              <w:rPr>
                <w:rFonts w:hint="default"/>
                <w:color w:val="auto"/>
                <w:highlight w:val="none"/>
              </w:rPr>
            </w:pPr>
            <w:r>
              <w:rPr>
                <w:rFonts w:hint="default"/>
                <w:i/>
                <w:iCs/>
                <w:color w:val="auto"/>
                <w:highlight w:val="none"/>
              </w:rPr>
              <w:t>Leiothrix lutea</w:t>
            </w:r>
          </w:p>
        </w:tc>
        <w:tc>
          <w:tcPr>
            <w:tcW w:w="2721" w:type="dxa"/>
            <w:tcBorders>
              <w:tl2br w:val="nil"/>
              <w:tr2bl w:val="nil"/>
            </w:tcBorders>
            <w:noWrap w:val="0"/>
            <w:vAlign w:val="center"/>
          </w:tcPr>
          <w:p w14:paraId="0AB25D20">
            <w:pPr>
              <w:pStyle w:val="23"/>
              <w:bidi w:val="0"/>
              <w:jc w:val="center"/>
              <w:rPr>
                <w:rFonts w:hint="default"/>
                <w:color w:val="auto"/>
                <w:highlight w:val="none"/>
              </w:rPr>
            </w:pPr>
            <w:r>
              <w:rPr>
                <w:rFonts w:hint="default"/>
                <w:color w:val="auto"/>
                <w:highlight w:val="none"/>
              </w:rPr>
              <w:t>评价区阔叶林、混交林、竹 林及林缘灌丛</w:t>
            </w:r>
          </w:p>
        </w:tc>
        <w:tc>
          <w:tcPr>
            <w:tcW w:w="1168" w:type="dxa"/>
            <w:tcBorders>
              <w:tl2br w:val="nil"/>
              <w:tr2bl w:val="nil"/>
            </w:tcBorders>
            <w:noWrap w:val="0"/>
            <w:vAlign w:val="center"/>
          </w:tcPr>
          <w:p w14:paraId="6BC05410">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12161F09">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5D59509D">
            <w:pPr>
              <w:pStyle w:val="23"/>
              <w:bidi w:val="0"/>
              <w:jc w:val="center"/>
              <w:rPr>
                <w:rFonts w:hint="default"/>
                <w:color w:val="auto"/>
                <w:highlight w:val="none"/>
              </w:rPr>
            </w:pPr>
            <w:r>
              <w:rPr>
                <w:rFonts w:hint="default"/>
                <w:color w:val="auto"/>
                <w:highlight w:val="none"/>
              </w:rPr>
              <w:t>省级</w:t>
            </w:r>
          </w:p>
        </w:tc>
      </w:tr>
      <w:tr w14:paraId="37BB92C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0779CA75">
            <w:pPr>
              <w:pStyle w:val="23"/>
              <w:bidi w:val="0"/>
              <w:jc w:val="center"/>
              <w:rPr>
                <w:rFonts w:hint="default"/>
                <w:color w:val="auto"/>
                <w:highlight w:val="none"/>
              </w:rPr>
            </w:pPr>
            <w:r>
              <w:rPr>
                <w:rFonts w:hint="default"/>
                <w:color w:val="auto"/>
                <w:highlight w:val="none"/>
              </w:rPr>
              <w:t>67.棕头鸦雀</w:t>
            </w:r>
          </w:p>
          <w:p w14:paraId="4951D6C3">
            <w:pPr>
              <w:pStyle w:val="23"/>
              <w:bidi w:val="0"/>
              <w:jc w:val="center"/>
              <w:rPr>
                <w:rFonts w:hint="default"/>
                <w:color w:val="auto"/>
                <w:highlight w:val="none"/>
              </w:rPr>
            </w:pPr>
            <w:r>
              <w:rPr>
                <w:rFonts w:hint="default"/>
                <w:i/>
                <w:iCs/>
                <w:color w:val="auto"/>
                <w:highlight w:val="none"/>
              </w:rPr>
              <w:t>Paradoxornis webbianus</w:t>
            </w:r>
          </w:p>
        </w:tc>
        <w:tc>
          <w:tcPr>
            <w:tcW w:w="2721" w:type="dxa"/>
            <w:vMerge w:val="restart"/>
            <w:tcBorders>
              <w:tl2br w:val="nil"/>
              <w:tr2bl w:val="nil"/>
            </w:tcBorders>
            <w:noWrap w:val="0"/>
            <w:vAlign w:val="center"/>
          </w:tcPr>
          <w:p w14:paraId="0B211EED">
            <w:pPr>
              <w:pStyle w:val="23"/>
              <w:bidi w:val="0"/>
              <w:jc w:val="center"/>
              <w:rPr>
                <w:rFonts w:hint="default"/>
                <w:color w:val="auto"/>
                <w:highlight w:val="none"/>
              </w:rPr>
            </w:pPr>
            <w:r>
              <w:rPr>
                <w:rFonts w:hint="default"/>
                <w:color w:val="auto"/>
                <w:highlight w:val="none"/>
              </w:rPr>
              <w:t>评价区域广泛分布</w:t>
            </w:r>
          </w:p>
        </w:tc>
        <w:tc>
          <w:tcPr>
            <w:tcW w:w="1168" w:type="dxa"/>
            <w:tcBorders>
              <w:tl2br w:val="nil"/>
              <w:tr2bl w:val="nil"/>
            </w:tcBorders>
            <w:noWrap w:val="0"/>
            <w:vAlign w:val="center"/>
          </w:tcPr>
          <w:p w14:paraId="68048EC9">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5A84EAB0">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4D071D2B">
            <w:pPr>
              <w:pStyle w:val="23"/>
              <w:bidi w:val="0"/>
              <w:jc w:val="center"/>
              <w:rPr>
                <w:rFonts w:hint="default"/>
                <w:color w:val="auto"/>
                <w:highlight w:val="none"/>
              </w:rPr>
            </w:pPr>
            <w:r>
              <w:rPr>
                <w:rFonts w:hint="default"/>
                <w:color w:val="auto"/>
                <w:highlight w:val="none"/>
              </w:rPr>
              <w:t>省级</w:t>
            </w:r>
          </w:p>
        </w:tc>
      </w:tr>
      <w:tr w14:paraId="0A87A35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271DF5BC">
            <w:pPr>
              <w:pStyle w:val="23"/>
              <w:bidi w:val="0"/>
              <w:jc w:val="center"/>
              <w:rPr>
                <w:rFonts w:hint="default"/>
                <w:color w:val="auto"/>
                <w:highlight w:val="none"/>
              </w:rPr>
            </w:pPr>
            <w:r>
              <w:rPr>
                <w:rFonts w:hint="default"/>
                <w:color w:val="auto"/>
                <w:highlight w:val="none"/>
              </w:rPr>
              <w:t>68.暗绿绣眼鸟</w:t>
            </w:r>
          </w:p>
          <w:p w14:paraId="5A6661DD">
            <w:pPr>
              <w:pStyle w:val="23"/>
              <w:bidi w:val="0"/>
              <w:jc w:val="center"/>
              <w:rPr>
                <w:rFonts w:hint="default"/>
                <w:color w:val="auto"/>
                <w:highlight w:val="none"/>
              </w:rPr>
            </w:pPr>
            <w:r>
              <w:rPr>
                <w:rFonts w:hint="default"/>
                <w:i/>
                <w:iCs/>
                <w:color w:val="auto"/>
                <w:highlight w:val="none"/>
              </w:rPr>
              <w:t>Zosteropsjaponica</w:t>
            </w:r>
          </w:p>
        </w:tc>
        <w:tc>
          <w:tcPr>
            <w:tcW w:w="2721" w:type="dxa"/>
            <w:vMerge w:val="continue"/>
            <w:tcBorders>
              <w:tl2br w:val="nil"/>
              <w:tr2bl w:val="nil"/>
            </w:tcBorders>
            <w:noWrap w:val="0"/>
            <w:vAlign w:val="center"/>
          </w:tcPr>
          <w:p w14:paraId="14CC3C0E">
            <w:pPr>
              <w:pStyle w:val="23"/>
              <w:bidi w:val="0"/>
              <w:jc w:val="center"/>
              <w:rPr>
                <w:rFonts w:hint="default"/>
                <w:color w:val="auto"/>
                <w:highlight w:val="none"/>
              </w:rPr>
            </w:pPr>
          </w:p>
        </w:tc>
        <w:tc>
          <w:tcPr>
            <w:tcW w:w="1168" w:type="dxa"/>
            <w:tcBorders>
              <w:tl2br w:val="nil"/>
              <w:tr2bl w:val="nil"/>
            </w:tcBorders>
            <w:noWrap w:val="0"/>
            <w:vAlign w:val="center"/>
          </w:tcPr>
          <w:p w14:paraId="34BEF6B4">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4406CE62">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442FE0D0">
            <w:pPr>
              <w:pStyle w:val="23"/>
              <w:bidi w:val="0"/>
              <w:jc w:val="center"/>
              <w:rPr>
                <w:rFonts w:hint="default"/>
                <w:color w:val="auto"/>
                <w:highlight w:val="none"/>
              </w:rPr>
            </w:pPr>
            <w:r>
              <w:rPr>
                <w:rFonts w:hint="default"/>
                <w:color w:val="auto"/>
                <w:highlight w:val="none"/>
              </w:rPr>
              <w:t>省级</w:t>
            </w:r>
          </w:p>
        </w:tc>
      </w:tr>
      <w:tr w14:paraId="59CC7D4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5586F670">
            <w:pPr>
              <w:pStyle w:val="23"/>
              <w:bidi w:val="0"/>
              <w:jc w:val="center"/>
              <w:rPr>
                <w:rFonts w:hint="default"/>
                <w:color w:val="auto"/>
                <w:highlight w:val="none"/>
              </w:rPr>
            </w:pPr>
            <w:r>
              <w:rPr>
                <w:rFonts w:hint="default"/>
                <w:color w:val="auto"/>
                <w:highlight w:val="none"/>
              </w:rPr>
              <w:t>69.红头长尾山雀</w:t>
            </w:r>
          </w:p>
          <w:p w14:paraId="75A4AF37">
            <w:pPr>
              <w:pStyle w:val="23"/>
              <w:bidi w:val="0"/>
              <w:jc w:val="center"/>
              <w:rPr>
                <w:rFonts w:hint="default"/>
                <w:color w:val="auto"/>
                <w:highlight w:val="none"/>
              </w:rPr>
            </w:pPr>
            <w:r>
              <w:rPr>
                <w:rFonts w:hint="default"/>
                <w:i/>
                <w:iCs/>
                <w:color w:val="auto"/>
                <w:highlight w:val="none"/>
              </w:rPr>
              <w:t>Aegithalos concinnus</w:t>
            </w:r>
          </w:p>
        </w:tc>
        <w:tc>
          <w:tcPr>
            <w:tcW w:w="2721" w:type="dxa"/>
            <w:vMerge w:val="continue"/>
            <w:tcBorders>
              <w:tl2br w:val="nil"/>
              <w:tr2bl w:val="nil"/>
            </w:tcBorders>
            <w:noWrap w:val="0"/>
            <w:vAlign w:val="center"/>
          </w:tcPr>
          <w:p w14:paraId="0335DF97">
            <w:pPr>
              <w:pStyle w:val="23"/>
              <w:bidi w:val="0"/>
              <w:jc w:val="center"/>
              <w:rPr>
                <w:rFonts w:hint="default"/>
                <w:color w:val="auto"/>
                <w:highlight w:val="none"/>
              </w:rPr>
            </w:pPr>
          </w:p>
        </w:tc>
        <w:tc>
          <w:tcPr>
            <w:tcW w:w="1168" w:type="dxa"/>
            <w:tcBorders>
              <w:tl2br w:val="nil"/>
              <w:tr2bl w:val="nil"/>
            </w:tcBorders>
            <w:noWrap w:val="0"/>
            <w:vAlign w:val="center"/>
          </w:tcPr>
          <w:p w14:paraId="20E31A21">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3CA8F4AD">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32C4CEA3">
            <w:pPr>
              <w:pStyle w:val="23"/>
              <w:bidi w:val="0"/>
              <w:jc w:val="center"/>
              <w:rPr>
                <w:rFonts w:hint="default"/>
                <w:color w:val="auto"/>
                <w:highlight w:val="none"/>
              </w:rPr>
            </w:pPr>
            <w:r>
              <w:rPr>
                <w:rFonts w:hint="default"/>
                <w:color w:val="auto"/>
                <w:highlight w:val="none"/>
              </w:rPr>
              <w:t>省级</w:t>
            </w:r>
          </w:p>
        </w:tc>
      </w:tr>
      <w:tr w14:paraId="6744D05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4E283184">
            <w:pPr>
              <w:pStyle w:val="23"/>
              <w:bidi w:val="0"/>
              <w:jc w:val="center"/>
              <w:rPr>
                <w:rFonts w:hint="default"/>
                <w:color w:val="auto"/>
                <w:highlight w:val="none"/>
              </w:rPr>
            </w:pPr>
            <w:r>
              <w:rPr>
                <w:rFonts w:hint="default"/>
                <w:color w:val="auto"/>
                <w:highlight w:val="none"/>
              </w:rPr>
              <w:t>70.大山雀</w:t>
            </w:r>
          </w:p>
          <w:p w14:paraId="3727416B">
            <w:pPr>
              <w:pStyle w:val="23"/>
              <w:bidi w:val="0"/>
              <w:jc w:val="center"/>
              <w:rPr>
                <w:rFonts w:hint="default"/>
                <w:color w:val="auto"/>
                <w:highlight w:val="none"/>
              </w:rPr>
            </w:pPr>
            <w:r>
              <w:rPr>
                <w:rFonts w:hint="default"/>
                <w:i/>
                <w:iCs/>
                <w:color w:val="auto"/>
                <w:highlight w:val="none"/>
              </w:rPr>
              <w:t>Parus major</w:t>
            </w:r>
          </w:p>
        </w:tc>
        <w:tc>
          <w:tcPr>
            <w:tcW w:w="2721" w:type="dxa"/>
            <w:vMerge w:val="continue"/>
            <w:tcBorders>
              <w:tl2br w:val="nil"/>
              <w:tr2bl w:val="nil"/>
            </w:tcBorders>
            <w:noWrap w:val="0"/>
            <w:vAlign w:val="center"/>
          </w:tcPr>
          <w:p w14:paraId="0BA8A33B">
            <w:pPr>
              <w:pStyle w:val="23"/>
              <w:bidi w:val="0"/>
              <w:jc w:val="center"/>
              <w:rPr>
                <w:rFonts w:hint="default"/>
                <w:color w:val="auto"/>
                <w:highlight w:val="none"/>
              </w:rPr>
            </w:pPr>
          </w:p>
        </w:tc>
        <w:tc>
          <w:tcPr>
            <w:tcW w:w="1168" w:type="dxa"/>
            <w:tcBorders>
              <w:tl2br w:val="nil"/>
              <w:tr2bl w:val="nil"/>
            </w:tcBorders>
            <w:noWrap w:val="0"/>
            <w:vAlign w:val="center"/>
          </w:tcPr>
          <w:p w14:paraId="4A0D932B">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7EC96878">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07EB2BA4">
            <w:pPr>
              <w:pStyle w:val="23"/>
              <w:bidi w:val="0"/>
              <w:jc w:val="center"/>
              <w:rPr>
                <w:rFonts w:hint="default"/>
                <w:color w:val="auto"/>
                <w:highlight w:val="none"/>
              </w:rPr>
            </w:pPr>
            <w:r>
              <w:rPr>
                <w:rFonts w:hint="default"/>
                <w:color w:val="auto"/>
                <w:highlight w:val="none"/>
              </w:rPr>
              <w:t>省级</w:t>
            </w:r>
          </w:p>
        </w:tc>
      </w:tr>
      <w:tr w14:paraId="17431E9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4B71BB06">
            <w:pPr>
              <w:pStyle w:val="23"/>
              <w:bidi w:val="0"/>
              <w:jc w:val="center"/>
              <w:rPr>
                <w:rFonts w:hint="default"/>
                <w:color w:val="auto"/>
                <w:highlight w:val="none"/>
              </w:rPr>
            </w:pPr>
            <w:r>
              <w:rPr>
                <w:rFonts w:hint="default"/>
                <w:color w:val="auto"/>
                <w:highlight w:val="none"/>
              </w:rPr>
              <w:t>71.黄腹山雀</w:t>
            </w:r>
          </w:p>
          <w:p w14:paraId="2CB0BA19">
            <w:pPr>
              <w:pStyle w:val="23"/>
              <w:bidi w:val="0"/>
              <w:jc w:val="center"/>
              <w:rPr>
                <w:rFonts w:hint="default"/>
                <w:color w:val="auto"/>
                <w:highlight w:val="none"/>
              </w:rPr>
            </w:pPr>
            <w:r>
              <w:rPr>
                <w:rFonts w:hint="default"/>
                <w:i/>
                <w:iCs/>
                <w:color w:val="auto"/>
                <w:highlight w:val="none"/>
              </w:rPr>
              <w:t>parus venustulus</w:t>
            </w:r>
          </w:p>
        </w:tc>
        <w:tc>
          <w:tcPr>
            <w:tcW w:w="2721" w:type="dxa"/>
            <w:tcBorders>
              <w:tl2br w:val="nil"/>
              <w:tr2bl w:val="nil"/>
            </w:tcBorders>
            <w:noWrap w:val="0"/>
            <w:vAlign w:val="center"/>
          </w:tcPr>
          <w:p w14:paraId="429356B8">
            <w:pPr>
              <w:pStyle w:val="23"/>
              <w:bidi w:val="0"/>
              <w:jc w:val="center"/>
              <w:rPr>
                <w:rFonts w:hint="default"/>
                <w:color w:val="auto"/>
                <w:highlight w:val="none"/>
              </w:rPr>
            </w:pPr>
            <w:r>
              <w:rPr>
                <w:rFonts w:hint="default"/>
                <w:color w:val="auto"/>
                <w:highlight w:val="none"/>
              </w:rPr>
              <w:t>评价区针叶林、混交林及林 缘地带</w:t>
            </w:r>
          </w:p>
        </w:tc>
        <w:tc>
          <w:tcPr>
            <w:tcW w:w="1168" w:type="dxa"/>
            <w:tcBorders>
              <w:tl2br w:val="nil"/>
              <w:tr2bl w:val="nil"/>
            </w:tcBorders>
            <w:noWrap w:val="0"/>
            <w:vAlign w:val="center"/>
          </w:tcPr>
          <w:p w14:paraId="29AD6F8D">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23D26F49">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6F6E087C">
            <w:pPr>
              <w:pStyle w:val="23"/>
              <w:bidi w:val="0"/>
              <w:jc w:val="center"/>
              <w:rPr>
                <w:rFonts w:hint="default"/>
                <w:color w:val="auto"/>
                <w:highlight w:val="none"/>
              </w:rPr>
            </w:pPr>
            <w:r>
              <w:rPr>
                <w:rFonts w:hint="default"/>
                <w:color w:val="auto"/>
                <w:highlight w:val="none"/>
              </w:rPr>
              <w:t>省级</w:t>
            </w:r>
          </w:p>
        </w:tc>
      </w:tr>
      <w:tr w14:paraId="5408B7F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3F3750D5">
            <w:pPr>
              <w:pStyle w:val="23"/>
              <w:bidi w:val="0"/>
              <w:jc w:val="center"/>
              <w:rPr>
                <w:rFonts w:hint="default"/>
                <w:color w:val="auto"/>
                <w:highlight w:val="none"/>
              </w:rPr>
            </w:pPr>
            <w:r>
              <w:rPr>
                <w:rFonts w:hint="default"/>
                <w:color w:val="auto"/>
                <w:highlight w:val="none"/>
              </w:rPr>
              <w:t>72.[树]麻雀</w:t>
            </w:r>
          </w:p>
          <w:p w14:paraId="2F49B035">
            <w:pPr>
              <w:pStyle w:val="23"/>
              <w:bidi w:val="0"/>
              <w:jc w:val="center"/>
              <w:rPr>
                <w:rFonts w:hint="default"/>
                <w:color w:val="auto"/>
                <w:highlight w:val="none"/>
              </w:rPr>
            </w:pPr>
            <w:r>
              <w:rPr>
                <w:rFonts w:hint="default"/>
                <w:i/>
                <w:iCs/>
                <w:color w:val="auto"/>
                <w:highlight w:val="none"/>
              </w:rPr>
              <w:t>Passer montanus</w:t>
            </w:r>
          </w:p>
        </w:tc>
        <w:tc>
          <w:tcPr>
            <w:tcW w:w="2721" w:type="dxa"/>
            <w:vMerge w:val="restart"/>
            <w:tcBorders>
              <w:tl2br w:val="nil"/>
              <w:tr2bl w:val="nil"/>
            </w:tcBorders>
            <w:noWrap w:val="0"/>
            <w:vAlign w:val="center"/>
          </w:tcPr>
          <w:p w14:paraId="2B40FF06">
            <w:pPr>
              <w:pStyle w:val="23"/>
              <w:bidi w:val="0"/>
              <w:jc w:val="center"/>
              <w:rPr>
                <w:rFonts w:hint="default"/>
                <w:color w:val="auto"/>
                <w:highlight w:val="none"/>
              </w:rPr>
            </w:pPr>
            <w:r>
              <w:rPr>
                <w:rFonts w:hint="default"/>
                <w:color w:val="auto"/>
                <w:highlight w:val="none"/>
              </w:rPr>
              <w:t>评价区域广泛分布</w:t>
            </w:r>
          </w:p>
        </w:tc>
        <w:tc>
          <w:tcPr>
            <w:tcW w:w="1168" w:type="dxa"/>
            <w:tcBorders>
              <w:tl2br w:val="nil"/>
              <w:tr2bl w:val="nil"/>
            </w:tcBorders>
            <w:noWrap w:val="0"/>
            <w:vAlign w:val="center"/>
          </w:tcPr>
          <w:p w14:paraId="2FD67E94">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6B9829FD">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52E572A5">
            <w:pPr>
              <w:pStyle w:val="23"/>
              <w:bidi w:val="0"/>
              <w:jc w:val="center"/>
              <w:rPr>
                <w:rFonts w:hint="default"/>
                <w:color w:val="auto"/>
                <w:highlight w:val="none"/>
              </w:rPr>
            </w:pPr>
            <w:r>
              <w:rPr>
                <w:rFonts w:hint="default"/>
                <w:color w:val="auto"/>
                <w:highlight w:val="none"/>
              </w:rPr>
              <w:t>省级</w:t>
            </w:r>
          </w:p>
        </w:tc>
      </w:tr>
      <w:tr w14:paraId="2B6732D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5A461906">
            <w:pPr>
              <w:pStyle w:val="23"/>
              <w:bidi w:val="0"/>
              <w:jc w:val="center"/>
              <w:rPr>
                <w:rFonts w:hint="default"/>
                <w:color w:val="auto"/>
                <w:highlight w:val="none"/>
              </w:rPr>
            </w:pPr>
            <w:r>
              <w:rPr>
                <w:rFonts w:hint="default"/>
                <w:color w:val="auto"/>
                <w:highlight w:val="none"/>
              </w:rPr>
              <w:t>73.金翅雀</w:t>
            </w:r>
          </w:p>
          <w:p w14:paraId="71826B75">
            <w:pPr>
              <w:pStyle w:val="23"/>
              <w:bidi w:val="0"/>
              <w:jc w:val="center"/>
              <w:rPr>
                <w:rFonts w:hint="default"/>
                <w:color w:val="auto"/>
                <w:highlight w:val="none"/>
              </w:rPr>
            </w:pPr>
            <w:r>
              <w:rPr>
                <w:rFonts w:hint="default"/>
                <w:i/>
                <w:iCs/>
                <w:color w:val="auto"/>
                <w:highlight w:val="none"/>
              </w:rPr>
              <w:t>Carduelis sinica</w:t>
            </w:r>
          </w:p>
        </w:tc>
        <w:tc>
          <w:tcPr>
            <w:tcW w:w="2721" w:type="dxa"/>
            <w:vMerge w:val="continue"/>
            <w:tcBorders>
              <w:tl2br w:val="nil"/>
              <w:tr2bl w:val="nil"/>
            </w:tcBorders>
            <w:noWrap w:val="0"/>
            <w:vAlign w:val="center"/>
          </w:tcPr>
          <w:p w14:paraId="779C10FF">
            <w:pPr>
              <w:pStyle w:val="23"/>
              <w:bidi w:val="0"/>
              <w:jc w:val="center"/>
              <w:rPr>
                <w:rFonts w:hint="default"/>
                <w:color w:val="auto"/>
                <w:highlight w:val="none"/>
              </w:rPr>
            </w:pPr>
          </w:p>
        </w:tc>
        <w:tc>
          <w:tcPr>
            <w:tcW w:w="1168" w:type="dxa"/>
            <w:tcBorders>
              <w:tl2br w:val="nil"/>
              <w:tr2bl w:val="nil"/>
            </w:tcBorders>
            <w:noWrap w:val="0"/>
            <w:vAlign w:val="center"/>
          </w:tcPr>
          <w:p w14:paraId="5F892740">
            <w:pPr>
              <w:pStyle w:val="23"/>
              <w:bidi w:val="0"/>
              <w:jc w:val="center"/>
              <w:rPr>
                <w:rFonts w:hint="default"/>
                <w:color w:val="auto"/>
                <w:highlight w:val="none"/>
              </w:rPr>
            </w:pPr>
            <w:r>
              <w:rPr>
                <w:rFonts w:hint="default"/>
                <w:color w:val="auto"/>
                <w:highlight w:val="none"/>
              </w:rPr>
              <w:t>留鸟</w:t>
            </w:r>
          </w:p>
        </w:tc>
        <w:tc>
          <w:tcPr>
            <w:tcW w:w="1023" w:type="dxa"/>
            <w:tcBorders>
              <w:tl2br w:val="nil"/>
              <w:tr2bl w:val="nil"/>
            </w:tcBorders>
            <w:noWrap w:val="0"/>
            <w:vAlign w:val="center"/>
          </w:tcPr>
          <w:p w14:paraId="0B47D408">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7A4AFE55">
            <w:pPr>
              <w:pStyle w:val="23"/>
              <w:bidi w:val="0"/>
              <w:jc w:val="center"/>
              <w:rPr>
                <w:rFonts w:hint="default"/>
                <w:color w:val="auto"/>
                <w:highlight w:val="none"/>
              </w:rPr>
            </w:pPr>
            <w:r>
              <w:rPr>
                <w:rFonts w:hint="default"/>
                <w:color w:val="auto"/>
                <w:highlight w:val="none"/>
              </w:rPr>
              <w:t>省级</w:t>
            </w:r>
          </w:p>
        </w:tc>
      </w:tr>
      <w:tr w14:paraId="59BE397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5C71A5AF">
            <w:pPr>
              <w:pStyle w:val="23"/>
              <w:bidi w:val="0"/>
              <w:jc w:val="center"/>
              <w:rPr>
                <w:rFonts w:hint="default"/>
                <w:color w:val="auto"/>
                <w:highlight w:val="none"/>
              </w:rPr>
            </w:pPr>
            <w:r>
              <w:rPr>
                <w:rFonts w:hint="default"/>
                <w:color w:val="auto"/>
                <w:highlight w:val="none"/>
              </w:rPr>
              <w:t>74.黑尾蜡嘴雀</w:t>
            </w:r>
          </w:p>
          <w:p w14:paraId="2E783EB5">
            <w:pPr>
              <w:pStyle w:val="23"/>
              <w:bidi w:val="0"/>
              <w:jc w:val="center"/>
              <w:rPr>
                <w:rFonts w:hint="default"/>
                <w:color w:val="auto"/>
                <w:highlight w:val="none"/>
              </w:rPr>
            </w:pPr>
            <w:r>
              <w:rPr>
                <w:rFonts w:hint="default"/>
                <w:i/>
                <w:iCs/>
                <w:color w:val="auto"/>
                <w:highlight w:val="none"/>
              </w:rPr>
              <w:t>Eophona migratoria</w:t>
            </w:r>
          </w:p>
        </w:tc>
        <w:tc>
          <w:tcPr>
            <w:tcW w:w="2721" w:type="dxa"/>
            <w:vMerge w:val="continue"/>
            <w:tcBorders>
              <w:tl2br w:val="nil"/>
              <w:tr2bl w:val="nil"/>
            </w:tcBorders>
            <w:noWrap w:val="0"/>
            <w:vAlign w:val="center"/>
          </w:tcPr>
          <w:p w14:paraId="1451BF10">
            <w:pPr>
              <w:pStyle w:val="23"/>
              <w:bidi w:val="0"/>
              <w:jc w:val="center"/>
              <w:rPr>
                <w:rFonts w:hint="default"/>
                <w:color w:val="auto"/>
                <w:highlight w:val="none"/>
              </w:rPr>
            </w:pPr>
          </w:p>
        </w:tc>
        <w:tc>
          <w:tcPr>
            <w:tcW w:w="1168" w:type="dxa"/>
            <w:tcBorders>
              <w:tl2br w:val="nil"/>
              <w:tr2bl w:val="nil"/>
            </w:tcBorders>
            <w:noWrap w:val="0"/>
            <w:vAlign w:val="center"/>
          </w:tcPr>
          <w:p w14:paraId="39B0C344">
            <w:pPr>
              <w:pStyle w:val="23"/>
              <w:bidi w:val="0"/>
              <w:jc w:val="center"/>
              <w:rPr>
                <w:rFonts w:hint="default"/>
                <w:color w:val="auto"/>
                <w:highlight w:val="none"/>
              </w:rPr>
            </w:pPr>
            <w:r>
              <w:rPr>
                <w:rFonts w:hint="default"/>
                <w:color w:val="auto"/>
                <w:highlight w:val="none"/>
              </w:rPr>
              <w:t>冬候鸟</w:t>
            </w:r>
          </w:p>
        </w:tc>
        <w:tc>
          <w:tcPr>
            <w:tcW w:w="1023" w:type="dxa"/>
            <w:tcBorders>
              <w:tl2br w:val="nil"/>
              <w:tr2bl w:val="nil"/>
            </w:tcBorders>
            <w:noWrap w:val="0"/>
            <w:vAlign w:val="center"/>
          </w:tcPr>
          <w:p w14:paraId="4AE7898A">
            <w:pPr>
              <w:pStyle w:val="23"/>
              <w:bidi w:val="0"/>
              <w:jc w:val="center"/>
              <w:rPr>
                <w:rFonts w:hint="default"/>
                <w:color w:val="auto"/>
                <w:highlight w:val="none"/>
              </w:rPr>
            </w:pPr>
            <w:r>
              <w:rPr>
                <w:rFonts w:hint="default"/>
                <w:color w:val="auto"/>
                <w:highlight w:val="none"/>
              </w:rPr>
              <w:t>古北种</w:t>
            </w:r>
          </w:p>
        </w:tc>
        <w:tc>
          <w:tcPr>
            <w:tcW w:w="760" w:type="dxa"/>
            <w:tcBorders>
              <w:tl2br w:val="nil"/>
              <w:tr2bl w:val="nil"/>
            </w:tcBorders>
            <w:noWrap w:val="0"/>
            <w:vAlign w:val="center"/>
          </w:tcPr>
          <w:p w14:paraId="5F5CBDAE">
            <w:pPr>
              <w:pStyle w:val="23"/>
              <w:bidi w:val="0"/>
              <w:jc w:val="center"/>
              <w:rPr>
                <w:rFonts w:hint="default"/>
                <w:color w:val="auto"/>
                <w:highlight w:val="none"/>
              </w:rPr>
            </w:pPr>
            <w:r>
              <w:rPr>
                <w:rFonts w:hint="default"/>
                <w:color w:val="auto"/>
                <w:highlight w:val="none"/>
              </w:rPr>
              <w:t>省级</w:t>
            </w:r>
          </w:p>
        </w:tc>
      </w:tr>
      <w:tr w14:paraId="01A0829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29013310">
            <w:pPr>
              <w:pStyle w:val="23"/>
              <w:bidi w:val="0"/>
              <w:jc w:val="center"/>
              <w:rPr>
                <w:rFonts w:hint="default"/>
                <w:color w:val="auto"/>
                <w:highlight w:val="none"/>
              </w:rPr>
            </w:pPr>
            <w:r>
              <w:rPr>
                <w:rFonts w:hint="default"/>
                <w:color w:val="auto"/>
                <w:highlight w:val="none"/>
              </w:rPr>
              <w:t>75.东北刺猬</w:t>
            </w:r>
          </w:p>
          <w:p w14:paraId="19BE56DB">
            <w:pPr>
              <w:pStyle w:val="23"/>
              <w:bidi w:val="0"/>
              <w:jc w:val="center"/>
              <w:rPr>
                <w:rFonts w:hint="default"/>
                <w:color w:val="auto"/>
                <w:highlight w:val="none"/>
              </w:rPr>
            </w:pPr>
            <w:r>
              <w:rPr>
                <w:rFonts w:hint="default"/>
                <w:i/>
                <w:iCs/>
                <w:color w:val="auto"/>
                <w:highlight w:val="none"/>
              </w:rPr>
              <w:t>Erinaceus amurensis</w:t>
            </w:r>
          </w:p>
        </w:tc>
        <w:tc>
          <w:tcPr>
            <w:tcW w:w="2721" w:type="dxa"/>
            <w:tcBorders>
              <w:tl2br w:val="nil"/>
              <w:tr2bl w:val="nil"/>
            </w:tcBorders>
            <w:noWrap w:val="0"/>
            <w:vAlign w:val="center"/>
          </w:tcPr>
          <w:p w14:paraId="2426143B">
            <w:pPr>
              <w:pStyle w:val="23"/>
              <w:bidi w:val="0"/>
              <w:jc w:val="center"/>
              <w:rPr>
                <w:rFonts w:hint="default"/>
                <w:color w:val="auto"/>
                <w:highlight w:val="none"/>
              </w:rPr>
            </w:pPr>
            <w:r>
              <w:rPr>
                <w:rFonts w:hint="default"/>
                <w:color w:val="auto"/>
                <w:highlight w:val="none"/>
              </w:rPr>
              <w:t>评价区域山地灌丛、林地， 村落</w:t>
            </w:r>
          </w:p>
        </w:tc>
        <w:tc>
          <w:tcPr>
            <w:tcW w:w="1168" w:type="dxa"/>
            <w:tcBorders>
              <w:tl2br w:val="nil"/>
              <w:tr2bl w:val="nil"/>
            </w:tcBorders>
            <w:noWrap w:val="0"/>
            <w:vAlign w:val="center"/>
          </w:tcPr>
          <w:p w14:paraId="7965E564">
            <w:pPr>
              <w:pStyle w:val="23"/>
              <w:bidi w:val="0"/>
              <w:jc w:val="center"/>
              <w:rPr>
                <w:rFonts w:hint="default"/>
                <w:color w:val="auto"/>
                <w:highlight w:val="none"/>
              </w:rPr>
            </w:pPr>
          </w:p>
        </w:tc>
        <w:tc>
          <w:tcPr>
            <w:tcW w:w="1023" w:type="dxa"/>
            <w:tcBorders>
              <w:tl2br w:val="nil"/>
              <w:tr2bl w:val="nil"/>
            </w:tcBorders>
            <w:noWrap w:val="0"/>
            <w:vAlign w:val="center"/>
          </w:tcPr>
          <w:p w14:paraId="3942E48F">
            <w:pPr>
              <w:pStyle w:val="23"/>
              <w:bidi w:val="0"/>
              <w:jc w:val="center"/>
              <w:rPr>
                <w:rFonts w:hint="default"/>
                <w:color w:val="auto"/>
                <w:highlight w:val="none"/>
              </w:rPr>
            </w:pPr>
            <w:r>
              <w:rPr>
                <w:rFonts w:hint="default"/>
                <w:color w:val="auto"/>
                <w:highlight w:val="none"/>
              </w:rPr>
              <w:t>古北种</w:t>
            </w:r>
          </w:p>
        </w:tc>
        <w:tc>
          <w:tcPr>
            <w:tcW w:w="760" w:type="dxa"/>
            <w:tcBorders>
              <w:tl2br w:val="nil"/>
              <w:tr2bl w:val="nil"/>
            </w:tcBorders>
            <w:noWrap w:val="0"/>
            <w:vAlign w:val="center"/>
          </w:tcPr>
          <w:p w14:paraId="59D5E259">
            <w:pPr>
              <w:pStyle w:val="23"/>
              <w:bidi w:val="0"/>
              <w:jc w:val="center"/>
              <w:rPr>
                <w:rFonts w:hint="default"/>
                <w:color w:val="auto"/>
                <w:highlight w:val="none"/>
              </w:rPr>
            </w:pPr>
            <w:r>
              <w:rPr>
                <w:rFonts w:hint="default"/>
                <w:color w:val="auto"/>
                <w:highlight w:val="none"/>
              </w:rPr>
              <w:t>省级</w:t>
            </w:r>
          </w:p>
        </w:tc>
      </w:tr>
      <w:tr w14:paraId="4B7B988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411F5D46">
            <w:pPr>
              <w:pStyle w:val="23"/>
              <w:bidi w:val="0"/>
              <w:jc w:val="center"/>
              <w:rPr>
                <w:rFonts w:hint="default"/>
                <w:color w:val="auto"/>
                <w:highlight w:val="none"/>
              </w:rPr>
            </w:pPr>
            <w:r>
              <w:rPr>
                <w:rFonts w:hint="default"/>
                <w:color w:val="auto"/>
                <w:highlight w:val="none"/>
              </w:rPr>
              <w:t>76.隐纹花松鼠</w:t>
            </w:r>
          </w:p>
          <w:p w14:paraId="22F44803">
            <w:pPr>
              <w:pStyle w:val="23"/>
              <w:bidi w:val="0"/>
              <w:jc w:val="center"/>
              <w:rPr>
                <w:rFonts w:hint="default"/>
                <w:color w:val="auto"/>
                <w:highlight w:val="none"/>
              </w:rPr>
            </w:pPr>
            <w:r>
              <w:rPr>
                <w:rFonts w:hint="default"/>
                <w:i/>
                <w:iCs/>
                <w:color w:val="auto"/>
                <w:highlight w:val="none"/>
              </w:rPr>
              <w:t>Tamiops swinhoei</w:t>
            </w:r>
          </w:p>
        </w:tc>
        <w:tc>
          <w:tcPr>
            <w:tcW w:w="2721" w:type="dxa"/>
            <w:vMerge w:val="restart"/>
            <w:tcBorders>
              <w:tl2br w:val="nil"/>
              <w:tr2bl w:val="nil"/>
            </w:tcBorders>
            <w:noWrap w:val="0"/>
            <w:vAlign w:val="center"/>
          </w:tcPr>
          <w:p w14:paraId="79268127">
            <w:pPr>
              <w:pStyle w:val="23"/>
              <w:bidi w:val="0"/>
              <w:jc w:val="center"/>
              <w:rPr>
                <w:rFonts w:hint="default"/>
                <w:color w:val="auto"/>
                <w:highlight w:val="none"/>
              </w:rPr>
            </w:pPr>
            <w:r>
              <w:rPr>
                <w:rFonts w:hint="default"/>
                <w:color w:val="auto"/>
                <w:highlight w:val="none"/>
              </w:rPr>
              <w:t>评价区林地、林缘、灌丛</w:t>
            </w:r>
          </w:p>
        </w:tc>
        <w:tc>
          <w:tcPr>
            <w:tcW w:w="1168" w:type="dxa"/>
            <w:tcBorders>
              <w:tl2br w:val="nil"/>
              <w:tr2bl w:val="nil"/>
            </w:tcBorders>
            <w:noWrap w:val="0"/>
            <w:vAlign w:val="center"/>
          </w:tcPr>
          <w:p w14:paraId="16920BDD">
            <w:pPr>
              <w:pStyle w:val="23"/>
              <w:bidi w:val="0"/>
              <w:jc w:val="center"/>
              <w:rPr>
                <w:rFonts w:hint="default"/>
                <w:color w:val="auto"/>
                <w:highlight w:val="none"/>
              </w:rPr>
            </w:pPr>
          </w:p>
        </w:tc>
        <w:tc>
          <w:tcPr>
            <w:tcW w:w="1023" w:type="dxa"/>
            <w:tcBorders>
              <w:tl2br w:val="nil"/>
              <w:tr2bl w:val="nil"/>
            </w:tcBorders>
            <w:noWrap w:val="0"/>
            <w:vAlign w:val="center"/>
          </w:tcPr>
          <w:p w14:paraId="5E957E15">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2CC7AAF3">
            <w:pPr>
              <w:pStyle w:val="23"/>
              <w:bidi w:val="0"/>
              <w:jc w:val="center"/>
              <w:rPr>
                <w:rFonts w:hint="default"/>
                <w:color w:val="auto"/>
                <w:highlight w:val="none"/>
              </w:rPr>
            </w:pPr>
            <w:r>
              <w:rPr>
                <w:rFonts w:hint="default"/>
                <w:color w:val="auto"/>
                <w:highlight w:val="none"/>
              </w:rPr>
              <w:t>省级</w:t>
            </w:r>
          </w:p>
        </w:tc>
      </w:tr>
      <w:tr w14:paraId="2B876B9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44CDFD8D">
            <w:pPr>
              <w:pStyle w:val="23"/>
              <w:bidi w:val="0"/>
              <w:jc w:val="center"/>
              <w:rPr>
                <w:rFonts w:hint="default"/>
                <w:color w:val="auto"/>
                <w:highlight w:val="none"/>
              </w:rPr>
            </w:pPr>
            <w:r>
              <w:rPr>
                <w:rFonts w:hint="default"/>
                <w:color w:val="auto"/>
                <w:highlight w:val="none"/>
              </w:rPr>
              <w:t>77.赤腹松鼠</w:t>
            </w:r>
          </w:p>
          <w:p w14:paraId="2653DD42">
            <w:pPr>
              <w:pStyle w:val="23"/>
              <w:bidi w:val="0"/>
              <w:jc w:val="center"/>
              <w:rPr>
                <w:rFonts w:hint="default"/>
                <w:color w:val="auto"/>
                <w:highlight w:val="none"/>
              </w:rPr>
            </w:pPr>
            <w:r>
              <w:rPr>
                <w:rFonts w:hint="default"/>
                <w:i/>
                <w:iCs/>
                <w:color w:val="auto"/>
                <w:highlight w:val="none"/>
              </w:rPr>
              <w:t>Callosciurus ergthraeus</w:t>
            </w:r>
          </w:p>
        </w:tc>
        <w:tc>
          <w:tcPr>
            <w:tcW w:w="2721" w:type="dxa"/>
            <w:vMerge w:val="continue"/>
            <w:tcBorders>
              <w:tl2br w:val="nil"/>
              <w:tr2bl w:val="nil"/>
            </w:tcBorders>
            <w:noWrap w:val="0"/>
            <w:vAlign w:val="center"/>
          </w:tcPr>
          <w:p w14:paraId="635BD559">
            <w:pPr>
              <w:pStyle w:val="23"/>
              <w:bidi w:val="0"/>
              <w:jc w:val="center"/>
              <w:rPr>
                <w:rFonts w:hint="default"/>
                <w:color w:val="auto"/>
                <w:highlight w:val="none"/>
              </w:rPr>
            </w:pPr>
          </w:p>
        </w:tc>
        <w:tc>
          <w:tcPr>
            <w:tcW w:w="1168" w:type="dxa"/>
            <w:tcBorders>
              <w:tl2br w:val="nil"/>
              <w:tr2bl w:val="nil"/>
            </w:tcBorders>
            <w:noWrap w:val="0"/>
            <w:vAlign w:val="center"/>
          </w:tcPr>
          <w:p w14:paraId="0212DDEB">
            <w:pPr>
              <w:pStyle w:val="23"/>
              <w:bidi w:val="0"/>
              <w:jc w:val="center"/>
              <w:rPr>
                <w:rFonts w:hint="default"/>
                <w:color w:val="auto"/>
                <w:highlight w:val="none"/>
              </w:rPr>
            </w:pPr>
          </w:p>
        </w:tc>
        <w:tc>
          <w:tcPr>
            <w:tcW w:w="1023" w:type="dxa"/>
            <w:tcBorders>
              <w:tl2br w:val="nil"/>
              <w:tr2bl w:val="nil"/>
            </w:tcBorders>
            <w:noWrap w:val="0"/>
            <w:vAlign w:val="center"/>
          </w:tcPr>
          <w:p w14:paraId="39A9C0CD">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73AB0412">
            <w:pPr>
              <w:pStyle w:val="23"/>
              <w:bidi w:val="0"/>
              <w:jc w:val="center"/>
              <w:rPr>
                <w:rFonts w:hint="default"/>
                <w:color w:val="auto"/>
                <w:highlight w:val="none"/>
              </w:rPr>
            </w:pPr>
            <w:r>
              <w:rPr>
                <w:rFonts w:hint="default"/>
                <w:color w:val="auto"/>
                <w:highlight w:val="none"/>
              </w:rPr>
              <w:t>省级</w:t>
            </w:r>
          </w:p>
        </w:tc>
      </w:tr>
      <w:tr w14:paraId="51F3BA4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0CF832D4">
            <w:pPr>
              <w:pStyle w:val="23"/>
              <w:bidi w:val="0"/>
              <w:jc w:val="center"/>
              <w:rPr>
                <w:rFonts w:hint="default"/>
                <w:color w:val="auto"/>
                <w:highlight w:val="none"/>
              </w:rPr>
            </w:pPr>
            <w:r>
              <w:rPr>
                <w:rFonts w:hint="default"/>
                <w:color w:val="auto"/>
                <w:highlight w:val="none"/>
              </w:rPr>
              <w:t>78.马来豪猪</w:t>
            </w:r>
          </w:p>
          <w:p w14:paraId="0B310EBE">
            <w:pPr>
              <w:pStyle w:val="23"/>
              <w:bidi w:val="0"/>
              <w:jc w:val="center"/>
              <w:rPr>
                <w:rFonts w:hint="default"/>
                <w:color w:val="auto"/>
                <w:highlight w:val="none"/>
              </w:rPr>
            </w:pPr>
            <w:r>
              <w:rPr>
                <w:rFonts w:hint="default"/>
                <w:i/>
                <w:iCs/>
                <w:color w:val="auto"/>
                <w:highlight w:val="none"/>
              </w:rPr>
              <w:t>Hystrix brachyura</w:t>
            </w:r>
          </w:p>
        </w:tc>
        <w:tc>
          <w:tcPr>
            <w:tcW w:w="2721" w:type="dxa"/>
            <w:tcBorders>
              <w:tl2br w:val="nil"/>
              <w:tr2bl w:val="nil"/>
            </w:tcBorders>
            <w:noWrap w:val="0"/>
            <w:vAlign w:val="center"/>
          </w:tcPr>
          <w:p w14:paraId="6B1BF80B">
            <w:pPr>
              <w:pStyle w:val="23"/>
              <w:bidi w:val="0"/>
              <w:jc w:val="center"/>
              <w:rPr>
                <w:rFonts w:hint="default"/>
                <w:color w:val="auto"/>
                <w:highlight w:val="none"/>
              </w:rPr>
            </w:pPr>
            <w:r>
              <w:rPr>
                <w:rFonts w:hint="default"/>
                <w:color w:val="auto"/>
                <w:highlight w:val="none"/>
              </w:rPr>
              <w:t>评价区山坡草丛、密林</w:t>
            </w:r>
          </w:p>
        </w:tc>
        <w:tc>
          <w:tcPr>
            <w:tcW w:w="1168" w:type="dxa"/>
            <w:tcBorders>
              <w:tl2br w:val="nil"/>
              <w:tr2bl w:val="nil"/>
            </w:tcBorders>
            <w:noWrap w:val="0"/>
            <w:vAlign w:val="center"/>
          </w:tcPr>
          <w:p w14:paraId="605C7795">
            <w:pPr>
              <w:pStyle w:val="23"/>
              <w:bidi w:val="0"/>
              <w:jc w:val="center"/>
              <w:rPr>
                <w:rFonts w:hint="default"/>
                <w:color w:val="auto"/>
                <w:highlight w:val="none"/>
              </w:rPr>
            </w:pPr>
          </w:p>
        </w:tc>
        <w:tc>
          <w:tcPr>
            <w:tcW w:w="1023" w:type="dxa"/>
            <w:tcBorders>
              <w:tl2br w:val="nil"/>
              <w:tr2bl w:val="nil"/>
            </w:tcBorders>
            <w:noWrap w:val="0"/>
            <w:vAlign w:val="center"/>
          </w:tcPr>
          <w:p w14:paraId="6A678C61">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3D259FE1">
            <w:pPr>
              <w:pStyle w:val="23"/>
              <w:bidi w:val="0"/>
              <w:jc w:val="center"/>
              <w:rPr>
                <w:rFonts w:hint="default"/>
                <w:color w:val="auto"/>
                <w:highlight w:val="none"/>
              </w:rPr>
            </w:pPr>
            <w:r>
              <w:rPr>
                <w:rFonts w:hint="default"/>
                <w:color w:val="auto"/>
                <w:highlight w:val="none"/>
              </w:rPr>
              <w:t>省级</w:t>
            </w:r>
          </w:p>
        </w:tc>
      </w:tr>
      <w:tr w14:paraId="1FC2173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53759D65">
            <w:pPr>
              <w:pStyle w:val="23"/>
              <w:bidi w:val="0"/>
              <w:jc w:val="center"/>
              <w:rPr>
                <w:rFonts w:hint="default"/>
                <w:color w:val="auto"/>
                <w:highlight w:val="none"/>
              </w:rPr>
            </w:pPr>
            <w:r>
              <w:rPr>
                <w:rFonts w:hint="default"/>
                <w:color w:val="auto"/>
                <w:highlight w:val="none"/>
              </w:rPr>
              <w:t>79.普通伏翼</w:t>
            </w:r>
          </w:p>
          <w:p w14:paraId="6F336FEE">
            <w:pPr>
              <w:pStyle w:val="23"/>
              <w:bidi w:val="0"/>
              <w:jc w:val="center"/>
              <w:rPr>
                <w:rFonts w:hint="default"/>
                <w:color w:val="auto"/>
                <w:highlight w:val="none"/>
              </w:rPr>
            </w:pPr>
            <w:r>
              <w:rPr>
                <w:rFonts w:hint="default"/>
                <w:i/>
                <w:iCs/>
                <w:color w:val="auto"/>
                <w:highlight w:val="none"/>
              </w:rPr>
              <w:t>Pipistrellus pipistrellus</w:t>
            </w:r>
          </w:p>
        </w:tc>
        <w:tc>
          <w:tcPr>
            <w:tcW w:w="2721" w:type="dxa"/>
            <w:tcBorders>
              <w:tl2br w:val="nil"/>
              <w:tr2bl w:val="nil"/>
            </w:tcBorders>
            <w:noWrap w:val="0"/>
            <w:vAlign w:val="center"/>
          </w:tcPr>
          <w:p w14:paraId="4FA858F1">
            <w:pPr>
              <w:pStyle w:val="23"/>
              <w:bidi w:val="0"/>
              <w:jc w:val="center"/>
              <w:rPr>
                <w:rFonts w:hint="default"/>
                <w:color w:val="auto"/>
                <w:highlight w:val="none"/>
              </w:rPr>
            </w:pPr>
            <w:r>
              <w:rPr>
                <w:rFonts w:hint="default"/>
                <w:color w:val="auto"/>
                <w:highlight w:val="none"/>
              </w:rPr>
              <w:t>傍晚活动于评价区居民点 附近</w:t>
            </w:r>
          </w:p>
        </w:tc>
        <w:tc>
          <w:tcPr>
            <w:tcW w:w="1168" w:type="dxa"/>
            <w:tcBorders>
              <w:tl2br w:val="nil"/>
              <w:tr2bl w:val="nil"/>
            </w:tcBorders>
            <w:noWrap w:val="0"/>
            <w:vAlign w:val="center"/>
          </w:tcPr>
          <w:p w14:paraId="22419639">
            <w:pPr>
              <w:pStyle w:val="23"/>
              <w:bidi w:val="0"/>
              <w:jc w:val="center"/>
              <w:rPr>
                <w:rFonts w:hint="default"/>
                <w:color w:val="auto"/>
                <w:highlight w:val="none"/>
              </w:rPr>
            </w:pPr>
          </w:p>
        </w:tc>
        <w:tc>
          <w:tcPr>
            <w:tcW w:w="1023" w:type="dxa"/>
            <w:tcBorders>
              <w:tl2br w:val="nil"/>
              <w:tr2bl w:val="nil"/>
            </w:tcBorders>
            <w:noWrap w:val="0"/>
            <w:vAlign w:val="center"/>
          </w:tcPr>
          <w:p w14:paraId="22C86C4F">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7FC5957D">
            <w:pPr>
              <w:pStyle w:val="23"/>
              <w:bidi w:val="0"/>
              <w:jc w:val="center"/>
              <w:rPr>
                <w:rFonts w:hint="default"/>
                <w:color w:val="auto"/>
                <w:highlight w:val="none"/>
              </w:rPr>
            </w:pPr>
            <w:r>
              <w:rPr>
                <w:rFonts w:hint="default"/>
                <w:color w:val="auto"/>
                <w:highlight w:val="none"/>
              </w:rPr>
              <w:t>省级</w:t>
            </w:r>
          </w:p>
        </w:tc>
      </w:tr>
      <w:tr w14:paraId="7E0A56A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1DDD8B08">
            <w:pPr>
              <w:pStyle w:val="23"/>
              <w:bidi w:val="0"/>
              <w:jc w:val="center"/>
              <w:rPr>
                <w:rFonts w:hint="default"/>
                <w:color w:val="auto"/>
                <w:highlight w:val="none"/>
              </w:rPr>
            </w:pPr>
            <w:r>
              <w:rPr>
                <w:rFonts w:hint="default"/>
                <w:color w:val="auto"/>
                <w:highlight w:val="none"/>
              </w:rPr>
              <w:t>80.黄鼬</w:t>
            </w:r>
          </w:p>
          <w:p w14:paraId="0F502E92">
            <w:pPr>
              <w:pStyle w:val="23"/>
              <w:bidi w:val="0"/>
              <w:jc w:val="center"/>
              <w:rPr>
                <w:rFonts w:hint="default"/>
                <w:color w:val="auto"/>
                <w:highlight w:val="none"/>
              </w:rPr>
            </w:pPr>
            <w:r>
              <w:rPr>
                <w:rFonts w:hint="default"/>
                <w:i/>
                <w:iCs/>
                <w:color w:val="auto"/>
                <w:highlight w:val="none"/>
              </w:rPr>
              <w:t>Mustela sibirica</w:t>
            </w:r>
          </w:p>
        </w:tc>
        <w:tc>
          <w:tcPr>
            <w:tcW w:w="2721" w:type="dxa"/>
            <w:tcBorders>
              <w:tl2br w:val="nil"/>
              <w:tr2bl w:val="nil"/>
            </w:tcBorders>
            <w:noWrap w:val="0"/>
            <w:vAlign w:val="center"/>
          </w:tcPr>
          <w:p w14:paraId="28780E47">
            <w:pPr>
              <w:pStyle w:val="23"/>
              <w:bidi w:val="0"/>
              <w:jc w:val="center"/>
              <w:rPr>
                <w:rFonts w:hint="default"/>
                <w:color w:val="auto"/>
                <w:highlight w:val="none"/>
              </w:rPr>
            </w:pPr>
            <w:r>
              <w:rPr>
                <w:rFonts w:hint="default"/>
                <w:color w:val="auto"/>
                <w:highlight w:val="none"/>
              </w:rPr>
              <w:t>评价区内广泛分布</w:t>
            </w:r>
          </w:p>
        </w:tc>
        <w:tc>
          <w:tcPr>
            <w:tcW w:w="1168" w:type="dxa"/>
            <w:tcBorders>
              <w:tl2br w:val="nil"/>
              <w:tr2bl w:val="nil"/>
            </w:tcBorders>
            <w:noWrap w:val="0"/>
            <w:vAlign w:val="center"/>
          </w:tcPr>
          <w:p w14:paraId="543751B0">
            <w:pPr>
              <w:pStyle w:val="23"/>
              <w:bidi w:val="0"/>
              <w:jc w:val="center"/>
              <w:rPr>
                <w:rFonts w:hint="default"/>
                <w:color w:val="auto"/>
                <w:highlight w:val="none"/>
              </w:rPr>
            </w:pPr>
          </w:p>
        </w:tc>
        <w:tc>
          <w:tcPr>
            <w:tcW w:w="1023" w:type="dxa"/>
            <w:tcBorders>
              <w:tl2br w:val="nil"/>
              <w:tr2bl w:val="nil"/>
            </w:tcBorders>
            <w:noWrap w:val="0"/>
            <w:vAlign w:val="center"/>
          </w:tcPr>
          <w:p w14:paraId="328C3836">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1098EB8D">
            <w:pPr>
              <w:pStyle w:val="23"/>
              <w:bidi w:val="0"/>
              <w:jc w:val="center"/>
              <w:rPr>
                <w:rFonts w:hint="default"/>
                <w:color w:val="auto"/>
                <w:highlight w:val="none"/>
              </w:rPr>
            </w:pPr>
            <w:r>
              <w:rPr>
                <w:rFonts w:hint="default"/>
                <w:color w:val="auto"/>
                <w:highlight w:val="none"/>
              </w:rPr>
              <w:t>省级</w:t>
            </w:r>
          </w:p>
        </w:tc>
      </w:tr>
      <w:tr w14:paraId="1AD8A41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44D3F307">
            <w:pPr>
              <w:pStyle w:val="23"/>
              <w:bidi w:val="0"/>
              <w:jc w:val="center"/>
              <w:rPr>
                <w:rFonts w:hint="default"/>
                <w:color w:val="auto"/>
                <w:highlight w:val="none"/>
              </w:rPr>
            </w:pPr>
            <w:r>
              <w:rPr>
                <w:rFonts w:hint="default"/>
                <w:color w:val="auto"/>
                <w:highlight w:val="none"/>
              </w:rPr>
              <w:t>81</w:t>
            </w:r>
            <w:r>
              <w:rPr>
                <w:rFonts w:hint="eastAsia"/>
                <w:color w:val="auto"/>
                <w:highlight w:val="none"/>
                <w:lang w:val="en-US" w:eastAsia="zh-CN"/>
              </w:rPr>
              <w:t>.</w:t>
            </w:r>
            <w:r>
              <w:rPr>
                <w:rFonts w:hint="default"/>
                <w:color w:val="auto"/>
                <w:highlight w:val="none"/>
              </w:rPr>
              <w:t>猪獾</w:t>
            </w:r>
          </w:p>
          <w:p w14:paraId="719ABCCE">
            <w:pPr>
              <w:pStyle w:val="23"/>
              <w:bidi w:val="0"/>
              <w:jc w:val="center"/>
              <w:rPr>
                <w:rFonts w:hint="default"/>
                <w:color w:val="auto"/>
                <w:highlight w:val="none"/>
              </w:rPr>
            </w:pPr>
            <w:r>
              <w:rPr>
                <w:rFonts w:hint="default"/>
                <w:i/>
                <w:iCs/>
                <w:color w:val="auto"/>
                <w:highlight w:val="none"/>
              </w:rPr>
              <w:t>Arotonyx collaris</w:t>
            </w:r>
          </w:p>
        </w:tc>
        <w:tc>
          <w:tcPr>
            <w:tcW w:w="2721" w:type="dxa"/>
            <w:vMerge w:val="restart"/>
            <w:tcBorders>
              <w:tl2br w:val="nil"/>
              <w:tr2bl w:val="nil"/>
            </w:tcBorders>
            <w:noWrap w:val="0"/>
            <w:vAlign w:val="center"/>
          </w:tcPr>
          <w:p w14:paraId="27DD1EAB">
            <w:pPr>
              <w:pStyle w:val="23"/>
              <w:bidi w:val="0"/>
              <w:jc w:val="center"/>
              <w:rPr>
                <w:rFonts w:hint="default"/>
                <w:color w:val="auto"/>
                <w:highlight w:val="none"/>
              </w:rPr>
            </w:pPr>
            <w:r>
              <w:rPr>
                <w:rFonts w:hint="default"/>
                <w:color w:val="auto"/>
                <w:highlight w:val="none"/>
              </w:rPr>
              <w:t>评价区林地、灌丛，数量少</w:t>
            </w:r>
          </w:p>
        </w:tc>
        <w:tc>
          <w:tcPr>
            <w:tcW w:w="1168" w:type="dxa"/>
            <w:tcBorders>
              <w:tl2br w:val="nil"/>
              <w:tr2bl w:val="nil"/>
            </w:tcBorders>
            <w:noWrap w:val="0"/>
            <w:vAlign w:val="center"/>
          </w:tcPr>
          <w:p w14:paraId="7856EAEF">
            <w:pPr>
              <w:pStyle w:val="23"/>
              <w:bidi w:val="0"/>
              <w:jc w:val="center"/>
              <w:rPr>
                <w:rFonts w:hint="default"/>
                <w:color w:val="auto"/>
                <w:highlight w:val="none"/>
              </w:rPr>
            </w:pPr>
          </w:p>
        </w:tc>
        <w:tc>
          <w:tcPr>
            <w:tcW w:w="1023" w:type="dxa"/>
            <w:tcBorders>
              <w:tl2br w:val="nil"/>
              <w:tr2bl w:val="nil"/>
            </w:tcBorders>
            <w:noWrap w:val="0"/>
            <w:vAlign w:val="center"/>
          </w:tcPr>
          <w:p w14:paraId="1B27EC66">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6E63CB9E">
            <w:pPr>
              <w:pStyle w:val="23"/>
              <w:bidi w:val="0"/>
              <w:jc w:val="center"/>
              <w:rPr>
                <w:rFonts w:hint="default"/>
                <w:color w:val="auto"/>
                <w:highlight w:val="none"/>
              </w:rPr>
            </w:pPr>
            <w:r>
              <w:rPr>
                <w:rFonts w:hint="default"/>
                <w:color w:val="auto"/>
                <w:highlight w:val="none"/>
              </w:rPr>
              <w:t>省级</w:t>
            </w:r>
          </w:p>
        </w:tc>
      </w:tr>
      <w:tr w14:paraId="461AA0F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39E9F7B3">
            <w:pPr>
              <w:pStyle w:val="23"/>
              <w:bidi w:val="0"/>
              <w:jc w:val="center"/>
              <w:rPr>
                <w:rFonts w:hint="default"/>
                <w:color w:val="auto"/>
                <w:highlight w:val="none"/>
              </w:rPr>
            </w:pPr>
            <w:r>
              <w:rPr>
                <w:rFonts w:hint="default"/>
                <w:color w:val="auto"/>
                <w:highlight w:val="none"/>
              </w:rPr>
              <w:t>82.亚洲狗獾</w:t>
            </w:r>
          </w:p>
          <w:p w14:paraId="6D2F565A">
            <w:pPr>
              <w:pStyle w:val="23"/>
              <w:bidi w:val="0"/>
              <w:jc w:val="center"/>
              <w:rPr>
                <w:rFonts w:hint="default"/>
                <w:color w:val="auto"/>
                <w:highlight w:val="none"/>
              </w:rPr>
            </w:pPr>
            <w:r>
              <w:rPr>
                <w:rFonts w:hint="default"/>
                <w:i/>
                <w:iCs/>
                <w:color w:val="auto"/>
                <w:highlight w:val="none"/>
              </w:rPr>
              <w:t>Meles leucurus</w:t>
            </w:r>
          </w:p>
        </w:tc>
        <w:tc>
          <w:tcPr>
            <w:tcW w:w="2721" w:type="dxa"/>
            <w:vMerge w:val="continue"/>
            <w:tcBorders>
              <w:tl2br w:val="nil"/>
              <w:tr2bl w:val="nil"/>
            </w:tcBorders>
            <w:noWrap w:val="0"/>
            <w:vAlign w:val="center"/>
          </w:tcPr>
          <w:p w14:paraId="1FD8E3F7">
            <w:pPr>
              <w:pStyle w:val="23"/>
              <w:bidi w:val="0"/>
              <w:jc w:val="center"/>
              <w:rPr>
                <w:rFonts w:hint="default"/>
                <w:color w:val="auto"/>
                <w:highlight w:val="none"/>
              </w:rPr>
            </w:pPr>
          </w:p>
        </w:tc>
        <w:tc>
          <w:tcPr>
            <w:tcW w:w="1168" w:type="dxa"/>
            <w:tcBorders>
              <w:tl2br w:val="nil"/>
              <w:tr2bl w:val="nil"/>
            </w:tcBorders>
            <w:noWrap w:val="0"/>
            <w:vAlign w:val="center"/>
          </w:tcPr>
          <w:p w14:paraId="4E836776">
            <w:pPr>
              <w:pStyle w:val="23"/>
              <w:bidi w:val="0"/>
              <w:jc w:val="center"/>
              <w:rPr>
                <w:rFonts w:hint="default"/>
                <w:color w:val="auto"/>
                <w:highlight w:val="none"/>
              </w:rPr>
            </w:pPr>
          </w:p>
        </w:tc>
        <w:tc>
          <w:tcPr>
            <w:tcW w:w="1023" w:type="dxa"/>
            <w:tcBorders>
              <w:tl2br w:val="nil"/>
              <w:tr2bl w:val="nil"/>
            </w:tcBorders>
            <w:noWrap w:val="0"/>
            <w:vAlign w:val="center"/>
          </w:tcPr>
          <w:p w14:paraId="41986AC0">
            <w:pPr>
              <w:pStyle w:val="23"/>
              <w:bidi w:val="0"/>
              <w:jc w:val="center"/>
              <w:rPr>
                <w:rFonts w:hint="default"/>
                <w:color w:val="auto"/>
                <w:highlight w:val="none"/>
              </w:rPr>
            </w:pPr>
            <w:r>
              <w:rPr>
                <w:rFonts w:hint="default"/>
                <w:color w:val="auto"/>
                <w:highlight w:val="none"/>
              </w:rPr>
              <w:t>广布种</w:t>
            </w:r>
          </w:p>
        </w:tc>
        <w:tc>
          <w:tcPr>
            <w:tcW w:w="760" w:type="dxa"/>
            <w:tcBorders>
              <w:tl2br w:val="nil"/>
              <w:tr2bl w:val="nil"/>
            </w:tcBorders>
            <w:noWrap w:val="0"/>
            <w:vAlign w:val="center"/>
          </w:tcPr>
          <w:p w14:paraId="16401F03">
            <w:pPr>
              <w:pStyle w:val="23"/>
              <w:bidi w:val="0"/>
              <w:jc w:val="center"/>
              <w:rPr>
                <w:rFonts w:hint="default"/>
                <w:color w:val="auto"/>
                <w:highlight w:val="none"/>
              </w:rPr>
            </w:pPr>
            <w:r>
              <w:rPr>
                <w:rFonts w:hint="default"/>
                <w:color w:val="auto"/>
                <w:highlight w:val="none"/>
              </w:rPr>
              <w:t>省级</w:t>
            </w:r>
          </w:p>
        </w:tc>
      </w:tr>
      <w:tr w14:paraId="3D8B48F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2ECB795F">
            <w:pPr>
              <w:pStyle w:val="23"/>
              <w:bidi w:val="0"/>
              <w:jc w:val="center"/>
              <w:rPr>
                <w:rFonts w:hint="default"/>
                <w:color w:val="auto"/>
                <w:highlight w:val="none"/>
              </w:rPr>
            </w:pPr>
            <w:r>
              <w:rPr>
                <w:rFonts w:hint="default"/>
                <w:color w:val="auto"/>
                <w:highlight w:val="none"/>
              </w:rPr>
              <w:t>83.鼬獾</w:t>
            </w:r>
          </w:p>
          <w:p w14:paraId="36A34010">
            <w:pPr>
              <w:pStyle w:val="23"/>
              <w:bidi w:val="0"/>
              <w:jc w:val="center"/>
              <w:rPr>
                <w:rFonts w:hint="default"/>
                <w:color w:val="auto"/>
                <w:highlight w:val="none"/>
              </w:rPr>
            </w:pPr>
            <w:r>
              <w:rPr>
                <w:rFonts w:hint="default"/>
                <w:i/>
                <w:iCs/>
                <w:color w:val="auto"/>
                <w:highlight w:val="none"/>
              </w:rPr>
              <w:t>Melogale moschata</w:t>
            </w:r>
          </w:p>
        </w:tc>
        <w:tc>
          <w:tcPr>
            <w:tcW w:w="2721" w:type="dxa"/>
            <w:vMerge w:val="continue"/>
            <w:tcBorders>
              <w:tl2br w:val="nil"/>
              <w:tr2bl w:val="nil"/>
            </w:tcBorders>
            <w:noWrap w:val="0"/>
            <w:vAlign w:val="center"/>
          </w:tcPr>
          <w:p w14:paraId="2FA7AF4A">
            <w:pPr>
              <w:pStyle w:val="23"/>
              <w:bidi w:val="0"/>
              <w:jc w:val="center"/>
              <w:rPr>
                <w:rFonts w:hint="default"/>
                <w:color w:val="auto"/>
                <w:highlight w:val="none"/>
              </w:rPr>
            </w:pPr>
          </w:p>
        </w:tc>
        <w:tc>
          <w:tcPr>
            <w:tcW w:w="1168" w:type="dxa"/>
            <w:tcBorders>
              <w:tl2br w:val="nil"/>
              <w:tr2bl w:val="nil"/>
            </w:tcBorders>
            <w:noWrap w:val="0"/>
            <w:vAlign w:val="center"/>
          </w:tcPr>
          <w:p w14:paraId="3E75CD4A">
            <w:pPr>
              <w:pStyle w:val="23"/>
              <w:bidi w:val="0"/>
              <w:jc w:val="center"/>
              <w:rPr>
                <w:rFonts w:hint="default"/>
                <w:color w:val="auto"/>
                <w:highlight w:val="none"/>
              </w:rPr>
            </w:pPr>
          </w:p>
        </w:tc>
        <w:tc>
          <w:tcPr>
            <w:tcW w:w="1023" w:type="dxa"/>
            <w:tcBorders>
              <w:tl2br w:val="nil"/>
              <w:tr2bl w:val="nil"/>
            </w:tcBorders>
            <w:noWrap w:val="0"/>
            <w:vAlign w:val="center"/>
          </w:tcPr>
          <w:p w14:paraId="6C76D737">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7023F1AB">
            <w:pPr>
              <w:pStyle w:val="23"/>
              <w:bidi w:val="0"/>
              <w:jc w:val="center"/>
              <w:rPr>
                <w:rFonts w:hint="default"/>
                <w:color w:val="auto"/>
                <w:highlight w:val="none"/>
              </w:rPr>
            </w:pPr>
            <w:r>
              <w:rPr>
                <w:rFonts w:hint="default"/>
                <w:color w:val="auto"/>
                <w:highlight w:val="none"/>
              </w:rPr>
              <w:t>省级</w:t>
            </w:r>
          </w:p>
        </w:tc>
      </w:tr>
      <w:tr w14:paraId="58B71C8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5C776A1E">
            <w:pPr>
              <w:pStyle w:val="23"/>
              <w:bidi w:val="0"/>
              <w:jc w:val="center"/>
              <w:rPr>
                <w:rFonts w:hint="default"/>
                <w:color w:val="auto"/>
                <w:highlight w:val="none"/>
              </w:rPr>
            </w:pPr>
            <w:r>
              <w:rPr>
                <w:rFonts w:hint="default"/>
                <w:color w:val="auto"/>
                <w:highlight w:val="none"/>
              </w:rPr>
              <w:t>84.野猪</w:t>
            </w:r>
          </w:p>
          <w:p w14:paraId="6692782C">
            <w:pPr>
              <w:pStyle w:val="23"/>
              <w:bidi w:val="0"/>
              <w:jc w:val="center"/>
              <w:rPr>
                <w:rFonts w:hint="default"/>
                <w:color w:val="auto"/>
                <w:highlight w:val="none"/>
              </w:rPr>
            </w:pPr>
            <w:r>
              <w:rPr>
                <w:rFonts w:hint="default"/>
                <w:i/>
                <w:iCs/>
                <w:color w:val="auto"/>
                <w:highlight w:val="none"/>
              </w:rPr>
              <w:t>Sus scfofa</w:t>
            </w:r>
          </w:p>
        </w:tc>
        <w:tc>
          <w:tcPr>
            <w:tcW w:w="2721" w:type="dxa"/>
            <w:vMerge w:val="continue"/>
            <w:tcBorders>
              <w:tl2br w:val="nil"/>
              <w:tr2bl w:val="nil"/>
            </w:tcBorders>
            <w:noWrap w:val="0"/>
            <w:vAlign w:val="center"/>
          </w:tcPr>
          <w:p w14:paraId="4119D504">
            <w:pPr>
              <w:pStyle w:val="23"/>
              <w:bidi w:val="0"/>
              <w:jc w:val="center"/>
              <w:rPr>
                <w:rFonts w:hint="default"/>
                <w:color w:val="auto"/>
                <w:highlight w:val="none"/>
              </w:rPr>
            </w:pPr>
          </w:p>
        </w:tc>
        <w:tc>
          <w:tcPr>
            <w:tcW w:w="1168" w:type="dxa"/>
            <w:tcBorders>
              <w:tl2br w:val="nil"/>
              <w:tr2bl w:val="nil"/>
            </w:tcBorders>
            <w:noWrap w:val="0"/>
            <w:vAlign w:val="center"/>
          </w:tcPr>
          <w:p w14:paraId="1471997A">
            <w:pPr>
              <w:pStyle w:val="23"/>
              <w:bidi w:val="0"/>
              <w:jc w:val="center"/>
              <w:rPr>
                <w:rFonts w:hint="default"/>
                <w:color w:val="auto"/>
                <w:highlight w:val="none"/>
              </w:rPr>
            </w:pPr>
          </w:p>
        </w:tc>
        <w:tc>
          <w:tcPr>
            <w:tcW w:w="1023" w:type="dxa"/>
            <w:tcBorders>
              <w:tl2br w:val="nil"/>
              <w:tr2bl w:val="nil"/>
            </w:tcBorders>
            <w:noWrap w:val="0"/>
            <w:vAlign w:val="center"/>
          </w:tcPr>
          <w:p w14:paraId="10034594">
            <w:pPr>
              <w:pStyle w:val="23"/>
              <w:bidi w:val="0"/>
              <w:jc w:val="center"/>
              <w:rPr>
                <w:rFonts w:hint="default"/>
                <w:color w:val="auto"/>
                <w:highlight w:val="none"/>
              </w:rPr>
            </w:pPr>
            <w:r>
              <w:rPr>
                <w:rFonts w:hint="default"/>
                <w:color w:val="auto"/>
                <w:highlight w:val="none"/>
              </w:rPr>
              <w:t>古北种</w:t>
            </w:r>
          </w:p>
        </w:tc>
        <w:tc>
          <w:tcPr>
            <w:tcW w:w="760" w:type="dxa"/>
            <w:tcBorders>
              <w:tl2br w:val="nil"/>
              <w:tr2bl w:val="nil"/>
            </w:tcBorders>
            <w:noWrap w:val="0"/>
            <w:vAlign w:val="center"/>
          </w:tcPr>
          <w:p w14:paraId="3EB4ED1E">
            <w:pPr>
              <w:pStyle w:val="23"/>
              <w:bidi w:val="0"/>
              <w:jc w:val="center"/>
              <w:rPr>
                <w:rFonts w:hint="default"/>
                <w:color w:val="auto"/>
                <w:highlight w:val="none"/>
              </w:rPr>
            </w:pPr>
            <w:r>
              <w:rPr>
                <w:rFonts w:hint="default"/>
                <w:color w:val="auto"/>
                <w:highlight w:val="none"/>
              </w:rPr>
              <w:t>省级</w:t>
            </w:r>
          </w:p>
        </w:tc>
      </w:tr>
      <w:tr w14:paraId="213635E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343B5FF2">
            <w:pPr>
              <w:pStyle w:val="23"/>
              <w:bidi w:val="0"/>
              <w:jc w:val="center"/>
              <w:rPr>
                <w:rFonts w:hint="default"/>
                <w:color w:val="auto"/>
                <w:highlight w:val="none"/>
              </w:rPr>
            </w:pPr>
            <w:r>
              <w:rPr>
                <w:rFonts w:hint="default"/>
                <w:color w:val="auto"/>
                <w:highlight w:val="none"/>
              </w:rPr>
              <w:t>85.小麂</w:t>
            </w:r>
          </w:p>
          <w:p w14:paraId="727F2B2C">
            <w:pPr>
              <w:pStyle w:val="23"/>
              <w:bidi w:val="0"/>
              <w:jc w:val="center"/>
              <w:rPr>
                <w:rFonts w:hint="default"/>
                <w:color w:val="auto"/>
                <w:highlight w:val="none"/>
              </w:rPr>
            </w:pPr>
            <w:r>
              <w:rPr>
                <w:rFonts w:hint="default"/>
                <w:i/>
                <w:iCs/>
                <w:color w:val="auto"/>
                <w:highlight w:val="none"/>
              </w:rPr>
              <w:t>Muntiacus reevesi</w:t>
            </w:r>
          </w:p>
        </w:tc>
        <w:tc>
          <w:tcPr>
            <w:tcW w:w="2721" w:type="dxa"/>
            <w:vMerge w:val="continue"/>
            <w:tcBorders>
              <w:tl2br w:val="nil"/>
              <w:tr2bl w:val="nil"/>
            </w:tcBorders>
            <w:noWrap w:val="0"/>
            <w:vAlign w:val="center"/>
          </w:tcPr>
          <w:p w14:paraId="5D26B163">
            <w:pPr>
              <w:pStyle w:val="23"/>
              <w:bidi w:val="0"/>
              <w:jc w:val="center"/>
              <w:rPr>
                <w:rFonts w:hint="default"/>
                <w:color w:val="auto"/>
                <w:highlight w:val="none"/>
              </w:rPr>
            </w:pPr>
          </w:p>
        </w:tc>
        <w:tc>
          <w:tcPr>
            <w:tcW w:w="1168" w:type="dxa"/>
            <w:tcBorders>
              <w:tl2br w:val="nil"/>
              <w:tr2bl w:val="nil"/>
            </w:tcBorders>
            <w:noWrap w:val="0"/>
            <w:vAlign w:val="center"/>
          </w:tcPr>
          <w:p w14:paraId="3AC72E86">
            <w:pPr>
              <w:pStyle w:val="23"/>
              <w:bidi w:val="0"/>
              <w:jc w:val="center"/>
              <w:rPr>
                <w:rFonts w:hint="default"/>
                <w:color w:val="auto"/>
                <w:highlight w:val="none"/>
              </w:rPr>
            </w:pPr>
          </w:p>
        </w:tc>
        <w:tc>
          <w:tcPr>
            <w:tcW w:w="1023" w:type="dxa"/>
            <w:tcBorders>
              <w:tl2br w:val="nil"/>
              <w:tr2bl w:val="nil"/>
            </w:tcBorders>
            <w:noWrap w:val="0"/>
            <w:vAlign w:val="center"/>
          </w:tcPr>
          <w:p w14:paraId="1D56ED15">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5FCACE3A">
            <w:pPr>
              <w:pStyle w:val="23"/>
              <w:bidi w:val="0"/>
              <w:jc w:val="center"/>
              <w:rPr>
                <w:rFonts w:hint="default"/>
                <w:color w:val="auto"/>
                <w:highlight w:val="none"/>
              </w:rPr>
            </w:pPr>
            <w:r>
              <w:rPr>
                <w:rFonts w:hint="default"/>
                <w:color w:val="auto"/>
                <w:highlight w:val="none"/>
              </w:rPr>
              <w:t>省级</w:t>
            </w:r>
          </w:p>
        </w:tc>
      </w:tr>
      <w:tr w14:paraId="5CF3EBD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776" w:type="dxa"/>
            <w:tcBorders>
              <w:tl2br w:val="nil"/>
              <w:tr2bl w:val="nil"/>
            </w:tcBorders>
            <w:noWrap w:val="0"/>
            <w:vAlign w:val="center"/>
          </w:tcPr>
          <w:p w14:paraId="159E69D7">
            <w:pPr>
              <w:pStyle w:val="23"/>
              <w:bidi w:val="0"/>
              <w:jc w:val="center"/>
              <w:rPr>
                <w:rFonts w:hint="default"/>
                <w:color w:val="auto"/>
                <w:highlight w:val="none"/>
              </w:rPr>
            </w:pPr>
            <w:r>
              <w:rPr>
                <w:rFonts w:hint="default"/>
                <w:color w:val="auto"/>
                <w:highlight w:val="none"/>
              </w:rPr>
              <w:t>86.华南兔</w:t>
            </w:r>
          </w:p>
          <w:p w14:paraId="7EDC7F5F">
            <w:pPr>
              <w:pStyle w:val="23"/>
              <w:bidi w:val="0"/>
              <w:jc w:val="center"/>
              <w:rPr>
                <w:rFonts w:hint="default"/>
                <w:color w:val="auto"/>
                <w:highlight w:val="none"/>
              </w:rPr>
            </w:pPr>
            <w:r>
              <w:rPr>
                <w:rFonts w:hint="default"/>
                <w:i/>
                <w:iCs/>
                <w:color w:val="auto"/>
                <w:highlight w:val="none"/>
              </w:rPr>
              <w:t>Lepus sinensis</w:t>
            </w:r>
          </w:p>
        </w:tc>
        <w:tc>
          <w:tcPr>
            <w:tcW w:w="2721" w:type="dxa"/>
            <w:tcBorders>
              <w:tl2br w:val="nil"/>
              <w:tr2bl w:val="nil"/>
            </w:tcBorders>
            <w:noWrap w:val="0"/>
            <w:vAlign w:val="center"/>
          </w:tcPr>
          <w:p w14:paraId="5ACBC392">
            <w:pPr>
              <w:pStyle w:val="23"/>
              <w:bidi w:val="0"/>
              <w:jc w:val="center"/>
              <w:rPr>
                <w:rFonts w:hint="default"/>
                <w:color w:val="auto"/>
                <w:highlight w:val="none"/>
              </w:rPr>
            </w:pPr>
            <w:r>
              <w:rPr>
                <w:rFonts w:hint="default"/>
                <w:color w:val="auto"/>
                <w:highlight w:val="none"/>
              </w:rPr>
              <w:t>评价区广泛分布</w:t>
            </w:r>
          </w:p>
        </w:tc>
        <w:tc>
          <w:tcPr>
            <w:tcW w:w="1168" w:type="dxa"/>
            <w:tcBorders>
              <w:tl2br w:val="nil"/>
              <w:tr2bl w:val="nil"/>
            </w:tcBorders>
            <w:noWrap w:val="0"/>
            <w:vAlign w:val="center"/>
          </w:tcPr>
          <w:p w14:paraId="7AE00917">
            <w:pPr>
              <w:pStyle w:val="23"/>
              <w:bidi w:val="0"/>
              <w:jc w:val="center"/>
              <w:rPr>
                <w:rFonts w:hint="default"/>
                <w:color w:val="auto"/>
                <w:highlight w:val="none"/>
              </w:rPr>
            </w:pPr>
          </w:p>
        </w:tc>
        <w:tc>
          <w:tcPr>
            <w:tcW w:w="1023" w:type="dxa"/>
            <w:tcBorders>
              <w:tl2br w:val="nil"/>
              <w:tr2bl w:val="nil"/>
            </w:tcBorders>
            <w:noWrap w:val="0"/>
            <w:vAlign w:val="center"/>
          </w:tcPr>
          <w:p w14:paraId="2AA163B5">
            <w:pPr>
              <w:pStyle w:val="23"/>
              <w:bidi w:val="0"/>
              <w:jc w:val="center"/>
              <w:rPr>
                <w:rFonts w:hint="default"/>
                <w:color w:val="auto"/>
                <w:highlight w:val="none"/>
              </w:rPr>
            </w:pPr>
            <w:r>
              <w:rPr>
                <w:rFonts w:hint="default"/>
                <w:color w:val="auto"/>
                <w:highlight w:val="none"/>
              </w:rPr>
              <w:t>东洋种</w:t>
            </w:r>
          </w:p>
        </w:tc>
        <w:tc>
          <w:tcPr>
            <w:tcW w:w="760" w:type="dxa"/>
            <w:tcBorders>
              <w:tl2br w:val="nil"/>
              <w:tr2bl w:val="nil"/>
            </w:tcBorders>
            <w:noWrap w:val="0"/>
            <w:vAlign w:val="center"/>
          </w:tcPr>
          <w:p w14:paraId="27853F4A">
            <w:pPr>
              <w:pStyle w:val="23"/>
              <w:bidi w:val="0"/>
              <w:jc w:val="center"/>
              <w:rPr>
                <w:rFonts w:hint="default"/>
                <w:color w:val="auto"/>
                <w:highlight w:val="none"/>
              </w:rPr>
            </w:pPr>
            <w:r>
              <w:rPr>
                <w:rFonts w:hint="default"/>
                <w:color w:val="auto"/>
                <w:highlight w:val="none"/>
              </w:rPr>
              <w:t>省级</w:t>
            </w:r>
          </w:p>
        </w:tc>
      </w:tr>
    </w:tbl>
    <w:p w14:paraId="2597BA91">
      <w:pPr>
        <w:pStyle w:val="5"/>
        <w:rPr>
          <w:rFonts w:hint="default" w:ascii="Times New Roman" w:hAnsi="Times New Roman" w:cs="Times New Roman"/>
          <w:color w:val="auto"/>
          <w:highlight w:val="none"/>
        </w:rPr>
      </w:pPr>
      <w:r>
        <w:rPr>
          <w:rFonts w:hint="eastAsia" w:cs="Times New Roman"/>
          <w:color w:val="auto"/>
          <w:highlight w:val="none"/>
          <w:lang w:eastAsia="zh-CN"/>
        </w:rPr>
        <w:t>生态敏感区</w:t>
      </w:r>
    </w:p>
    <w:p w14:paraId="76E7BEEC">
      <w:pPr>
        <w:pStyle w:val="30"/>
        <w:keepNext w:val="0"/>
        <w:keepLines w:val="0"/>
        <w:pageBreakBefore w:val="0"/>
        <w:widowControl w:val="0"/>
        <w:kinsoku/>
        <w:wordWrap/>
        <w:overflowPunct/>
        <w:topLinePunct w:val="0"/>
        <w:autoSpaceDE/>
        <w:autoSpaceDN/>
        <w:bidi w:val="0"/>
        <w:adjustRightInd w:val="0"/>
        <w:snapToGrid w:val="0"/>
        <w:ind w:left="0" w:leftChars="0" w:firstLine="480" w:firstLineChars="200"/>
        <w:jc w:val="both"/>
        <w:textAlignment w:val="auto"/>
        <w:rPr>
          <w:rFonts w:hint="eastAsia"/>
          <w:color w:val="auto"/>
          <w:highlight w:val="none"/>
          <w:lang w:val="en-US" w:eastAsia="zh-CN"/>
        </w:rPr>
      </w:pPr>
      <w:r>
        <w:rPr>
          <w:rFonts w:hint="eastAsia"/>
          <w:color w:val="auto"/>
          <w:highlight w:val="none"/>
          <w:lang w:val="en-US" w:eastAsia="zh-CN"/>
        </w:rPr>
        <w:t>与项目较近的生态敏感区为衡阳三阳自然保护区（生态保护红线），</w:t>
      </w:r>
      <w:r>
        <w:rPr>
          <w:rFonts w:hint="eastAsia" w:ascii="Times New Roman" w:hAnsi="Times New Roman" w:cs="Times New Roman"/>
          <w:color w:val="auto"/>
          <w:kern w:val="0"/>
          <w:sz w:val="24"/>
          <w:szCs w:val="24"/>
          <w:highlight w:val="none"/>
          <w:u w:val="none"/>
          <w:lang w:val="en-US" w:eastAsia="zh-CN" w:bidi="ar-SA"/>
        </w:rPr>
        <w:t>该自然保护区为衡阳县县级自然保护区，保护区内有三阳国有林场，主要保护内容为区内的森林生态系统，区内主要有杉木林、马尾松林及毛竹林分布</w:t>
      </w:r>
      <w:r>
        <w:rPr>
          <w:rFonts w:hint="eastAsia" w:cs="Times New Roman"/>
          <w:color w:val="auto"/>
          <w:kern w:val="0"/>
          <w:sz w:val="24"/>
          <w:szCs w:val="24"/>
          <w:highlight w:val="none"/>
          <w:u w:val="none"/>
          <w:lang w:val="en-US" w:eastAsia="zh-CN" w:bidi="ar-SA"/>
        </w:rPr>
        <w:t>。</w:t>
      </w:r>
      <w:r>
        <w:rPr>
          <w:rFonts w:hint="eastAsia" w:ascii="Times New Roman" w:hAnsi="Times New Roman" w:cs="Times New Roman"/>
          <w:color w:val="auto"/>
          <w:kern w:val="0"/>
          <w:sz w:val="24"/>
          <w:szCs w:val="24"/>
          <w:highlight w:val="none"/>
          <w:u w:val="none"/>
          <w:lang w:val="en-US" w:eastAsia="zh-CN" w:bidi="ar-SA"/>
        </w:rPr>
        <w:t>本工程位于衡阳三阳自然保护区的西面，靠近保护区的16#、17#</w:t>
      </w:r>
      <w:r>
        <w:rPr>
          <w:rFonts w:hint="eastAsia" w:cs="Times New Roman"/>
          <w:color w:val="auto"/>
          <w:kern w:val="0"/>
          <w:sz w:val="24"/>
          <w:szCs w:val="24"/>
          <w:highlight w:val="none"/>
          <w:u w:val="none"/>
          <w:lang w:val="en-US" w:eastAsia="zh-CN" w:bidi="ar-SA"/>
        </w:rPr>
        <w:t>、18#</w:t>
      </w:r>
      <w:r>
        <w:rPr>
          <w:rFonts w:hint="eastAsia" w:ascii="Times New Roman" w:hAnsi="Times New Roman" w:cs="Times New Roman"/>
          <w:color w:val="auto"/>
          <w:kern w:val="0"/>
          <w:sz w:val="24"/>
          <w:szCs w:val="24"/>
          <w:highlight w:val="none"/>
          <w:u w:val="none"/>
          <w:lang w:val="en-US" w:eastAsia="zh-CN" w:bidi="ar-SA"/>
        </w:rPr>
        <w:t>、19#风机，大致沿山脊线的西南坡布设，与保护区之间有山脊线相隔</w:t>
      </w:r>
      <w:r>
        <w:rPr>
          <w:rFonts w:hint="eastAsia" w:cs="Times New Roman"/>
          <w:color w:val="auto"/>
          <w:kern w:val="0"/>
          <w:sz w:val="24"/>
          <w:szCs w:val="24"/>
          <w:highlight w:val="none"/>
          <w:u w:val="none"/>
          <w:lang w:val="en-US" w:eastAsia="zh-CN" w:bidi="ar-SA"/>
        </w:rPr>
        <w:t>，距离分别为513m、125m、455m、142m</w:t>
      </w:r>
      <w:r>
        <w:rPr>
          <w:rFonts w:hint="eastAsia" w:ascii="Times New Roman" w:hAnsi="Times New Roman" w:cs="Times New Roman"/>
          <w:color w:val="auto"/>
          <w:kern w:val="0"/>
          <w:sz w:val="24"/>
          <w:szCs w:val="24"/>
          <w:highlight w:val="none"/>
          <w:u w:val="none"/>
          <w:lang w:val="en-US" w:eastAsia="zh-CN" w:bidi="ar-SA"/>
        </w:rPr>
        <w:t>。衡阳三阳自然保护区现状照片见下图</w:t>
      </w:r>
      <w:r>
        <w:rPr>
          <w:rFonts w:hint="eastAsia" w:cs="Times New Roman"/>
          <w:color w:val="auto"/>
          <w:kern w:val="0"/>
          <w:sz w:val="24"/>
          <w:szCs w:val="24"/>
          <w:highlight w:val="none"/>
          <w:u w:val="none"/>
          <w:lang w:val="en-US" w:eastAsia="zh-CN" w:bidi="ar-SA"/>
        </w:rPr>
        <w:t>5.3.6</w:t>
      </w:r>
      <w:r>
        <w:rPr>
          <w:rFonts w:hint="eastAsia" w:ascii="Times New Roman" w:hAnsi="Times New Roman" w:cs="Times New Roman"/>
          <w:color w:val="auto"/>
          <w:kern w:val="0"/>
          <w:sz w:val="24"/>
          <w:szCs w:val="24"/>
          <w:highlight w:val="none"/>
          <w:u w:val="none"/>
          <w:lang w:val="en-US" w:eastAsia="zh-CN" w:bidi="ar-SA"/>
        </w:rPr>
        <w:t>-1。</w:t>
      </w:r>
    </w:p>
    <w:p w14:paraId="0A1E84E3">
      <w:pPr>
        <w:pStyle w:val="30"/>
        <w:keepNext w:val="0"/>
        <w:keepLines w:val="0"/>
        <w:pageBreakBefore w:val="0"/>
        <w:widowControl w:val="0"/>
        <w:kinsoku/>
        <w:wordWrap/>
        <w:overflowPunct/>
        <w:topLinePunct w:val="0"/>
        <w:autoSpaceDE/>
        <w:autoSpaceDN/>
        <w:bidi w:val="0"/>
        <w:adjustRightInd w:val="0"/>
        <w:snapToGrid w:val="0"/>
        <w:ind w:left="0" w:leftChars="0" w:firstLine="0" w:firstLineChars="0"/>
        <w:jc w:val="both"/>
        <w:textAlignment w:val="auto"/>
        <w:rPr>
          <w:rFonts w:hint="eastAsia"/>
          <w:color w:val="auto"/>
          <w:highlight w:val="none"/>
          <w:lang w:val="en-US" w:eastAsia="zh-CN"/>
        </w:rPr>
      </w:pPr>
      <w:r>
        <w:rPr>
          <w:rFonts w:hint="eastAsia"/>
          <w:color w:val="auto"/>
          <w:highlight w:val="none"/>
          <w:lang w:val="en-US" w:eastAsia="zh-CN"/>
        </w:rPr>
        <w:drawing>
          <wp:inline distT="0" distB="0" distL="114300" distR="114300">
            <wp:extent cx="5143500" cy="3858895"/>
            <wp:effectExtent l="0" t="0" r="0" b="8255"/>
            <wp:docPr id="75" name="图片 50" descr="F:\快乐办公\1、初稿\2-南冲风电场环境影响报告表\06-作图\附图\衡阳三阳自然保护区现状照片.jpg衡阳三阳自然保护区现状照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50" descr="F:\快乐办公\1、初稿\2-南冲风电场环境影响报告表\06-作图\附图\衡阳三阳自然保护区现状照片.jpg衡阳三阳自然保护区现状照片"/>
                    <pic:cNvPicPr>
                      <a:picLocks noChangeAspect="1"/>
                    </pic:cNvPicPr>
                  </pic:nvPicPr>
                  <pic:blipFill>
                    <a:blip r:embed="rId55"/>
                    <a:stretch>
                      <a:fillRect/>
                    </a:stretch>
                  </pic:blipFill>
                  <pic:spPr>
                    <a:xfrm>
                      <a:off x="0" y="0"/>
                      <a:ext cx="5143500" cy="3858895"/>
                    </a:xfrm>
                    <a:prstGeom prst="rect">
                      <a:avLst/>
                    </a:prstGeom>
                    <a:noFill/>
                    <a:ln>
                      <a:noFill/>
                    </a:ln>
                  </pic:spPr>
                </pic:pic>
              </a:graphicData>
            </a:graphic>
          </wp:inline>
        </w:drawing>
      </w:r>
    </w:p>
    <w:p w14:paraId="093BB326">
      <w:pPr>
        <w:bidi w:val="0"/>
        <w:jc w:val="center"/>
        <w:rPr>
          <w:rFonts w:hint="default"/>
          <w:color w:val="auto"/>
          <w:highlight w:val="none"/>
          <w:lang w:val="en-US" w:eastAsia="zh-CN"/>
        </w:rPr>
      </w:pPr>
      <w:r>
        <w:rPr>
          <w:rFonts w:hint="default" w:ascii="Times New Roman" w:hAnsi="Times New Roman" w:eastAsia="宋体" w:cs="Times New Roman"/>
          <w:b/>
          <w:bCs/>
          <w:color w:val="auto"/>
          <w:highlight w:val="none"/>
          <w:lang w:val="en-US" w:eastAsia="zh-CN"/>
        </w:rPr>
        <w:t>图</w:t>
      </w:r>
      <w:r>
        <w:rPr>
          <w:rFonts w:hint="eastAsia" w:ascii="Times New Roman" w:hAnsi="Times New Roman" w:eastAsia="宋体" w:cs="Times New Roman"/>
          <w:b/>
          <w:bCs/>
          <w:color w:val="auto"/>
          <w:highlight w:val="none"/>
          <w:lang w:val="en-US" w:eastAsia="zh-CN"/>
        </w:rPr>
        <w:t>5.3.6</w:t>
      </w:r>
      <w:r>
        <w:rPr>
          <w:rFonts w:hint="default" w:ascii="Times New Roman" w:hAnsi="Times New Roman" w:eastAsia="宋体" w:cs="Times New Roman"/>
          <w:b/>
          <w:bCs/>
          <w:color w:val="auto"/>
          <w:highlight w:val="none"/>
          <w:lang w:val="en-US" w:eastAsia="zh-CN"/>
        </w:rPr>
        <w:t>-1  衡阳三阳自然保护区现状照片</w:t>
      </w:r>
    </w:p>
    <w:p w14:paraId="468382D6">
      <w:pPr>
        <w:pStyle w:val="4"/>
        <w:bidi w:val="0"/>
        <w:rPr>
          <w:rFonts w:hint="default" w:ascii="Times New Roman" w:hAnsi="Times New Roman" w:cs="Times New Roman"/>
          <w:color w:val="auto"/>
          <w:highlight w:val="none"/>
        </w:rPr>
      </w:pPr>
      <w:bookmarkStart w:id="80" w:name="_Toc26023"/>
      <w:r>
        <w:rPr>
          <w:rFonts w:hint="eastAsia" w:cs="Times New Roman"/>
          <w:color w:val="auto"/>
          <w:highlight w:val="none"/>
          <w:lang w:val="en-US" w:eastAsia="zh-CN"/>
        </w:rPr>
        <w:t>地表水</w:t>
      </w:r>
      <w:r>
        <w:rPr>
          <w:rFonts w:hint="eastAsia" w:ascii="Times New Roman" w:hAnsi="Times New Roman" w:cs="Times New Roman"/>
          <w:color w:val="auto"/>
          <w:highlight w:val="none"/>
          <w:lang w:val="en-US" w:eastAsia="zh-CN"/>
        </w:rPr>
        <w:t>环境现状调查与评价</w:t>
      </w:r>
      <w:bookmarkEnd w:id="80"/>
    </w:p>
    <w:p w14:paraId="3908EA5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color w:val="auto"/>
          <w:sz w:val="24"/>
          <w:szCs w:val="24"/>
          <w:highlight w:val="none"/>
          <w:lang w:eastAsia="zh-CN"/>
        </w:rPr>
      </w:pPr>
      <w:r>
        <w:rPr>
          <w:rFonts w:hint="eastAsia" w:ascii="Times New Roman" w:hAnsi="Times New Roman" w:cs="Times New Roman"/>
          <w:color w:val="auto"/>
          <w:sz w:val="24"/>
          <w:szCs w:val="24"/>
          <w:highlight w:val="none"/>
          <w:lang w:eastAsia="zh-CN"/>
        </w:rPr>
        <w:t>与</w:t>
      </w:r>
      <w:r>
        <w:rPr>
          <w:rFonts w:hint="default" w:ascii="Times New Roman" w:hAnsi="Times New Roman" w:cs="Times New Roman"/>
          <w:color w:val="auto"/>
          <w:sz w:val="24"/>
          <w:szCs w:val="24"/>
          <w:highlight w:val="none"/>
        </w:rPr>
        <w:t>项目</w:t>
      </w:r>
      <w:r>
        <w:rPr>
          <w:rFonts w:hint="eastAsia" w:ascii="Times New Roman" w:hAnsi="Times New Roman" w:cs="Times New Roman"/>
          <w:color w:val="auto"/>
          <w:sz w:val="24"/>
          <w:szCs w:val="24"/>
          <w:highlight w:val="none"/>
          <w:lang w:eastAsia="zh-CN"/>
        </w:rPr>
        <w:t>有关的</w:t>
      </w:r>
      <w:r>
        <w:rPr>
          <w:rFonts w:hint="default" w:ascii="Times New Roman" w:hAnsi="Times New Roman" w:cs="Times New Roman"/>
          <w:color w:val="auto"/>
          <w:sz w:val="24"/>
          <w:szCs w:val="24"/>
          <w:highlight w:val="none"/>
        </w:rPr>
        <w:t>主要地表水为</w:t>
      </w:r>
      <w:r>
        <w:rPr>
          <w:rFonts w:hint="eastAsia" w:ascii="Times New Roman" w:hAnsi="Times New Roman" w:cs="Times New Roman"/>
          <w:color w:val="auto"/>
          <w:sz w:val="24"/>
          <w:szCs w:val="24"/>
          <w:highlight w:val="none"/>
          <w:lang w:eastAsia="zh-CN"/>
        </w:rPr>
        <w:t>寿岭冲水库、双江口小溪及车壁塘河</w:t>
      </w:r>
      <w:r>
        <w:rPr>
          <w:rFonts w:hint="default" w:ascii="Times New Roman" w:hAnsi="Times New Roman" w:cs="Times New Roman"/>
          <w:color w:val="auto"/>
          <w:sz w:val="24"/>
          <w:szCs w:val="24"/>
          <w:highlight w:val="none"/>
        </w:rPr>
        <w:t>，为了解评价</w:t>
      </w:r>
      <w:r>
        <w:rPr>
          <w:rFonts w:hint="eastAsia" w:ascii="Times New Roman" w:hAnsi="Times New Roman" w:cs="Times New Roman"/>
          <w:color w:val="auto"/>
          <w:sz w:val="24"/>
          <w:szCs w:val="24"/>
          <w:highlight w:val="none"/>
          <w:lang w:eastAsia="zh-CN"/>
        </w:rPr>
        <w:t>其</w:t>
      </w:r>
      <w:r>
        <w:rPr>
          <w:rFonts w:hint="default" w:ascii="Times New Roman" w:hAnsi="Times New Roman" w:cs="Times New Roman"/>
          <w:color w:val="auto"/>
          <w:sz w:val="24"/>
          <w:szCs w:val="24"/>
          <w:highlight w:val="none"/>
        </w:rPr>
        <w:t>环境质量状况，本环评</w:t>
      </w:r>
      <w:r>
        <w:rPr>
          <w:rFonts w:hint="eastAsia" w:ascii="Times New Roman" w:hAnsi="Times New Roman" w:cs="Times New Roman"/>
          <w:color w:val="auto"/>
          <w:sz w:val="24"/>
          <w:szCs w:val="24"/>
          <w:highlight w:val="none"/>
          <w:lang w:eastAsia="zh-CN"/>
        </w:rPr>
        <w:t>委托长沙瑾瑶环保科技有限公司</w:t>
      </w:r>
      <w:r>
        <w:rPr>
          <w:rFonts w:hint="eastAsia" w:ascii="Times New Roman" w:hAnsi="Times New Roman" w:cs="Times New Roman"/>
          <w:color w:val="auto"/>
          <w:spacing w:val="-2"/>
          <w:sz w:val="24"/>
          <w:szCs w:val="24"/>
          <w:highlight w:val="none"/>
          <w:lang w:eastAsia="zh-CN"/>
        </w:rPr>
        <w:t>于</w:t>
      </w:r>
      <w:r>
        <w:rPr>
          <w:rFonts w:hint="default" w:ascii="Times New Roman" w:hAnsi="Times New Roman" w:eastAsia="Times New Roman" w:cs="Times New Roman"/>
          <w:color w:val="auto"/>
          <w:sz w:val="24"/>
          <w:szCs w:val="24"/>
          <w:highlight w:val="none"/>
        </w:rPr>
        <w:t>202</w:t>
      </w:r>
      <w:r>
        <w:rPr>
          <w:rFonts w:hint="eastAsia" w:ascii="Times New Roman" w:hAnsi="Times New Roman" w:eastAsia="宋体" w:cs="Times New Roman"/>
          <w:color w:val="auto"/>
          <w:sz w:val="24"/>
          <w:szCs w:val="24"/>
          <w:highlight w:val="none"/>
          <w:lang w:val="en-US" w:eastAsia="zh-CN"/>
        </w:rPr>
        <w:t>3</w:t>
      </w:r>
      <w:r>
        <w:rPr>
          <w:rFonts w:hint="default" w:ascii="Times New Roman" w:hAnsi="Times New Roman" w:cs="Times New Roman"/>
          <w:color w:val="auto"/>
          <w:sz w:val="24"/>
          <w:szCs w:val="24"/>
          <w:highlight w:val="none"/>
        </w:rPr>
        <w:t>年</w:t>
      </w:r>
      <w:r>
        <w:rPr>
          <w:rFonts w:hint="eastAsia" w:ascii="Times New Roman" w:hAnsi="Times New Roman" w:eastAsia="宋体" w:cs="Times New Roman"/>
          <w:color w:val="auto"/>
          <w:sz w:val="24"/>
          <w:szCs w:val="24"/>
          <w:highlight w:val="none"/>
          <w:lang w:val="en-US" w:eastAsia="zh-CN"/>
        </w:rPr>
        <w:t>7</w:t>
      </w:r>
      <w:r>
        <w:rPr>
          <w:rFonts w:hint="default" w:ascii="Times New Roman" w:hAnsi="Times New Roman" w:cs="Times New Roman"/>
          <w:color w:val="auto"/>
          <w:sz w:val="24"/>
          <w:szCs w:val="24"/>
          <w:highlight w:val="none"/>
        </w:rPr>
        <w:t>月</w:t>
      </w:r>
      <w:r>
        <w:rPr>
          <w:rFonts w:hint="eastAsia" w:ascii="Times New Roman" w:hAnsi="Times New Roman" w:cs="Times New Roman"/>
          <w:color w:val="auto"/>
          <w:sz w:val="24"/>
          <w:szCs w:val="24"/>
          <w:highlight w:val="none"/>
          <w:lang w:val="en-US" w:eastAsia="zh-CN"/>
        </w:rPr>
        <w:t>5</w:t>
      </w:r>
      <w:r>
        <w:rPr>
          <w:rFonts w:hint="default" w:ascii="Times New Roman" w:hAnsi="Times New Roman" w:cs="Times New Roman"/>
          <w:color w:val="auto"/>
          <w:sz w:val="24"/>
          <w:szCs w:val="24"/>
          <w:highlight w:val="none"/>
        </w:rPr>
        <w:t>日～</w:t>
      </w:r>
      <w:r>
        <w:rPr>
          <w:rFonts w:hint="default" w:ascii="Times New Roman" w:hAnsi="Times New Roman" w:eastAsia="Times New Roman" w:cs="Times New Roman"/>
          <w:color w:val="auto"/>
          <w:sz w:val="24"/>
          <w:szCs w:val="24"/>
          <w:highlight w:val="none"/>
        </w:rPr>
        <w:t>202</w:t>
      </w:r>
      <w:r>
        <w:rPr>
          <w:rFonts w:hint="eastAsia" w:ascii="Times New Roman" w:hAnsi="Times New Roman" w:eastAsia="宋体" w:cs="Times New Roman"/>
          <w:color w:val="auto"/>
          <w:sz w:val="24"/>
          <w:szCs w:val="24"/>
          <w:highlight w:val="none"/>
          <w:lang w:val="en-US" w:eastAsia="zh-CN"/>
        </w:rPr>
        <w:t>3</w:t>
      </w:r>
      <w:r>
        <w:rPr>
          <w:rFonts w:hint="default" w:ascii="Times New Roman" w:hAnsi="Times New Roman" w:cs="Times New Roman"/>
          <w:color w:val="auto"/>
          <w:sz w:val="24"/>
          <w:szCs w:val="24"/>
          <w:highlight w:val="none"/>
        </w:rPr>
        <w:t>年</w:t>
      </w:r>
      <w:r>
        <w:rPr>
          <w:rFonts w:hint="default" w:ascii="Times New Roman" w:hAnsi="Times New Roman" w:eastAsia="Times New Roman" w:cs="Times New Roman"/>
          <w:color w:val="auto"/>
          <w:sz w:val="24"/>
          <w:szCs w:val="24"/>
          <w:highlight w:val="none"/>
        </w:rPr>
        <w:t>0</w:t>
      </w:r>
      <w:r>
        <w:rPr>
          <w:rFonts w:hint="eastAsia" w:ascii="Times New Roman" w:hAnsi="Times New Roman" w:eastAsia="宋体" w:cs="Times New Roman"/>
          <w:color w:val="auto"/>
          <w:sz w:val="24"/>
          <w:szCs w:val="24"/>
          <w:highlight w:val="none"/>
          <w:lang w:val="en-US" w:eastAsia="zh-CN"/>
        </w:rPr>
        <w:t>7</w:t>
      </w:r>
      <w:r>
        <w:rPr>
          <w:rFonts w:hint="default" w:ascii="Times New Roman" w:hAnsi="Times New Roman" w:cs="Times New Roman"/>
          <w:color w:val="auto"/>
          <w:sz w:val="24"/>
          <w:szCs w:val="24"/>
          <w:highlight w:val="none"/>
        </w:rPr>
        <w:t>月</w:t>
      </w:r>
      <w:r>
        <w:rPr>
          <w:rFonts w:hint="eastAsia" w:ascii="Times New Roman" w:hAnsi="Times New Roman" w:eastAsia="宋体" w:cs="Times New Roman"/>
          <w:color w:val="auto"/>
          <w:sz w:val="24"/>
          <w:szCs w:val="24"/>
          <w:highlight w:val="none"/>
          <w:lang w:val="en-US" w:eastAsia="zh-CN"/>
        </w:rPr>
        <w:t>7</w:t>
      </w:r>
      <w:r>
        <w:rPr>
          <w:rFonts w:hint="default" w:ascii="Times New Roman" w:hAnsi="Times New Roman" w:cs="Times New Roman"/>
          <w:color w:val="auto"/>
          <w:spacing w:val="-2"/>
          <w:sz w:val="24"/>
          <w:szCs w:val="24"/>
          <w:highlight w:val="none"/>
        </w:rPr>
        <w:t>日对</w:t>
      </w:r>
      <w:r>
        <w:rPr>
          <w:rFonts w:hint="eastAsia" w:ascii="Times New Roman" w:hAnsi="Times New Roman" w:cs="Times New Roman"/>
          <w:color w:val="auto"/>
          <w:spacing w:val="-2"/>
          <w:sz w:val="24"/>
          <w:szCs w:val="24"/>
          <w:highlight w:val="none"/>
          <w:lang w:eastAsia="zh-CN"/>
        </w:rPr>
        <w:t>寿岭冲水库、</w:t>
      </w:r>
      <w:r>
        <w:rPr>
          <w:rFonts w:hint="eastAsia" w:ascii="Times New Roman" w:hAnsi="Times New Roman" w:cs="Times New Roman"/>
          <w:color w:val="auto"/>
          <w:spacing w:val="-2"/>
          <w:sz w:val="24"/>
          <w:szCs w:val="24"/>
          <w:highlight w:val="none"/>
          <w:lang w:val="en-US" w:eastAsia="zh-CN"/>
        </w:rPr>
        <w:t>2023年8月2日~2023年8月4日对双江口小溪和车壁塘和</w:t>
      </w:r>
      <w:r>
        <w:rPr>
          <w:rFonts w:hint="eastAsia" w:ascii="Times New Roman" w:hAnsi="Times New Roman" w:cs="Times New Roman"/>
          <w:color w:val="auto"/>
          <w:spacing w:val="-2"/>
          <w:sz w:val="24"/>
          <w:szCs w:val="24"/>
          <w:highlight w:val="none"/>
          <w:lang w:eastAsia="zh-CN"/>
        </w:rPr>
        <w:t>水环境</w:t>
      </w:r>
      <w:r>
        <w:rPr>
          <w:rFonts w:hint="default" w:ascii="Times New Roman" w:hAnsi="Times New Roman" w:cs="Times New Roman"/>
          <w:color w:val="auto"/>
          <w:sz w:val="24"/>
          <w:szCs w:val="24"/>
          <w:highlight w:val="none"/>
        </w:rPr>
        <w:t>质量</w:t>
      </w:r>
      <w:r>
        <w:rPr>
          <w:rFonts w:hint="eastAsia" w:ascii="Times New Roman" w:hAnsi="Times New Roman" w:cs="Times New Roman"/>
          <w:color w:val="auto"/>
          <w:sz w:val="24"/>
          <w:szCs w:val="24"/>
          <w:highlight w:val="none"/>
          <w:lang w:eastAsia="zh-CN"/>
        </w:rPr>
        <w:t>进行了</w:t>
      </w:r>
      <w:r>
        <w:rPr>
          <w:rFonts w:hint="default" w:ascii="Times New Roman" w:hAnsi="Times New Roman" w:cs="Times New Roman"/>
          <w:color w:val="auto"/>
          <w:sz w:val="24"/>
          <w:szCs w:val="24"/>
          <w:highlight w:val="none"/>
        </w:rPr>
        <w:t>现状监测。</w:t>
      </w:r>
    </w:p>
    <w:p w14:paraId="2C22614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color w:val="auto"/>
          <w:sz w:val="24"/>
          <w:szCs w:val="24"/>
          <w:highlight w:val="none"/>
          <w:lang w:eastAsia="zh-CN"/>
        </w:rPr>
      </w:pP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1</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cs="Times New Roman"/>
          <w:color w:val="auto"/>
          <w:sz w:val="24"/>
          <w:szCs w:val="24"/>
          <w:highlight w:val="none"/>
        </w:rPr>
        <w:t>监测断面设置</w:t>
      </w:r>
    </w:p>
    <w:p w14:paraId="30C88A6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color w:val="auto"/>
          <w:sz w:val="24"/>
          <w:szCs w:val="24"/>
          <w:highlight w:val="none"/>
          <w:lang w:eastAsia="zh-CN"/>
        </w:rPr>
      </w:pPr>
      <w:r>
        <w:rPr>
          <w:rFonts w:hint="default" w:ascii="Times New Roman" w:hAnsi="Times New Roman" w:cs="Times New Roman"/>
          <w:color w:val="auto"/>
          <w:sz w:val="24"/>
          <w:szCs w:val="24"/>
          <w:highlight w:val="none"/>
        </w:rPr>
        <w:t>共设置具有代表性的</w:t>
      </w:r>
      <w:r>
        <w:rPr>
          <w:rFonts w:hint="eastAsia" w:ascii="Times New Roman" w:hAnsi="Times New Roman" w:eastAsia="宋体" w:cs="Times New Roman"/>
          <w:color w:val="auto"/>
          <w:sz w:val="24"/>
          <w:szCs w:val="24"/>
          <w:highlight w:val="none"/>
          <w:lang w:val="en-US" w:eastAsia="zh-CN"/>
        </w:rPr>
        <w:t>3</w:t>
      </w:r>
      <w:r>
        <w:rPr>
          <w:rFonts w:hint="default" w:ascii="Times New Roman" w:hAnsi="Times New Roman" w:cs="Times New Roman"/>
          <w:color w:val="auto"/>
          <w:sz w:val="24"/>
          <w:szCs w:val="24"/>
          <w:highlight w:val="none"/>
        </w:rPr>
        <w:t>个监测断面。各监测断面位置见下表。</w:t>
      </w:r>
    </w:p>
    <w:p w14:paraId="71D28EFA">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b/>
          <w:bCs/>
          <w:color w:val="auto"/>
          <w:sz w:val="24"/>
          <w:szCs w:val="24"/>
          <w:highlight w:val="none"/>
          <w:lang w:eastAsia="zh-CN"/>
        </w:rPr>
      </w:pPr>
      <w:r>
        <w:rPr>
          <w:rFonts w:hint="default" w:ascii="Times New Roman" w:hAnsi="Times New Roman" w:cs="Times New Roman"/>
          <w:b/>
          <w:bCs/>
          <w:color w:val="auto"/>
          <w:sz w:val="24"/>
          <w:szCs w:val="24"/>
          <w:highlight w:val="none"/>
          <w:lang w:eastAsia="zh-CN"/>
        </w:rPr>
        <w:t>表</w:t>
      </w:r>
      <w:r>
        <w:rPr>
          <w:rFonts w:hint="eastAsia" w:ascii="Times New Roman" w:hAnsi="Times New Roman" w:cs="Times New Roman"/>
          <w:b/>
          <w:bCs/>
          <w:color w:val="auto"/>
          <w:sz w:val="24"/>
          <w:szCs w:val="24"/>
          <w:highlight w:val="none"/>
          <w:lang w:val="en-US" w:eastAsia="zh-CN"/>
        </w:rPr>
        <w:t xml:space="preserve">5.4-1  </w:t>
      </w:r>
      <w:r>
        <w:rPr>
          <w:rFonts w:hint="default" w:ascii="Times New Roman" w:hAnsi="Times New Roman" w:cs="Times New Roman"/>
          <w:b/>
          <w:bCs/>
          <w:color w:val="auto"/>
          <w:sz w:val="24"/>
          <w:szCs w:val="24"/>
          <w:highlight w:val="none"/>
          <w:lang w:eastAsia="zh-CN"/>
        </w:rPr>
        <w:t>地表水现状监测断面</w:t>
      </w:r>
    </w:p>
    <w:tbl>
      <w:tblPr>
        <w:tblStyle w:val="19"/>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3674"/>
        <w:gridCol w:w="4662"/>
      </w:tblGrid>
      <w:tr w14:paraId="71205A3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533" w:type="dxa"/>
            <w:tcBorders>
              <w:tl2br w:val="nil"/>
              <w:tr2bl w:val="nil"/>
            </w:tcBorders>
            <w:noWrap w:val="0"/>
            <w:vAlign w:val="center"/>
          </w:tcPr>
          <w:p w14:paraId="6E5D6EF6">
            <w:pPr>
              <w:pStyle w:val="45"/>
              <w:bidi w:val="0"/>
              <w:rPr>
                <w:rFonts w:hint="default"/>
                <w:b w:val="0"/>
                <w:bCs/>
                <w:color w:val="auto"/>
                <w:highlight w:val="none"/>
              </w:rPr>
            </w:pPr>
            <w:r>
              <w:rPr>
                <w:rFonts w:hint="default"/>
                <w:b w:val="0"/>
                <w:bCs/>
                <w:color w:val="auto"/>
                <w:highlight w:val="none"/>
              </w:rPr>
              <w:t>断面位置</w:t>
            </w:r>
          </w:p>
        </w:tc>
        <w:tc>
          <w:tcPr>
            <w:tcW w:w="4484" w:type="dxa"/>
            <w:tcBorders>
              <w:tl2br w:val="nil"/>
              <w:tr2bl w:val="nil"/>
            </w:tcBorders>
            <w:noWrap w:val="0"/>
            <w:vAlign w:val="center"/>
          </w:tcPr>
          <w:p w14:paraId="579A657F">
            <w:pPr>
              <w:pStyle w:val="45"/>
              <w:bidi w:val="0"/>
              <w:rPr>
                <w:rFonts w:hint="default"/>
                <w:b w:val="0"/>
                <w:bCs/>
                <w:color w:val="auto"/>
                <w:highlight w:val="none"/>
              </w:rPr>
            </w:pPr>
            <w:r>
              <w:rPr>
                <w:rFonts w:hint="default"/>
                <w:b w:val="0"/>
                <w:bCs/>
                <w:color w:val="auto"/>
                <w:highlight w:val="none"/>
              </w:rPr>
              <w:t>执行标准</w:t>
            </w:r>
          </w:p>
        </w:tc>
      </w:tr>
      <w:tr w14:paraId="1C76529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533" w:type="dxa"/>
            <w:tcBorders>
              <w:tl2br w:val="nil"/>
              <w:tr2bl w:val="nil"/>
            </w:tcBorders>
            <w:noWrap w:val="0"/>
            <w:vAlign w:val="center"/>
          </w:tcPr>
          <w:p w14:paraId="02A1DF36">
            <w:pPr>
              <w:pStyle w:val="45"/>
              <w:bidi w:val="0"/>
              <w:rPr>
                <w:rFonts w:hint="default"/>
                <w:b w:val="0"/>
                <w:bCs/>
                <w:color w:val="auto"/>
                <w:highlight w:val="none"/>
                <w:lang w:val="en-US" w:eastAsia="zh-CN"/>
              </w:rPr>
            </w:pPr>
            <w:r>
              <w:rPr>
                <w:rFonts w:hint="eastAsia"/>
                <w:b w:val="0"/>
                <w:bCs/>
                <w:color w:val="auto"/>
                <w:highlight w:val="none"/>
                <w:lang w:val="en-US" w:eastAsia="zh-CN"/>
              </w:rPr>
              <w:t>寿岭冲水库坝前</w:t>
            </w:r>
            <w:r>
              <w:rPr>
                <w:rFonts w:hint="default"/>
                <w:b w:val="0"/>
                <w:bCs/>
                <w:color w:val="auto"/>
                <w:highlight w:val="none"/>
                <w:lang w:val="en-US" w:eastAsia="zh-CN"/>
              </w:rPr>
              <w:t>100m</w:t>
            </w:r>
          </w:p>
        </w:tc>
        <w:tc>
          <w:tcPr>
            <w:tcW w:w="4484" w:type="dxa"/>
            <w:vMerge w:val="restart"/>
            <w:tcBorders>
              <w:tl2br w:val="nil"/>
              <w:tr2bl w:val="nil"/>
            </w:tcBorders>
            <w:noWrap w:val="0"/>
            <w:vAlign w:val="center"/>
          </w:tcPr>
          <w:p w14:paraId="35EECD3D">
            <w:pPr>
              <w:pStyle w:val="45"/>
              <w:bidi w:val="0"/>
              <w:rPr>
                <w:rFonts w:hint="default"/>
                <w:b w:val="0"/>
                <w:bCs/>
                <w:color w:val="auto"/>
                <w:highlight w:val="none"/>
              </w:rPr>
            </w:pPr>
            <w:r>
              <w:rPr>
                <w:rFonts w:hint="default"/>
                <w:b w:val="0"/>
                <w:bCs/>
                <w:color w:val="auto"/>
                <w:highlight w:val="none"/>
              </w:rPr>
              <w:t>《地表水环境质量标准》（GB3838-2002）Ⅲ类</w:t>
            </w:r>
          </w:p>
        </w:tc>
      </w:tr>
      <w:tr w14:paraId="5391454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533" w:type="dxa"/>
            <w:tcBorders>
              <w:tl2br w:val="nil"/>
              <w:tr2bl w:val="nil"/>
            </w:tcBorders>
            <w:noWrap w:val="0"/>
            <w:vAlign w:val="center"/>
          </w:tcPr>
          <w:p w14:paraId="5AC4FCBB">
            <w:pPr>
              <w:pStyle w:val="45"/>
              <w:bidi w:val="0"/>
              <w:rPr>
                <w:rFonts w:hint="eastAsia"/>
                <w:b w:val="0"/>
                <w:bCs/>
                <w:color w:val="auto"/>
                <w:highlight w:val="none"/>
                <w:lang w:val="en-US" w:eastAsia="zh-CN"/>
              </w:rPr>
            </w:pPr>
            <w:r>
              <w:rPr>
                <w:rFonts w:hint="eastAsia"/>
                <w:b w:val="0"/>
                <w:bCs/>
                <w:color w:val="auto"/>
                <w:highlight w:val="none"/>
                <w:lang w:val="en-US" w:eastAsia="zh-CN"/>
              </w:rPr>
              <w:t>双江口小溪</w:t>
            </w:r>
          </w:p>
        </w:tc>
        <w:tc>
          <w:tcPr>
            <w:tcW w:w="4484" w:type="dxa"/>
            <w:vMerge w:val="continue"/>
            <w:tcBorders>
              <w:tl2br w:val="nil"/>
              <w:tr2bl w:val="nil"/>
            </w:tcBorders>
            <w:noWrap w:val="0"/>
            <w:vAlign w:val="center"/>
          </w:tcPr>
          <w:p w14:paraId="12917120">
            <w:pPr>
              <w:pStyle w:val="45"/>
              <w:bidi w:val="0"/>
              <w:rPr>
                <w:rFonts w:hint="default"/>
                <w:b w:val="0"/>
                <w:bCs/>
                <w:color w:val="auto"/>
                <w:highlight w:val="none"/>
              </w:rPr>
            </w:pPr>
          </w:p>
        </w:tc>
      </w:tr>
      <w:tr w14:paraId="52FC954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533" w:type="dxa"/>
            <w:tcBorders>
              <w:tl2br w:val="nil"/>
              <w:tr2bl w:val="nil"/>
            </w:tcBorders>
            <w:noWrap w:val="0"/>
            <w:vAlign w:val="center"/>
          </w:tcPr>
          <w:p w14:paraId="214628B3">
            <w:pPr>
              <w:pStyle w:val="45"/>
              <w:bidi w:val="0"/>
              <w:rPr>
                <w:rFonts w:hint="eastAsia"/>
                <w:b w:val="0"/>
                <w:bCs/>
                <w:color w:val="auto"/>
                <w:highlight w:val="none"/>
                <w:lang w:val="en-US" w:eastAsia="zh-CN"/>
              </w:rPr>
            </w:pPr>
            <w:r>
              <w:rPr>
                <w:rFonts w:hint="eastAsia"/>
                <w:b w:val="0"/>
                <w:bCs/>
                <w:color w:val="auto"/>
                <w:highlight w:val="none"/>
                <w:lang w:val="en-US" w:eastAsia="zh-CN"/>
              </w:rPr>
              <w:t>车壁塘河</w:t>
            </w:r>
          </w:p>
        </w:tc>
        <w:tc>
          <w:tcPr>
            <w:tcW w:w="4484" w:type="dxa"/>
            <w:vMerge w:val="continue"/>
            <w:tcBorders>
              <w:tl2br w:val="nil"/>
              <w:tr2bl w:val="nil"/>
            </w:tcBorders>
            <w:noWrap w:val="0"/>
            <w:vAlign w:val="center"/>
          </w:tcPr>
          <w:p w14:paraId="788593FF">
            <w:pPr>
              <w:pStyle w:val="45"/>
              <w:bidi w:val="0"/>
              <w:rPr>
                <w:rFonts w:hint="default"/>
                <w:b w:val="0"/>
                <w:bCs/>
                <w:color w:val="auto"/>
                <w:highlight w:val="none"/>
              </w:rPr>
            </w:pPr>
          </w:p>
        </w:tc>
      </w:tr>
    </w:tbl>
    <w:p w14:paraId="1960A6CA">
      <w:pPr>
        <w:pStyle w:val="44"/>
        <w:keepNext w:val="0"/>
        <w:keepLines w:val="0"/>
        <w:pageBreakBefore w:val="0"/>
        <w:widowControl/>
        <w:numPr>
          <w:ilvl w:val="0"/>
          <w:numId w:val="0"/>
        </w:numPr>
        <w:tabs>
          <w:tab w:val="left" w:pos="1238"/>
        </w:tabs>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rPr>
          <w:rFonts w:hint="default" w:ascii="Times New Roman" w:hAnsi="Times New Roman" w:cs="Times New Roman"/>
          <w:color w:val="auto"/>
          <w:sz w:val="24"/>
          <w:szCs w:val="24"/>
          <w:highlight w:val="none"/>
        </w:rPr>
      </w:pP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2</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cs="Times New Roman"/>
          <w:color w:val="auto"/>
          <w:sz w:val="24"/>
          <w:szCs w:val="24"/>
          <w:highlight w:val="none"/>
        </w:rPr>
        <w:t>监测项目：pH、SS、BOD</w:t>
      </w:r>
      <w:r>
        <w:rPr>
          <w:rFonts w:hint="default" w:ascii="Times New Roman" w:hAnsi="Times New Roman" w:cs="Times New Roman"/>
          <w:color w:val="auto"/>
          <w:sz w:val="24"/>
          <w:szCs w:val="24"/>
          <w:highlight w:val="none"/>
          <w:vertAlign w:val="subscript"/>
        </w:rPr>
        <w:t>5</w:t>
      </w:r>
      <w:r>
        <w:rPr>
          <w:rFonts w:hint="default" w:ascii="Times New Roman" w:hAnsi="Times New Roman" w:cs="Times New Roman"/>
          <w:color w:val="auto"/>
          <w:sz w:val="24"/>
          <w:szCs w:val="24"/>
          <w:highlight w:val="none"/>
        </w:rPr>
        <w:t>、COD</w:t>
      </w:r>
      <w:r>
        <w:rPr>
          <w:rFonts w:hint="default" w:ascii="Times New Roman" w:hAnsi="Times New Roman" w:cs="Times New Roman"/>
          <w:color w:val="auto"/>
          <w:sz w:val="24"/>
          <w:szCs w:val="24"/>
          <w:highlight w:val="none"/>
          <w:vertAlign w:val="subscript"/>
        </w:rPr>
        <w:t>Cr</w:t>
      </w:r>
      <w:r>
        <w:rPr>
          <w:rFonts w:hint="default" w:ascii="Times New Roman" w:hAnsi="Times New Roman" w:cs="Times New Roman"/>
          <w:color w:val="auto"/>
          <w:sz w:val="24"/>
          <w:szCs w:val="24"/>
          <w:highlight w:val="none"/>
        </w:rPr>
        <w:t>、氨氮、石油类</w:t>
      </w:r>
      <w:r>
        <w:rPr>
          <w:rFonts w:hint="eastAsia" w:ascii="Times New Roman" w:hAnsi="Times New Roman" w:cs="Times New Roman"/>
          <w:color w:val="auto"/>
          <w:sz w:val="24"/>
          <w:szCs w:val="24"/>
          <w:highlight w:val="none"/>
          <w:lang w:eastAsia="zh-CN"/>
        </w:rPr>
        <w:t>、</w:t>
      </w:r>
      <w:r>
        <w:rPr>
          <w:rFonts w:hint="eastAsia" w:ascii="Times New Roman" w:hAnsi="Times New Roman" w:cs="Times New Roman"/>
          <w:color w:val="auto"/>
          <w:sz w:val="24"/>
          <w:szCs w:val="24"/>
          <w:highlight w:val="none"/>
          <w:lang w:val="en-US" w:eastAsia="zh-CN"/>
        </w:rPr>
        <w:t>粪大肠菌群、总磷、总氮、叶绿素a、高锰酸盐指数、透明度</w:t>
      </w:r>
    </w:p>
    <w:p w14:paraId="41C7359A">
      <w:pPr>
        <w:pStyle w:val="44"/>
        <w:keepNext w:val="0"/>
        <w:keepLines w:val="0"/>
        <w:pageBreakBefore w:val="0"/>
        <w:widowControl/>
        <w:numPr>
          <w:ilvl w:val="0"/>
          <w:numId w:val="0"/>
        </w:numPr>
        <w:tabs>
          <w:tab w:val="left" w:pos="1238"/>
        </w:tabs>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rPr>
          <w:rFonts w:hint="default" w:ascii="Times New Roman" w:hAnsi="Times New Roman" w:cs="Times New Roman"/>
          <w:color w:val="auto"/>
          <w:sz w:val="24"/>
          <w:szCs w:val="24"/>
          <w:highlight w:val="none"/>
        </w:rPr>
      </w:pP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3</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cs="Times New Roman"/>
          <w:color w:val="auto"/>
          <w:sz w:val="24"/>
          <w:szCs w:val="24"/>
          <w:highlight w:val="none"/>
        </w:rPr>
        <w:t>监测频率：连续取样</w:t>
      </w:r>
      <w:r>
        <w:rPr>
          <w:rFonts w:hint="eastAsia" w:ascii="Times New Roman" w:hAnsi="Times New Roman" w:eastAsia="宋体" w:cs="Times New Roman"/>
          <w:color w:val="auto"/>
          <w:sz w:val="24"/>
          <w:szCs w:val="24"/>
          <w:highlight w:val="none"/>
          <w:lang w:val="en-US" w:eastAsia="zh-CN"/>
        </w:rPr>
        <w:t>3</w:t>
      </w:r>
      <w:r>
        <w:rPr>
          <w:rFonts w:hint="default" w:ascii="Times New Roman" w:hAnsi="Times New Roman" w:cs="Times New Roman"/>
          <w:color w:val="auto"/>
          <w:sz w:val="24"/>
          <w:szCs w:val="24"/>
          <w:highlight w:val="none"/>
        </w:rPr>
        <w:t>天，每天采一次样</w:t>
      </w:r>
    </w:p>
    <w:p w14:paraId="5F0B4C66">
      <w:pPr>
        <w:pStyle w:val="44"/>
        <w:keepNext w:val="0"/>
        <w:keepLines w:val="0"/>
        <w:pageBreakBefore w:val="0"/>
        <w:widowControl/>
        <w:kinsoku/>
        <w:wordWrap/>
        <w:overflowPunct/>
        <w:topLinePunct w:val="0"/>
        <w:autoSpaceDE/>
        <w:autoSpaceDN/>
        <w:bidi w:val="0"/>
        <w:adjustRightInd w:val="0"/>
        <w:snapToGrid w:val="0"/>
        <w:spacing w:line="360" w:lineRule="auto"/>
        <w:ind w:left="0"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cs="Times New Roman"/>
          <w:color w:val="auto"/>
          <w:sz w:val="24"/>
          <w:szCs w:val="24"/>
          <w:highlight w:val="none"/>
        </w:rPr>
        <w:t>（</w:t>
      </w:r>
      <w:r>
        <w:rPr>
          <w:rFonts w:hint="default" w:ascii="Times New Roman" w:hAnsi="Times New Roman" w:eastAsia="Times New Roman" w:cs="Times New Roman"/>
          <w:color w:val="auto"/>
          <w:sz w:val="24"/>
          <w:szCs w:val="24"/>
          <w:highlight w:val="none"/>
        </w:rPr>
        <w:t>4</w:t>
      </w:r>
      <w:r>
        <w:rPr>
          <w:rFonts w:hint="default" w:ascii="Times New Roman" w:hAnsi="Times New Roman" w:cs="Times New Roman"/>
          <w:color w:val="auto"/>
          <w:sz w:val="24"/>
          <w:szCs w:val="24"/>
          <w:highlight w:val="none"/>
        </w:rPr>
        <w:t>）监测时间：202</w:t>
      </w:r>
      <w:r>
        <w:rPr>
          <w:rFonts w:hint="default" w:ascii="Times New Roman" w:hAnsi="Times New Roman" w:cs="Times New Roman"/>
          <w:color w:val="auto"/>
          <w:sz w:val="24"/>
          <w:szCs w:val="24"/>
          <w:highlight w:val="none"/>
          <w:lang w:val="en-US" w:eastAsia="zh-CN"/>
        </w:rPr>
        <w:t>3</w:t>
      </w:r>
      <w:r>
        <w:rPr>
          <w:rFonts w:hint="default" w:ascii="Times New Roman" w:hAnsi="Times New Roman" w:cs="Times New Roman"/>
          <w:color w:val="auto"/>
          <w:sz w:val="24"/>
          <w:szCs w:val="24"/>
          <w:highlight w:val="none"/>
        </w:rPr>
        <w:t>年</w:t>
      </w:r>
      <w:r>
        <w:rPr>
          <w:rFonts w:hint="default" w:ascii="Times New Roman" w:hAnsi="Times New Roman" w:cs="Times New Roman"/>
          <w:color w:val="auto"/>
          <w:sz w:val="24"/>
          <w:szCs w:val="24"/>
          <w:highlight w:val="none"/>
          <w:lang w:val="en-US" w:eastAsia="zh-CN"/>
        </w:rPr>
        <w:t>7</w:t>
      </w:r>
      <w:r>
        <w:rPr>
          <w:rFonts w:hint="default" w:ascii="Times New Roman" w:hAnsi="Times New Roman" w:cs="Times New Roman"/>
          <w:color w:val="auto"/>
          <w:sz w:val="24"/>
          <w:szCs w:val="24"/>
          <w:highlight w:val="none"/>
        </w:rPr>
        <w:t>月</w:t>
      </w:r>
      <w:r>
        <w:rPr>
          <w:rFonts w:hint="eastAsia" w:ascii="Times New Roman" w:hAnsi="Times New Roman" w:cs="Times New Roman"/>
          <w:color w:val="auto"/>
          <w:sz w:val="24"/>
          <w:szCs w:val="24"/>
          <w:highlight w:val="none"/>
          <w:lang w:val="en-US" w:eastAsia="zh-CN"/>
        </w:rPr>
        <w:t>5</w:t>
      </w:r>
      <w:r>
        <w:rPr>
          <w:rFonts w:hint="default" w:ascii="Times New Roman" w:hAnsi="Times New Roman" w:cs="Times New Roman"/>
          <w:color w:val="auto"/>
          <w:sz w:val="24"/>
          <w:szCs w:val="24"/>
          <w:highlight w:val="none"/>
        </w:rPr>
        <w:t>日～0</w:t>
      </w:r>
      <w:r>
        <w:rPr>
          <w:rFonts w:hint="default" w:ascii="Times New Roman" w:hAnsi="Times New Roman" w:cs="Times New Roman"/>
          <w:color w:val="auto"/>
          <w:sz w:val="24"/>
          <w:szCs w:val="24"/>
          <w:highlight w:val="none"/>
          <w:lang w:val="en-US" w:eastAsia="zh-CN"/>
        </w:rPr>
        <w:t>7</w:t>
      </w:r>
      <w:r>
        <w:rPr>
          <w:rFonts w:hint="default" w:ascii="Times New Roman" w:hAnsi="Times New Roman" w:cs="Times New Roman"/>
          <w:color w:val="auto"/>
          <w:sz w:val="24"/>
          <w:szCs w:val="24"/>
          <w:highlight w:val="none"/>
        </w:rPr>
        <w:t>月</w:t>
      </w:r>
      <w:r>
        <w:rPr>
          <w:rFonts w:hint="eastAsia" w:ascii="Times New Roman" w:hAnsi="Times New Roman" w:cs="Times New Roman"/>
          <w:color w:val="auto"/>
          <w:sz w:val="24"/>
          <w:szCs w:val="24"/>
          <w:highlight w:val="none"/>
          <w:lang w:val="en-US" w:eastAsia="zh-CN"/>
        </w:rPr>
        <w:t>7</w:t>
      </w:r>
      <w:r>
        <w:rPr>
          <w:rFonts w:hint="default" w:ascii="Times New Roman" w:hAnsi="Times New Roman" w:cs="Times New Roman"/>
          <w:color w:val="auto"/>
          <w:sz w:val="24"/>
          <w:szCs w:val="24"/>
          <w:highlight w:val="none"/>
        </w:rPr>
        <w:t>日</w:t>
      </w:r>
      <w:r>
        <w:rPr>
          <w:rFonts w:hint="eastAsia" w:ascii="Times New Roman" w:hAnsi="Times New Roman" w:cs="Times New Roman"/>
          <w:color w:val="auto"/>
          <w:sz w:val="24"/>
          <w:szCs w:val="24"/>
          <w:highlight w:val="none"/>
          <w:lang w:eastAsia="zh-CN"/>
        </w:rPr>
        <w:t>、</w:t>
      </w:r>
      <w:r>
        <w:rPr>
          <w:rFonts w:hint="default" w:ascii="Times New Roman" w:hAnsi="Times New Roman" w:cs="Times New Roman"/>
          <w:color w:val="auto"/>
          <w:sz w:val="24"/>
          <w:szCs w:val="24"/>
          <w:highlight w:val="none"/>
        </w:rPr>
        <w:t>202</w:t>
      </w:r>
      <w:r>
        <w:rPr>
          <w:rFonts w:hint="default" w:ascii="Times New Roman" w:hAnsi="Times New Roman" w:cs="Times New Roman"/>
          <w:color w:val="auto"/>
          <w:sz w:val="24"/>
          <w:szCs w:val="24"/>
          <w:highlight w:val="none"/>
          <w:lang w:val="en-US" w:eastAsia="zh-CN"/>
        </w:rPr>
        <w:t>3</w:t>
      </w:r>
      <w:r>
        <w:rPr>
          <w:rFonts w:hint="default" w:ascii="Times New Roman" w:hAnsi="Times New Roman" w:cs="Times New Roman"/>
          <w:color w:val="auto"/>
          <w:sz w:val="24"/>
          <w:szCs w:val="24"/>
          <w:highlight w:val="none"/>
        </w:rPr>
        <w:t>年</w:t>
      </w:r>
      <w:r>
        <w:rPr>
          <w:rFonts w:hint="eastAsia" w:ascii="Times New Roman" w:hAnsi="Times New Roman" w:cs="Times New Roman"/>
          <w:color w:val="auto"/>
          <w:sz w:val="24"/>
          <w:szCs w:val="24"/>
          <w:highlight w:val="none"/>
          <w:lang w:val="en-US" w:eastAsia="zh-CN"/>
        </w:rPr>
        <w:t>8月2日~8月4日</w:t>
      </w:r>
    </w:p>
    <w:p w14:paraId="670A6515">
      <w:pPr>
        <w:pStyle w:val="44"/>
        <w:keepNext w:val="0"/>
        <w:keepLines w:val="0"/>
        <w:pageBreakBefore w:val="0"/>
        <w:widowControl/>
        <w:numPr>
          <w:ilvl w:val="0"/>
          <w:numId w:val="0"/>
        </w:numPr>
        <w:tabs>
          <w:tab w:val="left" w:pos="1238"/>
        </w:tabs>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rPr>
          <w:rFonts w:hint="default" w:ascii="Times New Roman" w:hAnsi="Times New Roman" w:cs="Times New Roman"/>
          <w:color w:val="auto"/>
          <w:sz w:val="24"/>
          <w:szCs w:val="24"/>
          <w:highlight w:val="none"/>
        </w:rPr>
      </w:pP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5</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cs="Times New Roman"/>
          <w:color w:val="auto"/>
          <w:sz w:val="24"/>
          <w:szCs w:val="24"/>
          <w:highlight w:val="none"/>
        </w:rPr>
        <w:t>监测方法：水样的采集、保存和分析执行国家规定的监测分析方法。</w:t>
      </w:r>
    </w:p>
    <w:p w14:paraId="36081CCF">
      <w:pPr>
        <w:pStyle w:val="44"/>
        <w:keepNext w:val="0"/>
        <w:keepLines w:val="0"/>
        <w:pageBreakBefore w:val="0"/>
        <w:widowControl/>
        <w:numPr>
          <w:ilvl w:val="0"/>
          <w:numId w:val="0"/>
        </w:numPr>
        <w:tabs>
          <w:tab w:val="left" w:pos="1238"/>
        </w:tabs>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rPr>
          <w:rFonts w:hint="default" w:ascii="Times New Roman" w:hAnsi="Times New Roman" w:cs="Times New Roman"/>
          <w:color w:val="auto"/>
          <w:sz w:val="24"/>
          <w:szCs w:val="24"/>
          <w:highlight w:val="none"/>
        </w:rPr>
      </w:pP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6</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cs="Times New Roman"/>
          <w:color w:val="auto"/>
          <w:sz w:val="24"/>
          <w:szCs w:val="24"/>
          <w:highlight w:val="none"/>
        </w:rPr>
        <w:t>水质现状监测及结果见下表。</w:t>
      </w:r>
    </w:p>
    <w:p w14:paraId="3B9DFD49">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b/>
          <w:bCs/>
          <w:color w:val="auto"/>
          <w:sz w:val="24"/>
          <w:szCs w:val="24"/>
          <w:highlight w:val="none"/>
          <w:lang w:eastAsia="zh-CN"/>
        </w:rPr>
      </w:pPr>
      <w:r>
        <w:rPr>
          <w:rFonts w:hint="default" w:ascii="Times New Roman" w:hAnsi="Times New Roman" w:cs="Times New Roman"/>
          <w:b/>
          <w:bCs/>
          <w:color w:val="auto"/>
          <w:sz w:val="24"/>
          <w:szCs w:val="24"/>
          <w:highlight w:val="none"/>
          <w:lang w:eastAsia="zh-CN"/>
        </w:rPr>
        <w:t>表</w:t>
      </w:r>
      <w:r>
        <w:rPr>
          <w:rFonts w:hint="eastAsia" w:ascii="Times New Roman" w:hAnsi="Times New Roman" w:cs="Times New Roman"/>
          <w:b/>
          <w:bCs/>
          <w:color w:val="auto"/>
          <w:sz w:val="24"/>
          <w:szCs w:val="24"/>
          <w:highlight w:val="none"/>
          <w:lang w:val="en-US" w:eastAsia="zh-CN"/>
        </w:rPr>
        <w:t xml:space="preserve">5.4-2  </w:t>
      </w:r>
      <w:r>
        <w:rPr>
          <w:rFonts w:hint="default" w:ascii="Times New Roman" w:hAnsi="Times New Roman" w:cs="Times New Roman"/>
          <w:b/>
          <w:bCs/>
          <w:color w:val="auto"/>
          <w:sz w:val="24"/>
          <w:szCs w:val="24"/>
          <w:highlight w:val="none"/>
          <w:lang w:eastAsia="zh-CN"/>
        </w:rPr>
        <w:t>水质监测结果及达标情况</w:t>
      </w:r>
    </w:p>
    <w:tbl>
      <w:tblPr>
        <w:tblStyle w:val="19"/>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553"/>
        <w:gridCol w:w="1501"/>
        <w:gridCol w:w="862"/>
        <w:gridCol w:w="780"/>
        <w:gridCol w:w="11"/>
        <w:gridCol w:w="739"/>
        <w:gridCol w:w="5"/>
        <w:gridCol w:w="746"/>
        <w:gridCol w:w="1233"/>
        <w:gridCol w:w="943"/>
        <w:gridCol w:w="1138"/>
        <w:gridCol w:w="11"/>
      </w:tblGrid>
      <w:tr w14:paraId="7E57FAA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340" w:hRule="atLeast"/>
          <w:jc w:val="center"/>
        </w:trPr>
        <w:tc>
          <w:tcPr>
            <w:tcW w:w="553" w:type="dxa"/>
            <w:vMerge w:val="restart"/>
            <w:tcBorders>
              <w:tl2br w:val="nil"/>
              <w:tr2bl w:val="nil"/>
            </w:tcBorders>
            <w:noWrap w:val="0"/>
            <w:vAlign w:val="center"/>
          </w:tcPr>
          <w:p w14:paraId="53C54352">
            <w:pPr>
              <w:pStyle w:val="45"/>
              <w:bidi w:val="0"/>
              <w:rPr>
                <w:b w:val="0"/>
                <w:bCs/>
                <w:color w:val="auto"/>
                <w:sz w:val="21"/>
                <w:szCs w:val="21"/>
                <w:highlight w:val="none"/>
              </w:rPr>
            </w:pPr>
            <w:r>
              <w:rPr>
                <w:b w:val="0"/>
                <w:bCs/>
                <w:color w:val="auto"/>
                <w:sz w:val="21"/>
                <w:szCs w:val="21"/>
                <w:highlight w:val="none"/>
              </w:rPr>
              <w:t>采样点位</w:t>
            </w:r>
          </w:p>
        </w:tc>
        <w:tc>
          <w:tcPr>
            <w:tcW w:w="1501" w:type="dxa"/>
            <w:vMerge w:val="restart"/>
            <w:tcBorders>
              <w:tl2br w:val="nil"/>
              <w:tr2bl w:val="nil"/>
            </w:tcBorders>
            <w:noWrap w:val="0"/>
            <w:vAlign w:val="center"/>
          </w:tcPr>
          <w:p w14:paraId="7AC1B456">
            <w:pPr>
              <w:pStyle w:val="45"/>
              <w:bidi w:val="0"/>
              <w:rPr>
                <w:b w:val="0"/>
                <w:bCs/>
                <w:color w:val="auto"/>
                <w:sz w:val="21"/>
                <w:szCs w:val="21"/>
                <w:highlight w:val="none"/>
              </w:rPr>
            </w:pPr>
            <w:r>
              <w:rPr>
                <w:b w:val="0"/>
                <w:bCs/>
                <w:color w:val="auto"/>
                <w:sz w:val="21"/>
                <w:szCs w:val="21"/>
                <w:highlight w:val="none"/>
              </w:rPr>
              <w:t>检测项目</w:t>
            </w:r>
          </w:p>
        </w:tc>
        <w:tc>
          <w:tcPr>
            <w:tcW w:w="862" w:type="dxa"/>
            <w:vMerge w:val="restart"/>
            <w:tcBorders>
              <w:tl2br w:val="nil"/>
              <w:tr2bl w:val="nil"/>
            </w:tcBorders>
            <w:noWrap w:val="0"/>
            <w:vAlign w:val="center"/>
          </w:tcPr>
          <w:p w14:paraId="706FBFAD">
            <w:pPr>
              <w:pStyle w:val="45"/>
              <w:bidi w:val="0"/>
              <w:rPr>
                <w:b w:val="0"/>
                <w:bCs/>
                <w:color w:val="auto"/>
                <w:sz w:val="21"/>
                <w:szCs w:val="21"/>
                <w:highlight w:val="none"/>
              </w:rPr>
            </w:pPr>
            <w:r>
              <w:rPr>
                <w:b w:val="0"/>
                <w:bCs/>
                <w:color w:val="auto"/>
                <w:sz w:val="21"/>
                <w:szCs w:val="21"/>
                <w:highlight w:val="none"/>
              </w:rPr>
              <w:t>单位</w:t>
            </w:r>
          </w:p>
        </w:tc>
        <w:tc>
          <w:tcPr>
            <w:tcW w:w="2281" w:type="dxa"/>
            <w:gridSpan w:val="5"/>
            <w:tcBorders>
              <w:tl2br w:val="nil"/>
              <w:tr2bl w:val="nil"/>
            </w:tcBorders>
            <w:noWrap w:val="0"/>
            <w:vAlign w:val="center"/>
          </w:tcPr>
          <w:p w14:paraId="22A0793D">
            <w:pPr>
              <w:pStyle w:val="45"/>
              <w:bidi w:val="0"/>
              <w:rPr>
                <w:b w:val="0"/>
                <w:bCs/>
                <w:color w:val="auto"/>
                <w:sz w:val="21"/>
                <w:szCs w:val="21"/>
                <w:highlight w:val="none"/>
              </w:rPr>
            </w:pPr>
            <w:r>
              <w:rPr>
                <w:rFonts w:hint="eastAsia"/>
                <w:b w:val="0"/>
                <w:bCs/>
                <w:color w:val="auto"/>
                <w:sz w:val="21"/>
                <w:szCs w:val="21"/>
                <w:highlight w:val="none"/>
              </w:rPr>
              <w:t>采样</w:t>
            </w:r>
            <w:r>
              <w:rPr>
                <w:rFonts w:hint="eastAsia"/>
                <w:b w:val="0"/>
                <w:bCs/>
                <w:color w:val="auto"/>
                <w:sz w:val="21"/>
                <w:szCs w:val="21"/>
                <w:highlight w:val="none"/>
                <w:lang w:eastAsia="zh-CN"/>
              </w:rPr>
              <w:t>时间</w:t>
            </w:r>
            <w:r>
              <w:rPr>
                <w:rFonts w:hint="eastAsia"/>
                <w:b w:val="0"/>
                <w:bCs/>
                <w:color w:val="auto"/>
                <w:sz w:val="21"/>
                <w:szCs w:val="21"/>
                <w:highlight w:val="none"/>
              </w:rPr>
              <w:t>及</w:t>
            </w:r>
            <w:r>
              <w:rPr>
                <w:b w:val="0"/>
                <w:bCs/>
                <w:color w:val="auto"/>
                <w:sz w:val="21"/>
                <w:szCs w:val="21"/>
                <w:highlight w:val="none"/>
              </w:rPr>
              <w:t>检测结果</w:t>
            </w:r>
          </w:p>
        </w:tc>
        <w:tc>
          <w:tcPr>
            <w:tcW w:w="1233" w:type="dxa"/>
            <w:vMerge w:val="restart"/>
            <w:tcBorders>
              <w:tl2br w:val="nil"/>
              <w:tr2bl w:val="nil"/>
            </w:tcBorders>
            <w:noWrap w:val="0"/>
            <w:vAlign w:val="center"/>
          </w:tcPr>
          <w:p w14:paraId="2B88F152">
            <w:pPr>
              <w:pStyle w:val="45"/>
              <w:bidi w:val="0"/>
              <w:rPr>
                <w:b w:val="0"/>
                <w:bCs/>
                <w:color w:val="auto"/>
                <w:sz w:val="21"/>
                <w:szCs w:val="21"/>
                <w:highlight w:val="none"/>
              </w:rPr>
            </w:pPr>
            <w:r>
              <w:rPr>
                <w:rFonts w:hint="eastAsia"/>
                <w:b w:val="0"/>
                <w:bCs/>
                <w:color w:val="auto"/>
                <w:sz w:val="21"/>
                <w:szCs w:val="21"/>
                <w:highlight w:val="none"/>
              </w:rPr>
              <w:t>标准</w:t>
            </w:r>
            <w:r>
              <w:rPr>
                <w:b w:val="0"/>
                <w:bCs/>
                <w:color w:val="auto"/>
                <w:sz w:val="21"/>
                <w:szCs w:val="21"/>
                <w:highlight w:val="none"/>
              </w:rPr>
              <w:t>限值</w:t>
            </w:r>
          </w:p>
        </w:tc>
        <w:tc>
          <w:tcPr>
            <w:tcW w:w="943" w:type="dxa"/>
            <w:vMerge w:val="restart"/>
            <w:tcBorders>
              <w:tl2br w:val="nil"/>
              <w:tr2bl w:val="nil"/>
            </w:tcBorders>
            <w:noWrap w:val="0"/>
            <w:vAlign w:val="center"/>
          </w:tcPr>
          <w:p w14:paraId="411E94E5">
            <w:pPr>
              <w:pStyle w:val="45"/>
              <w:bidi w:val="0"/>
              <w:rPr>
                <w:rFonts w:hint="eastAsia"/>
                <w:b w:val="0"/>
                <w:bCs/>
                <w:color w:val="auto"/>
                <w:sz w:val="21"/>
                <w:szCs w:val="21"/>
                <w:highlight w:val="none"/>
                <w:lang w:eastAsia="zh-CN"/>
              </w:rPr>
            </w:pPr>
            <w:r>
              <w:rPr>
                <w:rFonts w:hint="eastAsia"/>
                <w:b w:val="0"/>
                <w:bCs/>
                <w:color w:val="auto"/>
                <w:sz w:val="21"/>
                <w:szCs w:val="21"/>
                <w:highlight w:val="none"/>
                <w:lang w:eastAsia="zh-CN"/>
              </w:rPr>
              <w:t>最大标准指数</w:t>
            </w:r>
          </w:p>
        </w:tc>
        <w:tc>
          <w:tcPr>
            <w:tcW w:w="1149" w:type="dxa"/>
            <w:gridSpan w:val="2"/>
            <w:vMerge w:val="restart"/>
            <w:tcBorders>
              <w:tl2br w:val="nil"/>
              <w:tr2bl w:val="nil"/>
            </w:tcBorders>
            <w:noWrap w:val="0"/>
            <w:vAlign w:val="center"/>
          </w:tcPr>
          <w:p w14:paraId="0FD6594A">
            <w:pPr>
              <w:pStyle w:val="45"/>
              <w:bidi w:val="0"/>
              <w:rPr>
                <w:rFonts w:hint="eastAsia"/>
                <w:b w:val="0"/>
                <w:bCs/>
                <w:color w:val="auto"/>
                <w:sz w:val="21"/>
                <w:szCs w:val="21"/>
                <w:highlight w:val="none"/>
                <w:lang w:eastAsia="zh-CN"/>
              </w:rPr>
            </w:pPr>
            <w:r>
              <w:rPr>
                <w:rFonts w:hint="eastAsia"/>
                <w:b w:val="0"/>
                <w:bCs/>
                <w:color w:val="auto"/>
                <w:sz w:val="21"/>
                <w:szCs w:val="21"/>
                <w:highlight w:val="none"/>
                <w:lang w:eastAsia="zh-CN"/>
              </w:rPr>
              <w:t>达标情况</w:t>
            </w:r>
          </w:p>
        </w:tc>
      </w:tr>
      <w:tr w14:paraId="6973F04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340" w:hRule="atLeast"/>
          <w:jc w:val="center"/>
        </w:trPr>
        <w:tc>
          <w:tcPr>
            <w:tcW w:w="553" w:type="dxa"/>
            <w:vMerge w:val="continue"/>
            <w:tcBorders>
              <w:tl2br w:val="nil"/>
              <w:tr2bl w:val="nil"/>
            </w:tcBorders>
            <w:noWrap w:val="0"/>
            <w:vAlign w:val="center"/>
          </w:tcPr>
          <w:p w14:paraId="4F74D4AB">
            <w:pPr>
              <w:pStyle w:val="45"/>
              <w:bidi w:val="0"/>
              <w:rPr>
                <w:b w:val="0"/>
                <w:bCs/>
                <w:color w:val="auto"/>
                <w:sz w:val="21"/>
                <w:szCs w:val="21"/>
                <w:highlight w:val="none"/>
              </w:rPr>
            </w:pPr>
          </w:p>
        </w:tc>
        <w:tc>
          <w:tcPr>
            <w:tcW w:w="1501" w:type="dxa"/>
            <w:vMerge w:val="continue"/>
            <w:tcBorders>
              <w:tl2br w:val="nil"/>
              <w:tr2bl w:val="nil"/>
            </w:tcBorders>
            <w:noWrap w:val="0"/>
            <w:vAlign w:val="center"/>
          </w:tcPr>
          <w:p w14:paraId="1F61CF3E">
            <w:pPr>
              <w:pStyle w:val="45"/>
              <w:bidi w:val="0"/>
              <w:rPr>
                <w:b w:val="0"/>
                <w:bCs/>
                <w:color w:val="auto"/>
                <w:sz w:val="21"/>
                <w:szCs w:val="21"/>
                <w:highlight w:val="none"/>
              </w:rPr>
            </w:pPr>
          </w:p>
        </w:tc>
        <w:tc>
          <w:tcPr>
            <w:tcW w:w="862" w:type="dxa"/>
            <w:vMerge w:val="continue"/>
            <w:tcBorders>
              <w:tl2br w:val="nil"/>
              <w:tr2bl w:val="nil"/>
            </w:tcBorders>
            <w:noWrap w:val="0"/>
            <w:vAlign w:val="center"/>
          </w:tcPr>
          <w:p w14:paraId="6A7ABB27">
            <w:pPr>
              <w:pStyle w:val="45"/>
              <w:bidi w:val="0"/>
              <w:rPr>
                <w:b w:val="0"/>
                <w:bCs/>
                <w:color w:val="auto"/>
                <w:sz w:val="21"/>
                <w:szCs w:val="21"/>
                <w:highlight w:val="none"/>
              </w:rPr>
            </w:pPr>
          </w:p>
        </w:tc>
        <w:tc>
          <w:tcPr>
            <w:tcW w:w="780" w:type="dxa"/>
            <w:tcBorders>
              <w:tl2br w:val="nil"/>
              <w:tr2bl w:val="nil"/>
            </w:tcBorders>
            <w:noWrap w:val="0"/>
            <w:vAlign w:val="center"/>
          </w:tcPr>
          <w:p w14:paraId="2263D306">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07.05</w:t>
            </w:r>
          </w:p>
        </w:tc>
        <w:tc>
          <w:tcPr>
            <w:tcW w:w="750" w:type="dxa"/>
            <w:gridSpan w:val="2"/>
            <w:tcBorders>
              <w:tl2br w:val="nil"/>
              <w:tr2bl w:val="nil"/>
            </w:tcBorders>
            <w:noWrap w:val="0"/>
            <w:vAlign w:val="center"/>
          </w:tcPr>
          <w:p w14:paraId="79EE0BB1">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07.06</w:t>
            </w:r>
          </w:p>
        </w:tc>
        <w:tc>
          <w:tcPr>
            <w:tcW w:w="751" w:type="dxa"/>
            <w:gridSpan w:val="2"/>
            <w:tcBorders>
              <w:tl2br w:val="nil"/>
              <w:tr2bl w:val="nil"/>
            </w:tcBorders>
            <w:noWrap w:val="0"/>
            <w:vAlign w:val="center"/>
          </w:tcPr>
          <w:p w14:paraId="076F6A72">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07.07</w:t>
            </w:r>
          </w:p>
        </w:tc>
        <w:tc>
          <w:tcPr>
            <w:tcW w:w="1233" w:type="dxa"/>
            <w:vMerge w:val="continue"/>
            <w:tcBorders>
              <w:tl2br w:val="nil"/>
              <w:tr2bl w:val="nil"/>
            </w:tcBorders>
            <w:noWrap w:val="0"/>
            <w:vAlign w:val="center"/>
          </w:tcPr>
          <w:p w14:paraId="3A8EE787">
            <w:pPr>
              <w:pStyle w:val="45"/>
              <w:bidi w:val="0"/>
              <w:rPr>
                <w:b w:val="0"/>
                <w:bCs/>
                <w:color w:val="auto"/>
                <w:sz w:val="21"/>
                <w:szCs w:val="21"/>
                <w:highlight w:val="none"/>
              </w:rPr>
            </w:pPr>
          </w:p>
        </w:tc>
        <w:tc>
          <w:tcPr>
            <w:tcW w:w="943" w:type="dxa"/>
            <w:vMerge w:val="continue"/>
            <w:tcBorders>
              <w:tl2br w:val="nil"/>
              <w:tr2bl w:val="nil"/>
            </w:tcBorders>
            <w:noWrap w:val="0"/>
            <w:vAlign w:val="center"/>
          </w:tcPr>
          <w:p w14:paraId="27A30D7E">
            <w:pPr>
              <w:pStyle w:val="45"/>
              <w:bidi w:val="0"/>
              <w:rPr>
                <w:b w:val="0"/>
                <w:bCs/>
                <w:color w:val="auto"/>
                <w:sz w:val="21"/>
                <w:szCs w:val="21"/>
                <w:highlight w:val="none"/>
              </w:rPr>
            </w:pPr>
          </w:p>
        </w:tc>
        <w:tc>
          <w:tcPr>
            <w:tcW w:w="1149" w:type="dxa"/>
            <w:gridSpan w:val="2"/>
            <w:vMerge w:val="continue"/>
            <w:tcBorders>
              <w:tl2br w:val="nil"/>
              <w:tr2bl w:val="nil"/>
            </w:tcBorders>
            <w:noWrap w:val="0"/>
            <w:vAlign w:val="center"/>
          </w:tcPr>
          <w:p w14:paraId="5BFA6397">
            <w:pPr>
              <w:pStyle w:val="45"/>
              <w:bidi w:val="0"/>
              <w:rPr>
                <w:b w:val="0"/>
                <w:bCs/>
                <w:color w:val="auto"/>
                <w:sz w:val="21"/>
                <w:szCs w:val="21"/>
                <w:highlight w:val="none"/>
              </w:rPr>
            </w:pPr>
          </w:p>
        </w:tc>
      </w:tr>
      <w:tr w14:paraId="56C2DBD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53" w:type="dxa"/>
            <w:vMerge w:val="restart"/>
            <w:tcBorders>
              <w:top w:val="single" w:color="auto" w:sz="4" w:space="0"/>
              <w:tl2br w:val="nil"/>
              <w:tr2bl w:val="nil"/>
            </w:tcBorders>
            <w:noWrap w:val="0"/>
            <w:vAlign w:val="center"/>
          </w:tcPr>
          <w:p w14:paraId="74559FFE">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寿岭冲水库坝前100m</w:t>
            </w:r>
          </w:p>
        </w:tc>
        <w:tc>
          <w:tcPr>
            <w:tcW w:w="1501" w:type="dxa"/>
            <w:tcBorders>
              <w:top w:val="single" w:color="auto" w:sz="4" w:space="0"/>
              <w:tl2br w:val="nil"/>
              <w:tr2bl w:val="nil"/>
            </w:tcBorders>
            <w:noWrap w:val="0"/>
            <w:vAlign w:val="center"/>
          </w:tcPr>
          <w:p w14:paraId="13C32CF1">
            <w:pPr>
              <w:pStyle w:val="45"/>
              <w:bidi w:val="0"/>
              <w:rPr>
                <w:rFonts w:hint="eastAsia"/>
                <w:b w:val="0"/>
                <w:bCs/>
                <w:color w:val="auto"/>
                <w:sz w:val="21"/>
                <w:szCs w:val="21"/>
                <w:highlight w:val="none"/>
                <w:lang w:val="en-US" w:eastAsia="zh-CN"/>
              </w:rPr>
            </w:pPr>
            <w:r>
              <w:rPr>
                <w:rFonts w:hint="default"/>
                <w:b w:val="0"/>
                <w:bCs/>
                <w:color w:val="auto"/>
                <w:sz w:val="21"/>
                <w:szCs w:val="21"/>
                <w:highlight w:val="none"/>
                <w:lang w:val="en-US" w:eastAsia="zh-CN"/>
              </w:rPr>
              <w:t>pH</w:t>
            </w:r>
          </w:p>
        </w:tc>
        <w:tc>
          <w:tcPr>
            <w:tcW w:w="862" w:type="dxa"/>
            <w:tcBorders>
              <w:tl2br w:val="nil"/>
              <w:tr2bl w:val="nil"/>
            </w:tcBorders>
            <w:noWrap w:val="0"/>
            <w:vAlign w:val="center"/>
          </w:tcPr>
          <w:p w14:paraId="4736D175">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无量纲</w:t>
            </w:r>
          </w:p>
        </w:tc>
        <w:tc>
          <w:tcPr>
            <w:tcW w:w="780" w:type="dxa"/>
            <w:tcBorders>
              <w:tl2br w:val="nil"/>
              <w:tr2bl w:val="nil"/>
            </w:tcBorders>
            <w:noWrap w:val="0"/>
            <w:vAlign w:val="center"/>
          </w:tcPr>
          <w:p w14:paraId="7F7E9DE8">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7.5</w:t>
            </w:r>
          </w:p>
        </w:tc>
        <w:tc>
          <w:tcPr>
            <w:tcW w:w="750" w:type="dxa"/>
            <w:gridSpan w:val="2"/>
            <w:tcBorders>
              <w:tl2br w:val="nil"/>
              <w:tr2bl w:val="nil"/>
            </w:tcBorders>
            <w:noWrap w:val="0"/>
            <w:vAlign w:val="center"/>
          </w:tcPr>
          <w:p w14:paraId="72A2882B">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7.4</w:t>
            </w:r>
          </w:p>
        </w:tc>
        <w:tc>
          <w:tcPr>
            <w:tcW w:w="751" w:type="dxa"/>
            <w:gridSpan w:val="2"/>
            <w:tcBorders>
              <w:tl2br w:val="nil"/>
              <w:tr2bl w:val="nil"/>
            </w:tcBorders>
            <w:noWrap w:val="0"/>
            <w:vAlign w:val="center"/>
          </w:tcPr>
          <w:p w14:paraId="5D43C888">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7.6</w:t>
            </w:r>
          </w:p>
        </w:tc>
        <w:tc>
          <w:tcPr>
            <w:tcW w:w="1233" w:type="dxa"/>
            <w:tcBorders>
              <w:tl2br w:val="nil"/>
              <w:tr2bl w:val="nil"/>
            </w:tcBorders>
            <w:noWrap w:val="0"/>
            <w:vAlign w:val="center"/>
          </w:tcPr>
          <w:p w14:paraId="112945F9">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6-9</w:t>
            </w:r>
          </w:p>
        </w:tc>
        <w:tc>
          <w:tcPr>
            <w:tcW w:w="943" w:type="dxa"/>
            <w:tcBorders>
              <w:tl2br w:val="nil"/>
              <w:tr2bl w:val="nil"/>
            </w:tcBorders>
            <w:noWrap w:val="0"/>
            <w:vAlign w:val="center"/>
          </w:tcPr>
          <w:p w14:paraId="6C899150">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0.7</w:t>
            </w:r>
          </w:p>
        </w:tc>
        <w:tc>
          <w:tcPr>
            <w:tcW w:w="1149" w:type="dxa"/>
            <w:gridSpan w:val="2"/>
            <w:tcBorders>
              <w:tl2br w:val="nil"/>
              <w:tr2bl w:val="nil"/>
            </w:tcBorders>
            <w:noWrap w:val="0"/>
            <w:vAlign w:val="center"/>
          </w:tcPr>
          <w:p w14:paraId="3F267FDF">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达标</w:t>
            </w:r>
          </w:p>
        </w:tc>
      </w:tr>
      <w:tr w14:paraId="3066188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53" w:type="dxa"/>
            <w:vMerge w:val="continue"/>
            <w:tcBorders>
              <w:tl2br w:val="nil"/>
              <w:tr2bl w:val="nil"/>
            </w:tcBorders>
            <w:noWrap w:val="0"/>
            <w:vAlign w:val="center"/>
          </w:tcPr>
          <w:p w14:paraId="0264983A">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4B2AA97A">
            <w:pPr>
              <w:pStyle w:val="45"/>
              <w:bidi w:val="0"/>
              <w:rPr>
                <w:rFonts w:hint="eastAsia"/>
                <w:b w:val="0"/>
                <w:bCs/>
                <w:color w:val="auto"/>
                <w:sz w:val="21"/>
                <w:szCs w:val="21"/>
                <w:highlight w:val="none"/>
                <w:lang w:val="en-US" w:eastAsia="zh-CN"/>
              </w:rPr>
            </w:pPr>
            <w:r>
              <w:rPr>
                <w:rFonts w:hint="default"/>
                <w:b w:val="0"/>
                <w:bCs/>
                <w:color w:val="auto"/>
                <w:sz w:val="21"/>
                <w:szCs w:val="21"/>
                <w:highlight w:val="none"/>
                <w:lang w:val="en-US" w:eastAsia="zh-CN"/>
              </w:rPr>
              <w:t>SS</w:t>
            </w:r>
          </w:p>
        </w:tc>
        <w:tc>
          <w:tcPr>
            <w:tcW w:w="862" w:type="dxa"/>
            <w:tcBorders>
              <w:tl2br w:val="nil"/>
              <w:tr2bl w:val="nil"/>
            </w:tcBorders>
            <w:noWrap w:val="0"/>
            <w:vAlign w:val="center"/>
          </w:tcPr>
          <w:p w14:paraId="4E88D9CB">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mg/L</w:t>
            </w:r>
          </w:p>
        </w:tc>
        <w:tc>
          <w:tcPr>
            <w:tcW w:w="780" w:type="dxa"/>
            <w:tcBorders>
              <w:tl2br w:val="nil"/>
              <w:tr2bl w:val="nil"/>
            </w:tcBorders>
            <w:noWrap w:val="0"/>
            <w:vAlign w:val="center"/>
          </w:tcPr>
          <w:p w14:paraId="12112090">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9</w:t>
            </w:r>
          </w:p>
        </w:tc>
        <w:tc>
          <w:tcPr>
            <w:tcW w:w="750" w:type="dxa"/>
            <w:gridSpan w:val="2"/>
            <w:tcBorders>
              <w:tl2br w:val="nil"/>
              <w:tr2bl w:val="nil"/>
            </w:tcBorders>
            <w:noWrap w:val="0"/>
            <w:vAlign w:val="center"/>
          </w:tcPr>
          <w:p w14:paraId="4DA5F59B">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8</w:t>
            </w:r>
          </w:p>
        </w:tc>
        <w:tc>
          <w:tcPr>
            <w:tcW w:w="751" w:type="dxa"/>
            <w:gridSpan w:val="2"/>
            <w:tcBorders>
              <w:tl2br w:val="nil"/>
              <w:tr2bl w:val="nil"/>
            </w:tcBorders>
            <w:noWrap w:val="0"/>
            <w:vAlign w:val="center"/>
          </w:tcPr>
          <w:p w14:paraId="283B1385">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8</w:t>
            </w:r>
          </w:p>
        </w:tc>
        <w:tc>
          <w:tcPr>
            <w:tcW w:w="1233" w:type="dxa"/>
            <w:tcBorders>
              <w:tl2br w:val="nil"/>
              <w:tr2bl w:val="nil"/>
            </w:tcBorders>
            <w:noWrap w:val="0"/>
            <w:vAlign w:val="center"/>
          </w:tcPr>
          <w:p w14:paraId="561CA74A">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w:t>
            </w:r>
          </w:p>
        </w:tc>
        <w:tc>
          <w:tcPr>
            <w:tcW w:w="943" w:type="dxa"/>
            <w:tcBorders>
              <w:tl2br w:val="nil"/>
              <w:tr2bl w:val="nil"/>
            </w:tcBorders>
            <w:noWrap w:val="0"/>
            <w:vAlign w:val="center"/>
          </w:tcPr>
          <w:p w14:paraId="292BC27A">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w:t>
            </w:r>
          </w:p>
        </w:tc>
        <w:tc>
          <w:tcPr>
            <w:tcW w:w="1149" w:type="dxa"/>
            <w:gridSpan w:val="2"/>
            <w:tcBorders>
              <w:tl2br w:val="nil"/>
              <w:tr2bl w:val="nil"/>
            </w:tcBorders>
            <w:noWrap w:val="0"/>
            <w:vAlign w:val="center"/>
          </w:tcPr>
          <w:p w14:paraId="7ADBEDEE">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达标</w:t>
            </w:r>
          </w:p>
        </w:tc>
      </w:tr>
      <w:tr w14:paraId="4AB52A7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53" w:type="dxa"/>
            <w:vMerge w:val="continue"/>
            <w:tcBorders>
              <w:tl2br w:val="nil"/>
              <w:tr2bl w:val="nil"/>
            </w:tcBorders>
            <w:noWrap w:val="0"/>
            <w:vAlign w:val="center"/>
          </w:tcPr>
          <w:p w14:paraId="2124EBBD">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46F5368B">
            <w:pPr>
              <w:pStyle w:val="45"/>
              <w:bidi w:val="0"/>
              <w:rPr>
                <w:rFonts w:hint="eastAsia"/>
                <w:b w:val="0"/>
                <w:bCs/>
                <w:color w:val="auto"/>
                <w:sz w:val="21"/>
                <w:szCs w:val="21"/>
                <w:highlight w:val="none"/>
                <w:lang w:val="en-US" w:eastAsia="zh-CN"/>
              </w:rPr>
            </w:pPr>
            <w:r>
              <w:rPr>
                <w:rFonts w:hint="default"/>
                <w:b w:val="0"/>
                <w:bCs/>
                <w:color w:val="auto"/>
                <w:sz w:val="21"/>
                <w:szCs w:val="21"/>
                <w:highlight w:val="none"/>
                <w:lang w:val="en-US" w:eastAsia="zh-CN"/>
              </w:rPr>
              <w:t>BOD5</w:t>
            </w:r>
          </w:p>
        </w:tc>
        <w:tc>
          <w:tcPr>
            <w:tcW w:w="862" w:type="dxa"/>
            <w:tcBorders>
              <w:tl2br w:val="nil"/>
              <w:tr2bl w:val="nil"/>
            </w:tcBorders>
            <w:noWrap w:val="0"/>
            <w:vAlign w:val="center"/>
          </w:tcPr>
          <w:p w14:paraId="46DA8817">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mg/L</w:t>
            </w:r>
          </w:p>
        </w:tc>
        <w:tc>
          <w:tcPr>
            <w:tcW w:w="780" w:type="dxa"/>
            <w:tcBorders>
              <w:tl2br w:val="nil"/>
              <w:tr2bl w:val="nil"/>
            </w:tcBorders>
            <w:noWrap w:val="0"/>
            <w:vAlign w:val="center"/>
          </w:tcPr>
          <w:p w14:paraId="38EBBC7B">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3.5</w:t>
            </w:r>
          </w:p>
        </w:tc>
        <w:tc>
          <w:tcPr>
            <w:tcW w:w="750" w:type="dxa"/>
            <w:gridSpan w:val="2"/>
            <w:tcBorders>
              <w:tl2br w:val="nil"/>
              <w:tr2bl w:val="nil"/>
            </w:tcBorders>
            <w:noWrap w:val="0"/>
            <w:vAlign w:val="center"/>
          </w:tcPr>
          <w:p w14:paraId="06B7CD05">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3.4</w:t>
            </w:r>
          </w:p>
        </w:tc>
        <w:tc>
          <w:tcPr>
            <w:tcW w:w="751" w:type="dxa"/>
            <w:gridSpan w:val="2"/>
            <w:tcBorders>
              <w:tl2br w:val="nil"/>
              <w:tr2bl w:val="nil"/>
            </w:tcBorders>
            <w:noWrap w:val="0"/>
            <w:vAlign w:val="center"/>
          </w:tcPr>
          <w:p w14:paraId="38B891AC">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3.5</w:t>
            </w:r>
          </w:p>
        </w:tc>
        <w:tc>
          <w:tcPr>
            <w:tcW w:w="1233" w:type="dxa"/>
            <w:tcBorders>
              <w:tl2br w:val="nil"/>
              <w:tr2bl w:val="nil"/>
            </w:tcBorders>
            <w:noWrap w:val="0"/>
            <w:vAlign w:val="center"/>
          </w:tcPr>
          <w:p w14:paraId="7AC0130F">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4</w:t>
            </w:r>
          </w:p>
        </w:tc>
        <w:tc>
          <w:tcPr>
            <w:tcW w:w="943" w:type="dxa"/>
            <w:tcBorders>
              <w:tl2br w:val="nil"/>
              <w:tr2bl w:val="nil"/>
            </w:tcBorders>
            <w:noWrap w:val="0"/>
            <w:vAlign w:val="center"/>
          </w:tcPr>
          <w:p w14:paraId="4A195482">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0.875</w:t>
            </w:r>
          </w:p>
        </w:tc>
        <w:tc>
          <w:tcPr>
            <w:tcW w:w="1149" w:type="dxa"/>
            <w:gridSpan w:val="2"/>
            <w:tcBorders>
              <w:tl2br w:val="nil"/>
              <w:tr2bl w:val="nil"/>
            </w:tcBorders>
            <w:noWrap w:val="0"/>
            <w:vAlign w:val="center"/>
          </w:tcPr>
          <w:p w14:paraId="23C6FA8D">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达标</w:t>
            </w:r>
          </w:p>
        </w:tc>
      </w:tr>
      <w:tr w14:paraId="1847738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53" w:type="dxa"/>
            <w:vMerge w:val="continue"/>
            <w:tcBorders>
              <w:tl2br w:val="nil"/>
              <w:tr2bl w:val="nil"/>
            </w:tcBorders>
            <w:noWrap w:val="0"/>
            <w:vAlign w:val="center"/>
          </w:tcPr>
          <w:p w14:paraId="6D610028">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50CD0CA4">
            <w:pPr>
              <w:pStyle w:val="45"/>
              <w:bidi w:val="0"/>
              <w:rPr>
                <w:rFonts w:hint="eastAsia"/>
                <w:b w:val="0"/>
                <w:bCs/>
                <w:color w:val="auto"/>
                <w:sz w:val="21"/>
                <w:szCs w:val="21"/>
                <w:highlight w:val="none"/>
                <w:lang w:val="en-US" w:eastAsia="zh-CN"/>
              </w:rPr>
            </w:pPr>
            <w:r>
              <w:rPr>
                <w:rFonts w:hint="default"/>
                <w:b w:val="0"/>
                <w:bCs/>
                <w:color w:val="auto"/>
                <w:sz w:val="21"/>
                <w:szCs w:val="21"/>
                <w:highlight w:val="none"/>
                <w:lang w:val="en-US" w:eastAsia="zh-CN"/>
              </w:rPr>
              <w:t>CODCr</w:t>
            </w:r>
          </w:p>
        </w:tc>
        <w:tc>
          <w:tcPr>
            <w:tcW w:w="862" w:type="dxa"/>
            <w:tcBorders>
              <w:tl2br w:val="nil"/>
              <w:tr2bl w:val="nil"/>
            </w:tcBorders>
            <w:noWrap w:val="0"/>
            <w:vAlign w:val="center"/>
          </w:tcPr>
          <w:p w14:paraId="2EF47ABE">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mg/L</w:t>
            </w:r>
          </w:p>
        </w:tc>
        <w:tc>
          <w:tcPr>
            <w:tcW w:w="780" w:type="dxa"/>
            <w:tcBorders>
              <w:tl2br w:val="nil"/>
              <w:tr2bl w:val="nil"/>
            </w:tcBorders>
            <w:noWrap w:val="0"/>
            <w:vAlign w:val="center"/>
          </w:tcPr>
          <w:p w14:paraId="18F5DFF8">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16</w:t>
            </w:r>
          </w:p>
        </w:tc>
        <w:tc>
          <w:tcPr>
            <w:tcW w:w="750" w:type="dxa"/>
            <w:gridSpan w:val="2"/>
            <w:tcBorders>
              <w:tl2br w:val="nil"/>
              <w:tr2bl w:val="nil"/>
            </w:tcBorders>
            <w:noWrap w:val="0"/>
            <w:vAlign w:val="center"/>
          </w:tcPr>
          <w:p w14:paraId="0625F4B6">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14</w:t>
            </w:r>
          </w:p>
        </w:tc>
        <w:tc>
          <w:tcPr>
            <w:tcW w:w="751" w:type="dxa"/>
            <w:gridSpan w:val="2"/>
            <w:tcBorders>
              <w:tl2br w:val="nil"/>
              <w:tr2bl w:val="nil"/>
            </w:tcBorders>
            <w:noWrap w:val="0"/>
            <w:vAlign w:val="center"/>
          </w:tcPr>
          <w:p w14:paraId="18A93B5E">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18</w:t>
            </w:r>
          </w:p>
        </w:tc>
        <w:tc>
          <w:tcPr>
            <w:tcW w:w="1233" w:type="dxa"/>
            <w:tcBorders>
              <w:tl2br w:val="nil"/>
              <w:tr2bl w:val="nil"/>
            </w:tcBorders>
            <w:noWrap w:val="0"/>
            <w:vAlign w:val="center"/>
          </w:tcPr>
          <w:p w14:paraId="49E2E853">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20</w:t>
            </w:r>
          </w:p>
        </w:tc>
        <w:tc>
          <w:tcPr>
            <w:tcW w:w="943" w:type="dxa"/>
            <w:tcBorders>
              <w:tl2br w:val="nil"/>
              <w:tr2bl w:val="nil"/>
            </w:tcBorders>
            <w:noWrap w:val="0"/>
            <w:vAlign w:val="center"/>
          </w:tcPr>
          <w:p w14:paraId="64116CB0">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0.9</w:t>
            </w:r>
          </w:p>
        </w:tc>
        <w:tc>
          <w:tcPr>
            <w:tcW w:w="1149" w:type="dxa"/>
            <w:gridSpan w:val="2"/>
            <w:tcBorders>
              <w:tl2br w:val="nil"/>
              <w:tr2bl w:val="nil"/>
            </w:tcBorders>
            <w:noWrap w:val="0"/>
            <w:vAlign w:val="center"/>
          </w:tcPr>
          <w:p w14:paraId="7CFA0887">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达标</w:t>
            </w:r>
          </w:p>
        </w:tc>
      </w:tr>
      <w:tr w14:paraId="5DEE958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53" w:type="dxa"/>
            <w:vMerge w:val="continue"/>
            <w:tcBorders>
              <w:tl2br w:val="nil"/>
              <w:tr2bl w:val="nil"/>
            </w:tcBorders>
            <w:noWrap w:val="0"/>
            <w:vAlign w:val="center"/>
          </w:tcPr>
          <w:p w14:paraId="56E6872F">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3F88390F">
            <w:pPr>
              <w:pStyle w:val="45"/>
              <w:bidi w:val="0"/>
              <w:rPr>
                <w:rFonts w:hint="eastAsia"/>
                <w:b w:val="0"/>
                <w:bCs/>
                <w:color w:val="auto"/>
                <w:sz w:val="21"/>
                <w:szCs w:val="21"/>
                <w:highlight w:val="none"/>
                <w:lang w:val="en-US" w:eastAsia="zh-CN"/>
              </w:rPr>
            </w:pPr>
            <w:r>
              <w:rPr>
                <w:rFonts w:hint="default"/>
                <w:b w:val="0"/>
                <w:bCs/>
                <w:color w:val="auto"/>
                <w:sz w:val="21"/>
                <w:szCs w:val="21"/>
                <w:highlight w:val="none"/>
                <w:lang w:val="en-US" w:eastAsia="zh-CN"/>
              </w:rPr>
              <w:t>氨氮</w:t>
            </w:r>
          </w:p>
        </w:tc>
        <w:tc>
          <w:tcPr>
            <w:tcW w:w="862" w:type="dxa"/>
            <w:tcBorders>
              <w:tl2br w:val="nil"/>
              <w:tr2bl w:val="nil"/>
            </w:tcBorders>
            <w:noWrap w:val="0"/>
            <w:vAlign w:val="center"/>
          </w:tcPr>
          <w:p w14:paraId="6AFCA23C">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mg/L</w:t>
            </w:r>
          </w:p>
        </w:tc>
        <w:tc>
          <w:tcPr>
            <w:tcW w:w="780" w:type="dxa"/>
            <w:tcBorders>
              <w:tl2br w:val="nil"/>
              <w:tr2bl w:val="nil"/>
            </w:tcBorders>
            <w:noWrap w:val="0"/>
            <w:vAlign w:val="center"/>
          </w:tcPr>
          <w:p w14:paraId="5A92A644">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0.551</w:t>
            </w:r>
          </w:p>
        </w:tc>
        <w:tc>
          <w:tcPr>
            <w:tcW w:w="750" w:type="dxa"/>
            <w:gridSpan w:val="2"/>
            <w:tcBorders>
              <w:tl2br w:val="nil"/>
              <w:tr2bl w:val="nil"/>
            </w:tcBorders>
            <w:noWrap w:val="0"/>
            <w:vAlign w:val="center"/>
          </w:tcPr>
          <w:p w14:paraId="1647B360">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0.578</w:t>
            </w:r>
          </w:p>
        </w:tc>
        <w:tc>
          <w:tcPr>
            <w:tcW w:w="751" w:type="dxa"/>
            <w:gridSpan w:val="2"/>
            <w:tcBorders>
              <w:tl2br w:val="nil"/>
              <w:tr2bl w:val="nil"/>
            </w:tcBorders>
            <w:noWrap w:val="0"/>
            <w:vAlign w:val="center"/>
          </w:tcPr>
          <w:p w14:paraId="47A1431D">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0.566</w:t>
            </w:r>
          </w:p>
        </w:tc>
        <w:tc>
          <w:tcPr>
            <w:tcW w:w="1233" w:type="dxa"/>
            <w:tcBorders>
              <w:tl2br w:val="nil"/>
              <w:tr2bl w:val="nil"/>
            </w:tcBorders>
            <w:noWrap w:val="0"/>
            <w:vAlign w:val="center"/>
          </w:tcPr>
          <w:p w14:paraId="0C4E75DA">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1.0</w:t>
            </w:r>
          </w:p>
        </w:tc>
        <w:tc>
          <w:tcPr>
            <w:tcW w:w="943" w:type="dxa"/>
            <w:tcBorders>
              <w:tl2br w:val="nil"/>
              <w:tr2bl w:val="nil"/>
            </w:tcBorders>
            <w:noWrap w:val="0"/>
            <w:vAlign w:val="center"/>
          </w:tcPr>
          <w:p w14:paraId="000E172D">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0.578</w:t>
            </w:r>
          </w:p>
        </w:tc>
        <w:tc>
          <w:tcPr>
            <w:tcW w:w="1149" w:type="dxa"/>
            <w:gridSpan w:val="2"/>
            <w:tcBorders>
              <w:tl2br w:val="nil"/>
              <w:tr2bl w:val="nil"/>
            </w:tcBorders>
            <w:noWrap w:val="0"/>
            <w:vAlign w:val="center"/>
          </w:tcPr>
          <w:p w14:paraId="5B8A8E87">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达标</w:t>
            </w:r>
          </w:p>
        </w:tc>
      </w:tr>
      <w:tr w14:paraId="6C108A5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53" w:type="dxa"/>
            <w:vMerge w:val="continue"/>
            <w:tcBorders>
              <w:tl2br w:val="nil"/>
              <w:tr2bl w:val="nil"/>
            </w:tcBorders>
            <w:noWrap w:val="0"/>
            <w:vAlign w:val="center"/>
          </w:tcPr>
          <w:p w14:paraId="5B8B3EC9">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4557AB0D">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总氮</w:t>
            </w:r>
          </w:p>
        </w:tc>
        <w:tc>
          <w:tcPr>
            <w:tcW w:w="862" w:type="dxa"/>
            <w:tcBorders>
              <w:tl2br w:val="nil"/>
              <w:tr2bl w:val="nil"/>
            </w:tcBorders>
            <w:noWrap w:val="0"/>
            <w:vAlign w:val="center"/>
          </w:tcPr>
          <w:p w14:paraId="0CA6E206">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mg/L</w:t>
            </w:r>
          </w:p>
        </w:tc>
        <w:tc>
          <w:tcPr>
            <w:tcW w:w="780" w:type="dxa"/>
            <w:tcBorders>
              <w:tl2br w:val="nil"/>
              <w:tr2bl w:val="nil"/>
            </w:tcBorders>
            <w:noWrap w:val="0"/>
            <w:vAlign w:val="center"/>
          </w:tcPr>
          <w:p w14:paraId="40E7C485">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0.83</w:t>
            </w:r>
          </w:p>
        </w:tc>
        <w:tc>
          <w:tcPr>
            <w:tcW w:w="750" w:type="dxa"/>
            <w:gridSpan w:val="2"/>
            <w:tcBorders>
              <w:tl2br w:val="nil"/>
              <w:tr2bl w:val="nil"/>
            </w:tcBorders>
            <w:noWrap w:val="0"/>
            <w:vAlign w:val="center"/>
          </w:tcPr>
          <w:p w14:paraId="1FA75DFF">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0.78</w:t>
            </w:r>
          </w:p>
        </w:tc>
        <w:tc>
          <w:tcPr>
            <w:tcW w:w="751" w:type="dxa"/>
            <w:gridSpan w:val="2"/>
            <w:tcBorders>
              <w:tl2br w:val="nil"/>
              <w:tr2bl w:val="nil"/>
            </w:tcBorders>
            <w:noWrap w:val="0"/>
            <w:vAlign w:val="center"/>
          </w:tcPr>
          <w:p w14:paraId="56B85324">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0.81</w:t>
            </w:r>
          </w:p>
        </w:tc>
        <w:tc>
          <w:tcPr>
            <w:tcW w:w="1233" w:type="dxa"/>
            <w:tcBorders>
              <w:tl2br w:val="nil"/>
              <w:tr2bl w:val="nil"/>
            </w:tcBorders>
            <w:noWrap w:val="0"/>
            <w:vAlign w:val="center"/>
          </w:tcPr>
          <w:p w14:paraId="754316BE">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1.0</w:t>
            </w:r>
          </w:p>
        </w:tc>
        <w:tc>
          <w:tcPr>
            <w:tcW w:w="943" w:type="dxa"/>
            <w:tcBorders>
              <w:tl2br w:val="nil"/>
              <w:tr2bl w:val="nil"/>
            </w:tcBorders>
            <w:noWrap w:val="0"/>
            <w:vAlign w:val="center"/>
          </w:tcPr>
          <w:p w14:paraId="54E5F2BE">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0.83</w:t>
            </w:r>
          </w:p>
        </w:tc>
        <w:tc>
          <w:tcPr>
            <w:tcW w:w="1149" w:type="dxa"/>
            <w:gridSpan w:val="2"/>
            <w:tcBorders>
              <w:tl2br w:val="nil"/>
              <w:tr2bl w:val="nil"/>
            </w:tcBorders>
            <w:noWrap w:val="0"/>
            <w:vAlign w:val="center"/>
          </w:tcPr>
          <w:p w14:paraId="582FB6C4">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达标</w:t>
            </w:r>
          </w:p>
        </w:tc>
      </w:tr>
      <w:tr w14:paraId="63A2E9D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53" w:type="dxa"/>
            <w:vMerge w:val="continue"/>
            <w:tcBorders>
              <w:tl2br w:val="nil"/>
              <w:tr2bl w:val="nil"/>
            </w:tcBorders>
            <w:noWrap w:val="0"/>
            <w:vAlign w:val="center"/>
          </w:tcPr>
          <w:p w14:paraId="484FE8FD">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272FA23B">
            <w:pPr>
              <w:pStyle w:val="45"/>
              <w:bidi w:val="0"/>
              <w:rPr>
                <w:rFonts w:hint="eastAsia"/>
                <w:b w:val="0"/>
                <w:bCs/>
                <w:color w:val="auto"/>
                <w:sz w:val="21"/>
                <w:szCs w:val="21"/>
                <w:highlight w:val="none"/>
                <w:lang w:val="en-US" w:eastAsia="zh-CN"/>
              </w:rPr>
            </w:pPr>
            <w:r>
              <w:rPr>
                <w:rFonts w:hint="default"/>
                <w:b w:val="0"/>
                <w:bCs/>
                <w:color w:val="auto"/>
                <w:sz w:val="21"/>
                <w:szCs w:val="21"/>
                <w:highlight w:val="none"/>
                <w:lang w:val="en-US" w:eastAsia="zh-CN"/>
              </w:rPr>
              <w:t>石油类</w:t>
            </w:r>
          </w:p>
        </w:tc>
        <w:tc>
          <w:tcPr>
            <w:tcW w:w="862" w:type="dxa"/>
            <w:tcBorders>
              <w:tl2br w:val="nil"/>
              <w:tr2bl w:val="nil"/>
            </w:tcBorders>
            <w:noWrap w:val="0"/>
            <w:vAlign w:val="center"/>
          </w:tcPr>
          <w:p w14:paraId="0F4370F7">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mg/L</w:t>
            </w:r>
          </w:p>
        </w:tc>
        <w:tc>
          <w:tcPr>
            <w:tcW w:w="780" w:type="dxa"/>
            <w:tcBorders>
              <w:tl2br w:val="nil"/>
              <w:tr2bl w:val="nil"/>
            </w:tcBorders>
            <w:noWrap w:val="0"/>
            <w:vAlign w:val="center"/>
          </w:tcPr>
          <w:p w14:paraId="2D118BBC">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0.02</w:t>
            </w:r>
          </w:p>
        </w:tc>
        <w:tc>
          <w:tcPr>
            <w:tcW w:w="750" w:type="dxa"/>
            <w:gridSpan w:val="2"/>
            <w:tcBorders>
              <w:tl2br w:val="nil"/>
              <w:tr2bl w:val="nil"/>
            </w:tcBorders>
            <w:noWrap w:val="0"/>
            <w:vAlign w:val="center"/>
          </w:tcPr>
          <w:p w14:paraId="49441559">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0.02</w:t>
            </w:r>
          </w:p>
        </w:tc>
        <w:tc>
          <w:tcPr>
            <w:tcW w:w="751" w:type="dxa"/>
            <w:gridSpan w:val="2"/>
            <w:tcBorders>
              <w:tl2br w:val="nil"/>
              <w:tr2bl w:val="nil"/>
            </w:tcBorders>
            <w:noWrap w:val="0"/>
            <w:vAlign w:val="center"/>
          </w:tcPr>
          <w:p w14:paraId="472CFBF5">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0.03</w:t>
            </w:r>
          </w:p>
        </w:tc>
        <w:tc>
          <w:tcPr>
            <w:tcW w:w="1233" w:type="dxa"/>
            <w:tcBorders>
              <w:tl2br w:val="nil"/>
              <w:tr2bl w:val="nil"/>
            </w:tcBorders>
            <w:noWrap w:val="0"/>
            <w:vAlign w:val="center"/>
          </w:tcPr>
          <w:p w14:paraId="390500D4">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0.05</w:t>
            </w:r>
          </w:p>
        </w:tc>
        <w:tc>
          <w:tcPr>
            <w:tcW w:w="943" w:type="dxa"/>
            <w:tcBorders>
              <w:tl2br w:val="nil"/>
              <w:tr2bl w:val="nil"/>
            </w:tcBorders>
            <w:noWrap w:val="0"/>
            <w:vAlign w:val="center"/>
          </w:tcPr>
          <w:p w14:paraId="620B55CF">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0.6</w:t>
            </w:r>
          </w:p>
        </w:tc>
        <w:tc>
          <w:tcPr>
            <w:tcW w:w="1149" w:type="dxa"/>
            <w:gridSpan w:val="2"/>
            <w:tcBorders>
              <w:tl2br w:val="nil"/>
              <w:tr2bl w:val="nil"/>
            </w:tcBorders>
            <w:noWrap w:val="0"/>
            <w:vAlign w:val="center"/>
          </w:tcPr>
          <w:p w14:paraId="02116AC1">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达标</w:t>
            </w:r>
          </w:p>
        </w:tc>
      </w:tr>
      <w:tr w14:paraId="5838542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53" w:type="dxa"/>
            <w:vMerge w:val="continue"/>
            <w:tcBorders>
              <w:tl2br w:val="nil"/>
              <w:tr2bl w:val="nil"/>
            </w:tcBorders>
            <w:noWrap w:val="0"/>
            <w:vAlign w:val="center"/>
          </w:tcPr>
          <w:p w14:paraId="5D942909">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44E9DD81">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粪大肠菌群</w:t>
            </w:r>
          </w:p>
        </w:tc>
        <w:tc>
          <w:tcPr>
            <w:tcW w:w="862" w:type="dxa"/>
            <w:tcBorders>
              <w:tl2br w:val="nil"/>
              <w:tr2bl w:val="nil"/>
            </w:tcBorders>
            <w:noWrap w:val="0"/>
            <w:vAlign w:val="center"/>
          </w:tcPr>
          <w:p w14:paraId="23A46FA0">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个/L</w:t>
            </w:r>
          </w:p>
        </w:tc>
        <w:tc>
          <w:tcPr>
            <w:tcW w:w="780" w:type="dxa"/>
            <w:tcBorders>
              <w:tl2br w:val="nil"/>
              <w:tr2bl w:val="nil"/>
            </w:tcBorders>
            <w:noWrap w:val="0"/>
            <w:vAlign w:val="center"/>
          </w:tcPr>
          <w:p w14:paraId="3AAA2974">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580</w:t>
            </w:r>
          </w:p>
        </w:tc>
        <w:tc>
          <w:tcPr>
            <w:tcW w:w="750" w:type="dxa"/>
            <w:gridSpan w:val="2"/>
            <w:tcBorders>
              <w:tl2br w:val="nil"/>
              <w:tr2bl w:val="nil"/>
            </w:tcBorders>
            <w:noWrap w:val="0"/>
            <w:vAlign w:val="center"/>
          </w:tcPr>
          <w:p w14:paraId="54E1FCF6">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650</w:t>
            </w:r>
          </w:p>
        </w:tc>
        <w:tc>
          <w:tcPr>
            <w:tcW w:w="751" w:type="dxa"/>
            <w:gridSpan w:val="2"/>
            <w:tcBorders>
              <w:tl2br w:val="nil"/>
              <w:tr2bl w:val="nil"/>
            </w:tcBorders>
            <w:noWrap w:val="0"/>
            <w:vAlign w:val="center"/>
          </w:tcPr>
          <w:p w14:paraId="64AB60B2">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640</w:t>
            </w:r>
          </w:p>
        </w:tc>
        <w:tc>
          <w:tcPr>
            <w:tcW w:w="1233" w:type="dxa"/>
            <w:tcBorders>
              <w:tl2br w:val="nil"/>
              <w:tr2bl w:val="nil"/>
            </w:tcBorders>
            <w:noWrap w:val="0"/>
            <w:vAlign w:val="center"/>
          </w:tcPr>
          <w:p w14:paraId="442677C9">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10000</w:t>
            </w:r>
          </w:p>
        </w:tc>
        <w:tc>
          <w:tcPr>
            <w:tcW w:w="943" w:type="dxa"/>
            <w:tcBorders>
              <w:tl2br w:val="nil"/>
              <w:tr2bl w:val="nil"/>
            </w:tcBorders>
            <w:noWrap w:val="0"/>
            <w:vAlign w:val="center"/>
          </w:tcPr>
          <w:p w14:paraId="4AD1B268">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0.065</w:t>
            </w:r>
          </w:p>
        </w:tc>
        <w:tc>
          <w:tcPr>
            <w:tcW w:w="1149" w:type="dxa"/>
            <w:gridSpan w:val="2"/>
            <w:tcBorders>
              <w:tl2br w:val="nil"/>
              <w:tr2bl w:val="nil"/>
            </w:tcBorders>
            <w:noWrap w:val="0"/>
            <w:vAlign w:val="center"/>
          </w:tcPr>
          <w:p w14:paraId="36C6643F">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达标</w:t>
            </w:r>
          </w:p>
        </w:tc>
      </w:tr>
      <w:tr w14:paraId="08CECA3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53" w:type="dxa"/>
            <w:vMerge w:val="continue"/>
            <w:tcBorders>
              <w:tl2br w:val="nil"/>
              <w:tr2bl w:val="nil"/>
            </w:tcBorders>
            <w:noWrap w:val="0"/>
            <w:vAlign w:val="center"/>
          </w:tcPr>
          <w:p w14:paraId="78DF8513">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06E65FCB">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总磷</w:t>
            </w:r>
          </w:p>
        </w:tc>
        <w:tc>
          <w:tcPr>
            <w:tcW w:w="862" w:type="dxa"/>
            <w:tcBorders>
              <w:tl2br w:val="nil"/>
              <w:tr2bl w:val="nil"/>
            </w:tcBorders>
            <w:noWrap w:val="0"/>
            <w:vAlign w:val="center"/>
          </w:tcPr>
          <w:p w14:paraId="7A5333EA">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mg/L</w:t>
            </w:r>
          </w:p>
        </w:tc>
        <w:tc>
          <w:tcPr>
            <w:tcW w:w="780" w:type="dxa"/>
            <w:tcBorders>
              <w:tl2br w:val="nil"/>
              <w:tr2bl w:val="nil"/>
            </w:tcBorders>
            <w:noWrap w:val="0"/>
            <w:vAlign w:val="center"/>
          </w:tcPr>
          <w:p w14:paraId="220DEC16">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0.02</w:t>
            </w:r>
          </w:p>
        </w:tc>
        <w:tc>
          <w:tcPr>
            <w:tcW w:w="750" w:type="dxa"/>
            <w:gridSpan w:val="2"/>
            <w:tcBorders>
              <w:tl2br w:val="nil"/>
              <w:tr2bl w:val="nil"/>
            </w:tcBorders>
            <w:noWrap w:val="0"/>
            <w:vAlign w:val="center"/>
          </w:tcPr>
          <w:p w14:paraId="77739062">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0.02</w:t>
            </w:r>
          </w:p>
        </w:tc>
        <w:tc>
          <w:tcPr>
            <w:tcW w:w="751" w:type="dxa"/>
            <w:gridSpan w:val="2"/>
            <w:tcBorders>
              <w:tl2br w:val="nil"/>
              <w:tr2bl w:val="nil"/>
            </w:tcBorders>
            <w:noWrap w:val="0"/>
            <w:vAlign w:val="center"/>
          </w:tcPr>
          <w:p w14:paraId="38AF87FE">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0.03</w:t>
            </w:r>
          </w:p>
        </w:tc>
        <w:tc>
          <w:tcPr>
            <w:tcW w:w="1233" w:type="dxa"/>
            <w:tcBorders>
              <w:tl2br w:val="nil"/>
              <w:tr2bl w:val="nil"/>
            </w:tcBorders>
            <w:noWrap w:val="0"/>
            <w:vAlign w:val="center"/>
          </w:tcPr>
          <w:p w14:paraId="0F7104FD">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0.05</w:t>
            </w:r>
          </w:p>
        </w:tc>
        <w:tc>
          <w:tcPr>
            <w:tcW w:w="943" w:type="dxa"/>
            <w:tcBorders>
              <w:tl2br w:val="nil"/>
              <w:tr2bl w:val="nil"/>
            </w:tcBorders>
            <w:noWrap w:val="0"/>
            <w:vAlign w:val="center"/>
          </w:tcPr>
          <w:p w14:paraId="5E982A41">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0.6</w:t>
            </w:r>
          </w:p>
        </w:tc>
        <w:tc>
          <w:tcPr>
            <w:tcW w:w="1149" w:type="dxa"/>
            <w:gridSpan w:val="2"/>
            <w:tcBorders>
              <w:tl2br w:val="nil"/>
              <w:tr2bl w:val="nil"/>
            </w:tcBorders>
            <w:noWrap w:val="0"/>
            <w:vAlign w:val="center"/>
          </w:tcPr>
          <w:p w14:paraId="3B36AE3B">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达标</w:t>
            </w:r>
          </w:p>
        </w:tc>
      </w:tr>
      <w:tr w14:paraId="55D202B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53" w:type="dxa"/>
            <w:vMerge w:val="continue"/>
            <w:tcBorders>
              <w:tl2br w:val="nil"/>
              <w:tr2bl w:val="nil"/>
            </w:tcBorders>
            <w:noWrap w:val="0"/>
            <w:vAlign w:val="top"/>
          </w:tcPr>
          <w:p w14:paraId="0E069841">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1686DDA1">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叶绿素a</w:t>
            </w:r>
          </w:p>
        </w:tc>
        <w:tc>
          <w:tcPr>
            <w:tcW w:w="862" w:type="dxa"/>
            <w:tcBorders>
              <w:tl2br w:val="nil"/>
              <w:tr2bl w:val="nil"/>
            </w:tcBorders>
            <w:noWrap w:val="0"/>
            <w:vAlign w:val="center"/>
          </w:tcPr>
          <w:p w14:paraId="0D7DAEA3">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ug/L</w:t>
            </w:r>
          </w:p>
        </w:tc>
        <w:tc>
          <w:tcPr>
            <w:tcW w:w="780" w:type="dxa"/>
            <w:tcBorders>
              <w:tl2br w:val="nil"/>
              <w:tr2bl w:val="nil"/>
            </w:tcBorders>
            <w:noWrap w:val="0"/>
            <w:vAlign w:val="center"/>
          </w:tcPr>
          <w:p w14:paraId="544A2E81">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2L</w:t>
            </w:r>
          </w:p>
        </w:tc>
        <w:tc>
          <w:tcPr>
            <w:tcW w:w="750" w:type="dxa"/>
            <w:gridSpan w:val="2"/>
            <w:tcBorders>
              <w:tl2br w:val="nil"/>
              <w:tr2bl w:val="nil"/>
            </w:tcBorders>
            <w:noWrap w:val="0"/>
            <w:vAlign w:val="center"/>
          </w:tcPr>
          <w:p w14:paraId="5EEB7C4E">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2L</w:t>
            </w:r>
          </w:p>
        </w:tc>
        <w:tc>
          <w:tcPr>
            <w:tcW w:w="751" w:type="dxa"/>
            <w:gridSpan w:val="2"/>
            <w:tcBorders>
              <w:tl2br w:val="nil"/>
              <w:tr2bl w:val="nil"/>
            </w:tcBorders>
            <w:noWrap w:val="0"/>
            <w:vAlign w:val="center"/>
          </w:tcPr>
          <w:p w14:paraId="45CF6C51">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2L</w:t>
            </w:r>
          </w:p>
        </w:tc>
        <w:tc>
          <w:tcPr>
            <w:tcW w:w="1233" w:type="dxa"/>
            <w:tcBorders>
              <w:tl2br w:val="nil"/>
              <w:tr2bl w:val="nil"/>
            </w:tcBorders>
            <w:noWrap w:val="0"/>
            <w:vAlign w:val="top"/>
          </w:tcPr>
          <w:p w14:paraId="1447A992">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w:t>
            </w:r>
          </w:p>
        </w:tc>
        <w:tc>
          <w:tcPr>
            <w:tcW w:w="943" w:type="dxa"/>
            <w:tcBorders>
              <w:tl2br w:val="nil"/>
              <w:tr2bl w:val="nil"/>
            </w:tcBorders>
            <w:noWrap w:val="0"/>
            <w:vAlign w:val="top"/>
          </w:tcPr>
          <w:p w14:paraId="17C64FD6">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w:t>
            </w:r>
          </w:p>
        </w:tc>
        <w:tc>
          <w:tcPr>
            <w:tcW w:w="1149" w:type="dxa"/>
            <w:gridSpan w:val="2"/>
            <w:tcBorders>
              <w:tl2br w:val="nil"/>
              <w:tr2bl w:val="nil"/>
            </w:tcBorders>
            <w:noWrap w:val="0"/>
            <w:vAlign w:val="top"/>
          </w:tcPr>
          <w:p w14:paraId="165C8992">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w:t>
            </w:r>
          </w:p>
        </w:tc>
      </w:tr>
      <w:tr w14:paraId="36A2BDC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53" w:type="dxa"/>
            <w:vMerge w:val="continue"/>
            <w:tcBorders>
              <w:tl2br w:val="nil"/>
              <w:tr2bl w:val="nil"/>
            </w:tcBorders>
            <w:noWrap w:val="0"/>
            <w:vAlign w:val="top"/>
          </w:tcPr>
          <w:p w14:paraId="1C157A03">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6D88629F">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高锰酸盐指数</w:t>
            </w:r>
          </w:p>
        </w:tc>
        <w:tc>
          <w:tcPr>
            <w:tcW w:w="862" w:type="dxa"/>
            <w:tcBorders>
              <w:tl2br w:val="nil"/>
              <w:tr2bl w:val="nil"/>
            </w:tcBorders>
            <w:noWrap w:val="0"/>
            <w:vAlign w:val="center"/>
          </w:tcPr>
          <w:p w14:paraId="64AED773">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mg/L</w:t>
            </w:r>
          </w:p>
        </w:tc>
        <w:tc>
          <w:tcPr>
            <w:tcW w:w="780" w:type="dxa"/>
            <w:tcBorders>
              <w:tl2br w:val="nil"/>
              <w:tr2bl w:val="nil"/>
            </w:tcBorders>
            <w:noWrap w:val="0"/>
            <w:vAlign w:val="center"/>
          </w:tcPr>
          <w:p w14:paraId="02A15937">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2.12</w:t>
            </w:r>
          </w:p>
        </w:tc>
        <w:tc>
          <w:tcPr>
            <w:tcW w:w="750" w:type="dxa"/>
            <w:gridSpan w:val="2"/>
            <w:tcBorders>
              <w:tl2br w:val="nil"/>
              <w:tr2bl w:val="nil"/>
            </w:tcBorders>
            <w:noWrap w:val="0"/>
            <w:vAlign w:val="center"/>
          </w:tcPr>
          <w:p w14:paraId="6B1BD3EE">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2.32</w:t>
            </w:r>
          </w:p>
        </w:tc>
        <w:tc>
          <w:tcPr>
            <w:tcW w:w="751" w:type="dxa"/>
            <w:gridSpan w:val="2"/>
            <w:tcBorders>
              <w:tl2br w:val="nil"/>
              <w:tr2bl w:val="nil"/>
            </w:tcBorders>
            <w:noWrap w:val="0"/>
            <w:vAlign w:val="center"/>
          </w:tcPr>
          <w:p w14:paraId="263B4B64">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2.54</w:t>
            </w:r>
          </w:p>
        </w:tc>
        <w:tc>
          <w:tcPr>
            <w:tcW w:w="1233" w:type="dxa"/>
            <w:tcBorders>
              <w:tl2br w:val="nil"/>
              <w:tr2bl w:val="nil"/>
            </w:tcBorders>
            <w:noWrap w:val="0"/>
            <w:vAlign w:val="center"/>
          </w:tcPr>
          <w:p w14:paraId="3EB4724C">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6</w:t>
            </w:r>
          </w:p>
        </w:tc>
        <w:tc>
          <w:tcPr>
            <w:tcW w:w="943" w:type="dxa"/>
            <w:tcBorders>
              <w:tl2br w:val="nil"/>
              <w:tr2bl w:val="nil"/>
            </w:tcBorders>
            <w:noWrap w:val="0"/>
            <w:vAlign w:val="center"/>
          </w:tcPr>
          <w:p w14:paraId="1D8E1473">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0.423</w:t>
            </w:r>
          </w:p>
        </w:tc>
        <w:tc>
          <w:tcPr>
            <w:tcW w:w="1149" w:type="dxa"/>
            <w:gridSpan w:val="2"/>
            <w:tcBorders>
              <w:tl2br w:val="nil"/>
              <w:tr2bl w:val="nil"/>
            </w:tcBorders>
            <w:noWrap w:val="0"/>
            <w:vAlign w:val="center"/>
          </w:tcPr>
          <w:p w14:paraId="08A558A1">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达标</w:t>
            </w:r>
          </w:p>
        </w:tc>
      </w:tr>
      <w:tr w14:paraId="0EF18EC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553" w:type="dxa"/>
            <w:vMerge w:val="continue"/>
            <w:tcBorders>
              <w:tl2br w:val="nil"/>
              <w:tr2bl w:val="nil"/>
            </w:tcBorders>
            <w:noWrap w:val="0"/>
            <w:vAlign w:val="top"/>
          </w:tcPr>
          <w:p w14:paraId="1B8ADFE6">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03ABC59D">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透明度</w:t>
            </w:r>
          </w:p>
        </w:tc>
        <w:tc>
          <w:tcPr>
            <w:tcW w:w="862" w:type="dxa"/>
            <w:tcBorders>
              <w:tl2br w:val="nil"/>
              <w:tr2bl w:val="nil"/>
            </w:tcBorders>
            <w:noWrap w:val="0"/>
            <w:vAlign w:val="top"/>
          </w:tcPr>
          <w:p w14:paraId="1423C926">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cm</w:t>
            </w:r>
          </w:p>
        </w:tc>
        <w:tc>
          <w:tcPr>
            <w:tcW w:w="780" w:type="dxa"/>
            <w:tcBorders>
              <w:tl2br w:val="nil"/>
              <w:tr2bl w:val="nil"/>
            </w:tcBorders>
            <w:noWrap w:val="0"/>
            <w:vAlign w:val="top"/>
          </w:tcPr>
          <w:p w14:paraId="2AA8A197">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13</w:t>
            </w:r>
          </w:p>
        </w:tc>
        <w:tc>
          <w:tcPr>
            <w:tcW w:w="750" w:type="dxa"/>
            <w:gridSpan w:val="2"/>
            <w:tcBorders>
              <w:tl2br w:val="nil"/>
              <w:tr2bl w:val="nil"/>
            </w:tcBorders>
            <w:noWrap w:val="0"/>
            <w:vAlign w:val="top"/>
          </w:tcPr>
          <w:p w14:paraId="44AFF6D8">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14</w:t>
            </w:r>
          </w:p>
        </w:tc>
        <w:tc>
          <w:tcPr>
            <w:tcW w:w="751" w:type="dxa"/>
            <w:gridSpan w:val="2"/>
            <w:tcBorders>
              <w:tl2br w:val="nil"/>
              <w:tr2bl w:val="nil"/>
            </w:tcBorders>
            <w:noWrap w:val="0"/>
            <w:vAlign w:val="top"/>
          </w:tcPr>
          <w:p w14:paraId="61492BCA">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14</w:t>
            </w:r>
          </w:p>
        </w:tc>
        <w:tc>
          <w:tcPr>
            <w:tcW w:w="1233" w:type="dxa"/>
            <w:tcBorders>
              <w:tl2br w:val="nil"/>
              <w:tr2bl w:val="nil"/>
            </w:tcBorders>
            <w:noWrap w:val="0"/>
            <w:vAlign w:val="top"/>
          </w:tcPr>
          <w:p w14:paraId="72F52841">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w:t>
            </w:r>
          </w:p>
        </w:tc>
        <w:tc>
          <w:tcPr>
            <w:tcW w:w="943" w:type="dxa"/>
            <w:tcBorders>
              <w:tl2br w:val="nil"/>
              <w:tr2bl w:val="nil"/>
            </w:tcBorders>
            <w:noWrap w:val="0"/>
            <w:vAlign w:val="top"/>
          </w:tcPr>
          <w:p w14:paraId="46AFEAEC">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w:t>
            </w:r>
          </w:p>
        </w:tc>
        <w:tc>
          <w:tcPr>
            <w:tcW w:w="1149" w:type="dxa"/>
            <w:gridSpan w:val="2"/>
            <w:tcBorders>
              <w:tl2br w:val="nil"/>
              <w:tr2bl w:val="nil"/>
            </w:tcBorders>
            <w:noWrap w:val="0"/>
            <w:vAlign w:val="top"/>
          </w:tcPr>
          <w:p w14:paraId="37281819">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w:t>
            </w:r>
          </w:p>
        </w:tc>
      </w:tr>
      <w:tr w14:paraId="3E5B7EE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gridAfter w:val="1"/>
          <w:wAfter w:w="11" w:type="dxa"/>
          <w:cantSplit/>
          <w:trHeight w:val="340" w:hRule="atLeast"/>
          <w:jc w:val="center"/>
        </w:trPr>
        <w:tc>
          <w:tcPr>
            <w:tcW w:w="553" w:type="dxa"/>
            <w:vMerge w:val="restart"/>
            <w:tcBorders>
              <w:tl2br w:val="nil"/>
              <w:tr2bl w:val="nil"/>
            </w:tcBorders>
            <w:noWrap w:val="0"/>
            <w:vAlign w:val="center"/>
          </w:tcPr>
          <w:p w14:paraId="53E85B26">
            <w:pPr>
              <w:pStyle w:val="45"/>
              <w:bidi w:val="0"/>
              <w:rPr>
                <w:b w:val="0"/>
                <w:bCs/>
                <w:color w:val="auto"/>
                <w:sz w:val="21"/>
                <w:szCs w:val="21"/>
                <w:highlight w:val="none"/>
              </w:rPr>
            </w:pPr>
            <w:r>
              <w:rPr>
                <w:b w:val="0"/>
                <w:bCs/>
                <w:color w:val="auto"/>
                <w:sz w:val="21"/>
                <w:szCs w:val="21"/>
                <w:highlight w:val="none"/>
              </w:rPr>
              <w:t>采样点位</w:t>
            </w:r>
          </w:p>
        </w:tc>
        <w:tc>
          <w:tcPr>
            <w:tcW w:w="1501" w:type="dxa"/>
            <w:vMerge w:val="restart"/>
            <w:tcBorders>
              <w:tl2br w:val="nil"/>
              <w:tr2bl w:val="nil"/>
            </w:tcBorders>
            <w:noWrap w:val="0"/>
            <w:vAlign w:val="center"/>
          </w:tcPr>
          <w:p w14:paraId="1FBAF311">
            <w:pPr>
              <w:pStyle w:val="45"/>
              <w:bidi w:val="0"/>
              <w:rPr>
                <w:b w:val="0"/>
                <w:bCs/>
                <w:color w:val="auto"/>
                <w:sz w:val="21"/>
                <w:szCs w:val="21"/>
                <w:highlight w:val="none"/>
              </w:rPr>
            </w:pPr>
            <w:r>
              <w:rPr>
                <w:b w:val="0"/>
                <w:bCs/>
                <w:color w:val="auto"/>
                <w:sz w:val="21"/>
                <w:szCs w:val="21"/>
                <w:highlight w:val="none"/>
              </w:rPr>
              <w:t>检测项目</w:t>
            </w:r>
          </w:p>
        </w:tc>
        <w:tc>
          <w:tcPr>
            <w:tcW w:w="862" w:type="dxa"/>
            <w:vMerge w:val="restart"/>
            <w:tcBorders>
              <w:tl2br w:val="nil"/>
              <w:tr2bl w:val="nil"/>
            </w:tcBorders>
            <w:noWrap w:val="0"/>
            <w:vAlign w:val="center"/>
          </w:tcPr>
          <w:p w14:paraId="77432256">
            <w:pPr>
              <w:pStyle w:val="45"/>
              <w:bidi w:val="0"/>
              <w:rPr>
                <w:b w:val="0"/>
                <w:bCs/>
                <w:color w:val="auto"/>
                <w:sz w:val="21"/>
                <w:szCs w:val="21"/>
                <w:highlight w:val="none"/>
              </w:rPr>
            </w:pPr>
            <w:r>
              <w:rPr>
                <w:b w:val="0"/>
                <w:bCs/>
                <w:color w:val="auto"/>
                <w:sz w:val="21"/>
                <w:szCs w:val="21"/>
                <w:highlight w:val="none"/>
              </w:rPr>
              <w:t>单位</w:t>
            </w:r>
          </w:p>
        </w:tc>
        <w:tc>
          <w:tcPr>
            <w:tcW w:w="2281" w:type="dxa"/>
            <w:gridSpan w:val="5"/>
            <w:tcBorders>
              <w:tl2br w:val="nil"/>
              <w:tr2bl w:val="nil"/>
            </w:tcBorders>
            <w:noWrap w:val="0"/>
            <w:vAlign w:val="center"/>
          </w:tcPr>
          <w:p w14:paraId="0E0E36AE">
            <w:pPr>
              <w:pStyle w:val="45"/>
              <w:bidi w:val="0"/>
              <w:rPr>
                <w:b w:val="0"/>
                <w:bCs/>
                <w:color w:val="auto"/>
                <w:sz w:val="21"/>
                <w:szCs w:val="21"/>
                <w:highlight w:val="none"/>
              </w:rPr>
            </w:pPr>
            <w:r>
              <w:rPr>
                <w:rFonts w:hint="eastAsia"/>
                <w:b w:val="0"/>
                <w:bCs/>
                <w:color w:val="auto"/>
                <w:sz w:val="21"/>
                <w:szCs w:val="21"/>
                <w:highlight w:val="none"/>
              </w:rPr>
              <w:t>采样</w:t>
            </w:r>
            <w:r>
              <w:rPr>
                <w:rFonts w:hint="eastAsia"/>
                <w:b w:val="0"/>
                <w:bCs/>
                <w:color w:val="auto"/>
                <w:sz w:val="21"/>
                <w:szCs w:val="21"/>
                <w:highlight w:val="none"/>
                <w:lang w:eastAsia="zh-CN"/>
              </w:rPr>
              <w:t>时间</w:t>
            </w:r>
            <w:r>
              <w:rPr>
                <w:rFonts w:hint="eastAsia"/>
                <w:b w:val="0"/>
                <w:bCs/>
                <w:color w:val="auto"/>
                <w:sz w:val="21"/>
                <w:szCs w:val="21"/>
                <w:highlight w:val="none"/>
              </w:rPr>
              <w:t>及</w:t>
            </w:r>
            <w:r>
              <w:rPr>
                <w:b w:val="0"/>
                <w:bCs/>
                <w:color w:val="auto"/>
                <w:sz w:val="21"/>
                <w:szCs w:val="21"/>
                <w:highlight w:val="none"/>
              </w:rPr>
              <w:t>检测结果</w:t>
            </w:r>
          </w:p>
        </w:tc>
        <w:tc>
          <w:tcPr>
            <w:tcW w:w="1233" w:type="dxa"/>
            <w:vMerge w:val="restart"/>
            <w:tcBorders>
              <w:tl2br w:val="nil"/>
              <w:tr2bl w:val="nil"/>
            </w:tcBorders>
            <w:noWrap w:val="0"/>
            <w:vAlign w:val="center"/>
          </w:tcPr>
          <w:p w14:paraId="719A4101">
            <w:pPr>
              <w:pStyle w:val="45"/>
              <w:bidi w:val="0"/>
              <w:rPr>
                <w:b w:val="0"/>
                <w:bCs/>
                <w:color w:val="auto"/>
                <w:sz w:val="21"/>
                <w:szCs w:val="21"/>
                <w:highlight w:val="none"/>
              </w:rPr>
            </w:pPr>
            <w:r>
              <w:rPr>
                <w:rFonts w:hint="eastAsia"/>
                <w:b w:val="0"/>
                <w:bCs/>
                <w:color w:val="auto"/>
                <w:sz w:val="21"/>
                <w:szCs w:val="21"/>
                <w:highlight w:val="none"/>
              </w:rPr>
              <w:t>标准</w:t>
            </w:r>
            <w:r>
              <w:rPr>
                <w:b w:val="0"/>
                <w:bCs/>
                <w:color w:val="auto"/>
                <w:sz w:val="21"/>
                <w:szCs w:val="21"/>
                <w:highlight w:val="none"/>
              </w:rPr>
              <w:t>限值</w:t>
            </w:r>
          </w:p>
        </w:tc>
        <w:tc>
          <w:tcPr>
            <w:tcW w:w="943" w:type="dxa"/>
            <w:vMerge w:val="restart"/>
            <w:tcBorders>
              <w:tl2br w:val="nil"/>
              <w:tr2bl w:val="nil"/>
            </w:tcBorders>
            <w:noWrap w:val="0"/>
            <w:vAlign w:val="center"/>
          </w:tcPr>
          <w:p w14:paraId="738B49D1">
            <w:pPr>
              <w:pStyle w:val="45"/>
              <w:bidi w:val="0"/>
              <w:rPr>
                <w:rFonts w:hint="eastAsia"/>
                <w:b w:val="0"/>
                <w:bCs/>
                <w:color w:val="auto"/>
                <w:sz w:val="21"/>
                <w:szCs w:val="21"/>
                <w:highlight w:val="none"/>
              </w:rPr>
            </w:pPr>
            <w:r>
              <w:rPr>
                <w:rFonts w:hint="eastAsia"/>
                <w:b w:val="0"/>
                <w:bCs/>
                <w:color w:val="auto"/>
                <w:sz w:val="21"/>
                <w:szCs w:val="21"/>
                <w:highlight w:val="none"/>
                <w:lang w:eastAsia="zh-CN"/>
              </w:rPr>
              <w:t>最大标准指数</w:t>
            </w:r>
          </w:p>
        </w:tc>
        <w:tc>
          <w:tcPr>
            <w:tcW w:w="1138" w:type="dxa"/>
            <w:vMerge w:val="restart"/>
            <w:tcBorders>
              <w:tl2br w:val="nil"/>
              <w:tr2bl w:val="nil"/>
            </w:tcBorders>
            <w:noWrap w:val="0"/>
            <w:vAlign w:val="center"/>
          </w:tcPr>
          <w:p w14:paraId="5A7C6A21">
            <w:pPr>
              <w:pStyle w:val="45"/>
              <w:bidi w:val="0"/>
              <w:rPr>
                <w:rFonts w:hint="eastAsia"/>
                <w:b w:val="0"/>
                <w:bCs/>
                <w:color w:val="auto"/>
                <w:sz w:val="21"/>
                <w:szCs w:val="21"/>
                <w:highlight w:val="none"/>
              </w:rPr>
            </w:pPr>
            <w:r>
              <w:rPr>
                <w:rFonts w:hint="eastAsia"/>
                <w:b w:val="0"/>
                <w:bCs/>
                <w:color w:val="auto"/>
                <w:sz w:val="21"/>
                <w:szCs w:val="21"/>
                <w:highlight w:val="none"/>
                <w:lang w:eastAsia="zh-CN"/>
              </w:rPr>
              <w:t>达标情况</w:t>
            </w:r>
          </w:p>
        </w:tc>
      </w:tr>
      <w:tr w14:paraId="5344A88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gridAfter w:val="1"/>
          <w:wAfter w:w="11" w:type="dxa"/>
          <w:cantSplit/>
          <w:trHeight w:val="340" w:hRule="atLeast"/>
          <w:jc w:val="center"/>
        </w:trPr>
        <w:tc>
          <w:tcPr>
            <w:tcW w:w="553" w:type="dxa"/>
            <w:vMerge w:val="continue"/>
            <w:tcBorders>
              <w:tl2br w:val="nil"/>
              <w:tr2bl w:val="nil"/>
            </w:tcBorders>
            <w:noWrap w:val="0"/>
            <w:vAlign w:val="center"/>
          </w:tcPr>
          <w:p w14:paraId="17A31F7E">
            <w:pPr>
              <w:pStyle w:val="45"/>
              <w:bidi w:val="0"/>
              <w:rPr>
                <w:b w:val="0"/>
                <w:bCs/>
                <w:color w:val="auto"/>
                <w:sz w:val="21"/>
                <w:szCs w:val="21"/>
                <w:highlight w:val="none"/>
              </w:rPr>
            </w:pPr>
          </w:p>
        </w:tc>
        <w:tc>
          <w:tcPr>
            <w:tcW w:w="1501" w:type="dxa"/>
            <w:vMerge w:val="continue"/>
            <w:tcBorders>
              <w:tl2br w:val="nil"/>
              <w:tr2bl w:val="nil"/>
            </w:tcBorders>
            <w:noWrap w:val="0"/>
            <w:vAlign w:val="center"/>
          </w:tcPr>
          <w:p w14:paraId="3BF8118E">
            <w:pPr>
              <w:pStyle w:val="45"/>
              <w:bidi w:val="0"/>
              <w:rPr>
                <w:b w:val="0"/>
                <w:bCs/>
                <w:color w:val="auto"/>
                <w:sz w:val="21"/>
                <w:szCs w:val="21"/>
                <w:highlight w:val="none"/>
              </w:rPr>
            </w:pPr>
          </w:p>
        </w:tc>
        <w:tc>
          <w:tcPr>
            <w:tcW w:w="862" w:type="dxa"/>
            <w:vMerge w:val="continue"/>
            <w:tcBorders>
              <w:tl2br w:val="nil"/>
              <w:tr2bl w:val="nil"/>
            </w:tcBorders>
            <w:noWrap w:val="0"/>
            <w:vAlign w:val="center"/>
          </w:tcPr>
          <w:p w14:paraId="41740114">
            <w:pPr>
              <w:pStyle w:val="45"/>
              <w:bidi w:val="0"/>
              <w:rPr>
                <w:b w:val="0"/>
                <w:bCs/>
                <w:color w:val="auto"/>
                <w:sz w:val="21"/>
                <w:szCs w:val="21"/>
                <w:highlight w:val="none"/>
              </w:rPr>
            </w:pPr>
          </w:p>
        </w:tc>
        <w:tc>
          <w:tcPr>
            <w:tcW w:w="791" w:type="dxa"/>
            <w:gridSpan w:val="2"/>
            <w:tcBorders>
              <w:tl2br w:val="nil"/>
              <w:tr2bl w:val="nil"/>
            </w:tcBorders>
            <w:noWrap w:val="0"/>
            <w:vAlign w:val="center"/>
          </w:tcPr>
          <w:p w14:paraId="3C370956">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08.02</w:t>
            </w:r>
          </w:p>
        </w:tc>
        <w:tc>
          <w:tcPr>
            <w:tcW w:w="744" w:type="dxa"/>
            <w:gridSpan w:val="2"/>
            <w:tcBorders>
              <w:tl2br w:val="nil"/>
              <w:tr2bl w:val="nil"/>
            </w:tcBorders>
            <w:noWrap w:val="0"/>
            <w:vAlign w:val="center"/>
          </w:tcPr>
          <w:p w14:paraId="5F8153FE">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08.03</w:t>
            </w:r>
          </w:p>
        </w:tc>
        <w:tc>
          <w:tcPr>
            <w:tcW w:w="746" w:type="dxa"/>
            <w:tcBorders>
              <w:tl2br w:val="nil"/>
              <w:tr2bl w:val="nil"/>
            </w:tcBorders>
            <w:noWrap w:val="0"/>
            <w:vAlign w:val="center"/>
          </w:tcPr>
          <w:p w14:paraId="416CD7FD">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08.04</w:t>
            </w:r>
          </w:p>
        </w:tc>
        <w:tc>
          <w:tcPr>
            <w:tcW w:w="1233" w:type="dxa"/>
            <w:vMerge w:val="continue"/>
            <w:tcBorders>
              <w:tl2br w:val="nil"/>
              <w:tr2bl w:val="nil"/>
            </w:tcBorders>
            <w:noWrap w:val="0"/>
            <w:vAlign w:val="center"/>
          </w:tcPr>
          <w:p w14:paraId="10F5323E">
            <w:pPr>
              <w:pStyle w:val="45"/>
              <w:bidi w:val="0"/>
              <w:rPr>
                <w:b w:val="0"/>
                <w:bCs/>
                <w:color w:val="auto"/>
                <w:sz w:val="21"/>
                <w:szCs w:val="21"/>
                <w:highlight w:val="none"/>
              </w:rPr>
            </w:pPr>
          </w:p>
        </w:tc>
        <w:tc>
          <w:tcPr>
            <w:tcW w:w="943" w:type="dxa"/>
            <w:vMerge w:val="continue"/>
            <w:tcBorders>
              <w:tl2br w:val="nil"/>
              <w:tr2bl w:val="nil"/>
            </w:tcBorders>
            <w:noWrap w:val="0"/>
            <w:vAlign w:val="center"/>
          </w:tcPr>
          <w:p w14:paraId="377D8E10">
            <w:pPr>
              <w:pStyle w:val="45"/>
              <w:bidi w:val="0"/>
              <w:rPr>
                <w:b w:val="0"/>
                <w:bCs/>
                <w:color w:val="auto"/>
                <w:sz w:val="21"/>
                <w:szCs w:val="21"/>
                <w:highlight w:val="none"/>
              </w:rPr>
            </w:pPr>
          </w:p>
        </w:tc>
        <w:tc>
          <w:tcPr>
            <w:tcW w:w="1138" w:type="dxa"/>
            <w:vMerge w:val="continue"/>
            <w:tcBorders>
              <w:tl2br w:val="nil"/>
              <w:tr2bl w:val="nil"/>
            </w:tcBorders>
            <w:noWrap w:val="0"/>
            <w:vAlign w:val="center"/>
          </w:tcPr>
          <w:p w14:paraId="4A3D4F95">
            <w:pPr>
              <w:pStyle w:val="45"/>
              <w:bidi w:val="0"/>
              <w:rPr>
                <w:b w:val="0"/>
                <w:bCs/>
                <w:color w:val="auto"/>
                <w:sz w:val="21"/>
                <w:szCs w:val="21"/>
                <w:highlight w:val="none"/>
              </w:rPr>
            </w:pPr>
          </w:p>
        </w:tc>
      </w:tr>
      <w:tr w14:paraId="650DD62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gridAfter w:val="1"/>
          <w:wAfter w:w="11" w:type="dxa"/>
          <w:trHeight w:val="340" w:hRule="atLeast"/>
          <w:jc w:val="center"/>
        </w:trPr>
        <w:tc>
          <w:tcPr>
            <w:tcW w:w="553" w:type="dxa"/>
            <w:vMerge w:val="restart"/>
            <w:tcBorders>
              <w:top w:val="single" w:color="auto" w:sz="4" w:space="0"/>
              <w:tl2br w:val="nil"/>
              <w:tr2bl w:val="nil"/>
            </w:tcBorders>
            <w:noWrap w:val="0"/>
            <w:vAlign w:val="center"/>
          </w:tcPr>
          <w:p w14:paraId="3EB2DD03">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双江口小溪</w:t>
            </w:r>
          </w:p>
        </w:tc>
        <w:tc>
          <w:tcPr>
            <w:tcW w:w="1501" w:type="dxa"/>
            <w:tcBorders>
              <w:tl2br w:val="nil"/>
              <w:tr2bl w:val="nil"/>
            </w:tcBorders>
            <w:noWrap w:val="0"/>
            <w:vAlign w:val="center"/>
          </w:tcPr>
          <w:p w14:paraId="7A2906DF">
            <w:pPr>
              <w:pStyle w:val="45"/>
              <w:bidi w:val="0"/>
              <w:rPr>
                <w:rFonts w:hint="eastAsia"/>
                <w:b w:val="0"/>
                <w:bCs/>
                <w:color w:val="auto"/>
                <w:sz w:val="21"/>
                <w:szCs w:val="21"/>
                <w:highlight w:val="none"/>
                <w:lang w:val="en-US" w:eastAsia="zh-CN"/>
              </w:rPr>
            </w:pPr>
            <w:r>
              <w:rPr>
                <w:rFonts w:hint="default"/>
                <w:b w:val="0"/>
                <w:bCs/>
                <w:color w:val="auto"/>
                <w:sz w:val="21"/>
                <w:szCs w:val="21"/>
                <w:highlight w:val="none"/>
                <w:lang w:val="en-US" w:eastAsia="zh-CN"/>
              </w:rPr>
              <w:t>pH</w:t>
            </w:r>
          </w:p>
        </w:tc>
        <w:tc>
          <w:tcPr>
            <w:tcW w:w="862" w:type="dxa"/>
            <w:tcBorders>
              <w:tl2br w:val="nil"/>
              <w:tr2bl w:val="nil"/>
            </w:tcBorders>
            <w:noWrap w:val="0"/>
            <w:vAlign w:val="center"/>
          </w:tcPr>
          <w:p w14:paraId="420E6B0D">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无量纲</w:t>
            </w:r>
          </w:p>
        </w:tc>
        <w:tc>
          <w:tcPr>
            <w:tcW w:w="791" w:type="dxa"/>
            <w:gridSpan w:val="2"/>
            <w:tcBorders>
              <w:tl2br w:val="nil"/>
              <w:tr2bl w:val="nil"/>
            </w:tcBorders>
            <w:noWrap w:val="0"/>
            <w:vAlign w:val="center"/>
          </w:tcPr>
          <w:p w14:paraId="4FAC4AF3">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7.0</w:t>
            </w:r>
          </w:p>
        </w:tc>
        <w:tc>
          <w:tcPr>
            <w:tcW w:w="744" w:type="dxa"/>
            <w:gridSpan w:val="2"/>
            <w:tcBorders>
              <w:tl2br w:val="nil"/>
              <w:tr2bl w:val="nil"/>
            </w:tcBorders>
            <w:noWrap w:val="0"/>
            <w:vAlign w:val="center"/>
          </w:tcPr>
          <w:p w14:paraId="5D6D897E">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7.1</w:t>
            </w:r>
          </w:p>
        </w:tc>
        <w:tc>
          <w:tcPr>
            <w:tcW w:w="746" w:type="dxa"/>
            <w:tcBorders>
              <w:tl2br w:val="nil"/>
              <w:tr2bl w:val="nil"/>
            </w:tcBorders>
            <w:noWrap w:val="0"/>
            <w:vAlign w:val="center"/>
          </w:tcPr>
          <w:p w14:paraId="1FE1A3C6">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7.2</w:t>
            </w:r>
          </w:p>
        </w:tc>
        <w:tc>
          <w:tcPr>
            <w:tcW w:w="1233" w:type="dxa"/>
            <w:tcBorders>
              <w:tl2br w:val="nil"/>
              <w:tr2bl w:val="nil"/>
            </w:tcBorders>
            <w:noWrap w:val="0"/>
            <w:vAlign w:val="center"/>
          </w:tcPr>
          <w:p w14:paraId="0BEF3CCD">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6-9</w:t>
            </w:r>
          </w:p>
        </w:tc>
        <w:tc>
          <w:tcPr>
            <w:tcW w:w="943" w:type="dxa"/>
            <w:tcBorders>
              <w:tl2br w:val="nil"/>
              <w:tr2bl w:val="nil"/>
            </w:tcBorders>
            <w:noWrap w:val="0"/>
            <w:vAlign w:val="center"/>
          </w:tcPr>
          <w:p w14:paraId="1CA60048">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0.6</w:t>
            </w:r>
          </w:p>
        </w:tc>
        <w:tc>
          <w:tcPr>
            <w:tcW w:w="1138" w:type="dxa"/>
            <w:tcBorders>
              <w:tl2br w:val="nil"/>
              <w:tr2bl w:val="nil"/>
            </w:tcBorders>
            <w:noWrap w:val="0"/>
            <w:vAlign w:val="center"/>
          </w:tcPr>
          <w:p w14:paraId="49122308">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达标</w:t>
            </w:r>
          </w:p>
        </w:tc>
      </w:tr>
      <w:tr w14:paraId="6915811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gridAfter w:val="1"/>
          <w:wAfter w:w="11" w:type="dxa"/>
          <w:trHeight w:val="340" w:hRule="atLeast"/>
          <w:jc w:val="center"/>
        </w:trPr>
        <w:tc>
          <w:tcPr>
            <w:tcW w:w="553" w:type="dxa"/>
            <w:vMerge w:val="continue"/>
            <w:tcBorders>
              <w:tl2br w:val="nil"/>
              <w:tr2bl w:val="nil"/>
            </w:tcBorders>
            <w:noWrap w:val="0"/>
            <w:vAlign w:val="center"/>
          </w:tcPr>
          <w:p w14:paraId="53300C12">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69A339C4">
            <w:pPr>
              <w:pStyle w:val="45"/>
              <w:bidi w:val="0"/>
              <w:rPr>
                <w:rFonts w:hint="eastAsia"/>
                <w:b w:val="0"/>
                <w:bCs/>
                <w:color w:val="auto"/>
                <w:sz w:val="21"/>
                <w:szCs w:val="21"/>
                <w:highlight w:val="none"/>
                <w:lang w:val="en-US" w:eastAsia="zh-CN"/>
              </w:rPr>
            </w:pPr>
            <w:r>
              <w:rPr>
                <w:rFonts w:hint="default"/>
                <w:b w:val="0"/>
                <w:bCs/>
                <w:color w:val="auto"/>
                <w:sz w:val="21"/>
                <w:szCs w:val="21"/>
                <w:highlight w:val="none"/>
                <w:lang w:val="en-US" w:eastAsia="zh-CN"/>
              </w:rPr>
              <w:t>SS</w:t>
            </w:r>
          </w:p>
        </w:tc>
        <w:tc>
          <w:tcPr>
            <w:tcW w:w="862" w:type="dxa"/>
            <w:tcBorders>
              <w:tl2br w:val="nil"/>
              <w:tr2bl w:val="nil"/>
            </w:tcBorders>
            <w:noWrap w:val="0"/>
            <w:vAlign w:val="center"/>
          </w:tcPr>
          <w:p w14:paraId="2D1F9BFF">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mg/L</w:t>
            </w:r>
          </w:p>
        </w:tc>
        <w:tc>
          <w:tcPr>
            <w:tcW w:w="791" w:type="dxa"/>
            <w:gridSpan w:val="2"/>
            <w:tcBorders>
              <w:tl2br w:val="nil"/>
              <w:tr2bl w:val="nil"/>
            </w:tcBorders>
            <w:noWrap w:val="0"/>
            <w:vAlign w:val="center"/>
          </w:tcPr>
          <w:p w14:paraId="425C2577">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15</w:t>
            </w:r>
          </w:p>
        </w:tc>
        <w:tc>
          <w:tcPr>
            <w:tcW w:w="744" w:type="dxa"/>
            <w:gridSpan w:val="2"/>
            <w:tcBorders>
              <w:tl2br w:val="nil"/>
              <w:tr2bl w:val="nil"/>
            </w:tcBorders>
            <w:noWrap w:val="0"/>
            <w:vAlign w:val="center"/>
          </w:tcPr>
          <w:p w14:paraId="295D6F91">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14</w:t>
            </w:r>
          </w:p>
        </w:tc>
        <w:tc>
          <w:tcPr>
            <w:tcW w:w="746" w:type="dxa"/>
            <w:tcBorders>
              <w:tl2br w:val="nil"/>
              <w:tr2bl w:val="nil"/>
            </w:tcBorders>
            <w:noWrap w:val="0"/>
            <w:vAlign w:val="center"/>
          </w:tcPr>
          <w:p w14:paraId="7B7CA172">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13</w:t>
            </w:r>
          </w:p>
        </w:tc>
        <w:tc>
          <w:tcPr>
            <w:tcW w:w="1233" w:type="dxa"/>
            <w:tcBorders>
              <w:tl2br w:val="nil"/>
              <w:tr2bl w:val="nil"/>
            </w:tcBorders>
            <w:noWrap w:val="0"/>
            <w:vAlign w:val="center"/>
          </w:tcPr>
          <w:p w14:paraId="415FFA9C">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w:t>
            </w:r>
          </w:p>
        </w:tc>
        <w:tc>
          <w:tcPr>
            <w:tcW w:w="943" w:type="dxa"/>
            <w:tcBorders>
              <w:tl2br w:val="nil"/>
              <w:tr2bl w:val="nil"/>
            </w:tcBorders>
            <w:noWrap w:val="0"/>
            <w:vAlign w:val="center"/>
          </w:tcPr>
          <w:p w14:paraId="24BDCE69">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w:t>
            </w:r>
          </w:p>
        </w:tc>
        <w:tc>
          <w:tcPr>
            <w:tcW w:w="1138" w:type="dxa"/>
            <w:tcBorders>
              <w:tl2br w:val="nil"/>
              <w:tr2bl w:val="nil"/>
            </w:tcBorders>
            <w:noWrap w:val="0"/>
            <w:vAlign w:val="center"/>
          </w:tcPr>
          <w:p w14:paraId="7CA790C7">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w:t>
            </w:r>
          </w:p>
        </w:tc>
      </w:tr>
      <w:tr w14:paraId="3A7F017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gridAfter w:val="1"/>
          <w:wAfter w:w="11" w:type="dxa"/>
          <w:trHeight w:val="340" w:hRule="atLeast"/>
          <w:jc w:val="center"/>
        </w:trPr>
        <w:tc>
          <w:tcPr>
            <w:tcW w:w="553" w:type="dxa"/>
            <w:vMerge w:val="continue"/>
            <w:tcBorders>
              <w:tl2br w:val="nil"/>
              <w:tr2bl w:val="nil"/>
            </w:tcBorders>
            <w:noWrap w:val="0"/>
            <w:vAlign w:val="center"/>
          </w:tcPr>
          <w:p w14:paraId="3617ECC9">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0050D1A1">
            <w:pPr>
              <w:pStyle w:val="45"/>
              <w:bidi w:val="0"/>
              <w:rPr>
                <w:rFonts w:hint="eastAsia"/>
                <w:b w:val="0"/>
                <w:bCs/>
                <w:color w:val="auto"/>
                <w:sz w:val="21"/>
                <w:szCs w:val="21"/>
                <w:highlight w:val="none"/>
                <w:lang w:val="en-US" w:eastAsia="zh-CN"/>
              </w:rPr>
            </w:pPr>
            <w:r>
              <w:rPr>
                <w:rFonts w:hint="default"/>
                <w:b w:val="0"/>
                <w:bCs/>
                <w:color w:val="auto"/>
                <w:sz w:val="21"/>
                <w:szCs w:val="21"/>
                <w:highlight w:val="none"/>
                <w:lang w:val="en-US" w:eastAsia="zh-CN"/>
              </w:rPr>
              <w:t>BOD5</w:t>
            </w:r>
          </w:p>
        </w:tc>
        <w:tc>
          <w:tcPr>
            <w:tcW w:w="862" w:type="dxa"/>
            <w:tcBorders>
              <w:tl2br w:val="nil"/>
              <w:tr2bl w:val="nil"/>
            </w:tcBorders>
            <w:noWrap w:val="0"/>
            <w:vAlign w:val="center"/>
          </w:tcPr>
          <w:p w14:paraId="5C859D7C">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mg/L</w:t>
            </w:r>
          </w:p>
        </w:tc>
        <w:tc>
          <w:tcPr>
            <w:tcW w:w="791" w:type="dxa"/>
            <w:gridSpan w:val="2"/>
            <w:tcBorders>
              <w:tl2br w:val="nil"/>
              <w:tr2bl w:val="nil"/>
            </w:tcBorders>
            <w:noWrap w:val="0"/>
            <w:vAlign w:val="center"/>
          </w:tcPr>
          <w:p w14:paraId="58BB13FD">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2.6</w:t>
            </w:r>
          </w:p>
        </w:tc>
        <w:tc>
          <w:tcPr>
            <w:tcW w:w="744" w:type="dxa"/>
            <w:gridSpan w:val="2"/>
            <w:tcBorders>
              <w:tl2br w:val="nil"/>
              <w:tr2bl w:val="nil"/>
            </w:tcBorders>
            <w:noWrap w:val="0"/>
            <w:vAlign w:val="center"/>
          </w:tcPr>
          <w:p w14:paraId="4BBC1D2D">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2.7</w:t>
            </w:r>
          </w:p>
        </w:tc>
        <w:tc>
          <w:tcPr>
            <w:tcW w:w="746" w:type="dxa"/>
            <w:tcBorders>
              <w:tl2br w:val="nil"/>
              <w:tr2bl w:val="nil"/>
            </w:tcBorders>
            <w:noWrap w:val="0"/>
            <w:vAlign w:val="center"/>
          </w:tcPr>
          <w:p w14:paraId="41E4F909">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2.8</w:t>
            </w:r>
          </w:p>
        </w:tc>
        <w:tc>
          <w:tcPr>
            <w:tcW w:w="1233" w:type="dxa"/>
            <w:tcBorders>
              <w:tl2br w:val="nil"/>
              <w:tr2bl w:val="nil"/>
            </w:tcBorders>
            <w:noWrap w:val="0"/>
            <w:vAlign w:val="center"/>
          </w:tcPr>
          <w:p w14:paraId="77CB9F2A">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4</w:t>
            </w:r>
          </w:p>
        </w:tc>
        <w:tc>
          <w:tcPr>
            <w:tcW w:w="943" w:type="dxa"/>
            <w:tcBorders>
              <w:tl2br w:val="nil"/>
              <w:tr2bl w:val="nil"/>
            </w:tcBorders>
            <w:noWrap w:val="0"/>
            <w:vAlign w:val="center"/>
          </w:tcPr>
          <w:p w14:paraId="363F8D90">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0.7</w:t>
            </w:r>
          </w:p>
        </w:tc>
        <w:tc>
          <w:tcPr>
            <w:tcW w:w="1138" w:type="dxa"/>
            <w:tcBorders>
              <w:tl2br w:val="nil"/>
              <w:tr2bl w:val="nil"/>
            </w:tcBorders>
            <w:noWrap w:val="0"/>
            <w:vAlign w:val="center"/>
          </w:tcPr>
          <w:p w14:paraId="095C7D34">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达标</w:t>
            </w:r>
          </w:p>
        </w:tc>
      </w:tr>
      <w:tr w14:paraId="4E583C1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gridAfter w:val="1"/>
          <w:wAfter w:w="11" w:type="dxa"/>
          <w:trHeight w:val="340" w:hRule="atLeast"/>
          <w:jc w:val="center"/>
        </w:trPr>
        <w:tc>
          <w:tcPr>
            <w:tcW w:w="553" w:type="dxa"/>
            <w:vMerge w:val="continue"/>
            <w:tcBorders>
              <w:tl2br w:val="nil"/>
              <w:tr2bl w:val="nil"/>
            </w:tcBorders>
            <w:noWrap w:val="0"/>
            <w:vAlign w:val="center"/>
          </w:tcPr>
          <w:p w14:paraId="40A60EA4">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474D380D">
            <w:pPr>
              <w:pStyle w:val="45"/>
              <w:bidi w:val="0"/>
              <w:rPr>
                <w:rFonts w:hint="eastAsia"/>
                <w:b w:val="0"/>
                <w:bCs/>
                <w:color w:val="auto"/>
                <w:sz w:val="21"/>
                <w:szCs w:val="21"/>
                <w:highlight w:val="none"/>
                <w:lang w:val="en-US" w:eastAsia="zh-CN"/>
              </w:rPr>
            </w:pPr>
            <w:r>
              <w:rPr>
                <w:rFonts w:hint="default"/>
                <w:b w:val="0"/>
                <w:bCs/>
                <w:color w:val="auto"/>
                <w:sz w:val="21"/>
                <w:szCs w:val="21"/>
                <w:highlight w:val="none"/>
                <w:lang w:val="en-US" w:eastAsia="zh-CN"/>
              </w:rPr>
              <w:t>CODCr</w:t>
            </w:r>
          </w:p>
        </w:tc>
        <w:tc>
          <w:tcPr>
            <w:tcW w:w="862" w:type="dxa"/>
            <w:tcBorders>
              <w:tl2br w:val="nil"/>
              <w:tr2bl w:val="nil"/>
            </w:tcBorders>
            <w:noWrap w:val="0"/>
            <w:vAlign w:val="center"/>
          </w:tcPr>
          <w:p w14:paraId="3F89A384">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mg/L</w:t>
            </w:r>
          </w:p>
        </w:tc>
        <w:tc>
          <w:tcPr>
            <w:tcW w:w="791" w:type="dxa"/>
            <w:gridSpan w:val="2"/>
            <w:tcBorders>
              <w:tl2br w:val="nil"/>
              <w:tr2bl w:val="nil"/>
            </w:tcBorders>
            <w:noWrap w:val="0"/>
            <w:vAlign w:val="center"/>
          </w:tcPr>
          <w:p w14:paraId="59A94145">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15</w:t>
            </w:r>
          </w:p>
        </w:tc>
        <w:tc>
          <w:tcPr>
            <w:tcW w:w="744" w:type="dxa"/>
            <w:gridSpan w:val="2"/>
            <w:tcBorders>
              <w:tl2br w:val="nil"/>
              <w:tr2bl w:val="nil"/>
            </w:tcBorders>
            <w:noWrap w:val="0"/>
            <w:vAlign w:val="center"/>
          </w:tcPr>
          <w:p w14:paraId="1B124F24">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14</w:t>
            </w:r>
          </w:p>
        </w:tc>
        <w:tc>
          <w:tcPr>
            <w:tcW w:w="746" w:type="dxa"/>
            <w:tcBorders>
              <w:tl2br w:val="nil"/>
              <w:tr2bl w:val="nil"/>
            </w:tcBorders>
            <w:noWrap w:val="0"/>
            <w:vAlign w:val="center"/>
          </w:tcPr>
          <w:p w14:paraId="65396923">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16</w:t>
            </w:r>
          </w:p>
        </w:tc>
        <w:tc>
          <w:tcPr>
            <w:tcW w:w="1233" w:type="dxa"/>
            <w:tcBorders>
              <w:tl2br w:val="nil"/>
              <w:tr2bl w:val="nil"/>
            </w:tcBorders>
            <w:noWrap w:val="0"/>
            <w:vAlign w:val="center"/>
          </w:tcPr>
          <w:p w14:paraId="4DB71C9A">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20</w:t>
            </w:r>
          </w:p>
        </w:tc>
        <w:tc>
          <w:tcPr>
            <w:tcW w:w="943" w:type="dxa"/>
            <w:tcBorders>
              <w:tl2br w:val="nil"/>
              <w:tr2bl w:val="nil"/>
            </w:tcBorders>
            <w:noWrap w:val="0"/>
            <w:vAlign w:val="center"/>
          </w:tcPr>
          <w:p w14:paraId="1DBF828E">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0.8</w:t>
            </w:r>
          </w:p>
        </w:tc>
        <w:tc>
          <w:tcPr>
            <w:tcW w:w="1138" w:type="dxa"/>
            <w:tcBorders>
              <w:tl2br w:val="nil"/>
              <w:tr2bl w:val="nil"/>
            </w:tcBorders>
            <w:noWrap w:val="0"/>
            <w:vAlign w:val="center"/>
          </w:tcPr>
          <w:p w14:paraId="3FA68E51">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达标</w:t>
            </w:r>
          </w:p>
        </w:tc>
      </w:tr>
      <w:tr w14:paraId="3B6CAED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gridAfter w:val="1"/>
          <w:wAfter w:w="11" w:type="dxa"/>
          <w:trHeight w:val="340" w:hRule="atLeast"/>
          <w:jc w:val="center"/>
        </w:trPr>
        <w:tc>
          <w:tcPr>
            <w:tcW w:w="553" w:type="dxa"/>
            <w:vMerge w:val="continue"/>
            <w:tcBorders>
              <w:tl2br w:val="nil"/>
              <w:tr2bl w:val="nil"/>
            </w:tcBorders>
            <w:noWrap w:val="0"/>
            <w:vAlign w:val="center"/>
          </w:tcPr>
          <w:p w14:paraId="72CF85BD">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30C1320D">
            <w:pPr>
              <w:pStyle w:val="45"/>
              <w:bidi w:val="0"/>
              <w:rPr>
                <w:rFonts w:hint="eastAsia"/>
                <w:b w:val="0"/>
                <w:bCs/>
                <w:color w:val="auto"/>
                <w:sz w:val="21"/>
                <w:szCs w:val="21"/>
                <w:highlight w:val="none"/>
                <w:lang w:val="en-US" w:eastAsia="zh-CN"/>
              </w:rPr>
            </w:pPr>
            <w:r>
              <w:rPr>
                <w:rFonts w:hint="default"/>
                <w:b w:val="0"/>
                <w:bCs/>
                <w:color w:val="auto"/>
                <w:sz w:val="21"/>
                <w:szCs w:val="21"/>
                <w:highlight w:val="none"/>
                <w:lang w:val="en-US" w:eastAsia="zh-CN"/>
              </w:rPr>
              <w:t>氨氮</w:t>
            </w:r>
          </w:p>
        </w:tc>
        <w:tc>
          <w:tcPr>
            <w:tcW w:w="862" w:type="dxa"/>
            <w:tcBorders>
              <w:tl2br w:val="nil"/>
              <w:tr2bl w:val="nil"/>
            </w:tcBorders>
            <w:noWrap w:val="0"/>
            <w:vAlign w:val="center"/>
          </w:tcPr>
          <w:p w14:paraId="7B43DAE2">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mg/L</w:t>
            </w:r>
          </w:p>
        </w:tc>
        <w:tc>
          <w:tcPr>
            <w:tcW w:w="791" w:type="dxa"/>
            <w:gridSpan w:val="2"/>
            <w:tcBorders>
              <w:tl2br w:val="nil"/>
              <w:tr2bl w:val="nil"/>
            </w:tcBorders>
            <w:noWrap w:val="0"/>
            <w:vAlign w:val="center"/>
          </w:tcPr>
          <w:p w14:paraId="21866796">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0.424</w:t>
            </w:r>
          </w:p>
        </w:tc>
        <w:tc>
          <w:tcPr>
            <w:tcW w:w="744" w:type="dxa"/>
            <w:gridSpan w:val="2"/>
            <w:tcBorders>
              <w:tl2br w:val="nil"/>
              <w:tr2bl w:val="nil"/>
            </w:tcBorders>
            <w:noWrap w:val="0"/>
            <w:vAlign w:val="center"/>
          </w:tcPr>
          <w:p w14:paraId="19297D92">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0.414</w:t>
            </w:r>
          </w:p>
        </w:tc>
        <w:tc>
          <w:tcPr>
            <w:tcW w:w="746" w:type="dxa"/>
            <w:tcBorders>
              <w:tl2br w:val="nil"/>
              <w:tr2bl w:val="nil"/>
            </w:tcBorders>
            <w:noWrap w:val="0"/>
            <w:vAlign w:val="center"/>
          </w:tcPr>
          <w:p w14:paraId="49B07827">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0.453</w:t>
            </w:r>
          </w:p>
        </w:tc>
        <w:tc>
          <w:tcPr>
            <w:tcW w:w="1233" w:type="dxa"/>
            <w:tcBorders>
              <w:tl2br w:val="nil"/>
              <w:tr2bl w:val="nil"/>
            </w:tcBorders>
            <w:noWrap w:val="0"/>
            <w:vAlign w:val="center"/>
          </w:tcPr>
          <w:p w14:paraId="4A924DD9">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1.0</w:t>
            </w:r>
          </w:p>
        </w:tc>
        <w:tc>
          <w:tcPr>
            <w:tcW w:w="943" w:type="dxa"/>
            <w:tcBorders>
              <w:tl2br w:val="nil"/>
              <w:tr2bl w:val="nil"/>
            </w:tcBorders>
            <w:noWrap w:val="0"/>
            <w:vAlign w:val="center"/>
          </w:tcPr>
          <w:p w14:paraId="5A7B7553">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0.45</w:t>
            </w:r>
          </w:p>
        </w:tc>
        <w:tc>
          <w:tcPr>
            <w:tcW w:w="1138" w:type="dxa"/>
            <w:tcBorders>
              <w:tl2br w:val="nil"/>
              <w:tr2bl w:val="nil"/>
            </w:tcBorders>
            <w:noWrap w:val="0"/>
            <w:vAlign w:val="center"/>
          </w:tcPr>
          <w:p w14:paraId="495F9BC9">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达标</w:t>
            </w:r>
          </w:p>
        </w:tc>
      </w:tr>
      <w:tr w14:paraId="63B4F7C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gridAfter w:val="1"/>
          <w:wAfter w:w="11" w:type="dxa"/>
          <w:trHeight w:val="340" w:hRule="atLeast"/>
          <w:jc w:val="center"/>
        </w:trPr>
        <w:tc>
          <w:tcPr>
            <w:tcW w:w="553" w:type="dxa"/>
            <w:vMerge w:val="continue"/>
            <w:tcBorders>
              <w:tl2br w:val="nil"/>
              <w:tr2bl w:val="nil"/>
            </w:tcBorders>
            <w:noWrap w:val="0"/>
            <w:vAlign w:val="center"/>
          </w:tcPr>
          <w:p w14:paraId="6BA31B7C">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5E68884A">
            <w:pPr>
              <w:pStyle w:val="45"/>
              <w:bidi w:val="0"/>
              <w:rPr>
                <w:rFonts w:hint="eastAsia"/>
                <w:b w:val="0"/>
                <w:bCs/>
                <w:color w:val="auto"/>
                <w:sz w:val="21"/>
                <w:szCs w:val="21"/>
                <w:highlight w:val="none"/>
                <w:lang w:val="en-US" w:eastAsia="zh-CN"/>
              </w:rPr>
            </w:pPr>
            <w:r>
              <w:rPr>
                <w:rFonts w:hint="default"/>
                <w:b w:val="0"/>
                <w:bCs/>
                <w:color w:val="auto"/>
                <w:sz w:val="21"/>
                <w:szCs w:val="21"/>
                <w:highlight w:val="none"/>
                <w:lang w:val="en-US" w:eastAsia="zh-CN"/>
              </w:rPr>
              <w:t>石油类</w:t>
            </w:r>
          </w:p>
        </w:tc>
        <w:tc>
          <w:tcPr>
            <w:tcW w:w="862" w:type="dxa"/>
            <w:tcBorders>
              <w:tl2br w:val="nil"/>
              <w:tr2bl w:val="nil"/>
            </w:tcBorders>
            <w:noWrap w:val="0"/>
            <w:vAlign w:val="center"/>
          </w:tcPr>
          <w:p w14:paraId="7D7B01AA">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mg/L</w:t>
            </w:r>
          </w:p>
        </w:tc>
        <w:tc>
          <w:tcPr>
            <w:tcW w:w="791" w:type="dxa"/>
            <w:gridSpan w:val="2"/>
            <w:tcBorders>
              <w:tl2br w:val="nil"/>
              <w:tr2bl w:val="nil"/>
            </w:tcBorders>
            <w:noWrap w:val="0"/>
            <w:vAlign w:val="center"/>
          </w:tcPr>
          <w:p w14:paraId="55E1EB8D">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0.03</w:t>
            </w:r>
          </w:p>
        </w:tc>
        <w:tc>
          <w:tcPr>
            <w:tcW w:w="744" w:type="dxa"/>
            <w:gridSpan w:val="2"/>
            <w:tcBorders>
              <w:tl2br w:val="nil"/>
              <w:tr2bl w:val="nil"/>
            </w:tcBorders>
            <w:noWrap w:val="0"/>
            <w:vAlign w:val="center"/>
          </w:tcPr>
          <w:p w14:paraId="3AD1B07D">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0.02</w:t>
            </w:r>
          </w:p>
        </w:tc>
        <w:tc>
          <w:tcPr>
            <w:tcW w:w="746" w:type="dxa"/>
            <w:tcBorders>
              <w:tl2br w:val="nil"/>
              <w:tr2bl w:val="nil"/>
            </w:tcBorders>
            <w:noWrap w:val="0"/>
            <w:vAlign w:val="center"/>
          </w:tcPr>
          <w:p w14:paraId="7E44E71B">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0.02</w:t>
            </w:r>
          </w:p>
        </w:tc>
        <w:tc>
          <w:tcPr>
            <w:tcW w:w="1233" w:type="dxa"/>
            <w:tcBorders>
              <w:tl2br w:val="nil"/>
              <w:tr2bl w:val="nil"/>
            </w:tcBorders>
            <w:noWrap w:val="0"/>
            <w:vAlign w:val="center"/>
          </w:tcPr>
          <w:p w14:paraId="7730C90E">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0.05</w:t>
            </w:r>
          </w:p>
        </w:tc>
        <w:tc>
          <w:tcPr>
            <w:tcW w:w="943" w:type="dxa"/>
            <w:tcBorders>
              <w:tl2br w:val="nil"/>
              <w:tr2bl w:val="nil"/>
            </w:tcBorders>
            <w:noWrap w:val="0"/>
            <w:vAlign w:val="center"/>
          </w:tcPr>
          <w:p w14:paraId="57D10ABB">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0.6</w:t>
            </w:r>
          </w:p>
        </w:tc>
        <w:tc>
          <w:tcPr>
            <w:tcW w:w="1138" w:type="dxa"/>
            <w:tcBorders>
              <w:tl2br w:val="nil"/>
              <w:tr2bl w:val="nil"/>
            </w:tcBorders>
            <w:noWrap w:val="0"/>
            <w:vAlign w:val="center"/>
          </w:tcPr>
          <w:p w14:paraId="27BF8BE5">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达标</w:t>
            </w:r>
          </w:p>
        </w:tc>
      </w:tr>
      <w:tr w14:paraId="11D95B1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gridAfter w:val="1"/>
          <w:wAfter w:w="11" w:type="dxa"/>
          <w:trHeight w:val="340" w:hRule="atLeast"/>
          <w:jc w:val="center"/>
        </w:trPr>
        <w:tc>
          <w:tcPr>
            <w:tcW w:w="553" w:type="dxa"/>
            <w:vMerge w:val="continue"/>
            <w:tcBorders>
              <w:tl2br w:val="nil"/>
              <w:tr2bl w:val="nil"/>
            </w:tcBorders>
            <w:noWrap w:val="0"/>
            <w:vAlign w:val="center"/>
          </w:tcPr>
          <w:p w14:paraId="3AAB1420">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0037147F">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粪大肠菌群</w:t>
            </w:r>
          </w:p>
        </w:tc>
        <w:tc>
          <w:tcPr>
            <w:tcW w:w="862" w:type="dxa"/>
            <w:tcBorders>
              <w:tl2br w:val="nil"/>
              <w:tr2bl w:val="nil"/>
            </w:tcBorders>
            <w:noWrap w:val="0"/>
            <w:vAlign w:val="center"/>
          </w:tcPr>
          <w:p w14:paraId="11841F99">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个/L</w:t>
            </w:r>
          </w:p>
        </w:tc>
        <w:tc>
          <w:tcPr>
            <w:tcW w:w="791" w:type="dxa"/>
            <w:gridSpan w:val="2"/>
            <w:tcBorders>
              <w:tl2br w:val="nil"/>
              <w:tr2bl w:val="nil"/>
            </w:tcBorders>
            <w:noWrap w:val="0"/>
            <w:vAlign w:val="center"/>
          </w:tcPr>
          <w:p w14:paraId="1C902431">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850</w:t>
            </w:r>
          </w:p>
        </w:tc>
        <w:tc>
          <w:tcPr>
            <w:tcW w:w="744" w:type="dxa"/>
            <w:gridSpan w:val="2"/>
            <w:tcBorders>
              <w:tl2br w:val="nil"/>
              <w:tr2bl w:val="nil"/>
            </w:tcBorders>
            <w:noWrap w:val="0"/>
            <w:vAlign w:val="center"/>
          </w:tcPr>
          <w:p w14:paraId="61B82C67">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920</w:t>
            </w:r>
          </w:p>
        </w:tc>
        <w:tc>
          <w:tcPr>
            <w:tcW w:w="746" w:type="dxa"/>
            <w:tcBorders>
              <w:tl2br w:val="nil"/>
              <w:tr2bl w:val="nil"/>
            </w:tcBorders>
            <w:noWrap w:val="0"/>
            <w:vAlign w:val="center"/>
          </w:tcPr>
          <w:p w14:paraId="43462BC5">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800</w:t>
            </w:r>
          </w:p>
        </w:tc>
        <w:tc>
          <w:tcPr>
            <w:tcW w:w="1233" w:type="dxa"/>
            <w:tcBorders>
              <w:tl2br w:val="nil"/>
              <w:tr2bl w:val="nil"/>
            </w:tcBorders>
            <w:noWrap w:val="0"/>
            <w:vAlign w:val="center"/>
          </w:tcPr>
          <w:p w14:paraId="3C11528A">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10000</w:t>
            </w:r>
          </w:p>
        </w:tc>
        <w:tc>
          <w:tcPr>
            <w:tcW w:w="943" w:type="dxa"/>
            <w:tcBorders>
              <w:tl2br w:val="nil"/>
              <w:tr2bl w:val="nil"/>
            </w:tcBorders>
            <w:noWrap w:val="0"/>
            <w:vAlign w:val="center"/>
          </w:tcPr>
          <w:p w14:paraId="0CFB7D73">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0.09</w:t>
            </w:r>
          </w:p>
        </w:tc>
        <w:tc>
          <w:tcPr>
            <w:tcW w:w="1138" w:type="dxa"/>
            <w:tcBorders>
              <w:tl2br w:val="nil"/>
              <w:tr2bl w:val="nil"/>
            </w:tcBorders>
            <w:noWrap w:val="0"/>
            <w:vAlign w:val="center"/>
          </w:tcPr>
          <w:p w14:paraId="70495A2B">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达标</w:t>
            </w:r>
          </w:p>
        </w:tc>
      </w:tr>
      <w:tr w14:paraId="15951C6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gridAfter w:val="1"/>
          <w:wAfter w:w="11" w:type="dxa"/>
          <w:trHeight w:val="340" w:hRule="atLeast"/>
          <w:jc w:val="center"/>
        </w:trPr>
        <w:tc>
          <w:tcPr>
            <w:tcW w:w="553" w:type="dxa"/>
            <w:vMerge w:val="restart"/>
            <w:tcBorders>
              <w:top w:val="single" w:color="auto" w:sz="4" w:space="0"/>
              <w:tl2br w:val="nil"/>
              <w:tr2bl w:val="nil"/>
            </w:tcBorders>
            <w:noWrap w:val="0"/>
            <w:vAlign w:val="center"/>
          </w:tcPr>
          <w:p w14:paraId="4C391B09">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车壁塘河</w:t>
            </w:r>
          </w:p>
        </w:tc>
        <w:tc>
          <w:tcPr>
            <w:tcW w:w="1501" w:type="dxa"/>
            <w:tcBorders>
              <w:tl2br w:val="nil"/>
              <w:tr2bl w:val="nil"/>
            </w:tcBorders>
            <w:noWrap w:val="0"/>
            <w:vAlign w:val="center"/>
          </w:tcPr>
          <w:p w14:paraId="732E9B90">
            <w:pPr>
              <w:pStyle w:val="45"/>
              <w:bidi w:val="0"/>
              <w:rPr>
                <w:rFonts w:hint="eastAsia"/>
                <w:b w:val="0"/>
                <w:bCs/>
                <w:color w:val="auto"/>
                <w:sz w:val="21"/>
                <w:szCs w:val="21"/>
                <w:highlight w:val="none"/>
                <w:lang w:val="en-US" w:eastAsia="zh-CN"/>
              </w:rPr>
            </w:pPr>
            <w:r>
              <w:rPr>
                <w:rFonts w:hint="default"/>
                <w:b w:val="0"/>
                <w:bCs/>
                <w:color w:val="auto"/>
                <w:sz w:val="21"/>
                <w:szCs w:val="21"/>
                <w:highlight w:val="none"/>
                <w:lang w:val="en-US" w:eastAsia="zh-CN"/>
              </w:rPr>
              <w:t>pH</w:t>
            </w:r>
          </w:p>
        </w:tc>
        <w:tc>
          <w:tcPr>
            <w:tcW w:w="862" w:type="dxa"/>
            <w:tcBorders>
              <w:tl2br w:val="nil"/>
              <w:tr2bl w:val="nil"/>
            </w:tcBorders>
            <w:noWrap w:val="0"/>
            <w:vAlign w:val="center"/>
          </w:tcPr>
          <w:p w14:paraId="6916A35D">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无量纲</w:t>
            </w:r>
          </w:p>
        </w:tc>
        <w:tc>
          <w:tcPr>
            <w:tcW w:w="791" w:type="dxa"/>
            <w:gridSpan w:val="2"/>
            <w:tcBorders>
              <w:tl2br w:val="nil"/>
              <w:tr2bl w:val="nil"/>
            </w:tcBorders>
            <w:noWrap w:val="0"/>
            <w:vAlign w:val="center"/>
          </w:tcPr>
          <w:p w14:paraId="158875F2">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7.2</w:t>
            </w:r>
          </w:p>
        </w:tc>
        <w:tc>
          <w:tcPr>
            <w:tcW w:w="744" w:type="dxa"/>
            <w:gridSpan w:val="2"/>
            <w:tcBorders>
              <w:tl2br w:val="nil"/>
              <w:tr2bl w:val="nil"/>
            </w:tcBorders>
            <w:noWrap w:val="0"/>
            <w:vAlign w:val="center"/>
          </w:tcPr>
          <w:p w14:paraId="5A71E01C">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7.1</w:t>
            </w:r>
          </w:p>
        </w:tc>
        <w:tc>
          <w:tcPr>
            <w:tcW w:w="746" w:type="dxa"/>
            <w:tcBorders>
              <w:tl2br w:val="nil"/>
              <w:tr2bl w:val="nil"/>
            </w:tcBorders>
            <w:noWrap w:val="0"/>
            <w:vAlign w:val="center"/>
          </w:tcPr>
          <w:p w14:paraId="4941E543">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7.2</w:t>
            </w:r>
          </w:p>
        </w:tc>
        <w:tc>
          <w:tcPr>
            <w:tcW w:w="1233" w:type="dxa"/>
            <w:tcBorders>
              <w:tl2br w:val="nil"/>
              <w:tr2bl w:val="nil"/>
            </w:tcBorders>
            <w:noWrap w:val="0"/>
            <w:vAlign w:val="center"/>
          </w:tcPr>
          <w:p w14:paraId="24ADB731">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6-9</w:t>
            </w:r>
          </w:p>
        </w:tc>
        <w:tc>
          <w:tcPr>
            <w:tcW w:w="943" w:type="dxa"/>
            <w:tcBorders>
              <w:tl2br w:val="nil"/>
              <w:tr2bl w:val="nil"/>
            </w:tcBorders>
            <w:noWrap w:val="0"/>
            <w:vAlign w:val="center"/>
          </w:tcPr>
          <w:p w14:paraId="06D3502D">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0.6</w:t>
            </w:r>
          </w:p>
        </w:tc>
        <w:tc>
          <w:tcPr>
            <w:tcW w:w="1138" w:type="dxa"/>
            <w:tcBorders>
              <w:tl2br w:val="nil"/>
              <w:tr2bl w:val="nil"/>
            </w:tcBorders>
            <w:noWrap w:val="0"/>
            <w:vAlign w:val="center"/>
          </w:tcPr>
          <w:p w14:paraId="34C4647E">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达标</w:t>
            </w:r>
          </w:p>
        </w:tc>
      </w:tr>
      <w:tr w14:paraId="78A1906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gridAfter w:val="1"/>
          <w:wAfter w:w="11" w:type="dxa"/>
          <w:trHeight w:val="340" w:hRule="atLeast"/>
          <w:jc w:val="center"/>
        </w:trPr>
        <w:tc>
          <w:tcPr>
            <w:tcW w:w="553" w:type="dxa"/>
            <w:vMerge w:val="continue"/>
            <w:tcBorders>
              <w:tl2br w:val="nil"/>
              <w:tr2bl w:val="nil"/>
            </w:tcBorders>
            <w:noWrap w:val="0"/>
            <w:vAlign w:val="center"/>
          </w:tcPr>
          <w:p w14:paraId="412FD48B">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514612DE">
            <w:pPr>
              <w:pStyle w:val="45"/>
              <w:bidi w:val="0"/>
              <w:rPr>
                <w:rFonts w:hint="eastAsia"/>
                <w:b w:val="0"/>
                <w:bCs/>
                <w:color w:val="auto"/>
                <w:sz w:val="21"/>
                <w:szCs w:val="21"/>
                <w:highlight w:val="none"/>
                <w:lang w:val="en-US" w:eastAsia="zh-CN"/>
              </w:rPr>
            </w:pPr>
            <w:r>
              <w:rPr>
                <w:rFonts w:hint="default"/>
                <w:b w:val="0"/>
                <w:bCs/>
                <w:color w:val="auto"/>
                <w:sz w:val="21"/>
                <w:szCs w:val="21"/>
                <w:highlight w:val="none"/>
                <w:lang w:val="en-US" w:eastAsia="zh-CN"/>
              </w:rPr>
              <w:t>SS</w:t>
            </w:r>
          </w:p>
        </w:tc>
        <w:tc>
          <w:tcPr>
            <w:tcW w:w="862" w:type="dxa"/>
            <w:tcBorders>
              <w:tl2br w:val="nil"/>
              <w:tr2bl w:val="nil"/>
            </w:tcBorders>
            <w:noWrap w:val="0"/>
            <w:vAlign w:val="center"/>
          </w:tcPr>
          <w:p w14:paraId="25F8C493">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mg/L</w:t>
            </w:r>
          </w:p>
        </w:tc>
        <w:tc>
          <w:tcPr>
            <w:tcW w:w="791" w:type="dxa"/>
            <w:gridSpan w:val="2"/>
            <w:tcBorders>
              <w:tl2br w:val="nil"/>
              <w:tr2bl w:val="nil"/>
            </w:tcBorders>
            <w:noWrap w:val="0"/>
            <w:vAlign w:val="center"/>
          </w:tcPr>
          <w:p w14:paraId="7149B18F">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9</w:t>
            </w:r>
          </w:p>
        </w:tc>
        <w:tc>
          <w:tcPr>
            <w:tcW w:w="744" w:type="dxa"/>
            <w:gridSpan w:val="2"/>
            <w:tcBorders>
              <w:tl2br w:val="nil"/>
              <w:tr2bl w:val="nil"/>
            </w:tcBorders>
            <w:noWrap w:val="0"/>
            <w:vAlign w:val="center"/>
          </w:tcPr>
          <w:p w14:paraId="705E2613">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11</w:t>
            </w:r>
          </w:p>
        </w:tc>
        <w:tc>
          <w:tcPr>
            <w:tcW w:w="746" w:type="dxa"/>
            <w:tcBorders>
              <w:tl2br w:val="nil"/>
              <w:tr2bl w:val="nil"/>
            </w:tcBorders>
            <w:noWrap w:val="0"/>
            <w:vAlign w:val="center"/>
          </w:tcPr>
          <w:p w14:paraId="35903F91">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10</w:t>
            </w:r>
          </w:p>
        </w:tc>
        <w:tc>
          <w:tcPr>
            <w:tcW w:w="1233" w:type="dxa"/>
            <w:tcBorders>
              <w:tl2br w:val="nil"/>
              <w:tr2bl w:val="nil"/>
            </w:tcBorders>
            <w:noWrap w:val="0"/>
            <w:vAlign w:val="center"/>
          </w:tcPr>
          <w:p w14:paraId="46083684">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w:t>
            </w:r>
          </w:p>
        </w:tc>
        <w:tc>
          <w:tcPr>
            <w:tcW w:w="943" w:type="dxa"/>
            <w:tcBorders>
              <w:tl2br w:val="nil"/>
              <w:tr2bl w:val="nil"/>
            </w:tcBorders>
            <w:noWrap w:val="0"/>
            <w:vAlign w:val="center"/>
          </w:tcPr>
          <w:p w14:paraId="6E226D3A">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w:t>
            </w:r>
          </w:p>
        </w:tc>
        <w:tc>
          <w:tcPr>
            <w:tcW w:w="1138" w:type="dxa"/>
            <w:tcBorders>
              <w:tl2br w:val="nil"/>
              <w:tr2bl w:val="nil"/>
            </w:tcBorders>
            <w:noWrap w:val="0"/>
            <w:vAlign w:val="center"/>
          </w:tcPr>
          <w:p w14:paraId="5DA0AD16">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w:t>
            </w:r>
          </w:p>
        </w:tc>
      </w:tr>
      <w:tr w14:paraId="0E8581A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gridAfter w:val="1"/>
          <w:wAfter w:w="11" w:type="dxa"/>
          <w:trHeight w:val="340" w:hRule="atLeast"/>
          <w:jc w:val="center"/>
        </w:trPr>
        <w:tc>
          <w:tcPr>
            <w:tcW w:w="553" w:type="dxa"/>
            <w:vMerge w:val="continue"/>
            <w:tcBorders>
              <w:tl2br w:val="nil"/>
              <w:tr2bl w:val="nil"/>
            </w:tcBorders>
            <w:noWrap w:val="0"/>
            <w:vAlign w:val="center"/>
          </w:tcPr>
          <w:p w14:paraId="67A2A3C0">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4E345878">
            <w:pPr>
              <w:pStyle w:val="45"/>
              <w:bidi w:val="0"/>
              <w:rPr>
                <w:rFonts w:hint="eastAsia"/>
                <w:b w:val="0"/>
                <w:bCs/>
                <w:color w:val="auto"/>
                <w:sz w:val="21"/>
                <w:szCs w:val="21"/>
                <w:highlight w:val="none"/>
                <w:lang w:val="en-US" w:eastAsia="zh-CN"/>
              </w:rPr>
            </w:pPr>
            <w:r>
              <w:rPr>
                <w:rFonts w:hint="default"/>
                <w:b w:val="0"/>
                <w:bCs/>
                <w:color w:val="auto"/>
                <w:sz w:val="21"/>
                <w:szCs w:val="21"/>
                <w:highlight w:val="none"/>
                <w:lang w:val="en-US" w:eastAsia="zh-CN"/>
              </w:rPr>
              <w:t>BOD5</w:t>
            </w:r>
          </w:p>
        </w:tc>
        <w:tc>
          <w:tcPr>
            <w:tcW w:w="862" w:type="dxa"/>
            <w:tcBorders>
              <w:tl2br w:val="nil"/>
              <w:tr2bl w:val="nil"/>
            </w:tcBorders>
            <w:noWrap w:val="0"/>
            <w:vAlign w:val="center"/>
          </w:tcPr>
          <w:p w14:paraId="5B8C9653">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mg/L</w:t>
            </w:r>
          </w:p>
        </w:tc>
        <w:tc>
          <w:tcPr>
            <w:tcW w:w="791" w:type="dxa"/>
            <w:gridSpan w:val="2"/>
            <w:tcBorders>
              <w:tl2br w:val="nil"/>
              <w:tr2bl w:val="nil"/>
            </w:tcBorders>
            <w:noWrap w:val="0"/>
            <w:vAlign w:val="center"/>
          </w:tcPr>
          <w:p w14:paraId="7FCBEE16">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2.1</w:t>
            </w:r>
          </w:p>
        </w:tc>
        <w:tc>
          <w:tcPr>
            <w:tcW w:w="744" w:type="dxa"/>
            <w:gridSpan w:val="2"/>
            <w:tcBorders>
              <w:tl2br w:val="nil"/>
              <w:tr2bl w:val="nil"/>
            </w:tcBorders>
            <w:noWrap w:val="0"/>
            <w:vAlign w:val="center"/>
          </w:tcPr>
          <w:p w14:paraId="034C61E4">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2.3</w:t>
            </w:r>
          </w:p>
        </w:tc>
        <w:tc>
          <w:tcPr>
            <w:tcW w:w="746" w:type="dxa"/>
            <w:tcBorders>
              <w:tl2br w:val="nil"/>
              <w:tr2bl w:val="nil"/>
            </w:tcBorders>
            <w:noWrap w:val="0"/>
            <w:vAlign w:val="center"/>
          </w:tcPr>
          <w:p w14:paraId="39E25AC6">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2.5</w:t>
            </w:r>
          </w:p>
        </w:tc>
        <w:tc>
          <w:tcPr>
            <w:tcW w:w="1233" w:type="dxa"/>
            <w:tcBorders>
              <w:tl2br w:val="nil"/>
              <w:tr2bl w:val="nil"/>
            </w:tcBorders>
            <w:noWrap w:val="0"/>
            <w:vAlign w:val="center"/>
          </w:tcPr>
          <w:p w14:paraId="4C3B032B">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4</w:t>
            </w:r>
          </w:p>
        </w:tc>
        <w:tc>
          <w:tcPr>
            <w:tcW w:w="943" w:type="dxa"/>
            <w:tcBorders>
              <w:tl2br w:val="nil"/>
              <w:tr2bl w:val="nil"/>
            </w:tcBorders>
            <w:noWrap w:val="0"/>
            <w:vAlign w:val="center"/>
          </w:tcPr>
          <w:p w14:paraId="14B3C5AA">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0.63</w:t>
            </w:r>
          </w:p>
        </w:tc>
        <w:tc>
          <w:tcPr>
            <w:tcW w:w="1138" w:type="dxa"/>
            <w:tcBorders>
              <w:tl2br w:val="nil"/>
              <w:tr2bl w:val="nil"/>
            </w:tcBorders>
            <w:noWrap w:val="0"/>
            <w:vAlign w:val="center"/>
          </w:tcPr>
          <w:p w14:paraId="4A64BF20">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达标</w:t>
            </w:r>
          </w:p>
        </w:tc>
      </w:tr>
      <w:tr w14:paraId="3BA36C0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gridAfter w:val="1"/>
          <w:wAfter w:w="11" w:type="dxa"/>
          <w:trHeight w:val="340" w:hRule="atLeast"/>
          <w:jc w:val="center"/>
        </w:trPr>
        <w:tc>
          <w:tcPr>
            <w:tcW w:w="553" w:type="dxa"/>
            <w:vMerge w:val="continue"/>
            <w:tcBorders>
              <w:tl2br w:val="nil"/>
              <w:tr2bl w:val="nil"/>
            </w:tcBorders>
            <w:noWrap w:val="0"/>
            <w:vAlign w:val="center"/>
          </w:tcPr>
          <w:p w14:paraId="2C8771AB">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1583C4D8">
            <w:pPr>
              <w:pStyle w:val="45"/>
              <w:bidi w:val="0"/>
              <w:rPr>
                <w:rFonts w:hint="eastAsia"/>
                <w:b w:val="0"/>
                <w:bCs/>
                <w:color w:val="auto"/>
                <w:sz w:val="21"/>
                <w:szCs w:val="21"/>
                <w:highlight w:val="none"/>
                <w:lang w:val="en-US" w:eastAsia="zh-CN"/>
              </w:rPr>
            </w:pPr>
            <w:r>
              <w:rPr>
                <w:rFonts w:hint="default"/>
                <w:b w:val="0"/>
                <w:bCs/>
                <w:color w:val="auto"/>
                <w:sz w:val="21"/>
                <w:szCs w:val="21"/>
                <w:highlight w:val="none"/>
                <w:lang w:val="en-US" w:eastAsia="zh-CN"/>
              </w:rPr>
              <w:t>CODCr</w:t>
            </w:r>
          </w:p>
        </w:tc>
        <w:tc>
          <w:tcPr>
            <w:tcW w:w="862" w:type="dxa"/>
            <w:tcBorders>
              <w:tl2br w:val="nil"/>
              <w:tr2bl w:val="nil"/>
            </w:tcBorders>
            <w:noWrap w:val="0"/>
            <w:vAlign w:val="center"/>
          </w:tcPr>
          <w:p w14:paraId="04272F6C">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mg/L</w:t>
            </w:r>
          </w:p>
        </w:tc>
        <w:tc>
          <w:tcPr>
            <w:tcW w:w="791" w:type="dxa"/>
            <w:gridSpan w:val="2"/>
            <w:tcBorders>
              <w:tl2br w:val="nil"/>
              <w:tr2bl w:val="nil"/>
            </w:tcBorders>
            <w:noWrap w:val="0"/>
            <w:vAlign w:val="center"/>
          </w:tcPr>
          <w:p w14:paraId="368F697B">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13</w:t>
            </w:r>
          </w:p>
        </w:tc>
        <w:tc>
          <w:tcPr>
            <w:tcW w:w="744" w:type="dxa"/>
            <w:gridSpan w:val="2"/>
            <w:tcBorders>
              <w:tl2br w:val="nil"/>
              <w:tr2bl w:val="nil"/>
            </w:tcBorders>
            <w:noWrap w:val="0"/>
            <w:vAlign w:val="center"/>
          </w:tcPr>
          <w:p w14:paraId="34480653">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14</w:t>
            </w:r>
          </w:p>
        </w:tc>
        <w:tc>
          <w:tcPr>
            <w:tcW w:w="746" w:type="dxa"/>
            <w:tcBorders>
              <w:tl2br w:val="nil"/>
              <w:tr2bl w:val="nil"/>
            </w:tcBorders>
            <w:noWrap w:val="0"/>
            <w:vAlign w:val="center"/>
          </w:tcPr>
          <w:p w14:paraId="033E04CA">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13</w:t>
            </w:r>
          </w:p>
        </w:tc>
        <w:tc>
          <w:tcPr>
            <w:tcW w:w="1233" w:type="dxa"/>
            <w:tcBorders>
              <w:tl2br w:val="nil"/>
              <w:tr2bl w:val="nil"/>
            </w:tcBorders>
            <w:noWrap w:val="0"/>
            <w:vAlign w:val="center"/>
          </w:tcPr>
          <w:p w14:paraId="498F749C">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20</w:t>
            </w:r>
          </w:p>
        </w:tc>
        <w:tc>
          <w:tcPr>
            <w:tcW w:w="943" w:type="dxa"/>
            <w:tcBorders>
              <w:tl2br w:val="nil"/>
              <w:tr2bl w:val="nil"/>
            </w:tcBorders>
            <w:noWrap w:val="0"/>
            <w:vAlign w:val="center"/>
          </w:tcPr>
          <w:p w14:paraId="76B6E46E">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0.7</w:t>
            </w:r>
          </w:p>
        </w:tc>
        <w:tc>
          <w:tcPr>
            <w:tcW w:w="1138" w:type="dxa"/>
            <w:tcBorders>
              <w:tl2br w:val="nil"/>
              <w:tr2bl w:val="nil"/>
            </w:tcBorders>
            <w:noWrap w:val="0"/>
            <w:vAlign w:val="center"/>
          </w:tcPr>
          <w:p w14:paraId="1AC50517">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达标</w:t>
            </w:r>
          </w:p>
        </w:tc>
      </w:tr>
      <w:tr w14:paraId="2E3E8BD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gridAfter w:val="1"/>
          <w:wAfter w:w="11" w:type="dxa"/>
          <w:trHeight w:val="340" w:hRule="atLeast"/>
          <w:jc w:val="center"/>
        </w:trPr>
        <w:tc>
          <w:tcPr>
            <w:tcW w:w="553" w:type="dxa"/>
            <w:vMerge w:val="continue"/>
            <w:tcBorders>
              <w:tl2br w:val="nil"/>
              <w:tr2bl w:val="nil"/>
            </w:tcBorders>
            <w:noWrap w:val="0"/>
            <w:vAlign w:val="center"/>
          </w:tcPr>
          <w:p w14:paraId="6951D2CD">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1BDCC985">
            <w:pPr>
              <w:pStyle w:val="45"/>
              <w:bidi w:val="0"/>
              <w:rPr>
                <w:rFonts w:hint="eastAsia"/>
                <w:b w:val="0"/>
                <w:bCs/>
                <w:color w:val="auto"/>
                <w:sz w:val="21"/>
                <w:szCs w:val="21"/>
                <w:highlight w:val="none"/>
                <w:lang w:val="en-US" w:eastAsia="zh-CN"/>
              </w:rPr>
            </w:pPr>
            <w:r>
              <w:rPr>
                <w:rFonts w:hint="default"/>
                <w:b w:val="0"/>
                <w:bCs/>
                <w:color w:val="auto"/>
                <w:sz w:val="21"/>
                <w:szCs w:val="21"/>
                <w:highlight w:val="none"/>
                <w:lang w:val="en-US" w:eastAsia="zh-CN"/>
              </w:rPr>
              <w:t>氨氮</w:t>
            </w:r>
          </w:p>
        </w:tc>
        <w:tc>
          <w:tcPr>
            <w:tcW w:w="862" w:type="dxa"/>
            <w:tcBorders>
              <w:tl2br w:val="nil"/>
              <w:tr2bl w:val="nil"/>
            </w:tcBorders>
            <w:noWrap w:val="0"/>
            <w:vAlign w:val="center"/>
          </w:tcPr>
          <w:p w14:paraId="685F4943">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mg/L</w:t>
            </w:r>
          </w:p>
        </w:tc>
        <w:tc>
          <w:tcPr>
            <w:tcW w:w="791" w:type="dxa"/>
            <w:gridSpan w:val="2"/>
            <w:tcBorders>
              <w:tl2br w:val="nil"/>
              <w:tr2bl w:val="nil"/>
            </w:tcBorders>
            <w:noWrap w:val="0"/>
            <w:vAlign w:val="center"/>
          </w:tcPr>
          <w:p w14:paraId="38867DA4">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0.322</w:t>
            </w:r>
          </w:p>
        </w:tc>
        <w:tc>
          <w:tcPr>
            <w:tcW w:w="744" w:type="dxa"/>
            <w:gridSpan w:val="2"/>
            <w:tcBorders>
              <w:tl2br w:val="nil"/>
              <w:tr2bl w:val="nil"/>
            </w:tcBorders>
            <w:noWrap w:val="0"/>
            <w:vAlign w:val="center"/>
          </w:tcPr>
          <w:p w14:paraId="5B82B586">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0.315</w:t>
            </w:r>
          </w:p>
        </w:tc>
        <w:tc>
          <w:tcPr>
            <w:tcW w:w="746" w:type="dxa"/>
            <w:tcBorders>
              <w:tl2br w:val="nil"/>
              <w:tr2bl w:val="nil"/>
            </w:tcBorders>
            <w:noWrap w:val="0"/>
            <w:vAlign w:val="center"/>
          </w:tcPr>
          <w:p w14:paraId="31CC7681">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0.325</w:t>
            </w:r>
          </w:p>
        </w:tc>
        <w:tc>
          <w:tcPr>
            <w:tcW w:w="1233" w:type="dxa"/>
            <w:tcBorders>
              <w:tl2br w:val="nil"/>
              <w:tr2bl w:val="nil"/>
            </w:tcBorders>
            <w:noWrap w:val="0"/>
            <w:vAlign w:val="center"/>
          </w:tcPr>
          <w:p w14:paraId="617F3143">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1.0</w:t>
            </w:r>
          </w:p>
        </w:tc>
        <w:tc>
          <w:tcPr>
            <w:tcW w:w="943" w:type="dxa"/>
            <w:tcBorders>
              <w:tl2br w:val="nil"/>
              <w:tr2bl w:val="nil"/>
            </w:tcBorders>
            <w:noWrap w:val="0"/>
            <w:vAlign w:val="center"/>
          </w:tcPr>
          <w:p w14:paraId="1E87487F">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0.33</w:t>
            </w:r>
          </w:p>
        </w:tc>
        <w:tc>
          <w:tcPr>
            <w:tcW w:w="1138" w:type="dxa"/>
            <w:tcBorders>
              <w:tl2br w:val="nil"/>
              <w:tr2bl w:val="nil"/>
            </w:tcBorders>
            <w:noWrap w:val="0"/>
            <w:vAlign w:val="center"/>
          </w:tcPr>
          <w:p w14:paraId="4AB4D083">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达标</w:t>
            </w:r>
          </w:p>
        </w:tc>
      </w:tr>
      <w:tr w14:paraId="176553F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gridAfter w:val="1"/>
          <w:wAfter w:w="11" w:type="dxa"/>
          <w:trHeight w:val="340" w:hRule="atLeast"/>
          <w:jc w:val="center"/>
        </w:trPr>
        <w:tc>
          <w:tcPr>
            <w:tcW w:w="553" w:type="dxa"/>
            <w:vMerge w:val="continue"/>
            <w:tcBorders>
              <w:tl2br w:val="nil"/>
              <w:tr2bl w:val="nil"/>
            </w:tcBorders>
            <w:noWrap w:val="0"/>
            <w:vAlign w:val="center"/>
          </w:tcPr>
          <w:p w14:paraId="2410D83F">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21B69E71">
            <w:pPr>
              <w:pStyle w:val="45"/>
              <w:bidi w:val="0"/>
              <w:rPr>
                <w:rFonts w:hint="eastAsia"/>
                <w:b w:val="0"/>
                <w:bCs/>
                <w:color w:val="auto"/>
                <w:sz w:val="21"/>
                <w:szCs w:val="21"/>
                <w:highlight w:val="none"/>
                <w:lang w:val="en-US" w:eastAsia="zh-CN"/>
              </w:rPr>
            </w:pPr>
            <w:r>
              <w:rPr>
                <w:rFonts w:hint="default"/>
                <w:b w:val="0"/>
                <w:bCs/>
                <w:color w:val="auto"/>
                <w:sz w:val="21"/>
                <w:szCs w:val="21"/>
                <w:highlight w:val="none"/>
                <w:lang w:val="en-US" w:eastAsia="zh-CN"/>
              </w:rPr>
              <w:t>石油类</w:t>
            </w:r>
          </w:p>
        </w:tc>
        <w:tc>
          <w:tcPr>
            <w:tcW w:w="862" w:type="dxa"/>
            <w:tcBorders>
              <w:tl2br w:val="nil"/>
              <w:tr2bl w:val="nil"/>
            </w:tcBorders>
            <w:noWrap w:val="0"/>
            <w:vAlign w:val="center"/>
          </w:tcPr>
          <w:p w14:paraId="04D42310">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mg/L</w:t>
            </w:r>
          </w:p>
        </w:tc>
        <w:tc>
          <w:tcPr>
            <w:tcW w:w="791" w:type="dxa"/>
            <w:gridSpan w:val="2"/>
            <w:tcBorders>
              <w:tl2br w:val="nil"/>
              <w:tr2bl w:val="nil"/>
            </w:tcBorders>
            <w:noWrap w:val="0"/>
            <w:vAlign w:val="center"/>
          </w:tcPr>
          <w:p w14:paraId="3B02321F">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0.02</w:t>
            </w:r>
          </w:p>
        </w:tc>
        <w:tc>
          <w:tcPr>
            <w:tcW w:w="744" w:type="dxa"/>
            <w:gridSpan w:val="2"/>
            <w:tcBorders>
              <w:tl2br w:val="nil"/>
              <w:tr2bl w:val="nil"/>
            </w:tcBorders>
            <w:noWrap w:val="0"/>
            <w:vAlign w:val="center"/>
          </w:tcPr>
          <w:p w14:paraId="51D5B52C">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0.02</w:t>
            </w:r>
          </w:p>
        </w:tc>
        <w:tc>
          <w:tcPr>
            <w:tcW w:w="746" w:type="dxa"/>
            <w:tcBorders>
              <w:tl2br w:val="nil"/>
              <w:tr2bl w:val="nil"/>
            </w:tcBorders>
            <w:noWrap w:val="0"/>
            <w:vAlign w:val="center"/>
          </w:tcPr>
          <w:p w14:paraId="54208D36">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0.03</w:t>
            </w:r>
          </w:p>
        </w:tc>
        <w:tc>
          <w:tcPr>
            <w:tcW w:w="1233" w:type="dxa"/>
            <w:tcBorders>
              <w:tl2br w:val="nil"/>
              <w:tr2bl w:val="nil"/>
            </w:tcBorders>
            <w:noWrap w:val="0"/>
            <w:vAlign w:val="center"/>
          </w:tcPr>
          <w:p w14:paraId="16B4A049">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0.05</w:t>
            </w:r>
          </w:p>
        </w:tc>
        <w:tc>
          <w:tcPr>
            <w:tcW w:w="943" w:type="dxa"/>
            <w:tcBorders>
              <w:tl2br w:val="nil"/>
              <w:tr2bl w:val="nil"/>
            </w:tcBorders>
            <w:noWrap w:val="0"/>
            <w:vAlign w:val="center"/>
          </w:tcPr>
          <w:p w14:paraId="7DB358AD">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0.6</w:t>
            </w:r>
          </w:p>
        </w:tc>
        <w:tc>
          <w:tcPr>
            <w:tcW w:w="1138" w:type="dxa"/>
            <w:tcBorders>
              <w:tl2br w:val="nil"/>
              <w:tr2bl w:val="nil"/>
            </w:tcBorders>
            <w:noWrap w:val="0"/>
            <w:vAlign w:val="center"/>
          </w:tcPr>
          <w:p w14:paraId="6D2A3F21">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达标</w:t>
            </w:r>
          </w:p>
        </w:tc>
      </w:tr>
      <w:tr w14:paraId="19FB291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gridAfter w:val="1"/>
          <w:wAfter w:w="11" w:type="dxa"/>
          <w:trHeight w:val="340" w:hRule="atLeast"/>
          <w:jc w:val="center"/>
        </w:trPr>
        <w:tc>
          <w:tcPr>
            <w:tcW w:w="553" w:type="dxa"/>
            <w:vMerge w:val="continue"/>
            <w:tcBorders>
              <w:tl2br w:val="nil"/>
              <w:tr2bl w:val="nil"/>
            </w:tcBorders>
            <w:noWrap w:val="0"/>
            <w:vAlign w:val="center"/>
          </w:tcPr>
          <w:p w14:paraId="3B4144D2">
            <w:pPr>
              <w:pStyle w:val="45"/>
              <w:bidi w:val="0"/>
              <w:rPr>
                <w:rFonts w:hint="eastAsia"/>
                <w:b w:val="0"/>
                <w:bCs/>
                <w:color w:val="auto"/>
                <w:sz w:val="21"/>
                <w:szCs w:val="21"/>
                <w:highlight w:val="none"/>
                <w:lang w:val="en-US" w:eastAsia="zh-CN"/>
              </w:rPr>
            </w:pPr>
          </w:p>
        </w:tc>
        <w:tc>
          <w:tcPr>
            <w:tcW w:w="1501" w:type="dxa"/>
            <w:tcBorders>
              <w:tl2br w:val="nil"/>
              <w:tr2bl w:val="nil"/>
            </w:tcBorders>
            <w:noWrap w:val="0"/>
            <w:vAlign w:val="center"/>
          </w:tcPr>
          <w:p w14:paraId="08026E17">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粪大肠菌群</w:t>
            </w:r>
          </w:p>
        </w:tc>
        <w:tc>
          <w:tcPr>
            <w:tcW w:w="862" w:type="dxa"/>
            <w:tcBorders>
              <w:tl2br w:val="nil"/>
              <w:tr2bl w:val="nil"/>
            </w:tcBorders>
            <w:noWrap w:val="0"/>
            <w:vAlign w:val="center"/>
          </w:tcPr>
          <w:p w14:paraId="29A3C59E">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个/L</w:t>
            </w:r>
          </w:p>
        </w:tc>
        <w:tc>
          <w:tcPr>
            <w:tcW w:w="791" w:type="dxa"/>
            <w:gridSpan w:val="2"/>
            <w:tcBorders>
              <w:tl2br w:val="nil"/>
              <w:tr2bl w:val="nil"/>
            </w:tcBorders>
            <w:noWrap w:val="0"/>
            <w:vAlign w:val="center"/>
          </w:tcPr>
          <w:p w14:paraId="0043D95B">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680</w:t>
            </w:r>
          </w:p>
        </w:tc>
        <w:tc>
          <w:tcPr>
            <w:tcW w:w="744" w:type="dxa"/>
            <w:gridSpan w:val="2"/>
            <w:tcBorders>
              <w:tl2br w:val="nil"/>
              <w:tr2bl w:val="nil"/>
            </w:tcBorders>
            <w:noWrap w:val="0"/>
            <w:vAlign w:val="center"/>
          </w:tcPr>
          <w:p w14:paraId="61F889FB">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600</w:t>
            </w:r>
          </w:p>
        </w:tc>
        <w:tc>
          <w:tcPr>
            <w:tcW w:w="746" w:type="dxa"/>
            <w:tcBorders>
              <w:tl2br w:val="nil"/>
              <w:tr2bl w:val="nil"/>
            </w:tcBorders>
            <w:noWrap w:val="0"/>
            <w:vAlign w:val="center"/>
          </w:tcPr>
          <w:p w14:paraId="017A2554">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640</w:t>
            </w:r>
          </w:p>
        </w:tc>
        <w:tc>
          <w:tcPr>
            <w:tcW w:w="1233" w:type="dxa"/>
            <w:tcBorders>
              <w:tl2br w:val="nil"/>
              <w:tr2bl w:val="nil"/>
            </w:tcBorders>
            <w:noWrap w:val="0"/>
            <w:vAlign w:val="center"/>
          </w:tcPr>
          <w:p w14:paraId="2A4F93FC">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10000</w:t>
            </w:r>
          </w:p>
        </w:tc>
        <w:tc>
          <w:tcPr>
            <w:tcW w:w="943" w:type="dxa"/>
            <w:tcBorders>
              <w:tl2br w:val="nil"/>
              <w:tr2bl w:val="nil"/>
            </w:tcBorders>
            <w:noWrap w:val="0"/>
            <w:vAlign w:val="center"/>
          </w:tcPr>
          <w:p w14:paraId="739AE07D">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0.07</w:t>
            </w:r>
          </w:p>
        </w:tc>
        <w:tc>
          <w:tcPr>
            <w:tcW w:w="1138" w:type="dxa"/>
            <w:tcBorders>
              <w:tl2br w:val="nil"/>
              <w:tr2bl w:val="nil"/>
            </w:tcBorders>
            <w:noWrap w:val="0"/>
            <w:vAlign w:val="center"/>
          </w:tcPr>
          <w:p w14:paraId="6929D00D">
            <w:pPr>
              <w:pStyle w:val="45"/>
              <w:bidi w:val="0"/>
              <w:rPr>
                <w:rFonts w:hint="eastAsia"/>
                <w:b w:val="0"/>
                <w:bCs/>
                <w:color w:val="auto"/>
                <w:sz w:val="21"/>
                <w:szCs w:val="21"/>
                <w:highlight w:val="none"/>
                <w:lang w:val="en-US" w:eastAsia="zh-CN"/>
              </w:rPr>
            </w:pPr>
            <w:r>
              <w:rPr>
                <w:rFonts w:hint="eastAsia"/>
                <w:b w:val="0"/>
                <w:bCs/>
                <w:color w:val="auto"/>
                <w:sz w:val="21"/>
                <w:szCs w:val="21"/>
                <w:highlight w:val="none"/>
                <w:lang w:val="en-US" w:eastAsia="zh-CN"/>
              </w:rPr>
              <w:t>达标</w:t>
            </w:r>
          </w:p>
        </w:tc>
      </w:tr>
      <w:tr w14:paraId="39644AB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gridAfter w:val="1"/>
          <w:wAfter w:w="11" w:type="dxa"/>
          <w:trHeight w:val="340" w:hRule="atLeast"/>
          <w:jc w:val="center"/>
        </w:trPr>
        <w:tc>
          <w:tcPr>
            <w:tcW w:w="8511" w:type="dxa"/>
            <w:gridSpan w:val="11"/>
            <w:tcBorders>
              <w:tl2br w:val="nil"/>
              <w:tr2bl w:val="nil"/>
            </w:tcBorders>
            <w:noWrap w:val="0"/>
            <w:vAlign w:val="top"/>
          </w:tcPr>
          <w:p w14:paraId="35D510B8">
            <w:pPr>
              <w:pStyle w:val="45"/>
              <w:bidi w:val="0"/>
              <w:jc w:val="both"/>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备注：执行《地表</w:t>
            </w:r>
            <w:r>
              <w:rPr>
                <w:rFonts w:hint="default"/>
                <w:b w:val="0"/>
                <w:bCs/>
                <w:color w:val="auto"/>
                <w:sz w:val="21"/>
                <w:szCs w:val="21"/>
                <w:highlight w:val="none"/>
                <w:lang w:val="en-US" w:eastAsia="zh-CN"/>
              </w:rPr>
              <w:t>水环境质量标准》（GB83838-2002）中Ⅲ类标准。</w:t>
            </w:r>
          </w:p>
        </w:tc>
      </w:tr>
    </w:tbl>
    <w:p w14:paraId="4D55E9BE">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jc w:val="both"/>
        <w:textAlignment w:val="auto"/>
        <w:rPr>
          <w:color w:val="auto"/>
          <w:highlight w:val="none"/>
        </w:rPr>
      </w:pPr>
      <w:r>
        <w:rPr>
          <w:rFonts w:hint="default" w:ascii="Times New Roman" w:hAnsi="Times New Roman" w:cs="Times New Roman"/>
          <w:color w:val="auto"/>
          <w:sz w:val="24"/>
          <w:szCs w:val="24"/>
          <w:highlight w:val="none"/>
        </w:rPr>
        <w:t>从地表水现状监测结果可以看出，监测断面</w:t>
      </w:r>
      <w:r>
        <w:rPr>
          <w:rFonts w:hint="default" w:ascii="Times New Roman" w:hAnsi="Times New Roman" w:cs="Times New Roman"/>
          <w:color w:val="auto"/>
          <w:spacing w:val="-4"/>
          <w:sz w:val="24"/>
          <w:szCs w:val="24"/>
          <w:highlight w:val="none"/>
        </w:rPr>
        <w:t>各项监测因子均能满足《地表水环境质量标准》</w:t>
      </w:r>
      <w:r>
        <w:rPr>
          <w:rFonts w:hint="default" w:ascii="Times New Roman" w:hAnsi="Times New Roman" w:cs="Times New Roman"/>
          <w:color w:val="auto"/>
          <w:sz w:val="24"/>
          <w:szCs w:val="24"/>
          <w:highlight w:val="none"/>
        </w:rPr>
        <w:t>（</w:t>
      </w:r>
      <w:r>
        <w:rPr>
          <w:rFonts w:hint="default" w:ascii="Times New Roman" w:hAnsi="Times New Roman" w:eastAsia="Times New Roman" w:cs="Times New Roman"/>
          <w:color w:val="auto"/>
          <w:sz w:val="24"/>
          <w:szCs w:val="24"/>
          <w:highlight w:val="none"/>
        </w:rPr>
        <w:t>GB3838-2002</w:t>
      </w:r>
      <w:r>
        <w:rPr>
          <w:rFonts w:hint="default" w:ascii="Times New Roman" w:hAnsi="Times New Roman" w:cs="Times New Roman"/>
          <w:color w:val="auto"/>
          <w:sz w:val="24"/>
          <w:szCs w:val="24"/>
          <w:highlight w:val="none"/>
        </w:rPr>
        <w:t>）</w:t>
      </w:r>
      <w:r>
        <w:rPr>
          <w:rFonts w:hint="default" w:ascii="Times New Roman" w:hAnsi="Times New Roman" w:eastAsia="Times New Roman" w:cs="Times New Roman"/>
          <w:color w:val="auto"/>
          <w:sz w:val="24"/>
          <w:szCs w:val="24"/>
          <w:highlight w:val="none"/>
        </w:rPr>
        <w:t>Ⅲ</w:t>
      </w:r>
      <w:r>
        <w:rPr>
          <w:rFonts w:hint="default" w:ascii="Times New Roman" w:hAnsi="Times New Roman" w:cs="Times New Roman"/>
          <w:color w:val="auto"/>
          <w:spacing w:val="-20"/>
          <w:sz w:val="24"/>
          <w:szCs w:val="24"/>
          <w:highlight w:val="none"/>
        </w:rPr>
        <w:t>类水质标</w:t>
      </w:r>
      <w:r>
        <w:rPr>
          <w:rFonts w:hint="default" w:ascii="Times New Roman" w:hAnsi="Times New Roman" w:cs="Times New Roman"/>
          <w:color w:val="auto"/>
          <w:sz w:val="24"/>
          <w:szCs w:val="24"/>
          <w:highlight w:val="none"/>
        </w:rPr>
        <w:t>准。</w:t>
      </w:r>
    </w:p>
    <w:p w14:paraId="1F6BD06D">
      <w:pPr>
        <w:pStyle w:val="56"/>
        <w:spacing w:afterLines="0"/>
        <w:rPr>
          <w:rFonts w:hint="default"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lang w:val="en-US" w:eastAsia="zh-CN"/>
        </w:rPr>
        <w:t>7</w:t>
      </w:r>
      <w:r>
        <w:rPr>
          <w:rFonts w:hint="default" w:ascii="Times New Roman" w:hAnsi="Times New Roman" w:eastAsia="宋体" w:cs="Times New Roman"/>
          <w:color w:val="auto"/>
          <w:sz w:val="24"/>
          <w:szCs w:val="24"/>
          <w:highlight w:val="none"/>
          <w:lang w:eastAsia="zh-CN"/>
        </w:rPr>
        <w:t>）水库富营养化评价</w:t>
      </w:r>
    </w:p>
    <w:p w14:paraId="20108033">
      <w:pPr>
        <w:pStyle w:val="56"/>
        <w:adjustRightInd w:val="0"/>
        <w:snapToGrid w:val="0"/>
        <w:spacing w:afterLines="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根据中国环境监测总站制定的湖泊(水库)富营养化评价方法及分级技术规定，采用叶绿素a（chla）、总磷（TP）、总氮（TN）</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高锰酸盐指数（COD</w:t>
      </w:r>
      <w:r>
        <w:rPr>
          <w:rFonts w:hint="default" w:ascii="Times New Roman" w:hAnsi="Times New Roman" w:eastAsia="宋体" w:cs="Times New Roman"/>
          <w:color w:val="auto"/>
          <w:sz w:val="24"/>
          <w:szCs w:val="24"/>
          <w:highlight w:val="none"/>
          <w:vertAlign w:val="subscript"/>
        </w:rPr>
        <w:t>Mn</w:t>
      </w:r>
      <w:r>
        <w:rPr>
          <w:rFonts w:hint="default" w:ascii="Times New Roman" w:hAnsi="Times New Roman" w:eastAsia="宋体" w:cs="Times New Roman"/>
          <w:color w:val="auto"/>
          <w:sz w:val="24"/>
          <w:szCs w:val="24"/>
          <w:highlight w:val="none"/>
        </w:rPr>
        <w:t>）和透明度（SD）5个指标进行</w:t>
      </w:r>
      <w:r>
        <w:rPr>
          <w:rFonts w:hint="eastAsia" w:ascii="Times New Roman" w:hAnsi="Times New Roman" w:eastAsia="宋体" w:cs="Times New Roman"/>
          <w:color w:val="auto"/>
          <w:sz w:val="24"/>
          <w:szCs w:val="24"/>
          <w:highlight w:val="none"/>
          <w:lang w:val="en-US" w:eastAsia="zh-CN"/>
        </w:rPr>
        <w:t>寿岭冲</w:t>
      </w:r>
      <w:r>
        <w:rPr>
          <w:rFonts w:hint="default" w:ascii="Times New Roman" w:hAnsi="Times New Roman" w:eastAsia="宋体" w:cs="Times New Roman"/>
          <w:color w:val="auto"/>
          <w:sz w:val="24"/>
          <w:szCs w:val="24"/>
          <w:highlight w:val="none"/>
        </w:rPr>
        <w:t>水库富营养化评价。</w:t>
      </w:r>
    </w:p>
    <w:p w14:paraId="529411C3">
      <w:pPr>
        <w:pStyle w:val="56"/>
        <w:adjustRightInd w:val="0"/>
        <w:spacing w:afterLines="0"/>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①综合营养状态指数</w:t>
      </w:r>
    </w:p>
    <w:p w14:paraId="4E3555A0">
      <w:pPr>
        <w:pStyle w:val="57"/>
        <w:adjustRightInd w:val="0"/>
        <w:spacing w:afterLines="0"/>
        <w:outlineLvl w:val="9"/>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综合营养状态指数采用卡尔森指数方法，计算公式如下：</w:t>
      </w:r>
    </w:p>
    <w:p w14:paraId="700E9731">
      <w:pPr>
        <w:adjustRightInd w:val="0"/>
        <w:snapToGrid w:val="0"/>
        <w:spacing w:afterLines="0" w:line="360" w:lineRule="auto"/>
        <w:ind w:firstLine="420"/>
        <w:jc w:val="center"/>
        <w:rPr>
          <w:rStyle w:val="22"/>
          <w:rFonts w:hint="default" w:ascii="Times New Roman" w:hAnsi="Times New Roman" w:cs="Times New Roman"/>
          <w:color w:val="auto"/>
          <w:sz w:val="24"/>
          <w:szCs w:val="24"/>
          <w:highlight w:val="none"/>
        </w:rPr>
      </w:pPr>
      <w:r>
        <w:rPr>
          <w:rStyle w:val="22"/>
          <w:rFonts w:hint="default" w:ascii="Times New Roman" w:hAnsi="Times New Roman" w:cs="Times New Roman"/>
          <w:color w:val="auto"/>
          <w:sz w:val="24"/>
          <w:szCs w:val="24"/>
          <w:highlight w:val="none"/>
        </w:rPr>
        <w:object>
          <v:shape id="_x0000_i1028" o:spt="75" type="#_x0000_t75" style="height:35.25pt;width:96pt;" o:ole="t" fillcolor="#000011" filled="f" o:preferrelative="t" stroked="f" coordsize="21600,21600">
            <v:path/>
            <v:fill on="f" focussize="0,0"/>
            <v:stroke on="f"/>
            <v:imagedata r:id="rId57" o:title=""/>
            <o:lock v:ext="edit" aspectratio="t"/>
            <w10:wrap type="none"/>
            <w10:anchorlock/>
          </v:shape>
          <o:OLEObject Type="Embed" ProgID="Equation.3" ShapeID="_x0000_i1028" DrawAspect="Content" ObjectID="_1468075728" r:id="rId56">
            <o:LockedField>false</o:LockedField>
          </o:OLEObject>
        </w:object>
      </w:r>
    </w:p>
    <w:p w14:paraId="0B00F9E9">
      <w:pPr>
        <w:pStyle w:val="56"/>
        <w:adjustRightInd w:val="0"/>
        <w:snapToGrid w:val="0"/>
        <w:spacing w:after="0" w:afterLines="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式中：TLI（∑）—综合营养状态指数；</w:t>
      </w:r>
    </w:p>
    <w:p w14:paraId="3B8D356C">
      <w:pPr>
        <w:pStyle w:val="56"/>
        <w:adjustRightInd w:val="0"/>
        <w:snapToGrid w:val="0"/>
        <w:spacing w:after="0" w:afterLines="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Wj—第j种参数的营养状态指数的相关权重；</w:t>
      </w:r>
    </w:p>
    <w:p w14:paraId="108C8B1C">
      <w:pPr>
        <w:pStyle w:val="56"/>
        <w:adjustRightInd w:val="0"/>
        <w:snapToGrid w:val="0"/>
        <w:spacing w:after="0" w:afterLines="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TLI（j）—代表第j种参数的营养状态指数。</w:t>
      </w:r>
    </w:p>
    <w:p w14:paraId="2BFA3DCB">
      <w:pPr>
        <w:pStyle w:val="56"/>
        <w:adjustRightInd w:val="0"/>
        <w:snapToGrid w:val="0"/>
        <w:spacing w:afterLines="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以chla作为基准参数，则第j种参数的归一化的相关权重计算公式为：</w:t>
      </w:r>
    </w:p>
    <w:p w14:paraId="6A672D47">
      <w:pPr>
        <w:adjustRightInd w:val="0"/>
        <w:snapToGrid w:val="0"/>
        <w:spacing w:afterLines="0" w:line="360" w:lineRule="auto"/>
        <w:ind w:firstLine="420"/>
        <w:jc w:val="center"/>
        <w:rPr>
          <w:rStyle w:val="22"/>
          <w:rFonts w:hint="eastAsia" w:ascii="Times New Roman" w:hAnsi="Times New Roman" w:eastAsia="宋体" w:cs="Times New Roman"/>
          <w:color w:val="auto"/>
          <w:sz w:val="24"/>
          <w:szCs w:val="24"/>
          <w:highlight w:val="none"/>
          <w:lang w:eastAsia="zh-CN"/>
        </w:rPr>
      </w:pPr>
      <w:r>
        <w:rPr>
          <w:rStyle w:val="22"/>
          <w:rFonts w:hint="eastAsia" w:ascii="Times New Roman" w:hAnsi="Times New Roman" w:eastAsia="宋体" w:cs="Times New Roman"/>
          <w:color w:val="auto"/>
          <w:position w:val="-64"/>
          <w:sz w:val="24"/>
          <w:szCs w:val="24"/>
          <w:highlight w:val="none"/>
          <w:lang w:eastAsia="zh-CN"/>
        </w:rPr>
        <w:object>
          <v:shape id="_x0000_i1029" o:spt="75" type="#_x0000_t75" style="height:54pt;width:55pt;" o:ole="t" filled="f" o:preferrelative="t" stroked="f" coordsize="21600,21600">
            <v:path/>
            <v:fill on="f" focussize="0,0"/>
            <v:stroke on="f"/>
            <v:imagedata r:id="rId59" o:title=""/>
            <o:lock v:ext="edit" aspectratio="t"/>
            <w10:wrap type="none"/>
            <w10:anchorlock/>
          </v:shape>
          <o:OLEObject Type="Embed" ProgID="Equation.KSEE3" ShapeID="_x0000_i1029" DrawAspect="Content" ObjectID="_1468075729" r:id="rId58">
            <o:LockedField>false</o:LockedField>
          </o:OLEObject>
        </w:object>
      </w:r>
    </w:p>
    <w:p w14:paraId="3782AB78">
      <w:pPr>
        <w:pStyle w:val="56"/>
        <w:adjustRightInd w:val="0"/>
        <w:snapToGrid w:val="0"/>
        <w:spacing w:after="0" w:afterLines="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式中：r</w:t>
      </w:r>
      <w:r>
        <w:rPr>
          <w:rFonts w:hint="default" w:ascii="Times New Roman" w:hAnsi="Times New Roman" w:cs="Times New Roman"/>
          <w:color w:val="auto"/>
          <w:sz w:val="24"/>
          <w:szCs w:val="24"/>
          <w:highlight w:val="none"/>
          <w:vertAlign w:val="subscript"/>
        </w:rPr>
        <w:t>ij</w:t>
      </w:r>
      <w:r>
        <w:rPr>
          <w:rFonts w:hint="default" w:ascii="Times New Roman" w:hAnsi="Times New Roman" w:cs="Times New Roman"/>
          <w:color w:val="auto"/>
          <w:sz w:val="24"/>
          <w:szCs w:val="24"/>
          <w:highlight w:val="none"/>
        </w:rPr>
        <w:t>—第j种参数与基准参数chla的相关系数；</w:t>
      </w:r>
    </w:p>
    <w:p w14:paraId="7F3E13F5">
      <w:pPr>
        <w:pStyle w:val="56"/>
        <w:adjustRightInd w:val="0"/>
        <w:snapToGrid w:val="0"/>
        <w:spacing w:after="0" w:afterLines="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m—评价参数的个数。</w:t>
      </w:r>
    </w:p>
    <w:p w14:paraId="44DDB447">
      <w:pPr>
        <w:pStyle w:val="57"/>
        <w:adjustRightInd w:val="0"/>
        <w:spacing w:afterLines="0"/>
        <w:outlineLvl w:val="9"/>
        <w:rPr>
          <w:rFonts w:hint="default" w:ascii="Times New Roman" w:hAnsi="Times New Roman" w:cs="Times New Roman"/>
          <w:color w:val="auto"/>
          <w:highlight w:val="none"/>
        </w:rPr>
      </w:pPr>
      <w:r>
        <w:rPr>
          <w:rFonts w:hint="default" w:ascii="Times New Roman" w:hAnsi="Times New Roman" w:cs="Times New Roman"/>
          <w:color w:val="auto"/>
          <w:sz w:val="24"/>
          <w:szCs w:val="24"/>
          <w:highlight w:val="none"/>
        </w:rPr>
        <w:t>中国湖泊（水库）的chla与其它参数之间的相关关系r</w:t>
      </w:r>
      <w:r>
        <w:rPr>
          <w:rFonts w:hint="default" w:ascii="Times New Roman" w:hAnsi="Times New Roman" w:cs="Times New Roman"/>
          <w:color w:val="auto"/>
          <w:sz w:val="24"/>
          <w:szCs w:val="24"/>
          <w:highlight w:val="none"/>
          <w:vertAlign w:val="subscript"/>
        </w:rPr>
        <w:t>ij</w:t>
      </w:r>
      <w:r>
        <w:rPr>
          <w:rFonts w:hint="default" w:ascii="Times New Roman" w:hAnsi="Times New Roman" w:cs="Times New Roman"/>
          <w:color w:val="auto"/>
          <w:sz w:val="24"/>
          <w:szCs w:val="24"/>
          <w:highlight w:val="none"/>
        </w:rPr>
        <w:t>及r</w:t>
      </w:r>
      <w:r>
        <w:rPr>
          <w:rFonts w:hint="default" w:ascii="Times New Roman" w:hAnsi="Times New Roman" w:cs="Times New Roman"/>
          <w:color w:val="auto"/>
          <w:sz w:val="24"/>
          <w:szCs w:val="24"/>
          <w:highlight w:val="none"/>
          <w:vertAlign w:val="subscript"/>
        </w:rPr>
        <w:t>ij</w:t>
      </w:r>
      <w:r>
        <w:rPr>
          <w:rFonts w:hint="default" w:ascii="Times New Roman" w:hAnsi="Times New Roman" w:cs="Times New Roman"/>
          <w:color w:val="auto"/>
          <w:sz w:val="24"/>
          <w:szCs w:val="24"/>
          <w:highlight w:val="none"/>
          <w:vertAlign w:val="superscript"/>
        </w:rPr>
        <w:t>2</w:t>
      </w:r>
      <w:r>
        <w:rPr>
          <w:rFonts w:hint="default" w:ascii="Times New Roman" w:hAnsi="Times New Roman" w:cs="Times New Roman"/>
          <w:color w:val="auto"/>
          <w:sz w:val="24"/>
          <w:szCs w:val="24"/>
          <w:highlight w:val="none"/>
        </w:rPr>
        <w:t>见</w:t>
      </w:r>
      <w:r>
        <w:rPr>
          <w:rFonts w:hint="eastAsia" w:ascii="Times New Roman" w:hAnsi="Times New Roman" w:cs="Times New Roman"/>
          <w:color w:val="auto"/>
          <w:sz w:val="24"/>
          <w:szCs w:val="24"/>
          <w:highlight w:val="none"/>
          <w:lang w:eastAsia="zh-CN"/>
        </w:rPr>
        <w:t>下表</w:t>
      </w:r>
      <w:r>
        <w:rPr>
          <w:rFonts w:hint="default" w:ascii="Times New Roman" w:hAnsi="Times New Roman" w:cs="Times New Roman"/>
          <w:color w:val="auto"/>
          <w:sz w:val="24"/>
          <w:szCs w:val="24"/>
          <w:highlight w:val="none"/>
        </w:rPr>
        <w:t>。</w:t>
      </w:r>
    </w:p>
    <w:p w14:paraId="31822CC0">
      <w:pPr>
        <w:widowControl/>
        <w:jc w:val="center"/>
        <w:rPr>
          <w:rFonts w:hint="default" w:ascii="Times New Roman" w:hAnsi="Times New Roman" w:cs="Times New Roman"/>
          <w:b/>
          <w:color w:val="auto"/>
          <w:kern w:val="0"/>
          <w:sz w:val="21"/>
          <w:szCs w:val="21"/>
          <w:highlight w:val="none"/>
        </w:rPr>
      </w:pPr>
      <w:r>
        <w:rPr>
          <w:rFonts w:hint="default" w:ascii="Times New Roman" w:hAnsi="Times New Roman" w:cs="Times New Roman"/>
          <w:b/>
          <w:color w:val="auto"/>
          <w:kern w:val="0"/>
          <w:sz w:val="21"/>
          <w:szCs w:val="21"/>
          <w:highlight w:val="none"/>
        </w:rPr>
        <w:t>表</w:t>
      </w:r>
      <w:r>
        <w:rPr>
          <w:rFonts w:hint="eastAsia" w:ascii="Times New Roman" w:hAnsi="Times New Roman" w:eastAsia="宋体" w:cs="Times New Roman"/>
          <w:b/>
          <w:bCs/>
          <w:color w:val="auto"/>
          <w:sz w:val="21"/>
          <w:szCs w:val="21"/>
          <w:highlight w:val="none"/>
          <w:u w:val="none" w:color="auto"/>
          <w:lang w:val="en-US" w:eastAsia="zh-CN"/>
        </w:rPr>
        <w:t>5.4-3</w:t>
      </w:r>
      <w:r>
        <w:rPr>
          <w:rFonts w:hint="default" w:ascii="Times New Roman" w:hAnsi="Times New Roman" w:cs="Times New Roman"/>
          <w:b/>
          <w:color w:val="auto"/>
          <w:kern w:val="0"/>
          <w:sz w:val="21"/>
          <w:szCs w:val="21"/>
          <w:highlight w:val="none"/>
        </w:rPr>
        <w:t xml:space="preserve">  中国湖泊（水库）部分参数与chla的相关关系rij及rij2值</w:t>
      </w:r>
    </w:p>
    <w:tbl>
      <w:tblPr>
        <w:tblStyle w:val="1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420"/>
        <w:gridCol w:w="1420"/>
        <w:gridCol w:w="1421"/>
        <w:gridCol w:w="1420"/>
        <w:gridCol w:w="1421"/>
        <w:gridCol w:w="1421"/>
      </w:tblGrid>
      <w:tr w14:paraId="569189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0" w:type="dxa"/>
            <w:tcBorders>
              <w:tl2br w:val="nil"/>
              <w:tr2bl w:val="nil"/>
            </w:tcBorders>
            <w:noWrap w:val="0"/>
            <w:vAlign w:val="center"/>
          </w:tcPr>
          <w:p w14:paraId="32F8221C">
            <w:pPr>
              <w:pStyle w:val="45"/>
              <w:bidi w:val="0"/>
              <w:rPr>
                <w:rFonts w:hint="default"/>
                <w:b w:val="0"/>
                <w:bCs/>
                <w:color w:val="auto"/>
                <w:highlight w:val="none"/>
              </w:rPr>
            </w:pPr>
            <w:r>
              <w:rPr>
                <w:rFonts w:hint="default"/>
                <w:b w:val="0"/>
                <w:bCs/>
                <w:color w:val="auto"/>
                <w:highlight w:val="none"/>
              </w:rPr>
              <w:t>参数</w:t>
            </w:r>
          </w:p>
        </w:tc>
        <w:tc>
          <w:tcPr>
            <w:tcW w:w="1420" w:type="dxa"/>
            <w:tcBorders>
              <w:tl2br w:val="nil"/>
              <w:tr2bl w:val="nil"/>
            </w:tcBorders>
            <w:noWrap w:val="0"/>
            <w:vAlign w:val="center"/>
          </w:tcPr>
          <w:p w14:paraId="10CB1DA2">
            <w:pPr>
              <w:pStyle w:val="45"/>
              <w:bidi w:val="0"/>
              <w:rPr>
                <w:rFonts w:hint="default"/>
                <w:b w:val="0"/>
                <w:bCs/>
                <w:color w:val="auto"/>
                <w:highlight w:val="none"/>
              </w:rPr>
            </w:pPr>
            <w:r>
              <w:rPr>
                <w:rFonts w:hint="default"/>
                <w:b w:val="0"/>
                <w:bCs/>
                <w:color w:val="auto"/>
                <w:highlight w:val="none"/>
              </w:rPr>
              <w:t>Chla</w:t>
            </w:r>
          </w:p>
        </w:tc>
        <w:tc>
          <w:tcPr>
            <w:tcW w:w="1421" w:type="dxa"/>
            <w:tcBorders>
              <w:tl2br w:val="nil"/>
              <w:tr2bl w:val="nil"/>
            </w:tcBorders>
            <w:noWrap w:val="0"/>
            <w:vAlign w:val="center"/>
          </w:tcPr>
          <w:p w14:paraId="5FA45282">
            <w:pPr>
              <w:pStyle w:val="45"/>
              <w:bidi w:val="0"/>
              <w:rPr>
                <w:rFonts w:hint="default"/>
                <w:b w:val="0"/>
                <w:bCs/>
                <w:color w:val="auto"/>
                <w:highlight w:val="none"/>
              </w:rPr>
            </w:pPr>
            <w:r>
              <w:rPr>
                <w:rFonts w:hint="default"/>
                <w:b w:val="0"/>
                <w:bCs/>
                <w:color w:val="auto"/>
                <w:highlight w:val="none"/>
              </w:rPr>
              <w:t>TP</w:t>
            </w:r>
          </w:p>
        </w:tc>
        <w:tc>
          <w:tcPr>
            <w:tcW w:w="1420" w:type="dxa"/>
            <w:tcBorders>
              <w:tl2br w:val="nil"/>
              <w:tr2bl w:val="nil"/>
            </w:tcBorders>
            <w:noWrap w:val="0"/>
            <w:vAlign w:val="center"/>
          </w:tcPr>
          <w:p w14:paraId="574CD34F">
            <w:pPr>
              <w:pStyle w:val="45"/>
              <w:bidi w:val="0"/>
              <w:rPr>
                <w:rFonts w:hint="default"/>
                <w:b w:val="0"/>
                <w:bCs/>
                <w:color w:val="auto"/>
                <w:highlight w:val="none"/>
              </w:rPr>
            </w:pPr>
            <w:r>
              <w:rPr>
                <w:rFonts w:hint="default"/>
                <w:b w:val="0"/>
                <w:bCs/>
                <w:color w:val="auto"/>
                <w:highlight w:val="none"/>
              </w:rPr>
              <w:t>TN</w:t>
            </w:r>
          </w:p>
        </w:tc>
        <w:tc>
          <w:tcPr>
            <w:tcW w:w="1421" w:type="dxa"/>
            <w:tcBorders>
              <w:tl2br w:val="nil"/>
              <w:tr2bl w:val="nil"/>
            </w:tcBorders>
            <w:noWrap w:val="0"/>
            <w:vAlign w:val="center"/>
          </w:tcPr>
          <w:p w14:paraId="595EBDA9">
            <w:pPr>
              <w:pStyle w:val="45"/>
              <w:bidi w:val="0"/>
              <w:rPr>
                <w:rFonts w:hint="default"/>
                <w:b w:val="0"/>
                <w:bCs/>
                <w:color w:val="auto"/>
                <w:highlight w:val="none"/>
              </w:rPr>
            </w:pPr>
            <w:r>
              <w:rPr>
                <w:rFonts w:hint="default"/>
                <w:b w:val="0"/>
                <w:bCs/>
                <w:color w:val="auto"/>
                <w:highlight w:val="none"/>
              </w:rPr>
              <w:t>SD</w:t>
            </w:r>
          </w:p>
        </w:tc>
        <w:tc>
          <w:tcPr>
            <w:tcW w:w="1420" w:type="dxa"/>
            <w:tcBorders>
              <w:tl2br w:val="nil"/>
              <w:tr2bl w:val="nil"/>
            </w:tcBorders>
            <w:noWrap w:val="0"/>
            <w:vAlign w:val="center"/>
          </w:tcPr>
          <w:p w14:paraId="48FE6582">
            <w:pPr>
              <w:pStyle w:val="45"/>
              <w:bidi w:val="0"/>
              <w:rPr>
                <w:rFonts w:hint="default"/>
                <w:b w:val="0"/>
                <w:bCs/>
                <w:color w:val="auto"/>
                <w:highlight w:val="none"/>
              </w:rPr>
            </w:pPr>
            <w:r>
              <w:rPr>
                <w:rFonts w:hint="default"/>
                <w:b w:val="0"/>
                <w:bCs/>
                <w:color w:val="auto"/>
                <w:highlight w:val="none"/>
              </w:rPr>
              <w:t>CODMn</w:t>
            </w:r>
          </w:p>
        </w:tc>
      </w:tr>
      <w:tr w14:paraId="4A483B8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0" w:type="dxa"/>
            <w:tcBorders>
              <w:tl2br w:val="nil"/>
              <w:tr2bl w:val="nil"/>
            </w:tcBorders>
            <w:noWrap w:val="0"/>
            <w:vAlign w:val="center"/>
          </w:tcPr>
          <w:p w14:paraId="35F6F2D1">
            <w:pPr>
              <w:pStyle w:val="45"/>
              <w:bidi w:val="0"/>
              <w:rPr>
                <w:rFonts w:hint="default"/>
                <w:b w:val="0"/>
                <w:bCs/>
                <w:color w:val="auto"/>
                <w:highlight w:val="none"/>
              </w:rPr>
            </w:pPr>
            <w:r>
              <w:rPr>
                <w:rFonts w:hint="default"/>
                <w:b w:val="0"/>
                <w:bCs/>
                <w:color w:val="auto"/>
                <w:highlight w:val="none"/>
              </w:rPr>
              <w:t>rij</w:t>
            </w:r>
          </w:p>
        </w:tc>
        <w:tc>
          <w:tcPr>
            <w:tcW w:w="1420" w:type="dxa"/>
            <w:tcBorders>
              <w:tl2br w:val="nil"/>
              <w:tr2bl w:val="nil"/>
            </w:tcBorders>
            <w:noWrap w:val="0"/>
            <w:vAlign w:val="center"/>
          </w:tcPr>
          <w:p w14:paraId="11C7E173">
            <w:pPr>
              <w:pStyle w:val="45"/>
              <w:bidi w:val="0"/>
              <w:rPr>
                <w:rFonts w:hint="default"/>
                <w:b w:val="0"/>
                <w:bCs/>
                <w:color w:val="auto"/>
                <w:highlight w:val="none"/>
              </w:rPr>
            </w:pPr>
            <w:r>
              <w:rPr>
                <w:rFonts w:hint="default"/>
                <w:b w:val="0"/>
                <w:bCs/>
                <w:color w:val="auto"/>
                <w:highlight w:val="none"/>
              </w:rPr>
              <w:t>1</w:t>
            </w:r>
          </w:p>
        </w:tc>
        <w:tc>
          <w:tcPr>
            <w:tcW w:w="1421" w:type="dxa"/>
            <w:tcBorders>
              <w:tl2br w:val="nil"/>
              <w:tr2bl w:val="nil"/>
            </w:tcBorders>
            <w:noWrap w:val="0"/>
            <w:vAlign w:val="center"/>
          </w:tcPr>
          <w:p w14:paraId="2951FF2A">
            <w:pPr>
              <w:pStyle w:val="45"/>
              <w:bidi w:val="0"/>
              <w:rPr>
                <w:rFonts w:hint="default"/>
                <w:b w:val="0"/>
                <w:bCs/>
                <w:color w:val="auto"/>
                <w:highlight w:val="none"/>
              </w:rPr>
            </w:pPr>
            <w:r>
              <w:rPr>
                <w:rFonts w:hint="default"/>
                <w:b w:val="0"/>
                <w:bCs/>
                <w:color w:val="auto"/>
                <w:highlight w:val="none"/>
              </w:rPr>
              <w:t>0.84</w:t>
            </w:r>
          </w:p>
        </w:tc>
        <w:tc>
          <w:tcPr>
            <w:tcW w:w="1420" w:type="dxa"/>
            <w:tcBorders>
              <w:tl2br w:val="nil"/>
              <w:tr2bl w:val="nil"/>
            </w:tcBorders>
            <w:noWrap w:val="0"/>
            <w:vAlign w:val="center"/>
          </w:tcPr>
          <w:p w14:paraId="04C346E7">
            <w:pPr>
              <w:pStyle w:val="45"/>
              <w:bidi w:val="0"/>
              <w:rPr>
                <w:rFonts w:hint="default"/>
                <w:b w:val="0"/>
                <w:bCs/>
                <w:color w:val="auto"/>
                <w:highlight w:val="none"/>
              </w:rPr>
            </w:pPr>
            <w:r>
              <w:rPr>
                <w:rFonts w:hint="default"/>
                <w:b w:val="0"/>
                <w:bCs/>
                <w:color w:val="auto"/>
                <w:highlight w:val="none"/>
              </w:rPr>
              <w:t>0.82</w:t>
            </w:r>
          </w:p>
        </w:tc>
        <w:tc>
          <w:tcPr>
            <w:tcW w:w="1421" w:type="dxa"/>
            <w:tcBorders>
              <w:tl2br w:val="nil"/>
              <w:tr2bl w:val="nil"/>
            </w:tcBorders>
            <w:noWrap w:val="0"/>
            <w:vAlign w:val="center"/>
          </w:tcPr>
          <w:p w14:paraId="5ADEC347">
            <w:pPr>
              <w:pStyle w:val="45"/>
              <w:bidi w:val="0"/>
              <w:rPr>
                <w:rFonts w:hint="default"/>
                <w:b w:val="0"/>
                <w:bCs/>
                <w:color w:val="auto"/>
                <w:highlight w:val="none"/>
              </w:rPr>
            </w:pPr>
            <w:r>
              <w:rPr>
                <w:rFonts w:hint="default"/>
                <w:b w:val="0"/>
                <w:bCs/>
                <w:color w:val="auto"/>
                <w:highlight w:val="none"/>
              </w:rPr>
              <w:t>-0.83</w:t>
            </w:r>
          </w:p>
        </w:tc>
        <w:tc>
          <w:tcPr>
            <w:tcW w:w="1420" w:type="dxa"/>
            <w:tcBorders>
              <w:tl2br w:val="nil"/>
              <w:tr2bl w:val="nil"/>
            </w:tcBorders>
            <w:noWrap w:val="0"/>
            <w:vAlign w:val="center"/>
          </w:tcPr>
          <w:p w14:paraId="66C18F2F">
            <w:pPr>
              <w:pStyle w:val="45"/>
              <w:bidi w:val="0"/>
              <w:rPr>
                <w:rFonts w:hint="default"/>
                <w:b w:val="0"/>
                <w:bCs/>
                <w:color w:val="auto"/>
                <w:highlight w:val="none"/>
              </w:rPr>
            </w:pPr>
            <w:r>
              <w:rPr>
                <w:rFonts w:hint="default"/>
                <w:b w:val="0"/>
                <w:bCs/>
                <w:color w:val="auto"/>
                <w:highlight w:val="none"/>
              </w:rPr>
              <w:t>0.83</w:t>
            </w:r>
          </w:p>
        </w:tc>
      </w:tr>
      <w:tr w14:paraId="6EEC3FE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20" w:type="dxa"/>
            <w:tcBorders>
              <w:tl2br w:val="nil"/>
              <w:tr2bl w:val="nil"/>
            </w:tcBorders>
            <w:noWrap w:val="0"/>
            <w:vAlign w:val="center"/>
          </w:tcPr>
          <w:p w14:paraId="4FBE7384">
            <w:pPr>
              <w:pStyle w:val="45"/>
              <w:bidi w:val="0"/>
              <w:rPr>
                <w:rFonts w:hint="default"/>
                <w:b w:val="0"/>
                <w:bCs/>
                <w:color w:val="auto"/>
                <w:highlight w:val="none"/>
              </w:rPr>
            </w:pPr>
            <w:r>
              <w:rPr>
                <w:rFonts w:hint="default"/>
                <w:b w:val="0"/>
                <w:bCs/>
                <w:color w:val="auto"/>
                <w:highlight w:val="none"/>
              </w:rPr>
              <w:t>rij2</w:t>
            </w:r>
          </w:p>
        </w:tc>
        <w:tc>
          <w:tcPr>
            <w:tcW w:w="1420" w:type="dxa"/>
            <w:tcBorders>
              <w:tl2br w:val="nil"/>
              <w:tr2bl w:val="nil"/>
            </w:tcBorders>
            <w:noWrap w:val="0"/>
            <w:vAlign w:val="center"/>
          </w:tcPr>
          <w:p w14:paraId="269DF2AC">
            <w:pPr>
              <w:pStyle w:val="45"/>
              <w:bidi w:val="0"/>
              <w:rPr>
                <w:rFonts w:hint="default"/>
                <w:b w:val="0"/>
                <w:bCs/>
                <w:color w:val="auto"/>
                <w:highlight w:val="none"/>
              </w:rPr>
            </w:pPr>
            <w:r>
              <w:rPr>
                <w:rFonts w:hint="default"/>
                <w:b w:val="0"/>
                <w:bCs/>
                <w:color w:val="auto"/>
                <w:highlight w:val="none"/>
              </w:rPr>
              <w:t>1</w:t>
            </w:r>
          </w:p>
        </w:tc>
        <w:tc>
          <w:tcPr>
            <w:tcW w:w="1421" w:type="dxa"/>
            <w:tcBorders>
              <w:tl2br w:val="nil"/>
              <w:tr2bl w:val="nil"/>
            </w:tcBorders>
            <w:noWrap w:val="0"/>
            <w:vAlign w:val="center"/>
          </w:tcPr>
          <w:p w14:paraId="4B65C69E">
            <w:pPr>
              <w:pStyle w:val="45"/>
              <w:bidi w:val="0"/>
              <w:rPr>
                <w:rFonts w:hint="default"/>
                <w:b w:val="0"/>
                <w:bCs/>
                <w:color w:val="auto"/>
                <w:highlight w:val="none"/>
              </w:rPr>
            </w:pPr>
            <w:r>
              <w:rPr>
                <w:rFonts w:hint="default"/>
                <w:b w:val="0"/>
                <w:bCs/>
                <w:color w:val="auto"/>
                <w:highlight w:val="none"/>
              </w:rPr>
              <w:t>0.7056</w:t>
            </w:r>
          </w:p>
        </w:tc>
        <w:tc>
          <w:tcPr>
            <w:tcW w:w="1420" w:type="dxa"/>
            <w:tcBorders>
              <w:tl2br w:val="nil"/>
              <w:tr2bl w:val="nil"/>
            </w:tcBorders>
            <w:noWrap w:val="0"/>
            <w:vAlign w:val="center"/>
          </w:tcPr>
          <w:p w14:paraId="595AFD5C">
            <w:pPr>
              <w:pStyle w:val="45"/>
              <w:bidi w:val="0"/>
              <w:rPr>
                <w:rFonts w:hint="default"/>
                <w:b w:val="0"/>
                <w:bCs/>
                <w:color w:val="auto"/>
                <w:highlight w:val="none"/>
              </w:rPr>
            </w:pPr>
            <w:r>
              <w:rPr>
                <w:rFonts w:hint="default"/>
                <w:b w:val="0"/>
                <w:bCs/>
                <w:color w:val="auto"/>
                <w:highlight w:val="none"/>
              </w:rPr>
              <w:t>0.6724</w:t>
            </w:r>
          </w:p>
        </w:tc>
        <w:tc>
          <w:tcPr>
            <w:tcW w:w="1421" w:type="dxa"/>
            <w:tcBorders>
              <w:tl2br w:val="nil"/>
              <w:tr2bl w:val="nil"/>
            </w:tcBorders>
            <w:noWrap w:val="0"/>
            <w:vAlign w:val="center"/>
          </w:tcPr>
          <w:p w14:paraId="74842FAE">
            <w:pPr>
              <w:pStyle w:val="45"/>
              <w:bidi w:val="0"/>
              <w:rPr>
                <w:rFonts w:hint="default"/>
                <w:b w:val="0"/>
                <w:bCs/>
                <w:color w:val="auto"/>
                <w:highlight w:val="none"/>
              </w:rPr>
            </w:pPr>
            <w:r>
              <w:rPr>
                <w:rFonts w:hint="default"/>
                <w:b w:val="0"/>
                <w:bCs/>
                <w:color w:val="auto"/>
                <w:highlight w:val="none"/>
              </w:rPr>
              <w:t>0.6889</w:t>
            </w:r>
          </w:p>
        </w:tc>
        <w:tc>
          <w:tcPr>
            <w:tcW w:w="1420" w:type="dxa"/>
            <w:tcBorders>
              <w:tl2br w:val="nil"/>
              <w:tr2bl w:val="nil"/>
            </w:tcBorders>
            <w:noWrap w:val="0"/>
            <w:vAlign w:val="center"/>
          </w:tcPr>
          <w:p w14:paraId="50E1A7FF">
            <w:pPr>
              <w:pStyle w:val="45"/>
              <w:bidi w:val="0"/>
              <w:rPr>
                <w:rFonts w:hint="default"/>
                <w:b w:val="0"/>
                <w:bCs/>
                <w:color w:val="auto"/>
                <w:highlight w:val="none"/>
              </w:rPr>
            </w:pPr>
            <w:r>
              <w:rPr>
                <w:rFonts w:hint="default"/>
                <w:b w:val="0"/>
                <w:bCs/>
                <w:color w:val="auto"/>
                <w:highlight w:val="none"/>
              </w:rPr>
              <w:t>0.6889</w:t>
            </w:r>
          </w:p>
        </w:tc>
      </w:tr>
    </w:tbl>
    <w:p w14:paraId="3FE1FB22">
      <w:pPr>
        <w:pStyle w:val="57"/>
        <w:ind w:firstLine="420"/>
        <w:outlineLvl w:val="9"/>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②单个项目营养状态指数计算公式</w:t>
      </w:r>
    </w:p>
    <w:p w14:paraId="396F345A">
      <w:pPr>
        <w:pStyle w:val="57"/>
        <w:outlineLvl w:val="9"/>
        <w:rPr>
          <w:rStyle w:val="22"/>
          <w:rFonts w:hint="default" w:ascii="Times New Roman" w:hAnsi="Times New Roman" w:cs="Times New Roman"/>
          <w:color w:val="auto"/>
          <w:sz w:val="24"/>
          <w:szCs w:val="24"/>
          <w:highlight w:val="none"/>
        </w:rPr>
      </w:pPr>
      <w:r>
        <w:rPr>
          <w:rStyle w:val="22"/>
          <w:rFonts w:hint="default" w:ascii="Times New Roman" w:hAnsi="Times New Roman" w:cs="Times New Roman"/>
          <w:color w:val="auto"/>
          <w:sz w:val="24"/>
          <w:szCs w:val="24"/>
          <w:highlight w:val="none"/>
        </w:rPr>
        <w:t>TLI（chla）=10（2.5+1.086lnchla）</w:t>
      </w:r>
    </w:p>
    <w:p w14:paraId="568185B1">
      <w:pPr>
        <w:pStyle w:val="57"/>
        <w:outlineLvl w:val="9"/>
        <w:rPr>
          <w:rStyle w:val="22"/>
          <w:rFonts w:hint="default" w:ascii="Times New Roman" w:hAnsi="Times New Roman" w:cs="Times New Roman"/>
          <w:color w:val="auto"/>
          <w:sz w:val="24"/>
          <w:szCs w:val="24"/>
          <w:highlight w:val="none"/>
        </w:rPr>
      </w:pPr>
      <w:r>
        <w:rPr>
          <w:rStyle w:val="22"/>
          <w:rFonts w:hint="default" w:ascii="Times New Roman" w:hAnsi="Times New Roman" w:cs="Times New Roman"/>
          <w:color w:val="auto"/>
          <w:sz w:val="24"/>
          <w:szCs w:val="24"/>
          <w:highlight w:val="none"/>
        </w:rPr>
        <w:t>TLI（TP）=10（9.436+1.624lnTP）</w:t>
      </w:r>
    </w:p>
    <w:p w14:paraId="6894381E">
      <w:pPr>
        <w:pStyle w:val="57"/>
        <w:outlineLvl w:val="9"/>
        <w:rPr>
          <w:rStyle w:val="22"/>
          <w:rFonts w:hint="default" w:ascii="Times New Roman" w:hAnsi="Times New Roman" w:cs="Times New Roman"/>
          <w:color w:val="auto"/>
          <w:sz w:val="24"/>
          <w:szCs w:val="24"/>
          <w:highlight w:val="none"/>
        </w:rPr>
      </w:pPr>
      <w:r>
        <w:rPr>
          <w:rStyle w:val="22"/>
          <w:rFonts w:hint="default" w:ascii="Times New Roman" w:hAnsi="Times New Roman" w:cs="Times New Roman"/>
          <w:color w:val="auto"/>
          <w:sz w:val="24"/>
          <w:szCs w:val="24"/>
          <w:highlight w:val="none"/>
        </w:rPr>
        <w:t>TLI（TN）=10（5.453+1.694lnTN）</w:t>
      </w:r>
    </w:p>
    <w:p w14:paraId="4E033A44">
      <w:pPr>
        <w:pStyle w:val="57"/>
        <w:outlineLvl w:val="9"/>
        <w:rPr>
          <w:rStyle w:val="22"/>
          <w:rFonts w:hint="default" w:ascii="Times New Roman" w:hAnsi="Times New Roman" w:cs="Times New Roman"/>
          <w:color w:val="auto"/>
          <w:sz w:val="24"/>
          <w:szCs w:val="24"/>
          <w:highlight w:val="none"/>
        </w:rPr>
      </w:pPr>
      <w:r>
        <w:rPr>
          <w:rStyle w:val="22"/>
          <w:rFonts w:hint="default" w:ascii="Times New Roman" w:hAnsi="Times New Roman" w:cs="Times New Roman"/>
          <w:color w:val="auto"/>
          <w:sz w:val="24"/>
          <w:szCs w:val="24"/>
          <w:highlight w:val="none"/>
        </w:rPr>
        <w:t>TLI（SD）=10（5.118-1.94lnSD）</w:t>
      </w:r>
    </w:p>
    <w:p w14:paraId="2DFA0816">
      <w:pPr>
        <w:pStyle w:val="57"/>
        <w:outlineLvl w:val="9"/>
        <w:rPr>
          <w:rStyle w:val="22"/>
          <w:rFonts w:hint="default" w:ascii="Times New Roman" w:hAnsi="Times New Roman" w:cs="Times New Roman"/>
          <w:color w:val="auto"/>
          <w:sz w:val="24"/>
          <w:szCs w:val="24"/>
          <w:highlight w:val="none"/>
        </w:rPr>
      </w:pPr>
      <w:r>
        <w:rPr>
          <w:rStyle w:val="22"/>
          <w:rFonts w:hint="default" w:ascii="Times New Roman" w:hAnsi="Times New Roman" w:cs="Times New Roman"/>
          <w:color w:val="auto"/>
          <w:sz w:val="24"/>
          <w:szCs w:val="24"/>
          <w:highlight w:val="none"/>
        </w:rPr>
        <w:t>TLI（COD</w:t>
      </w:r>
      <w:r>
        <w:rPr>
          <w:rStyle w:val="22"/>
          <w:rFonts w:hint="default" w:ascii="Times New Roman" w:hAnsi="Times New Roman" w:cs="Times New Roman"/>
          <w:color w:val="auto"/>
          <w:sz w:val="24"/>
          <w:szCs w:val="24"/>
          <w:highlight w:val="none"/>
          <w:vertAlign w:val="subscript"/>
        </w:rPr>
        <w:t>Mn</w:t>
      </w:r>
      <w:r>
        <w:rPr>
          <w:rStyle w:val="22"/>
          <w:rFonts w:hint="default" w:ascii="Times New Roman" w:hAnsi="Times New Roman" w:cs="Times New Roman"/>
          <w:color w:val="auto"/>
          <w:sz w:val="24"/>
          <w:szCs w:val="24"/>
          <w:highlight w:val="none"/>
        </w:rPr>
        <w:t>）=</w:t>
      </w:r>
      <w:r>
        <w:rPr>
          <w:rFonts w:hint="default" w:ascii="Times New Roman" w:hAnsi="Times New Roman" w:cs="Times New Roman"/>
          <w:color w:val="auto"/>
          <w:sz w:val="24"/>
          <w:szCs w:val="24"/>
          <w:highlight w:val="none"/>
        </w:rPr>
        <w:t>10</w:t>
      </w:r>
      <w:r>
        <w:rPr>
          <w:rStyle w:val="22"/>
          <w:rFonts w:hint="default" w:ascii="Times New Roman" w:hAnsi="Times New Roman" w:cs="Times New Roman"/>
          <w:color w:val="auto"/>
          <w:sz w:val="24"/>
          <w:szCs w:val="24"/>
          <w:highlight w:val="none"/>
        </w:rPr>
        <w:t>（0.109+2.661lnCOD</w:t>
      </w:r>
      <w:r>
        <w:rPr>
          <w:rStyle w:val="22"/>
          <w:rFonts w:hint="default" w:ascii="Times New Roman" w:hAnsi="Times New Roman" w:cs="Times New Roman"/>
          <w:color w:val="auto"/>
          <w:sz w:val="24"/>
          <w:szCs w:val="24"/>
          <w:highlight w:val="none"/>
          <w:vertAlign w:val="subscript"/>
        </w:rPr>
        <w:t>Mn</w:t>
      </w:r>
      <w:r>
        <w:rPr>
          <w:rStyle w:val="22"/>
          <w:rFonts w:hint="default" w:ascii="Times New Roman" w:hAnsi="Times New Roman" w:cs="Times New Roman"/>
          <w:color w:val="auto"/>
          <w:sz w:val="24"/>
          <w:szCs w:val="24"/>
          <w:highlight w:val="none"/>
        </w:rPr>
        <w:t>）</w:t>
      </w:r>
    </w:p>
    <w:p w14:paraId="7D2282B5">
      <w:pPr>
        <w:pStyle w:val="57"/>
        <w:outlineLvl w:val="9"/>
        <w:rPr>
          <w:rStyle w:val="22"/>
          <w:rFonts w:hint="default" w:ascii="Times New Roman" w:hAnsi="Times New Roman" w:cs="Times New Roman"/>
          <w:color w:val="auto"/>
          <w:sz w:val="24"/>
          <w:szCs w:val="24"/>
          <w:highlight w:val="none"/>
        </w:rPr>
      </w:pPr>
      <w:r>
        <w:rPr>
          <w:rStyle w:val="22"/>
          <w:rFonts w:hint="default" w:ascii="Times New Roman" w:hAnsi="Times New Roman" w:cs="Times New Roman"/>
          <w:color w:val="auto"/>
          <w:sz w:val="24"/>
          <w:szCs w:val="24"/>
          <w:highlight w:val="none"/>
        </w:rPr>
        <w:t>式中：chl</w:t>
      </w:r>
      <w:r>
        <w:rPr>
          <w:rFonts w:hint="default" w:ascii="Times New Roman" w:hAnsi="Times New Roman" w:cs="Times New Roman"/>
          <w:color w:val="auto"/>
          <w:sz w:val="24"/>
          <w:szCs w:val="24"/>
          <w:highlight w:val="none"/>
        </w:rPr>
        <w:t>a</w:t>
      </w:r>
      <w:r>
        <w:rPr>
          <w:rStyle w:val="22"/>
          <w:rFonts w:hint="default" w:ascii="Times New Roman" w:hAnsi="Times New Roman" w:cs="Times New Roman"/>
          <w:color w:val="auto"/>
          <w:sz w:val="24"/>
          <w:szCs w:val="24"/>
          <w:highlight w:val="none"/>
        </w:rPr>
        <w:t>单位为mg/m</w:t>
      </w:r>
      <w:r>
        <w:rPr>
          <w:rStyle w:val="22"/>
          <w:rFonts w:hint="default" w:ascii="Times New Roman" w:hAnsi="Times New Roman" w:cs="Times New Roman"/>
          <w:color w:val="auto"/>
          <w:sz w:val="24"/>
          <w:szCs w:val="24"/>
          <w:highlight w:val="none"/>
          <w:vertAlign w:val="superscript"/>
        </w:rPr>
        <w:t>3</w:t>
      </w:r>
      <w:r>
        <w:rPr>
          <w:rStyle w:val="22"/>
          <w:rFonts w:hint="default" w:ascii="Times New Roman" w:hAnsi="Times New Roman" w:cs="Times New Roman"/>
          <w:color w:val="auto"/>
          <w:sz w:val="24"/>
          <w:szCs w:val="24"/>
          <w:highlight w:val="none"/>
        </w:rPr>
        <w:t>，SD单位为m；其它项目单位均为mg/L。</w:t>
      </w:r>
    </w:p>
    <w:p w14:paraId="5A4329C2">
      <w:pPr>
        <w:pStyle w:val="57"/>
        <w:outlineLvl w:val="9"/>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③湖泊水库营养状态分级</w:t>
      </w:r>
    </w:p>
    <w:p w14:paraId="593E9CF6">
      <w:pPr>
        <w:pStyle w:val="57"/>
        <w:outlineLvl w:val="9"/>
        <w:rPr>
          <w:rFonts w:hint="default" w:ascii="Times New Roman" w:hAnsi="Times New Roman" w:eastAsia="黑体" w:cs="Times New Roman"/>
          <w:b/>
          <w:color w:val="auto"/>
          <w:sz w:val="24"/>
          <w:szCs w:val="24"/>
          <w:highlight w:val="none"/>
        </w:rPr>
      </w:pPr>
      <w:r>
        <w:rPr>
          <w:rFonts w:hint="default" w:ascii="Times New Roman" w:hAnsi="Times New Roman" w:cs="Times New Roman"/>
          <w:color w:val="auto"/>
          <w:sz w:val="24"/>
          <w:szCs w:val="24"/>
          <w:highlight w:val="none"/>
        </w:rPr>
        <w:t>采用0～100的一系列连续数字对湖泊营养状态进行分级，包括：贫营养、中营养、富营养、轻度富营养、中度富营养和重度富营养，与污染程度关系如表</w:t>
      </w:r>
      <w:r>
        <w:rPr>
          <w:rFonts w:hint="eastAsia" w:ascii="Times New Roman" w:hAnsi="Times New Roman" w:cs="Times New Roman"/>
          <w:color w:val="auto"/>
          <w:sz w:val="24"/>
          <w:szCs w:val="24"/>
          <w:highlight w:val="none"/>
          <w:lang w:val="en-US" w:eastAsia="zh-CN"/>
        </w:rPr>
        <w:t>5.4-4</w:t>
      </w:r>
      <w:r>
        <w:rPr>
          <w:rFonts w:hint="default" w:ascii="Times New Roman" w:hAnsi="Times New Roman" w:cs="Times New Roman"/>
          <w:color w:val="auto"/>
          <w:sz w:val="24"/>
          <w:szCs w:val="24"/>
          <w:highlight w:val="none"/>
        </w:rPr>
        <w:t>。</w:t>
      </w:r>
    </w:p>
    <w:p w14:paraId="5E7D9988">
      <w:pPr>
        <w:widowControl/>
        <w:jc w:val="center"/>
        <w:rPr>
          <w:rFonts w:hint="default" w:ascii="Times New Roman" w:hAnsi="Times New Roman" w:cs="Times New Roman"/>
          <w:b/>
          <w:color w:val="auto"/>
          <w:kern w:val="0"/>
          <w:sz w:val="21"/>
          <w:szCs w:val="21"/>
          <w:highlight w:val="none"/>
        </w:rPr>
      </w:pPr>
      <w:r>
        <w:rPr>
          <w:rFonts w:hint="default" w:ascii="Times New Roman" w:hAnsi="Times New Roman" w:cs="Times New Roman"/>
          <w:b/>
          <w:color w:val="auto"/>
          <w:kern w:val="0"/>
          <w:sz w:val="21"/>
          <w:szCs w:val="21"/>
          <w:highlight w:val="none"/>
        </w:rPr>
        <w:t>表</w:t>
      </w:r>
      <w:r>
        <w:rPr>
          <w:rFonts w:hint="eastAsia" w:ascii="Times New Roman" w:hAnsi="Times New Roman" w:eastAsia="宋体" w:cs="Times New Roman"/>
          <w:b/>
          <w:bCs/>
          <w:color w:val="auto"/>
          <w:sz w:val="21"/>
          <w:szCs w:val="21"/>
          <w:highlight w:val="none"/>
          <w:u w:val="none" w:color="auto"/>
          <w:lang w:val="en-US" w:eastAsia="zh-CN"/>
        </w:rPr>
        <w:t xml:space="preserve">5.4-4 </w:t>
      </w:r>
      <w:r>
        <w:rPr>
          <w:rFonts w:hint="default" w:ascii="Times New Roman" w:hAnsi="Times New Roman" w:cs="Times New Roman"/>
          <w:b/>
          <w:color w:val="auto"/>
          <w:kern w:val="0"/>
          <w:sz w:val="21"/>
          <w:szCs w:val="21"/>
          <w:highlight w:val="none"/>
        </w:rPr>
        <w:t xml:space="preserve"> 水质类别与评分值对应表</w:t>
      </w:r>
    </w:p>
    <w:tbl>
      <w:tblPr>
        <w:tblStyle w:val="19"/>
        <w:tblW w:w="5000" w:type="pct"/>
        <w:tblInd w:w="11"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905"/>
        <w:gridCol w:w="2905"/>
        <w:gridCol w:w="2713"/>
      </w:tblGrid>
      <w:tr w14:paraId="41D46E4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736" w:type="dxa"/>
            <w:tcBorders>
              <w:tl2br w:val="nil"/>
              <w:tr2bl w:val="nil"/>
            </w:tcBorders>
            <w:noWrap w:val="0"/>
            <w:vAlign w:val="center"/>
          </w:tcPr>
          <w:p w14:paraId="51C4DEF3">
            <w:pPr>
              <w:pStyle w:val="45"/>
              <w:bidi w:val="0"/>
              <w:rPr>
                <w:rFonts w:hint="default"/>
                <w:b w:val="0"/>
                <w:bCs/>
                <w:color w:val="auto"/>
                <w:highlight w:val="none"/>
              </w:rPr>
            </w:pPr>
            <w:r>
              <w:rPr>
                <w:rFonts w:hint="default"/>
                <w:b w:val="0"/>
                <w:bCs/>
                <w:color w:val="auto"/>
                <w:highlight w:val="none"/>
              </w:rPr>
              <w:t>营养状态分级</w:t>
            </w:r>
          </w:p>
        </w:tc>
        <w:tc>
          <w:tcPr>
            <w:tcW w:w="2736" w:type="dxa"/>
            <w:tcBorders>
              <w:tl2br w:val="nil"/>
              <w:tr2bl w:val="nil"/>
            </w:tcBorders>
            <w:noWrap w:val="0"/>
            <w:vAlign w:val="center"/>
          </w:tcPr>
          <w:p w14:paraId="33E365C7">
            <w:pPr>
              <w:pStyle w:val="45"/>
              <w:bidi w:val="0"/>
              <w:rPr>
                <w:rFonts w:hint="default"/>
                <w:b w:val="0"/>
                <w:bCs/>
                <w:color w:val="auto"/>
                <w:highlight w:val="none"/>
              </w:rPr>
            </w:pPr>
            <w:r>
              <w:rPr>
                <w:rFonts w:hint="default"/>
                <w:b w:val="0"/>
                <w:bCs/>
                <w:color w:val="auto"/>
                <w:highlight w:val="none"/>
              </w:rPr>
              <w:t>评分值TLI（∑）</w:t>
            </w:r>
          </w:p>
        </w:tc>
        <w:tc>
          <w:tcPr>
            <w:tcW w:w="2555" w:type="dxa"/>
            <w:tcBorders>
              <w:tl2br w:val="nil"/>
              <w:tr2bl w:val="nil"/>
            </w:tcBorders>
            <w:noWrap w:val="0"/>
            <w:vAlign w:val="center"/>
          </w:tcPr>
          <w:p w14:paraId="0A99B092">
            <w:pPr>
              <w:pStyle w:val="45"/>
              <w:bidi w:val="0"/>
              <w:rPr>
                <w:rFonts w:hint="default"/>
                <w:b w:val="0"/>
                <w:bCs/>
                <w:color w:val="auto"/>
                <w:highlight w:val="none"/>
              </w:rPr>
            </w:pPr>
            <w:r>
              <w:rPr>
                <w:rFonts w:hint="default"/>
                <w:b w:val="0"/>
                <w:bCs/>
                <w:color w:val="auto"/>
                <w:highlight w:val="none"/>
              </w:rPr>
              <w:t>定性评价</w:t>
            </w:r>
          </w:p>
        </w:tc>
      </w:tr>
      <w:tr w14:paraId="5B9181F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736" w:type="dxa"/>
            <w:tcBorders>
              <w:tl2br w:val="nil"/>
              <w:tr2bl w:val="nil"/>
            </w:tcBorders>
            <w:noWrap w:val="0"/>
            <w:vAlign w:val="center"/>
          </w:tcPr>
          <w:p w14:paraId="35AD5792">
            <w:pPr>
              <w:pStyle w:val="45"/>
              <w:bidi w:val="0"/>
              <w:rPr>
                <w:rFonts w:hint="default"/>
                <w:b w:val="0"/>
                <w:bCs/>
                <w:color w:val="auto"/>
                <w:highlight w:val="none"/>
              </w:rPr>
            </w:pPr>
            <w:r>
              <w:rPr>
                <w:rFonts w:hint="default"/>
                <w:b w:val="0"/>
                <w:bCs/>
                <w:color w:val="auto"/>
                <w:highlight w:val="none"/>
              </w:rPr>
              <w:t>贫营养</w:t>
            </w:r>
          </w:p>
        </w:tc>
        <w:tc>
          <w:tcPr>
            <w:tcW w:w="2736" w:type="dxa"/>
            <w:tcBorders>
              <w:tl2br w:val="nil"/>
              <w:tr2bl w:val="nil"/>
            </w:tcBorders>
            <w:noWrap w:val="0"/>
            <w:vAlign w:val="center"/>
          </w:tcPr>
          <w:p w14:paraId="0187CA71">
            <w:pPr>
              <w:pStyle w:val="45"/>
              <w:bidi w:val="0"/>
              <w:rPr>
                <w:rFonts w:hint="default"/>
                <w:b w:val="0"/>
                <w:bCs/>
                <w:color w:val="auto"/>
                <w:highlight w:val="none"/>
              </w:rPr>
            </w:pPr>
            <w:r>
              <w:rPr>
                <w:rFonts w:hint="default"/>
                <w:b w:val="0"/>
                <w:bCs/>
                <w:color w:val="auto"/>
                <w:highlight w:val="none"/>
              </w:rPr>
              <w:t>0＜TLI（∑）≤30</w:t>
            </w:r>
          </w:p>
        </w:tc>
        <w:tc>
          <w:tcPr>
            <w:tcW w:w="2555" w:type="dxa"/>
            <w:tcBorders>
              <w:tl2br w:val="nil"/>
              <w:tr2bl w:val="nil"/>
            </w:tcBorders>
            <w:noWrap w:val="0"/>
            <w:vAlign w:val="center"/>
          </w:tcPr>
          <w:p w14:paraId="7A896EE6">
            <w:pPr>
              <w:pStyle w:val="45"/>
              <w:bidi w:val="0"/>
              <w:rPr>
                <w:rFonts w:hint="default"/>
                <w:b w:val="0"/>
                <w:bCs/>
                <w:color w:val="auto"/>
                <w:highlight w:val="none"/>
              </w:rPr>
            </w:pPr>
            <w:r>
              <w:rPr>
                <w:rFonts w:hint="default"/>
                <w:b w:val="0"/>
                <w:bCs/>
                <w:color w:val="auto"/>
                <w:highlight w:val="none"/>
              </w:rPr>
              <w:t>优</w:t>
            </w:r>
          </w:p>
        </w:tc>
      </w:tr>
      <w:tr w14:paraId="3D18569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736" w:type="dxa"/>
            <w:tcBorders>
              <w:tl2br w:val="nil"/>
              <w:tr2bl w:val="nil"/>
            </w:tcBorders>
            <w:noWrap w:val="0"/>
            <w:vAlign w:val="center"/>
          </w:tcPr>
          <w:p w14:paraId="3EB97BF7">
            <w:pPr>
              <w:pStyle w:val="45"/>
              <w:bidi w:val="0"/>
              <w:rPr>
                <w:rFonts w:hint="default"/>
                <w:b w:val="0"/>
                <w:bCs/>
                <w:color w:val="auto"/>
                <w:highlight w:val="none"/>
              </w:rPr>
            </w:pPr>
            <w:r>
              <w:rPr>
                <w:rFonts w:hint="default"/>
                <w:b w:val="0"/>
                <w:bCs/>
                <w:color w:val="auto"/>
                <w:highlight w:val="none"/>
              </w:rPr>
              <w:t>中营养</w:t>
            </w:r>
          </w:p>
        </w:tc>
        <w:tc>
          <w:tcPr>
            <w:tcW w:w="2736" w:type="dxa"/>
            <w:tcBorders>
              <w:tl2br w:val="nil"/>
              <w:tr2bl w:val="nil"/>
            </w:tcBorders>
            <w:noWrap w:val="0"/>
            <w:vAlign w:val="center"/>
          </w:tcPr>
          <w:p w14:paraId="0A3FBBF5">
            <w:pPr>
              <w:pStyle w:val="45"/>
              <w:bidi w:val="0"/>
              <w:rPr>
                <w:rFonts w:hint="default"/>
                <w:b w:val="0"/>
                <w:bCs/>
                <w:color w:val="auto"/>
                <w:highlight w:val="none"/>
              </w:rPr>
            </w:pPr>
            <w:r>
              <w:rPr>
                <w:rFonts w:hint="default"/>
                <w:b w:val="0"/>
                <w:bCs/>
                <w:color w:val="auto"/>
                <w:highlight w:val="none"/>
              </w:rPr>
              <w:t>30＜TLI（∑）≤50</w:t>
            </w:r>
          </w:p>
        </w:tc>
        <w:tc>
          <w:tcPr>
            <w:tcW w:w="2555" w:type="dxa"/>
            <w:tcBorders>
              <w:tl2br w:val="nil"/>
              <w:tr2bl w:val="nil"/>
            </w:tcBorders>
            <w:noWrap w:val="0"/>
            <w:vAlign w:val="center"/>
          </w:tcPr>
          <w:p w14:paraId="4E4F198F">
            <w:pPr>
              <w:pStyle w:val="45"/>
              <w:bidi w:val="0"/>
              <w:rPr>
                <w:rFonts w:hint="default"/>
                <w:b w:val="0"/>
                <w:bCs/>
                <w:color w:val="auto"/>
                <w:highlight w:val="none"/>
              </w:rPr>
            </w:pPr>
            <w:r>
              <w:rPr>
                <w:rFonts w:hint="default"/>
                <w:b w:val="0"/>
                <w:bCs/>
                <w:color w:val="auto"/>
                <w:highlight w:val="none"/>
              </w:rPr>
              <w:t>良好</w:t>
            </w:r>
          </w:p>
        </w:tc>
      </w:tr>
      <w:tr w14:paraId="3476EC1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736" w:type="dxa"/>
            <w:tcBorders>
              <w:tl2br w:val="nil"/>
              <w:tr2bl w:val="nil"/>
            </w:tcBorders>
            <w:noWrap w:val="0"/>
            <w:vAlign w:val="center"/>
          </w:tcPr>
          <w:p w14:paraId="073504B0">
            <w:pPr>
              <w:pStyle w:val="45"/>
              <w:bidi w:val="0"/>
              <w:rPr>
                <w:rFonts w:hint="default"/>
                <w:b w:val="0"/>
                <w:bCs/>
                <w:color w:val="auto"/>
                <w:highlight w:val="none"/>
              </w:rPr>
            </w:pPr>
            <w:r>
              <w:rPr>
                <w:rFonts w:hint="default"/>
                <w:b w:val="0"/>
                <w:bCs/>
                <w:color w:val="auto"/>
                <w:highlight w:val="none"/>
              </w:rPr>
              <w:t>（轻度）富营养</w:t>
            </w:r>
          </w:p>
        </w:tc>
        <w:tc>
          <w:tcPr>
            <w:tcW w:w="2736" w:type="dxa"/>
            <w:tcBorders>
              <w:tl2br w:val="nil"/>
              <w:tr2bl w:val="nil"/>
            </w:tcBorders>
            <w:noWrap w:val="0"/>
            <w:vAlign w:val="center"/>
          </w:tcPr>
          <w:p w14:paraId="286DCBAF">
            <w:pPr>
              <w:pStyle w:val="45"/>
              <w:bidi w:val="0"/>
              <w:rPr>
                <w:rFonts w:hint="default"/>
                <w:b w:val="0"/>
                <w:bCs/>
                <w:color w:val="auto"/>
                <w:highlight w:val="none"/>
              </w:rPr>
            </w:pPr>
            <w:r>
              <w:rPr>
                <w:rFonts w:hint="default"/>
                <w:b w:val="0"/>
                <w:bCs/>
                <w:color w:val="auto"/>
                <w:highlight w:val="none"/>
              </w:rPr>
              <w:t>50＜TLI（∑）≤60</w:t>
            </w:r>
          </w:p>
        </w:tc>
        <w:tc>
          <w:tcPr>
            <w:tcW w:w="2555" w:type="dxa"/>
            <w:tcBorders>
              <w:tl2br w:val="nil"/>
              <w:tr2bl w:val="nil"/>
            </w:tcBorders>
            <w:noWrap w:val="0"/>
            <w:vAlign w:val="center"/>
          </w:tcPr>
          <w:p w14:paraId="02FAD20B">
            <w:pPr>
              <w:pStyle w:val="45"/>
              <w:bidi w:val="0"/>
              <w:rPr>
                <w:rFonts w:hint="default"/>
                <w:b w:val="0"/>
                <w:bCs/>
                <w:color w:val="auto"/>
                <w:highlight w:val="none"/>
              </w:rPr>
            </w:pPr>
            <w:r>
              <w:rPr>
                <w:rFonts w:hint="default"/>
                <w:b w:val="0"/>
                <w:bCs/>
                <w:color w:val="auto"/>
                <w:highlight w:val="none"/>
              </w:rPr>
              <w:t>轻度污染</w:t>
            </w:r>
          </w:p>
        </w:tc>
      </w:tr>
      <w:tr w14:paraId="02CD7C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736" w:type="dxa"/>
            <w:tcBorders>
              <w:tl2br w:val="nil"/>
              <w:tr2bl w:val="nil"/>
            </w:tcBorders>
            <w:noWrap w:val="0"/>
            <w:vAlign w:val="center"/>
          </w:tcPr>
          <w:p w14:paraId="7C4B6623">
            <w:pPr>
              <w:pStyle w:val="45"/>
              <w:bidi w:val="0"/>
              <w:rPr>
                <w:rFonts w:hint="default"/>
                <w:b w:val="0"/>
                <w:bCs/>
                <w:color w:val="auto"/>
                <w:highlight w:val="none"/>
              </w:rPr>
            </w:pPr>
            <w:r>
              <w:rPr>
                <w:rFonts w:hint="default"/>
                <w:b w:val="0"/>
                <w:bCs/>
                <w:color w:val="auto"/>
                <w:highlight w:val="none"/>
              </w:rPr>
              <w:t>（中度）富营养</w:t>
            </w:r>
          </w:p>
        </w:tc>
        <w:tc>
          <w:tcPr>
            <w:tcW w:w="2736" w:type="dxa"/>
            <w:tcBorders>
              <w:tl2br w:val="nil"/>
              <w:tr2bl w:val="nil"/>
            </w:tcBorders>
            <w:noWrap w:val="0"/>
            <w:vAlign w:val="center"/>
          </w:tcPr>
          <w:p w14:paraId="7A1B9A8C">
            <w:pPr>
              <w:pStyle w:val="45"/>
              <w:bidi w:val="0"/>
              <w:rPr>
                <w:rFonts w:hint="default"/>
                <w:b w:val="0"/>
                <w:bCs/>
                <w:color w:val="auto"/>
                <w:highlight w:val="none"/>
              </w:rPr>
            </w:pPr>
            <w:r>
              <w:rPr>
                <w:rFonts w:hint="default"/>
                <w:b w:val="0"/>
                <w:bCs/>
                <w:color w:val="auto"/>
                <w:highlight w:val="none"/>
              </w:rPr>
              <w:t>60＜TLI（∑）≤70</w:t>
            </w:r>
          </w:p>
        </w:tc>
        <w:tc>
          <w:tcPr>
            <w:tcW w:w="2555" w:type="dxa"/>
            <w:tcBorders>
              <w:tl2br w:val="nil"/>
              <w:tr2bl w:val="nil"/>
            </w:tcBorders>
            <w:noWrap w:val="0"/>
            <w:vAlign w:val="center"/>
          </w:tcPr>
          <w:p w14:paraId="714911C3">
            <w:pPr>
              <w:pStyle w:val="45"/>
              <w:bidi w:val="0"/>
              <w:rPr>
                <w:rFonts w:hint="default"/>
                <w:b w:val="0"/>
                <w:bCs/>
                <w:color w:val="auto"/>
                <w:highlight w:val="none"/>
              </w:rPr>
            </w:pPr>
            <w:r>
              <w:rPr>
                <w:rFonts w:hint="default"/>
                <w:b w:val="0"/>
                <w:bCs/>
                <w:color w:val="auto"/>
                <w:highlight w:val="none"/>
              </w:rPr>
              <w:t>中度污染</w:t>
            </w:r>
          </w:p>
        </w:tc>
      </w:tr>
      <w:tr w14:paraId="0B37EB6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736" w:type="dxa"/>
            <w:tcBorders>
              <w:tl2br w:val="nil"/>
              <w:tr2bl w:val="nil"/>
            </w:tcBorders>
            <w:noWrap w:val="0"/>
            <w:vAlign w:val="center"/>
          </w:tcPr>
          <w:p w14:paraId="68383F56">
            <w:pPr>
              <w:pStyle w:val="45"/>
              <w:bidi w:val="0"/>
              <w:rPr>
                <w:rFonts w:hint="default"/>
                <w:b w:val="0"/>
                <w:bCs/>
                <w:color w:val="auto"/>
                <w:highlight w:val="none"/>
              </w:rPr>
            </w:pPr>
            <w:r>
              <w:rPr>
                <w:rFonts w:hint="default"/>
                <w:b w:val="0"/>
                <w:bCs/>
                <w:color w:val="auto"/>
                <w:highlight w:val="none"/>
              </w:rPr>
              <w:t>（重度）富营养</w:t>
            </w:r>
          </w:p>
        </w:tc>
        <w:tc>
          <w:tcPr>
            <w:tcW w:w="2736" w:type="dxa"/>
            <w:tcBorders>
              <w:tl2br w:val="nil"/>
              <w:tr2bl w:val="nil"/>
            </w:tcBorders>
            <w:noWrap w:val="0"/>
            <w:vAlign w:val="center"/>
          </w:tcPr>
          <w:p w14:paraId="4397F21C">
            <w:pPr>
              <w:pStyle w:val="45"/>
              <w:bidi w:val="0"/>
              <w:rPr>
                <w:rFonts w:hint="default"/>
                <w:b w:val="0"/>
                <w:bCs/>
                <w:color w:val="auto"/>
                <w:highlight w:val="none"/>
              </w:rPr>
            </w:pPr>
            <w:r>
              <w:rPr>
                <w:rFonts w:hint="default"/>
                <w:b w:val="0"/>
                <w:bCs/>
                <w:color w:val="auto"/>
                <w:highlight w:val="none"/>
              </w:rPr>
              <w:t>70＜TLI（∑）≤100</w:t>
            </w:r>
          </w:p>
        </w:tc>
        <w:tc>
          <w:tcPr>
            <w:tcW w:w="2555" w:type="dxa"/>
            <w:tcBorders>
              <w:tl2br w:val="nil"/>
              <w:tr2bl w:val="nil"/>
            </w:tcBorders>
            <w:noWrap w:val="0"/>
            <w:vAlign w:val="center"/>
          </w:tcPr>
          <w:p w14:paraId="23368AE5">
            <w:pPr>
              <w:pStyle w:val="45"/>
              <w:bidi w:val="0"/>
              <w:rPr>
                <w:rFonts w:hint="default"/>
                <w:b w:val="0"/>
                <w:bCs/>
                <w:color w:val="auto"/>
                <w:highlight w:val="none"/>
              </w:rPr>
            </w:pPr>
            <w:r>
              <w:rPr>
                <w:rFonts w:hint="default"/>
                <w:b w:val="0"/>
                <w:bCs/>
                <w:color w:val="auto"/>
                <w:highlight w:val="none"/>
              </w:rPr>
              <w:t>重度污染</w:t>
            </w:r>
          </w:p>
        </w:tc>
      </w:tr>
    </w:tbl>
    <w:p w14:paraId="255E6F1C">
      <w:pPr>
        <w:tabs>
          <w:tab w:val="left" w:pos="1455"/>
        </w:tabs>
        <w:adjustRightInd w:val="0"/>
        <w:snapToGrid w:val="0"/>
        <w:spacing w:line="360" w:lineRule="auto"/>
        <w:ind w:firstLine="480" w:firstLineChars="200"/>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评价结果显示，</w:t>
      </w:r>
      <w:r>
        <w:rPr>
          <w:rFonts w:hint="eastAsia" w:ascii="Times New Roman" w:hAnsi="Times New Roman" w:cs="Times New Roman"/>
          <w:color w:val="auto"/>
          <w:sz w:val="24"/>
          <w:szCs w:val="24"/>
          <w:highlight w:val="none"/>
          <w:lang w:val="en-US" w:eastAsia="zh-CN"/>
        </w:rPr>
        <w:t>寿岭冲水库</w:t>
      </w:r>
      <w:r>
        <w:rPr>
          <w:rFonts w:hint="default" w:ascii="Times New Roman" w:hAnsi="Times New Roman" w:cs="Times New Roman"/>
          <w:color w:val="auto"/>
          <w:sz w:val="24"/>
          <w:szCs w:val="24"/>
          <w:highlight w:val="none"/>
        </w:rPr>
        <w:t>富营养化综合指数为</w:t>
      </w:r>
      <w:r>
        <w:rPr>
          <w:rFonts w:hint="eastAsia" w:ascii="Times New Roman" w:hAnsi="Times New Roman" w:cs="Times New Roman"/>
          <w:color w:val="auto"/>
          <w:sz w:val="24"/>
          <w:szCs w:val="24"/>
          <w:highlight w:val="none"/>
          <w:lang w:val="en-US" w:eastAsia="zh-CN"/>
        </w:rPr>
        <w:t>43.84</w:t>
      </w:r>
      <w:r>
        <w:rPr>
          <w:rFonts w:hint="default" w:ascii="Times New Roman" w:hAnsi="Times New Roman" w:cs="Times New Roman"/>
          <w:color w:val="auto"/>
          <w:sz w:val="24"/>
          <w:szCs w:val="24"/>
          <w:highlight w:val="none"/>
        </w:rPr>
        <w:t>，处于</w:t>
      </w:r>
      <w:r>
        <w:rPr>
          <w:rFonts w:hint="eastAsia" w:ascii="Times New Roman" w:hAnsi="Times New Roman" w:cs="Times New Roman"/>
          <w:color w:val="auto"/>
          <w:sz w:val="24"/>
          <w:szCs w:val="24"/>
          <w:highlight w:val="none"/>
          <w:lang w:val="en-US" w:eastAsia="zh-CN"/>
        </w:rPr>
        <w:t>中</w:t>
      </w:r>
      <w:r>
        <w:rPr>
          <w:rFonts w:hint="default" w:ascii="Times New Roman" w:hAnsi="Times New Roman" w:cs="Times New Roman"/>
          <w:color w:val="auto"/>
          <w:sz w:val="24"/>
          <w:szCs w:val="24"/>
          <w:highlight w:val="none"/>
        </w:rPr>
        <w:t>营养状态</w:t>
      </w:r>
      <w:r>
        <w:rPr>
          <w:rFonts w:hint="eastAsia" w:ascii="Times New Roman" w:hAnsi="Times New Roman" w:cs="Times New Roman"/>
          <w:color w:val="auto"/>
          <w:sz w:val="24"/>
          <w:szCs w:val="24"/>
          <w:highlight w:val="none"/>
          <w:lang w:eastAsia="zh-CN"/>
        </w:rPr>
        <w:t>，水质定性评价为“良好”</w:t>
      </w:r>
      <w:r>
        <w:rPr>
          <w:rFonts w:hint="default" w:ascii="Times New Roman" w:hAnsi="Times New Roman" w:cs="Times New Roman"/>
          <w:color w:val="auto"/>
          <w:sz w:val="24"/>
          <w:szCs w:val="24"/>
          <w:highlight w:val="none"/>
        </w:rPr>
        <w:t>。评价结果见下表</w:t>
      </w:r>
      <w:r>
        <w:rPr>
          <w:rFonts w:hint="eastAsia" w:ascii="Times New Roman" w:hAnsi="Times New Roman" w:eastAsia="宋体" w:cs="Times New Roman"/>
          <w:color w:val="auto"/>
          <w:sz w:val="24"/>
          <w:szCs w:val="24"/>
          <w:highlight w:val="none"/>
          <w:lang w:val="en-US" w:eastAsia="zh-CN"/>
        </w:rPr>
        <w:t>5.4-5</w:t>
      </w:r>
      <w:r>
        <w:rPr>
          <w:rFonts w:hint="default" w:ascii="Times New Roman" w:hAnsi="Times New Roman" w:cs="Times New Roman"/>
          <w:color w:val="auto"/>
          <w:sz w:val="24"/>
          <w:szCs w:val="24"/>
          <w:highlight w:val="none"/>
        </w:rPr>
        <w:t>。</w:t>
      </w:r>
    </w:p>
    <w:p w14:paraId="25C19BC2">
      <w:pPr>
        <w:widowControl/>
        <w:jc w:val="center"/>
        <w:rPr>
          <w:rFonts w:hint="default" w:ascii="Times New Roman" w:hAnsi="Times New Roman" w:cs="Times New Roman"/>
          <w:b/>
          <w:color w:val="auto"/>
          <w:kern w:val="0"/>
          <w:sz w:val="21"/>
          <w:szCs w:val="21"/>
          <w:highlight w:val="none"/>
        </w:rPr>
      </w:pPr>
      <w:r>
        <w:rPr>
          <w:rFonts w:hint="default" w:ascii="Times New Roman" w:hAnsi="Times New Roman" w:cs="Times New Roman"/>
          <w:b/>
          <w:color w:val="auto"/>
          <w:kern w:val="0"/>
          <w:sz w:val="21"/>
          <w:szCs w:val="21"/>
          <w:highlight w:val="none"/>
        </w:rPr>
        <w:t>表</w:t>
      </w:r>
      <w:r>
        <w:rPr>
          <w:rFonts w:hint="eastAsia" w:ascii="Times New Roman" w:hAnsi="Times New Roman" w:eastAsia="宋体" w:cs="Times New Roman"/>
          <w:b/>
          <w:bCs/>
          <w:color w:val="auto"/>
          <w:sz w:val="21"/>
          <w:szCs w:val="21"/>
          <w:highlight w:val="none"/>
          <w:u w:val="none" w:color="auto"/>
          <w:lang w:val="en-US" w:eastAsia="zh-CN"/>
        </w:rPr>
        <w:t xml:space="preserve">5.4-5 </w:t>
      </w:r>
      <w:r>
        <w:rPr>
          <w:rFonts w:hint="default" w:ascii="Times New Roman" w:hAnsi="Times New Roman" w:cs="Times New Roman"/>
          <w:b/>
          <w:color w:val="auto"/>
          <w:kern w:val="0"/>
          <w:sz w:val="21"/>
          <w:szCs w:val="21"/>
          <w:highlight w:val="none"/>
        </w:rPr>
        <w:t xml:space="preserve"> </w:t>
      </w:r>
      <w:r>
        <w:rPr>
          <w:rFonts w:hint="eastAsia" w:ascii="Times New Roman" w:hAnsi="Times New Roman" w:cs="Times New Roman"/>
          <w:b/>
          <w:color w:val="auto"/>
          <w:kern w:val="0"/>
          <w:sz w:val="21"/>
          <w:szCs w:val="21"/>
          <w:highlight w:val="none"/>
          <w:lang w:val="en-US" w:eastAsia="zh-CN"/>
        </w:rPr>
        <w:t>寿岭冲</w:t>
      </w:r>
      <w:r>
        <w:rPr>
          <w:rFonts w:hint="default" w:ascii="Times New Roman" w:hAnsi="Times New Roman" w:cs="Times New Roman"/>
          <w:b/>
          <w:color w:val="auto"/>
          <w:kern w:val="0"/>
          <w:sz w:val="21"/>
          <w:szCs w:val="21"/>
          <w:highlight w:val="none"/>
        </w:rPr>
        <w:t>水库富营养化评价结果</w:t>
      </w:r>
    </w:p>
    <w:tbl>
      <w:tblPr>
        <w:tblStyle w:val="1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751"/>
        <w:gridCol w:w="541"/>
        <w:gridCol w:w="741"/>
        <w:gridCol w:w="676"/>
        <w:gridCol w:w="764"/>
        <w:gridCol w:w="512"/>
        <w:gridCol w:w="833"/>
        <w:gridCol w:w="654"/>
        <w:gridCol w:w="643"/>
        <w:gridCol w:w="760"/>
        <w:gridCol w:w="729"/>
        <w:gridCol w:w="733"/>
      </w:tblGrid>
      <w:tr w14:paraId="05D03D0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41" w:type="dxa"/>
            <w:gridSpan w:val="2"/>
            <w:tcBorders>
              <w:tl2br w:val="nil"/>
              <w:tr2bl w:val="nil"/>
            </w:tcBorders>
            <w:noWrap w:val="0"/>
            <w:vAlign w:val="center"/>
          </w:tcPr>
          <w:p w14:paraId="1048100F">
            <w:pPr>
              <w:pStyle w:val="45"/>
              <w:bidi w:val="0"/>
              <w:rPr>
                <w:rFonts w:hint="default"/>
                <w:b w:val="0"/>
                <w:bCs/>
                <w:color w:val="auto"/>
                <w:highlight w:val="none"/>
              </w:rPr>
            </w:pPr>
            <w:r>
              <w:rPr>
                <w:rFonts w:hint="default"/>
                <w:b w:val="0"/>
                <w:bCs/>
                <w:color w:val="auto"/>
                <w:highlight w:val="none"/>
              </w:rPr>
              <w:t>高锰酸盐指数</w:t>
            </w:r>
          </w:p>
        </w:tc>
        <w:tc>
          <w:tcPr>
            <w:tcW w:w="1361" w:type="dxa"/>
            <w:gridSpan w:val="2"/>
            <w:tcBorders>
              <w:tl2br w:val="nil"/>
              <w:tr2bl w:val="nil"/>
            </w:tcBorders>
            <w:noWrap w:val="0"/>
            <w:vAlign w:val="center"/>
          </w:tcPr>
          <w:p w14:paraId="1273A2A2">
            <w:pPr>
              <w:pStyle w:val="45"/>
              <w:bidi w:val="0"/>
              <w:rPr>
                <w:rFonts w:hint="default"/>
                <w:b w:val="0"/>
                <w:bCs/>
                <w:color w:val="auto"/>
                <w:highlight w:val="none"/>
              </w:rPr>
            </w:pPr>
            <w:r>
              <w:rPr>
                <w:rFonts w:hint="default"/>
                <w:b w:val="0"/>
                <w:bCs/>
                <w:color w:val="auto"/>
                <w:highlight w:val="none"/>
              </w:rPr>
              <w:t>总磷</w:t>
            </w:r>
          </w:p>
        </w:tc>
        <w:tc>
          <w:tcPr>
            <w:tcW w:w="1226" w:type="dxa"/>
            <w:gridSpan w:val="2"/>
            <w:tcBorders>
              <w:tl2br w:val="nil"/>
              <w:tr2bl w:val="nil"/>
            </w:tcBorders>
            <w:noWrap w:val="0"/>
            <w:vAlign w:val="center"/>
          </w:tcPr>
          <w:p w14:paraId="53B6A816">
            <w:pPr>
              <w:pStyle w:val="45"/>
              <w:bidi w:val="0"/>
              <w:rPr>
                <w:rFonts w:hint="default"/>
                <w:b w:val="0"/>
                <w:bCs/>
                <w:color w:val="auto"/>
                <w:highlight w:val="none"/>
              </w:rPr>
            </w:pPr>
            <w:r>
              <w:rPr>
                <w:rFonts w:hint="default"/>
                <w:b w:val="0"/>
                <w:bCs/>
                <w:color w:val="auto"/>
                <w:highlight w:val="none"/>
              </w:rPr>
              <w:t>总氮</w:t>
            </w:r>
          </w:p>
        </w:tc>
        <w:tc>
          <w:tcPr>
            <w:tcW w:w="1428" w:type="dxa"/>
            <w:gridSpan w:val="2"/>
            <w:tcBorders>
              <w:tl2br w:val="nil"/>
              <w:tr2bl w:val="nil"/>
            </w:tcBorders>
            <w:noWrap w:val="0"/>
            <w:vAlign w:val="center"/>
          </w:tcPr>
          <w:p w14:paraId="00411C73">
            <w:pPr>
              <w:pStyle w:val="45"/>
              <w:bidi w:val="0"/>
              <w:rPr>
                <w:rFonts w:hint="default"/>
                <w:b w:val="0"/>
                <w:bCs/>
                <w:color w:val="auto"/>
                <w:highlight w:val="none"/>
              </w:rPr>
            </w:pPr>
            <w:r>
              <w:rPr>
                <w:rFonts w:hint="default"/>
                <w:b w:val="0"/>
                <w:bCs/>
                <w:color w:val="auto"/>
                <w:highlight w:val="none"/>
              </w:rPr>
              <w:t>叶绿素a</w:t>
            </w:r>
          </w:p>
        </w:tc>
        <w:tc>
          <w:tcPr>
            <w:tcW w:w="1347" w:type="dxa"/>
            <w:gridSpan w:val="2"/>
            <w:tcBorders>
              <w:tl2br w:val="nil"/>
              <w:tr2bl w:val="nil"/>
            </w:tcBorders>
            <w:noWrap w:val="0"/>
            <w:vAlign w:val="center"/>
          </w:tcPr>
          <w:p w14:paraId="6C7D4F59">
            <w:pPr>
              <w:pStyle w:val="45"/>
              <w:bidi w:val="0"/>
              <w:rPr>
                <w:rFonts w:hint="default"/>
                <w:b w:val="0"/>
                <w:bCs/>
                <w:color w:val="auto"/>
                <w:highlight w:val="none"/>
              </w:rPr>
            </w:pPr>
            <w:r>
              <w:rPr>
                <w:rFonts w:hint="default"/>
                <w:b w:val="0"/>
                <w:bCs/>
                <w:color w:val="auto"/>
                <w:highlight w:val="none"/>
              </w:rPr>
              <w:t>透明度</w:t>
            </w:r>
          </w:p>
        </w:tc>
        <w:tc>
          <w:tcPr>
            <w:tcW w:w="1404" w:type="dxa"/>
            <w:gridSpan w:val="2"/>
            <w:tcBorders>
              <w:tl2br w:val="nil"/>
              <w:tr2bl w:val="nil"/>
            </w:tcBorders>
            <w:noWrap w:val="0"/>
            <w:vAlign w:val="center"/>
          </w:tcPr>
          <w:p w14:paraId="14A542FA">
            <w:pPr>
              <w:pStyle w:val="45"/>
              <w:bidi w:val="0"/>
              <w:rPr>
                <w:rFonts w:hint="default"/>
                <w:b w:val="0"/>
                <w:bCs/>
                <w:color w:val="auto"/>
                <w:highlight w:val="none"/>
              </w:rPr>
            </w:pPr>
            <w:r>
              <w:rPr>
                <w:rFonts w:hint="default"/>
                <w:b w:val="0"/>
                <w:bCs/>
                <w:color w:val="auto"/>
                <w:highlight w:val="none"/>
              </w:rPr>
              <w:t>营养程度评价</w:t>
            </w:r>
          </w:p>
        </w:tc>
      </w:tr>
      <w:tr w14:paraId="657497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21" w:type="dxa"/>
            <w:tcBorders>
              <w:tl2br w:val="nil"/>
              <w:tr2bl w:val="nil"/>
            </w:tcBorders>
            <w:noWrap w:val="0"/>
            <w:vAlign w:val="center"/>
          </w:tcPr>
          <w:p w14:paraId="2DE589D2">
            <w:pPr>
              <w:pStyle w:val="45"/>
              <w:bidi w:val="0"/>
              <w:rPr>
                <w:rFonts w:hint="default"/>
                <w:b w:val="0"/>
                <w:bCs/>
                <w:color w:val="auto"/>
                <w:highlight w:val="none"/>
              </w:rPr>
            </w:pPr>
            <w:r>
              <w:rPr>
                <w:rFonts w:hint="default"/>
                <w:b w:val="0"/>
                <w:bCs/>
                <w:color w:val="auto"/>
                <w:highlight w:val="none"/>
              </w:rPr>
              <w:t>浓度</w:t>
            </w:r>
          </w:p>
          <w:p w14:paraId="272AD644">
            <w:pPr>
              <w:pStyle w:val="45"/>
              <w:bidi w:val="0"/>
              <w:rPr>
                <w:rFonts w:hint="default"/>
                <w:b w:val="0"/>
                <w:bCs/>
                <w:color w:val="auto"/>
                <w:highlight w:val="none"/>
              </w:rPr>
            </w:pPr>
            <w:r>
              <w:rPr>
                <w:rFonts w:hint="default"/>
                <w:b w:val="0"/>
                <w:bCs/>
                <w:color w:val="auto"/>
                <w:highlight w:val="none"/>
              </w:rPr>
              <w:t>（mg/L）</w:t>
            </w:r>
          </w:p>
        </w:tc>
        <w:tc>
          <w:tcPr>
            <w:tcW w:w="520" w:type="dxa"/>
            <w:tcBorders>
              <w:tl2br w:val="nil"/>
              <w:tr2bl w:val="nil"/>
            </w:tcBorders>
            <w:noWrap w:val="0"/>
            <w:vAlign w:val="center"/>
          </w:tcPr>
          <w:p w14:paraId="14D9FD9F">
            <w:pPr>
              <w:pStyle w:val="45"/>
              <w:bidi w:val="0"/>
              <w:rPr>
                <w:rFonts w:hint="default"/>
                <w:b w:val="0"/>
                <w:bCs/>
                <w:color w:val="auto"/>
                <w:highlight w:val="none"/>
              </w:rPr>
            </w:pPr>
            <w:r>
              <w:rPr>
                <w:rFonts w:hint="default"/>
                <w:b w:val="0"/>
                <w:bCs/>
                <w:color w:val="auto"/>
                <w:highlight w:val="none"/>
              </w:rPr>
              <w:t>评分值</w:t>
            </w:r>
          </w:p>
        </w:tc>
        <w:tc>
          <w:tcPr>
            <w:tcW w:w="712" w:type="dxa"/>
            <w:tcBorders>
              <w:tl2br w:val="nil"/>
              <w:tr2bl w:val="nil"/>
            </w:tcBorders>
            <w:noWrap w:val="0"/>
            <w:vAlign w:val="center"/>
          </w:tcPr>
          <w:p w14:paraId="7C278F4B">
            <w:pPr>
              <w:pStyle w:val="45"/>
              <w:bidi w:val="0"/>
              <w:rPr>
                <w:rFonts w:hint="default"/>
                <w:b w:val="0"/>
                <w:bCs/>
                <w:color w:val="auto"/>
                <w:highlight w:val="none"/>
              </w:rPr>
            </w:pPr>
            <w:r>
              <w:rPr>
                <w:rFonts w:hint="default"/>
                <w:b w:val="0"/>
                <w:bCs/>
                <w:color w:val="auto"/>
                <w:highlight w:val="none"/>
              </w:rPr>
              <w:t>浓度</w:t>
            </w:r>
          </w:p>
          <w:p w14:paraId="2FC9D901">
            <w:pPr>
              <w:pStyle w:val="45"/>
              <w:bidi w:val="0"/>
              <w:rPr>
                <w:rFonts w:hint="default"/>
                <w:b w:val="0"/>
                <w:bCs/>
                <w:color w:val="auto"/>
                <w:highlight w:val="none"/>
              </w:rPr>
            </w:pPr>
            <w:r>
              <w:rPr>
                <w:rFonts w:hint="default"/>
                <w:b w:val="0"/>
                <w:bCs/>
                <w:color w:val="auto"/>
                <w:highlight w:val="none"/>
              </w:rPr>
              <w:t>（mg/L）</w:t>
            </w:r>
          </w:p>
        </w:tc>
        <w:tc>
          <w:tcPr>
            <w:tcW w:w="649" w:type="dxa"/>
            <w:tcBorders>
              <w:tl2br w:val="nil"/>
              <w:tr2bl w:val="nil"/>
            </w:tcBorders>
            <w:noWrap w:val="0"/>
            <w:vAlign w:val="center"/>
          </w:tcPr>
          <w:p w14:paraId="55F8A59E">
            <w:pPr>
              <w:pStyle w:val="45"/>
              <w:bidi w:val="0"/>
              <w:rPr>
                <w:rFonts w:hint="default"/>
                <w:b w:val="0"/>
                <w:bCs/>
                <w:color w:val="auto"/>
                <w:highlight w:val="none"/>
              </w:rPr>
            </w:pPr>
            <w:r>
              <w:rPr>
                <w:rFonts w:hint="default"/>
                <w:b w:val="0"/>
                <w:bCs/>
                <w:color w:val="auto"/>
                <w:highlight w:val="none"/>
              </w:rPr>
              <w:t>评分值</w:t>
            </w:r>
          </w:p>
        </w:tc>
        <w:tc>
          <w:tcPr>
            <w:tcW w:w="734" w:type="dxa"/>
            <w:tcBorders>
              <w:tl2br w:val="nil"/>
              <w:tr2bl w:val="nil"/>
            </w:tcBorders>
            <w:noWrap w:val="0"/>
            <w:vAlign w:val="center"/>
          </w:tcPr>
          <w:p w14:paraId="38D7B2BB">
            <w:pPr>
              <w:pStyle w:val="45"/>
              <w:bidi w:val="0"/>
              <w:rPr>
                <w:rFonts w:hint="default"/>
                <w:b w:val="0"/>
                <w:bCs/>
                <w:color w:val="auto"/>
                <w:highlight w:val="none"/>
              </w:rPr>
            </w:pPr>
            <w:r>
              <w:rPr>
                <w:rFonts w:hint="default"/>
                <w:b w:val="0"/>
                <w:bCs/>
                <w:color w:val="auto"/>
                <w:highlight w:val="none"/>
              </w:rPr>
              <w:t>浓度</w:t>
            </w:r>
          </w:p>
          <w:p w14:paraId="33D36EDB">
            <w:pPr>
              <w:pStyle w:val="45"/>
              <w:bidi w:val="0"/>
              <w:rPr>
                <w:rFonts w:hint="default"/>
                <w:b w:val="0"/>
                <w:bCs/>
                <w:color w:val="auto"/>
                <w:highlight w:val="none"/>
              </w:rPr>
            </w:pPr>
            <w:r>
              <w:rPr>
                <w:rFonts w:hint="default"/>
                <w:b w:val="0"/>
                <w:bCs/>
                <w:color w:val="auto"/>
                <w:highlight w:val="none"/>
              </w:rPr>
              <w:t>（mg/L）</w:t>
            </w:r>
          </w:p>
        </w:tc>
        <w:tc>
          <w:tcPr>
            <w:tcW w:w="492" w:type="dxa"/>
            <w:tcBorders>
              <w:tl2br w:val="nil"/>
              <w:tr2bl w:val="nil"/>
            </w:tcBorders>
            <w:noWrap w:val="0"/>
            <w:vAlign w:val="center"/>
          </w:tcPr>
          <w:p w14:paraId="3280CDC2">
            <w:pPr>
              <w:pStyle w:val="45"/>
              <w:bidi w:val="0"/>
              <w:rPr>
                <w:rFonts w:hint="default"/>
                <w:b w:val="0"/>
                <w:bCs/>
                <w:color w:val="auto"/>
                <w:highlight w:val="none"/>
              </w:rPr>
            </w:pPr>
            <w:r>
              <w:rPr>
                <w:rFonts w:hint="default"/>
                <w:b w:val="0"/>
                <w:bCs/>
                <w:color w:val="auto"/>
                <w:highlight w:val="none"/>
              </w:rPr>
              <w:t>评分值</w:t>
            </w:r>
          </w:p>
        </w:tc>
        <w:tc>
          <w:tcPr>
            <w:tcW w:w="800" w:type="dxa"/>
            <w:tcBorders>
              <w:tl2br w:val="nil"/>
              <w:tr2bl w:val="nil"/>
            </w:tcBorders>
            <w:noWrap w:val="0"/>
            <w:vAlign w:val="center"/>
          </w:tcPr>
          <w:p w14:paraId="4C00B1F1">
            <w:pPr>
              <w:pStyle w:val="45"/>
              <w:bidi w:val="0"/>
              <w:rPr>
                <w:rFonts w:hint="default"/>
                <w:b w:val="0"/>
                <w:bCs/>
                <w:color w:val="auto"/>
                <w:highlight w:val="none"/>
              </w:rPr>
            </w:pPr>
            <w:r>
              <w:rPr>
                <w:rFonts w:hint="default"/>
                <w:b w:val="0"/>
                <w:bCs/>
                <w:color w:val="auto"/>
                <w:highlight w:val="none"/>
              </w:rPr>
              <w:t>浓度</w:t>
            </w:r>
          </w:p>
          <w:p w14:paraId="40563E83">
            <w:pPr>
              <w:pStyle w:val="45"/>
              <w:bidi w:val="0"/>
              <w:rPr>
                <w:rFonts w:hint="default"/>
                <w:b w:val="0"/>
                <w:bCs/>
                <w:color w:val="auto"/>
                <w:highlight w:val="none"/>
              </w:rPr>
            </w:pPr>
            <w:r>
              <w:rPr>
                <w:rFonts w:hint="default"/>
                <w:b w:val="0"/>
                <w:bCs/>
                <w:color w:val="auto"/>
                <w:highlight w:val="none"/>
              </w:rPr>
              <w:t>（mg/m3）</w:t>
            </w:r>
          </w:p>
        </w:tc>
        <w:tc>
          <w:tcPr>
            <w:tcW w:w="628" w:type="dxa"/>
            <w:tcBorders>
              <w:tl2br w:val="nil"/>
              <w:tr2bl w:val="nil"/>
            </w:tcBorders>
            <w:noWrap w:val="0"/>
            <w:vAlign w:val="center"/>
          </w:tcPr>
          <w:p w14:paraId="7A423C58">
            <w:pPr>
              <w:pStyle w:val="45"/>
              <w:bidi w:val="0"/>
              <w:rPr>
                <w:rFonts w:hint="default"/>
                <w:b w:val="0"/>
                <w:bCs/>
                <w:color w:val="auto"/>
                <w:highlight w:val="none"/>
              </w:rPr>
            </w:pPr>
            <w:r>
              <w:rPr>
                <w:rFonts w:hint="default"/>
                <w:b w:val="0"/>
                <w:bCs/>
                <w:color w:val="auto"/>
                <w:highlight w:val="none"/>
              </w:rPr>
              <w:t>评分值</w:t>
            </w:r>
          </w:p>
        </w:tc>
        <w:tc>
          <w:tcPr>
            <w:tcW w:w="617" w:type="dxa"/>
            <w:tcBorders>
              <w:tl2br w:val="nil"/>
              <w:tr2bl w:val="nil"/>
            </w:tcBorders>
            <w:noWrap w:val="0"/>
            <w:vAlign w:val="center"/>
          </w:tcPr>
          <w:p w14:paraId="40FC4164">
            <w:pPr>
              <w:pStyle w:val="45"/>
              <w:bidi w:val="0"/>
              <w:rPr>
                <w:rFonts w:hint="default"/>
                <w:b w:val="0"/>
                <w:bCs/>
                <w:color w:val="auto"/>
                <w:highlight w:val="none"/>
              </w:rPr>
            </w:pPr>
            <w:r>
              <w:rPr>
                <w:rFonts w:hint="default"/>
                <w:b w:val="0"/>
                <w:bCs/>
                <w:color w:val="auto"/>
                <w:highlight w:val="none"/>
              </w:rPr>
              <w:t>浓度</w:t>
            </w:r>
          </w:p>
          <w:p w14:paraId="7996F1C3">
            <w:pPr>
              <w:pStyle w:val="45"/>
              <w:bidi w:val="0"/>
              <w:rPr>
                <w:rFonts w:hint="default"/>
                <w:b w:val="0"/>
                <w:bCs/>
                <w:color w:val="auto"/>
                <w:highlight w:val="none"/>
              </w:rPr>
            </w:pPr>
            <w:r>
              <w:rPr>
                <w:rFonts w:hint="default"/>
                <w:b w:val="0"/>
                <w:bCs/>
                <w:color w:val="auto"/>
                <w:highlight w:val="none"/>
              </w:rPr>
              <w:t>（m）</w:t>
            </w:r>
          </w:p>
        </w:tc>
        <w:tc>
          <w:tcPr>
            <w:tcW w:w="730" w:type="dxa"/>
            <w:tcBorders>
              <w:tl2br w:val="nil"/>
              <w:tr2bl w:val="nil"/>
            </w:tcBorders>
            <w:noWrap w:val="0"/>
            <w:vAlign w:val="center"/>
          </w:tcPr>
          <w:p w14:paraId="21960C00">
            <w:pPr>
              <w:pStyle w:val="45"/>
              <w:bidi w:val="0"/>
              <w:rPr>
                <w:rFonts w:hint="default"/>
                <w:b w:val="0"/>
                <w:bCs/>
                <w:color w:val="auto"/>
                <w:highlight w:val="none"/>
              </w:rPr>
            </w:pPr>
            <w:r>
              <w:rPr>
                <w:rFonts w:hint="default"/>
                <w:b w:val="0"/>
                <w:bCs/>
                <w:color w:val="auto"/>
                <w:highlight w:val="none"/>
              </w:rPr>
              <w:t>评分值</w:t>
            </w:r>
          </w:p>
        </w:tc>
        <w:tc>
          <w:tcPr>
            <w:tcW w:w="700" w:type="dxa"/>
            <w:tcBorders>
              <w:tl2br w:val="nil"/>
              <w:tr2bl w:val="nil"/>
            </w:tcBorders>
            <w:noWrap w:val="0"/>
            <w:vAlign w:val="center"/>
          </w:tcPr>
          <w:p w14:paraId="6E7D954A">
            <w:pPr>
              <w:pStyle w:val="45"/>
              <w:bidi w:val="0"/>
              <w:rPr>
                <w:rFonts w:hint="default"/>
                <w:b w:val="0"/>
                <w:bCs/>
                <w:color w:val="auto"/>
                <w:highlight w:val="none"/>
              </w:rPr>
            </w:pPr>
            <w:r>
              <w:rPr>
                <w:rFonts w:hint="default"/>
                <w:b w:val="0"/>
                <w:bCs/>
                <w:color w:val="auto"/>
                <w:highlight w:val="none"/>
              </w:rPr>
              <w:t>总评分值</w:t>
            </w:r>
          </w:p>
        </w:tc>
        <w:tc>
          <w:tcPr>
            <w:tcW w:w="704" w:type="dxa"/>
            <w:tcBorders>
              <w:tl2br w:val="nil"/>
              <w:tr2bl w:val="nil"/>
            </w:tcBorders>
            <w:noWrap w:val="0"/>
            <w:vAlign w:val="center"/>
          </w:tcPr>
          <w:p w14:paraId="17E22099">
            <w:pPr>
              <w:pStyle w:val="45"/>
              <w:bidi w:val="0"/>
              <w:rPr>
                <w:rFonts w:hint="default"/>
                <w:b w:val="0"/>
                <w:bCs/>
                <w:color w:val="auto"/>
                <w:highlight w:val="none"/>
              </w:rPr>
            </w:pPr>
            <w:r>
              <w:rPr>
                <w:rFonts w:hint="default"/>
                <w:b w:val="0"/>
                <w:bCs/>
                <w:color w:val="auto"/>
                <w:highlight w:val="none"/>
              </w:rPr>
              <w:t>评价结果</w:t>
            </w:r>
          </w:p>
        </w:tc>
      </w:tr>
      <w:tr w14:paraId="0D85EE2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21" w:type="dxa"/>
            <w:tcBorders>
              <w:tl2br w:val="nil"/>
              <w:tr2bl w:val="nil"/>
            </w:tcBorders>
            <w:noWrap w:val="0"/>
            <w:vAlign w:val="center"/>
          </w:tcPr>
          <w:p w14:paraId="4C6BCADD">
            <w:pPr>
              <w:pStyle w:val="45"/>
              <w:bidi w:val="0"/>
              <w:rPr>
                <w:rFonts w:hint="default"/>
                <w:b w:val="0"/>
                <w:bCs/>
                <w:color w:val="auto"/>
                <w:highlight w:val="none"/>
                <w:lang w:val="en-US" w:eastAsia="zh-CN"/>
              </w:rPr>
            </w:pPr>
            <w:r>
              <w:rPr>
                <w:rFonts w:hint="eastAsia"/>
                <w:b w:val="0"/>
                <w:bCs/>
                <w:color w:val="auto"/>
                <w:highlight w:val="none"/>
                <w:lang w:val="en-US" w:eastAsia="zh-CN"/>
              </w:rPr>
              <w:t>2.54</w:t>
            </w:r>
          </w:p>
        </w:tc>
        <w:tc>
          <w:tcPr>
            <w:tcW w:w="520" w:type="dxa"/>
            <w:tcBorders>
              <w:tl2br w:val="nil"/>
              <w:tr2bl w:val="nil"/>
            </w:tcBorders>
            <w:noWrap w:val="0"/>
            <w:vAlign w:val="center"/>
          </w:tcPr>
          <w:p w14:paraId="20BBF381">
            <w:pPr>
              <w:pStyle w:val="45"/>
              <w:bidi w:val="0"/>
              <w:rPr>
                <w:rFonts w:hint="default"/>
                <w:b w:val="0"/>
                <w:bCs/>
                <w:color w:val="auto"/>
                <w:highlight w:val="none"/>
                <w:lang w:val="en-US" w:eastAsia="zh-CN"/>
              </w:rPr>
            </w:pPr>
            <w:r>
              <w:rPr>
                <w:rFonts w:hint="eastAsia"/>
                <w:b w:val="0"/>
                <w:bCs/>
                <w:color w:val="auto"/>
                <w:highlight w:val="none"/>
                <w:lang w:val="en-US" w:eastAsia="zh-CN"/>
              </w:rPr>
              <w:t>25.89</w:t>
            </w:r>
          </w:p>
        </w:tc>
        <w:tc>
          <w:tcPr>
            <w:tcW w:w="712" w:type="dxa"/>
            <w:tcBorders>
              <w:tl2br w:val="nil"/>
              <w:tr2bl w:val="nil"/>
            </w:tcBorders>
            <w:noWrap w:val="0"/>
            <w:vAlign w:val="center"/>
          </w:tcPr>
          <w:p w14:paraId="45C4AFE3">
            <w:pPr>
              <w:pStyle w:val="45"/>
              <w:bidi w:val="0"/>
              <w:rPr>
                <w:rFonts w:hint="default"/>
                <w:b w:val="0"/>
                <w:bCs/>
                <w:color w:val="auto"/>
                <w:highlight w:val="none"/>
                <w:lang w:val="en-US" w:eastAsia="zh-CN"/>
              </w:rPr>
            </w:pPr>
            <w:r>
              <w:rPr>
                <w:rFonts w:hint="default"/>
                <w:b w:val="0"/>
                <w:bCs/>
                <w:color w:val="auto"/>
                <w:highlight w:val="none"/>
              </w:rPr>
              <w:t>0.0</w:t>
            </w:r>
            <w:r>
              <w:rPr>
                <w:rFonts w:hint="eastAsia"/>
                <w:b w:val="0"/>
                <w:bCs/>
                <w:color w:val="auto"/>
                <w:highlight w:val="none"/>
                <w:lang w:val="en-US" w:eastAsia="zh-CN"/>
              </w:rPr>
              <w:t>3</w:t>
            </w:r>
          </w:p>
        </w:tc>
        <w:tc>
          <w:tcPr>
            <w:tcW w:w="649" w:type="dxa"/>
            <w:tcBorders>
              <w:tl2br w:val="nil"/>
              <w:tr2bl w:val="nil"/>
            </w:tcBorders>
            <w:noWrap w:val="0"/>
            <w:vAlign w:val="center"/>
          </w:tcPr>
          <w:p w14:paraId="321504D7">
            <w:pPr>
              <w:pStyle w:val="45"/>
              <w:bidi w:val="0"/>
              <w:rPr>
                <w:rFonts w:hint="default"/>
                <w:b w:val="0"/>
                <w:bCs/>
                <w:color w:val="auto"/>
                <w:highlight w:val="none"/>
                <w:lang w:val="en-US" w:eastAsia="zh-CN"/>
              </w:rPr>
            </w:pPr>
            <w:r>
              <w:rPr>
                <w:rFonts w:hint="eastAsia"/>
                <w:b w:val="0"/>
                <w:bCs/>
                <w:color w:val="auto"/>
                <w:highlight w:val="none"/>
                <w:lang w:val="en-US" w:eastAsia="zh-CN"/>
              </w:rPr>
              <w:t>37.41</w:t>
            </w:r>
          </w:p>
        </w:tc>
        <w:tc>
          <w:tcPr>
            <w:tcW w:w="734" w:type="dxa"/>
            <w:tcBorders>
              <w:tl2br w:val="nil"/>
              <w:tr2bl w:val="nil"/>
            </w:tcBorders>
            <w:noWrap w:val="0"/>
            <w:vAlign w:val="center"/>
          </w:tcPr>
          <w:p w14:paraId="3B7B41D0">
            <w:pPr>
              <w:pStyle w:val="45"/>
              <w:bidi w:val="0"/>
              <w:rPr>
                <w:rFonts w:hint="default"/>
                <w:b w:val="0"/>
                <w:bCs/>
                <w:color w:val="auto"/>
                <w:highlight w:val="none"/>
                <w:lang w:val="en-US" w:eastAsia="zh-CN"/>
              </w:rPr>
            </w:pPr>
            <w:r>
              <w:rPr>
                <w:rFonts w:hint="default"/>
                <w:b w:val="0"/>
                <w:bCs/>
                <w:color w:val="auto"/>
                <w:highlight w:val="none"/>
              </w:rPr>
              <w:t>0.</w:t>
            </w:r>
            <w:r>
              <w:rPr>
                <w:rFonts w:hint="eastAsia"/>
                <w:b w:val="0"/>
                <w:bCs/>
                <w:color w:val="auto"/>
                <w:highlight w:val="none"/>
                <w:lang w:val="en-US" w:eastAsia="zh-CN"/>
              </w:rPr>
              <w:t>83</w:t>
            </w:r>
          </w:p>
        </w:tc>
        <w:tc>
          <w:tcPr>
            <w:tcW w:w="492" w:type="dxa"/>
            <w:tcBorders>
              <w:tl2br w:val="nil"/>
              <w:tr2bl w:val="nil"/>
            </w:tcBorders>
            <w:noWrap w:val="0"/>
            <w:vAlign w:val="center"/>
          </w:tcPr>
          <w:p w14:paraId="74A7E3D3">
            <w:pPr>
              <w:pStyle w:val="45"/>
              <w:bidi w:val="0"/>
              <w:rPr>
                <w:rFonts w:hint="default"/>
                <w:b w:val="0"/>
                <w:bCs/>
                <w:color w:val="auto"/>
                <w:highlight w:val="none"/>
                <w:lang w:val="en-US" w:eastAsia="zh-CN"/>
              </w:rPr>
            </w:pPr>
            <w:r>
              <w:rPr>
                <w:rFonts w:hint="eastAsia"/>
                <w:b w:val="0"/>
                <w:bCs/>
                <w:color w:val="auto"/>
                <w:highlight w:val="none"/>
                <w:lang w:val="en-US" w:eastAsia="zh-CN"/>
              </w:rPr>
              <w:t>51.37</w:t>
            </w:r>
          </w:p>
        </w:tc>
        <w:tc>
          <w:tcPr>
            <w:tcW w:w="800" w:type="dxa"/>
            <w:tcBorders>
              <w:tl2br w:val="nil"/>
              <w:tr2bl w:val="nil"/>
            </w:tcBorders>
            <w:noWrap w:val="0"/>
            <w:vAlign w:val="center"/>
          </w:tcPr>
          <w:p w14:paraId="51A23506">
            <w:pPr>
              <w:pStyle w:val="45"/>
              <w:bidi w:val="0"/>
              <w:rPr>
                <w:rFonts w:hint="eastAsia"/>
                <w:b w:val="0"/>
                <w:bCs/>
                <w:color w:val="auto"/>
                <w:highlight w:val="none"/>
                <w:lang w:eastAsia="zh-CN"/>
              </w:rPr>
            </w:pPr>
            <w:r>
              <w:rPr>
                <w:rFonts w:hint="eastAsia"/>
                <w:b w:val="0"/>
                <w:bCs/>
                <w:color w:val="auto"/>
                <w:highlight w:val="none"/>
                <w:lang w:val="en-US" w:eastAsia="zh-CN"/>
              </w:rPr>
              <w:t>1</w:t>
            </w:r>
          </w:p>
        </w:tc>
        <w:tc>
          <w:tcPr>
            <w:tcW w:w="628" w:type="dxa"/>
            <w:tcBorders>
              <w:tl2br w:val="nil"/>
              <w:tr2bl w:val="nil"/>
            </w:tcBorders>
            <w:noWrap w:val="0"/>
            <w:vAlign w:val="center"/>
          </w:tcPr>
          <w:p w14:paraId="188B287F">
            <w:pPr>
              <w:pStyle w:val="45"/>
              <w:bidi w:val="0"/>
              <w:rPr>
                <w:rFonts w:hint="default"/>
                <w:b w:val="0"/>
                <w:bCs/>
                <w:color w:val="auto"/>
                <w:highlight w:val="none"/>
                <w:lang w:val="en-US" w:eastAsia="zh-CN"/>
              </w:rPr>
            </w:pPr>
            <w:r>
              <w:rPr>
                <w:rFonts w:hint="eastAsia"/>
                <w:b w:val="0"/>
                <w:bCs/>
                <w:color w:val="auto"/>
                <w:highlight w:val="none"/>
                <w:lang w:val="en-US" w:eastAsia="zh-CN"/>
              </w:rPr>
              <w:t>25</w:t>
            </w:r>
          </w:p>
        </w:tc>
        <w:tc>
          <w:tcPr>
            <w:tcW w:w="617" w:type="dxa"/>
            <w:tcBorders>
              <w:tl2br w:val="nil"/>
              <w:tr2bl w:val="nil"/>
            </w:tcBorders>
            <w:noWrap w:val="0"/>
            <w:vAlign w:val="center"/>
          </w:tcPr>
          <w:p w14:paraId="1C928E8B">
            <w:pPr>
              <w:pStyle w:val="45"/>
              <w:bidi w:val="0"/>
              <w:rPr>
                <w:rFonts w:hint="default"/>
                <w:b w:val="0"/>
                <w:bCs/>
                <w:color w:val="auto"/>
                <w:highlight w:val="none"/>
                <w:lang w:val="en-US" w:eastAsia="zh-CN"/>
              </w:rPr>
            </w:pPr>
            <w:r>
              <w:rPr>
                <w:rFonts w:hint="eastAsia"/>
                <w:b w:val="0"/>
                <w:bCs/>
                <w:color w:val="auto"/>
                <w:highlight w:val="none"/>
                <w:lang w:val="en-US" w:eastAsia="zh-CN"/>
              </w:rPr>
              <w:t>0.14</w:t>
            </w:r>
          </w:p>
        </w:tc>
        <w:tc>
          <w:tcPr>
            <w:tcW w:w="730" w:type="dxa"/>
            <w:tcBorders>
              <w:tl2br w:val="nil"/>
              <w:tr2bl w:val="nil"/>
            </w:tcBorders>
            <w:noWrap w:val="0"/>
            <w:vAlign w:val="center"/>
          </w:tcPr>
          <w:p w14:paraId="2AB4E9E2">
            <w:pPr>
              <w:pStyle w:val="45"/>
              <w:bidi w:val="0"/>
              <w:rPr>
                <w:rFonts w:hint="default"/>
                <w:b w:val="0"/>
                <w:bCs/>
                <w:color w:val="auto"/>
                <w:highlight w:val="none"/>
                <w:lang w:val="en-US" w:eastAsia="zh-CN"/>
              </w:rPr>
            </w:pPr>
            <w:r>
              <w:rPr>
                <w:rFonts w:hint="eastAsia"/>
                <w:b w:val="0"/>
                <w:bCs/>
                <w:color w:val="auto"/>
                <w:highlight w:val="none"/>
                <w:lang w:val="en-US" w:eastAsia="zh-CN"/>
              </w:rPr>
              <w:t>89.32</w:t>
            </w:r>
          </w:p>
        </w:tc>
        <w:tc>
          <w:tcPr>
            <w:tcW w:w="700" w:type="dxa"/>
            <w:tcBorders>
              <w:tl2br w:val="nil"/>
              <w:tr2bl w:val="nil"/>
            </w:tcBorders>
            <w:noWrap w:val="0"/>
            <w:vAlign w:val="center"/>
          </w:tcPr>
          <w:p w14:paraId="23F8A367">
            <w:pPr>
              <w:pStyle w:val="45"/>
              <w:bidi w:val="0"/>
              <w:rPr>
                <w:rFonts w:hint="default"/>
                <w:b w:val="0"/>
                <w:bCs/>
                <w:color w:val="auto"/>
                <w:highlight w:val="none"/>
                <w:lang w:val="en-US" w:eastAsia="zh-CN"/>
              </w:rPr>
            </w:pPr>
            <w:r>
              <w:rPr>
                <w:rFonts w:hint="eastAsia"/>
                <w:b w:val="0"/>
                <w:bCs/>
                <w:color w:val="auto"/>
                <w:highlight w:val="none"/>
                <w:lang w:val="en-US" w:eastAsia="zh-CN"/>
              </w:rPr>
              <w:t>43.84</w:t>
            </w:r>
          </w:p>
        </w:tc>
        <w:tc>
          <w:tcPr>
            <w:tcW w:w="704" w:type="dxa"/>
            <w:tcBorders>
              <w:tl2br w:val="nil"/>
              <w:tr2bl w:val="nil"/>
            </w:tcBorders>
            <w:noWrap w:val="0"/>
            <w:vAlign w:val="center"/>
          </w:tcPr>
          <w:p w14:paraId="74ED9565">
            <w:pPr>
              <w:pStyle w:val="45"/>
              <w:bidi w:val="0"/>
              <w:rPr>
                <w:rFonts w:hint="default"/>
                <w:b w:val="0"/>
                <w:bCs/>
                <w:color w:val="auto"/>
                <w:highlight w:val="none"/>
              </w:rPr>
            </w:pPr>
            <w:r>
              <w:rPr>
                <w:rFonts w:hint="eastAsia"/>
                <w:b w:val="0"/>
                <w:bCs/>
                <w:color w:val="auto"/>
                <w:highlight w:val="none"/>
                <w:lang w:val="en-US" w:eastAsia="zh-CN"/>
              </w:rPr>
              <w:t>中</w:t>
            </w:r>
            <w:r>
              <w:rPr>
                <w:rFonts w:hint="default"/>
                <w:b w:val="0"/>
                <w:bCs/>
                <w:color w:val="auto"/>
                <w:highlight w:val="none"/>
              </w:rPr>
              <w:t>营养</w:t>
            </w:r>
          </w:p>
        </w:tc>
      </w:tr>
    </w:tbl>
    <w:p w14:paraId="5778A349">
      <w:pPr>
        <w:pStyle w:val="4"/>
        <w:bidi w:val="0"/>
        <w:rPr>
          <w:rFonts w:hint="default" w:ascii="Times New Roman" w:hAnsi="Times New Roman" w:cs="Times New Roman"/>
          <w:color w:val="auto"/>
          <w:highlight w:val="none"/>
        </w:rPr>
      </w:pPr>
      <w:bookmarkStart w:id="81" w:name="_Toc8911"/>
      <w:r>
        <w:rPr>
          <w:rFonts w:hint="eastAsia" w:cs="Times New Roman"/>
          <w:color w:val="auto"/>
          <w:highlight w:val="none"/>
          <w:lang w:val="en-US" w:eastAsia="zh-CN"/>
        </w:rPr>
        <w:t>声</w:t>
      </w:r>
      <w:r>
        <w:rPr>
          <w:rFonts w:hint="eastAsia" w:ascii="Times New Roman" w:hAnsi="Times New Roman" w:cs="Times New Roman"/>
          <w:color w:val="auto"/>
          <w:highlight w:val="none"/>
          <w:lang w:val="en-US" w:eastAsia="zh-CN"/>
        </w:rPr>
        <w:t>环境现状调查与评价</w:t>
      </w:r>
      <w:bookmarkEnd w:id="81"/>
    </w:p>
    <w:p w14:paraId="219F322D">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jc w:val="both"/>
        <w:textAlignment w:val="auto"/>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为了解项目区域声环境质量现状，</w:t>
      </w:r>
      <w:r>
        <w:rPr>
          <w:rFonts w:hint="default" w:ascii="Times New Roman" w:hAnsi="Times New Roman" w:cs="Times New Roman"/>
          <w:color w:val="auto"/>
          <w:sz w:val="24"/>
          <w:szCs w:val="24"/>
          <w:highlight w:val="none"/>
          <w:lang w:eastAsia="zh-CN"/>
        </w:rPr>
        <w:t>本次环评</w:t>
      </w:r>
      <w:r>
        <w:rPr>
          <w:rFonts w:hint="eastAsia" w:ascii="Times New Roman" w:hAnsi="Times New Roman" w:cs="Times New Roman"/>
          <w:color w:val="auto"/>
          <w:sz w:val="24"/>
          <w:szCs w:val="24"/>
          <w:highlight w:val="none"/>
          <w:lang w:eastAsia="zh-CN"/>
        </w:rPr>
        <w:t>委托长沙瑾瑶环保科技有限公司</w:t>
      </w:r>
      <w:r>
        <w:rPr>
          <w:rFonts w:hint="default" w:ascii="Times New Roman" w:hAnsi="Times New Roman" w:cs="Times New Roman"/>
          <w:color w:val="auto"/>
          <w:sz w:val="24"/>
          <w:szCs w:val="24"/>
          <w:highlight w:val="none"/>
        </w:rPr>
        <w:t>于202</w:t>
      </w:r>
      <w:r>
        <w:rPr>
          <w:rFonts w:hint="eastAsia" w:ascii="Times New Roman" w:hAnsi="Times New Roman" w:cs="Times New Roman"/>
          <w:color w:val="auto"/>
          <w:sz w:val="24"/>
          <w:szCs w:val="24"/>
          <w:highlight w:val="none"/>
          <w:lang w:eastAsia="zh-CN"/>
        </w:rPr>
        <w:t>3</w:t>
      </w:r>
      <w:r>
        <w:rPr>
          <w:rFonts w:hint="default" w:ascii="Times New Roman" w:hAnsi="Times New Roman" w:cs="Times New Roman"/>
          <w:color w:val="auto"/>
          <w:sz w:val="24"/>
          <w:szCs w:val="24"/>
          <w:highlight w:val="none"/>
        </w:rPr>
        <w:t>年</w:t>
      </w:r>
      <w:r>
        <w:rPr>
          <w:rFonts w:hint="eastAsia" w:ascii="Times New Roman" w:hAnsi="Times New Roman" w:cs="Times New Roman"/>
          <w:color w:val="auto"/>
          <w:sz w:val="24"/>
          <w:szCs w:val="24"/>
          <w:highlight w:val="none"/>
          <w:lang w:eastAsia="zh-CN"/>
        </w:rPr>
        <w:t>7</w:t>
      </w:r>
      <w:r>
        <w:rPr>
          <w:rFonts w:hint="default" w:ascii="Times New Roman" w:hAnsi="Times New Roman" w:cs="Times New Roman"/>
          <w:color w:val="auto"/>
          <w:sz w:val="24"/>
          <w:szCs w:val="24"/>
          <w:highlight w:val="none"/>
        </w:rPr>
        <w:t>月</w:t>
      </w:r>
      <w:r>
        <w:rPr>
          <w:rFonts w:hint="eastAsia" w:ascii="Times New Roman" w:hAnsi="Times New Roman" w:cs="Times New Roman"/>
          <w:color w:val="auto"/>
          <w:sz w:val="24"/>
          <w:szCs w:val="24"/>
          <w:highlight w:val="none"/>
          <w:lang w:val="en-US" w:eastAsia="zh-CN"/>
        </w:rPr>
        <w:t>7日</w:t>
      </w:r>
      <w:r>
        <w:rPr>
          <w:rFonts w:hint="default" w:ascii="Times New Roman" w:hAnsi="Times New Roman" w:cs="Times New Roman"/>
          <w:color w:val="auto"/>
          <w:sz w:val="24"/>
          <w:szCs w:val="24"/>
          <w:highlight w:val="none"/>
        </w:rPr>
        <w:t>对项目所在区域</w:t>
      </w:r>
      <w:r>
        <w:rPr>
          <w:rFonts w:hint="default" w:ascii="Times New Roman" w:hAnsi="Times New Roman" w:cs="Times New Roman"/>
          <w:color w:val="auto"/>
          <w:sz w:val="24"/>
          <w:szCs w:val="24"/>
          <w:highlight w:val="none"/>
          <w:lang w:eastAsia="zh-CN"/>
        </w:rPr>
        <w:t>的</w:t>
      </w:r>
      <w:r>
        <w:rPr>
          <w:rFonts w:hint="default" w:ascii="Times New Roman" w:hAnsi="Times New Roman" w:cs="Times New Roman"/>
          <w:color w:val="auto"/>
          <w:sz w:val="24"/>
          <w:szCs w:val="24"/>
          <w:highlight w:val="none"/>
        </w:rPr>
        <w:t>声环境质量数据监测。</w:t>
      </w:r>
    </w:p>
    <w:p w14:paraId="1F19FA0C">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b/>
          <w:bCs/>
          <w:color w:val="auto"/>
          <w:sz w:val="24"/>
          <w:szCs w:val="24"/>
          <w:highlight w:val="none"/>
        </w:rPr>
      </w:pPr>
      <w:r>
        <w:rPr>
          <w:rFonts w:hint="default" w:ascii="Times New Roman" w:hAnsi="Times New Roman" w:cs="Times New Roman"/>
          <w:b/>
          <w:bCs/>
          <w:color w:val="auto"/>
          <w:sz w:val="24"/>
          <w:szCs w:val="24"/>
          <w:highlight w:val="none"/>
        </w:rPr>
        <w:t>表</w:t>
      </w:r>
      <w:r>
        <w:rPr>
          <w:rFonts w:hint="eastAsia" w:ascii="Times New Roman" w:hAnsi="Times New Roman" w:cs="Times New Roman"/>
          <w:b/>
          <w:bCs/>
          <w:color w:val="auto"/>
          <w:sz w:val="24"/>
          <w:szCs w:val="24"/>
          <w:highlight w:val="none"/>
          <w:lang w:val="en-US" w:eastAsia="zh-CN"/>
        </w:rPr>
        <w:t xml:space="preserve">5.5-1  </w:t>
      </w:r>
      <w:r>
        <w:rPr>
          <w:rFonts w:hint="default" w:ascii="Times New Roman" w:hAnsi="Times New Roman" w:cs="Times New Roman"/>
          <w:b/>
          <w:bCs/>
          <w:color w:val="auto"/>
          <w:sz w:val="24"/>
          <w:szCs w:val="24"/>
          <w:highlight w:val="none"/>
        </w:rPr>
        <w:t>声环境质量现状评价概况一览表</w:t>
      </w:r>
    </w:p>
    <w:tbl>
      <w:tblPr>
        <w:tblStyle w:val="19"/>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819"/>
        <w:gridCol w:w="1221"/>
        <w:gridCol w:w="4035"/>
        <w:gridCol w:w="2261"/>
      </w:tblGrid>
      <w:tr w14:paraId="74CE4AD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78" w:type="dxa"/>
            <w:tcBorders>
              <w:tl2br w:val="nil"/>
              <w:tr2bl w:val="nil"/>
            </w:tcBorders>
            <w:noWrap w:val="0"/>
            <w:vAlign w:val="center"/>
          </w:tcPr>
          <w:p w14:paraId="7A8FD823">
            <w:pPr>
              <w:pStyle w:val="45"/>
              <w:bidi w:val="0"/>
              <w:rPr>
                <w:rFonts w:hint="default"/>
                <w:b w:val="0"/>
                <w:bCs/>
                <w:color w:val="auto"/>
                <w:highlight w:val="none"/>
              </w:rPr>
            </w:pPr>
            <w:r>
              <w:rPr>
                <w:rFonts w:hint="default"/>
                <w:b w:val="0"/>
                <w:bCs/>
                <w:color w:val="auto"/>
                <w:highlight w:val="none"/>
              </w:rPr>
              <w:t>序号</w:t>
            </w:r>
          </w:p>
        </w:tc>
        <w:tc>
          <w:tcPr>
            <w:tcW w:w="1310" w:type="dxa"/>
            <w:tcBorders>
              <w:tl2br w:val="nil"/>
              <w:tr2bl w:val="nil"/>
            </w:tcBorders>
            <w:noWrap w:val="0"/>
            <w:vAlign w:val="center"/>
          </w:tcPr>
          <w:p w14:paraId="5CE4D564">
            <w:pPr>
              <w:pStyle w:val="45"/>
              <w:bidi w:val="0"/>
              <w:rPr>
                <w:rFonts w:hint="default"/>
                <w:b w:val="0"/>
                <w:bCs/>
                <w:color w:val="auto"/>
                <w:highlight w:val="none"/>
              </w:rPr>
            </w:pPr>
            <w:r>
              <w:rPr>
                <w:rFonts w:hint="default"/>
                <w:b w:val="0"/>
                <w:bCs/>
                <w:color w:val="auto"/>
                <w:highlight w:val="none"/>
              </w:rPr>
              <w:t>项目</w:t>
            </w:r>
          </w:p>
        </w:tc>
        <w:tc>
          <w:tcPr>
            <w:tcW w:w="4332" w:type="dxa"/>
            <w:tcBorders>
              <w:tl2br w:val="nil"/>
              <w:tr2bl w:val="nil"/>
            </w:tcBorders>
            <w:noWrap w:val="0"/>
            <w:vAlign w:val="center"/>
          </w:tcPr>
          <w:p w14:paraId="4A3FF03A">
            <w:pPr>
              <w:pStyle w:val="45"/>
              <w:bidi w:val="0"/>
              <w:rPr>
                <w:rFonts w:hint="default"/>
                <w:b w:val="0"/>
                <w:bCs/>
                <w:color w:val="auto"/>
                <w:highlight w:val="none"/>
              </w:rPr>
            </w:pPr>
            <w:r>
              <w:rPr>
                <w:rFonts w:hint="default"/>
                <w:b w:val="0"/>
                <w:bCs/>
                <w:color w:val="auto"/>
                <w:highlight w:val="none"/>
              </w:rPr>
              <w:t>内容</w:t>
            </w:r>
          </w:p>
        </w:tc>
        <w:tc>
          <w:tcPr>
            <w:tcW w:w="2426" w:type="dxa"/>
            <w:tcBorders>
              <w:tl2br w:val="nil"/>
              <w:tr2bl w:val="nil"/>
            </w:tcBorders>
            <w:noWrap w:val="0"/>
            <w:vAlign w:val="center"/>
          </w:tcPr>
          <w:p w14:paraId="6CE14DE8">
            <w:pPr>
              <w:pStyle w:val="45"/>
              <w:bidi w:val="0"/>
              <w:rPr>
                <w:rFonts w:hint="default"/>
                <w:b w:val="0"/>
                <w:bCs/>
                <w:color w:val="auto"/>
                <w:highlight w:val="none"/>
              </w:rPr>
            </w:pPr>
            <w:r>
              <w:rPr>
                <w:rFonts w:hint="default"/>
                <w:b w:val="0"/>
                <w:bCs/>
                <w:color w:val="auto"/>
                <w:highlight w:val="none"/>
              </w:rPr>
              <w:t>备注</w:t>
            </w:r>
          </w:p>
        </w:tc>
      </w:tr>
      <w:tr w14:paraId="66416C7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78" w:type="dxa"/>
            <w:tcBorders>
              <w:tl2br w:val="nil"/>
              <w:tr2bl w:val="nil"/>
            </w:tcBorders>
            <w:noWrap w:val="0"/>
            <w:vAlign w:val="center"/>
          </w:tcPr>
          <w:p w14:paraId="563C7B63">
            <w:pPr>
              <w:pStyle w:val="45"/>
              <w:bidi w:val="0"/>
              <w:rPr>
                <w:rFonts w:hint="default"/>
                <w:b w:val="0"/>
                <w:bCs/>
                <w:color w:val="auto"/>
                <w:highlight w:val="none"/>
              </w:rPr>
            </w:pPr>
            <w:r>
              <w:rPr>
                <w:rFonts w:hint="default"/>
                <w:b w:val="0"/>
                <w:bCs/>
                <w:color w:val="auto"/>
                <w:highlight w:val="none"/>
              </w:rPr>
              <w:t>1</w:t>
            </w:r>
          </w:p>
        </w:tc>
        <w:tc>
          <w:tcPr>
            <w:tcW w:w="1310" w:type="dxa"/>
            <w:tcBorders>
              <w:tl2br w:val="nil"/>
              <w:tr2bl w:val="nil"/>
            </w:tcBorders>
            <w:noWrap w:val="0"/>
            <w:vAlign w:val="center"/>
          </w:tcPr>
          <w:p w14:paraId="4FAF8EA2">
            <w:pPr>
              <w:pStyle w:val="45"/>
              <w:bidi w:val="0"/>
              <w:rPr>
                <w:rFonts w:hint="default"/>
                <w:b w:val="0"/>
                <w:bCs/>
                <w:color w:val="auto"/>
                <w:highlight w:val="none"/>
              </w:rPr>
            </w:pPr>
            <w:r>
              <w:rPr>
                <w:rFonts w:hint="default"/>
                <w:b w:val="0"/>
                <w:bCs/>
                <w:color w:val="auto"/>
                <w:highlight w:val="none"/>
              </w:rPr>
              <w:t>监测因子</w:t>
            </w:r>
          </w:p>
        </w:tc>
        <w:tc>
          <w:tcPr>
            <w:tcW w:w="4332" w:type="dxa"/>
            <w:tcBorders>
              <w:tl2br w:val="nil"/>
              <w:tr2bl w:val="nil"/>
            </w:tcBorders>
            <w:noWrap w:val="0"/>
            <w:vAlign w:val="center"/>
          </w:tcPr>
          <w:p w14:paraId="58067441">
            <w:pPr>
              <w:pStyle w:val="45"/>
              <w:bidi w:val="0"/>
              <w:rPr>
                <w:rFonts w:hint="default"/>
                <w:b w:val="0"/>
                <w:bCs/>
                <w:color w:val="auto"/>
                <w:highlight w:val="none"/>
              </w:rPr>
            </w:pPr>
            <w:r>
              <w:rPr>
                <w:rFonts w:hint="default"/>
                <w:b w:val="0"/>
                <w:bCs/>
                <w:color w:val="auto"/>
                <w:highlight w:val="none"/>
              </w:rPr>
              <w:t>等效连续A声级（Leq（A））</w:t>
            </w:r>
          </w:p>
        </w:tc>
        <w:tc>
          <w:tcPr>
            <w:tcW w:w="2426" w:type="dxa"/>
            <w:tcBorders>
              <w:tl2br w:val="nil"/>
              <w:tr2bl w:val="nil"/>
            </w:tcBorders>
            <w:noWrap w:val="0"/>
            <w:vAlign w:val="center"/>
          </w:tcPr>
          <w:p w14:paraId="011C9384">
            <w:pPr>
              <w:pStyle w:val="45"/>
              <w:bidi w:val="0"/>
              <w:rPr>
                <w:rFonts w:hint="default"/>
                <w:b w:val="0"/>
                <w:bCs/>
                <w:color w:val="auto"/>
                <w:highlight w:val="none"/>
              </w:rPr>
            </w:pPr>
          </w:p>
        </w:tc>
      </w:tr>
      <w:tr w14:paraId="418445E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78" w:type="dxa"/>
            <w:tcBorders>
              <w:tl2br w:val="nil"/>
              <w:tr2bl w:val="nil"/>
            </w:tcBorders>
            <w:noWrap w:val="0"/>
            <w:vAlign w:val="center"/>
          </w:tcPr>
          <w:p w14:paraId="4FEA945C">
            <w:pPr>
              <w:pStyle w:val="45"/>
              <w:bidi w:val="0"/>
              <w:rPr>
                <w:rFonts w:hint="default"/>
                <w:b w:val="0"/>
                <w:bCs/>
                <w:color w:val="auto"/>
                <w:highlight w:val="none"/>
              </w:rPr>
            </w:pPr>
            <w:r>
              <w:rPr>
                <w:rFonts w:hint="default"/>
                <w:b w:val="0"/>
                <w:bCs/>
                <w:color w:val="auto"/>
                <w:highlight w:val="none"/>
              </w:rPr>
              <w:t>2</w:t>
            </w:r>
          </w:p>
        </w:tc>
        <w:tc>
          <w:tcPr>
            <w:tcW w:w="1310" w:type="dxa"/>
            <w:tcBorders>
              <w:tl2br w:val="nil"/>
              <w:tr2bl w:val="nil"/>
            </w:tcBorders>
            <w:noWrap w:val="0"/>
            <w:vAlign w:val="center"/>
          </w:tcPr>
          <w:p w14:paraId="5C958B7E">
            <w:pPr>
              <w:pStyle w:val="45"/>
              <w:bidi w:val="0"/>
              <w:rPr>
                <w:rFonts w:hint="default"/>
                <w:b w:val="0"/>
                <w:bCs/>
                <w:color w:val="auto"/>
                <w:highlight w:val="none"/>
              </w:rPr>
            </w:pPr>
            <w:r>
              <w:rPr>
                <w:rFonts w:hint="default"/>
                <w:b w:val="0"/>
                <w:bCs/>
                <w:color w:val="auto"/>
                <w:highlight w:val="none"/>
              </w:rPr>
              <w:t>监测布点</w:t>
            </w:r>
          </w:p>
        </w:tc>
        <w:tc>
          <w:tcPr>
            <w:tcW w:w="4332" w:type="dxa"/>
            <w:tcBorders>
              <w:tl2br w:val="nil"/>
              <w:tr2bl w:val="nil"/>
            </w:tcBorders>
            <w:noWrap w:val="0"/>
            <w:vAlign w:val="center"/>
          </w:tcPr>
          <w:p w14:paraId="6BFA2077">
            <w:pPr>
              <w:pStyle w:val="45"/>
              <w:bidi w:val="0"/>
              <w:rPr>
                <w:rFonts w:hint="default"/>
                <w:b w:val="0"/>
                <w:bCs/>
                <w:color w:val="auto"/>
                <w:highlight w:val="none"/>
              </w:rPr>
            </w:pPr>
            <w:r>
              <w:rPr>
                <w:rFonts w:hint="default"/>
                <w:b w:val="0"/>
                <w:bCs/>
                <w:color w:val="auto"/>
                <w:highlight w:val="none"/>
              </w:rPr>
              <w:t>在升压站东南西北边界、</w:t>
            </w:r>
            <w:r>
              <w:rPr>
                <w:rFonts w:hint="eastAsia"/>
                <w:b w:val="0"/>
                <w:bCs/>
                <w:color w:val="auto"/>
                <w:highlight w:val="none"/>
                <w:lang w:val="en-US" w:eastAsia="zh-CN"/>
              </w:rPr>
              <w:t>老屋塘村居民点、高峰村居民点及</w:t>
            </w:r>
            <w:r>
              <w:rPr>
                <w:rFonts w:hint="default"/>
                <w:b w:val="0"/>
                <w:bCs/>
                <w:color w:val="auto"/>
                <w:highlight w:val="none"/>
                <w:lang w:val="en-US" w:eastAsia="zh-CN"/>
              </w:rPr>
              <w:t>黄土铺镇观音亭</w:t>
            </w:r>
            <w:r>
              <w:rPr>
                <w:rFonts w:hint="eastAsia"/>
                <w:b w:val="0"/>
                <w:bCs/>
                <w:color w:val="auto"/>
                <w:highlight w:val="none"/>
                <w:lang w:val="en-US" w:eastAsia="zh-CN"/>
              </w:rPr>
              <w:t>居民点处</w:t>
            </w:r>
            <w:r>
              <w:rPr>
                <w:rFonts w:hint="default"/>
                <w:b w:val="0"/>
                <w:bCs/>
                <w:color w:val="auto"/>
                <w:highlight w:val="none"/>
              </w:rPr>
              <w:t>分别设1个监测点，总共布设</w:t>
            </w:r>
            <w:r>
              <w:rPr>
                <w:rFonts w:hint="eastAsia"/>
                <w:b w:val="0"/>
                <w:bCs/>
                <w:color w:val="auto"/>
                <w:highlight w:val="none"/>
                <w:lang w:val="en-US" w:eastAsia="zh-CN"/>
              </w:rPr>
              <w:t>7</w:t>
            </w:r>
            <w:r>
              <w:rPr>
                <w:rFonts w:hint="default"/>
                <w:b w:val="0"/>
                <w:bCs/>
                <w:color w:val="auto"/>
                <w:highlight w:val="none"/>
              </w:rPr>
              <w:t>个监测点。</w:t>
            </w:r>
          </w:p>
        </w:tc>
        <w:tc>
          <w:tcPr>
            <w:tcW w:w="2426" w:type="dxa"/>
            <w:tcBorders>
              <w:tl2br w:val="nil"/>
              <w:tr2bl w:val="nil"/>
            </w:tcBorders>
            <w:noWrap w:val="0"/>
            <w:vAlign w:val="center"/>
          </w:tcPr>
          <w:p w14:paraId="2EBCF351">
            <w:pPr>
              <w:pStyle w:val="45"/>
              <w:bidi w:val="0"/>
              <w:rPr>
                <w:rFonts w:hint="eastAsia"/>
                <w:b w:val="0"/>
                <w:bCs/>
                <w:color w:val="auto"/>
                <w:highlight w:val="none"/>
                <w:lang w:eastAsia="zh-CN"/>
              </w:rPr>
            </w:pPr>
            <w:r>
              <w:rPr>
                <w:rFonts w:hint="default"/>
                <w:b w:val="0"/>
                <w:bCs/>
                <w:color w:val="auto"/>
                <w:highlight w:val="none"/>
              </w:rPr>
              <w:t>布点图见附图</w:t>
            </w:r>
            <w:r>
              <w:rPr>
                <w:rFonts w:hint="eastAsia"/>
                <w:b w:val="0"/>
                <w:bCs/>
                <w:color w:val="auto"/>
                <w:highlight w:val="none"/>
                <w:lang w:val="en-US" w:eastAsia="zh-CN"/>
              </w:rPr>
              <w:t>7</w:t>
            </w:r>
          </w:p>
        </w:tc>
      </w:tr>
      <w:tr w14:paraId="792A6DB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78" w:type="dxa"/>
            <w:tcBorders>
              <w:tl2br w:val="nil"/>
              <w:tr2bl w:val="nil"/>
            </w:tcBorders>
            <w:noWrap w:val="0"/>
            <w:vAlign w:val="center"/>
          </w:tcPr>
          <w:p w14:paraId="4F79BE5C">
            <w:pPr>
              <w:pStyle w:val="45"/>
              <w:bidi w:val="0"/>
              <w:rPr>
                <w:rFonts w:hint="default"/>
                <w:b w:val="0"/>
                <w:bCs/>
                <w:color w:val="auto"/>
                <w:highlight w:val="none"/>
              </w:rPr>
            </w:pPr>
            <w:r>
              <w:rPr>
                <w:rFonts w:hint="default"/>
                <w:b w:val="0"/>
                <w:bCs/>
                <w:color w:val="auto"/>
                <w:highlight w:val="none"/>
              </w:rPr>
              <w:t>3</w:t>
            </w:r>
          </w:p>
        </w:tc>
        <w:tc>
          <w:tcPr>
            <w:tcW w:w="1310" w:type="dxa"/>
            <w:tcBorders>
              <w:tl2br w:val="nil"/>
              <w:tr2bl w:val="nil"/>
            </w:tcBorders>
            <w:noWrap w:val="0"/>
            <w:vAlign w:val="center"/>
          </w:tcPr>
          <w:p w14:paraId="7DE446DE">
            <w:pPr>
              <w:pStyle w:val="45"/>
              <w:bidi w:val="0"/>
              <w:rPr>
                <w:rFonts w:hint="default"/>
                <w:b w:val="0"/>
                <w:bCs/>
                <w:color w:val="auto"/>
                <w:highlight w:val="none"/>
              </w:rPr>
            </w:pPr>
            <w:r>
              <w:rPr>
                <w:rFonts w:hint="default"/>
                <w:b w:val="0"/>
                <w:bCs/>
                <w:color w:val="auto"/>
                <w:highlight w:val="none"/>
              </w:rPr>
              <w:t>监测时间</w:t>
            </w:r>
          </w:p>
        </w:tc>
        <w:tc>
          <w:tcPr>
            <w:tcW w:w="4332" w:type="dxa"/>
            <w:tcBorders>
              <w:tl2br w:val="nil"/>
              <w:tr2bl w:val="nil"/>
            </w:tcBorders>
            <w:noWrap w:val="0"/>
            <w:vAlign w:val="center"/>
          </w:tcPr>
          <w:p w14:paraId="05ADD135">
            <w:pPr>
              <w:pStyle w:val="45"/>
              <w:bidi w:val="0"/>
              <w:rPr>
                <w:rFonts w:hint="default"/>
                <w:b w:val="0"/>
                <w:bCs/>
                <w:color w:val="auto"/>
                <w:highlight w:val="none"/>
              </w:rPr>
            </w:pPr>
            <w:r>
              <w:rPr>
                <w:rFonts w:hint="default"/>
                <w:b w:val="0"/>
                <w:bCs/>
                <w:color w:val="auto"/>
                <w:highlight w:val="none"/>
              </w:rPr>
              <w:t>202</w:t>
            </w:r>
            <w:r>
              <w:rPr>
                <w:rFonts w:hint="eastAsia"/>
                <w:b w:val="0"/>
                <w:bCs/>
                <w:color w:val="auto"/>
                <w:highlight w:val="none"/>
                <w:lang w:val="en-US" w:eastAsia="zh-CN"/>
              </w:rPr>
              <w:t>3</w:t>
            </w:r>
            <w:r>
              <w:rPr>
                <w:rFonts w:hint="default"/>
                <w:b w:val="0"/>
                <w:bCs/>
                <w:color w:val="auto"/>
                <w:highlight w:val="none"/>
              </w:rPr>
              <w:t>年</w:t>
            </w:r>
            <w:r>
              <w:rPr>
                <w:rFonts w:hint="eastAsia"/>
                <w:b w:val="0"/>
                <w:bCs/>
                <w:color w:val="auto"/>
                <w:highlight w:val="none"/>
                <w:lang w:val="en-US" w:eastAsia="zh-CN"/>
              </w:rPr>
              <w:t>7</w:t>
            </w:r>
            <w:r>
              <w:rPr>
                <w:rFonts w:hint="default"/>
                <w:b w:val="0"/>
                <w:bCs/>
                <w:color w:val="auto"/>
                <w:highlight w:val="none"/>
              </w:rPr>
              <w:t>月</w:t>
            </w:r>
            <w:r>
              <w:rPr>
                <w:rFonts w:hint="eastAsia"/>
                <w:b w:val="0"/>
                <w:bCs/>
                <w:color w:val="auto"/>
                <w:highlight w:val="none"/>
                <w:lang w:val="en-US" w:eastAsia="zh-CN"/>
              </w:rPr>
              <w:t>7</w:t>
            </w:r>
            <w:r>
              <w:rPr>
                <w:rFonts w:hint="default"/>
                <w:b w:val="0"/>
                <w:bCs/>
                <w:color w:val="auto"/>
                <w:highlight w:val="none"/>
              </w:rPr>
              <w:t>日</w:t>
            </w:r>
          </w:p>
        </w:tc>
        <w:tc>
          <w:tcPr>
            <w:tcW w:w="2426" w:type="dxa"/>
            <w:tcBorders>
              <w:tl2br w:val="nil"/>
              <w:tr2bl w:val="nil"/>
            </w:tcBorders>
            <w:noWrap w:val="0"/>
            <w:vAlign w:val="center"/>
          </w:tcPr>
          <w:p w14:paraId="0673A7B7">
            <w:pPr>
              <w:pStyle w:val="45"/>
              <w:bidi w:val="0"/>
              <w:rPr>
                <w:rFonts w:hint="default"/>
                <w:b w:val="0"/>
                <w:bCs/>
                <w:color w:val="auto"/>
                <w:highlight w:val="none"/>
              </w:rPr>
            </w:pPr>
          </w:p>
        </w:tc>
      </w:tr>
      <w:tr w14:paraId="0592EEA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78" w:type="dxa"/>
            <w:tcBorders>
              <w:tl2br w:val="nil"/>
              <w:tr2bl w:val="nil"/>
            </w:tcBorders>
            <w:noWrap w:val="0"/>
            <w:vAlign w:val="center"/>
          </w:tcPr>
          <w:p w14:paraId="2F7967EA">
            <w:pPr>
              <w:pStyle w:val="45"/>
              <w:bidi w:val="0"/>
              <w:rPr>
                <w:rFonts w:hint="default"/>
                <w:b w:val="0"/>
                <w:bCs/>
                <w:color w:val="auto"/>
                <w:highlight w:val="none"/>
              </w:rPr>
            </w:pPr>
            <w:r>
              <w:rPr>
                <w:rFonts w:hint="default"/>
                <w:b w:val="0"/>
                <w:bCs/>
                <w:color w:val="auto"/>
                <w:highlight w:val="none"/>
              </w:rPr>
              <w:t>4</w:t>
            </w:r>
          </w:p>
        </w:tc>
        <w:tc>
          <w:tcPr>
            <w:tcW w:w="1310" w:type="dxa"/>
            <w:tcBorders>
              <w:tl2br w:val="nil"/>
              <w:tr2bl w:val="nil"/>
            </w:tcBorders>
            <w:noWrap w:val="0"/>
            <w:vAlign w:val="center"/>
          </w:tcPr>
          <w:p w14:paraId="419C92E4">
            <w:pPr>
              <w:pStyle w:val="45"/>
              <w:bidi w:val="0"/>
              <w:rPr>
                <w:rFonts w:hint="default"/>
                <w:b w:val="0"/>
                <w:bCs/>
                <w:color w:val="auto"/>
                <w:highlight w:val="none"/>
              </w:rPr>
            </w:pPr>
            <w:r>
              <w:rPr>
                <w:rFonts w:hint="default"/>
                <w:b w:val="0"/>
                <w:bCs/>
                <w:color w:val="auto"/>
                <w:highlight w:val="none"/>
              </w:rPr>
              <w:t>监测频次</w:t>
            </w:r>
          </w:p>
        </w:tc>
        <w:tc>
          <w:tcPr>
            <w:tcW w:w="4332" w:type="dxa"/>
            <w:tcBorders>
              <w:tl2br w:val="nil"/>
              <w:tr2bl w:val="nil"/>
            </w:tcBorders>
            <w:noWrap w:val="0"/>
            <w:vAlign w:val="center"/>
          </w:tcPr>
          <w:p w14:paraId="6A6D0679">
            <w:pPr>
              <w:pStyle w:val="45"/>
              <w:bidi w:val="0"/>
              <w:rPr>
                <w:rFonts w:hint="default"/>
                <w:b w:val="0"/>
                <w:bCs/>
                <w:color w:val="auto"/>
                <w:highlight w:val="none"/>
              </w:rPr>
            </w:pPr>
            <w:r>
              <w:rPr>
                <w:rFonts w:hint="default"/>
                <w:b w:val="0"/>
                <w:bCs/>
                <w:color w:val="auto"/>
                <w:highlight w:val="none"/>
              </w:rPr>
              <w:t>昼夜间各选取有代表性的时间进行等效A声级测量</w:t>
            </w:r>
          </w:p>
        </w:tc>
        <w:tc>
          <w:tcPr>
            <w:tcW w:w="2426" w:type="dxa"/>
            <w:tcBorders>
              <w:tl2br w:val="nil"/>
              <w:tr2bl w:val="nil"/>
            </w:tcBorders>
            <w:noWrap w:val="0"/>
            <w:vAlign w:val="center"/>
          </w:tcPr>
          <w:p w14:paraId="5ABB6653">
            <w:pPr>
              <w:pStyle w:val="45"/>
              <w:bidi w:val="0"/>
              <w:rPr>
                <w:rFonts w:hint="default"/>
                <w:b w:val="0"/>
                <w:bCs/>
                <w:color w:val="auto"/>
                <w:highlight w:val="none"/>
              </w:rPr>
            </w:pPr>
          </w:p>
        </w:tc>
      </w:tr>
      <w:tr w14:paraId="7E36C70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78" w:type="dxa"/>
            <w:tcBorders>
              <w:tl2br w:val="nil"/>
              <w:tr2bl w:val="nil"/>
            </w:tcBorders>
            <w:noWrap w:val="0"/>
            <w:vAlign w:val="center"/>
          </w:tcPr>
          <w:p w14:paraId="379676DF">
            <w:pPr>
              <w:pStyle w:val="45"/>
              <w:bidi w:val="0"/>
              <w:rPr>
                <w:rFonts w:hint="default"/>
                <w:b w:val="0"/>
                <w:bCs/>
                <w:color w:val="auto"/>
                <w:highlight w:val="none"/>
              </w:rPr>
            </w:pPr>
            <w:r>
              <w:rPr>
                <w:rFonts w:hint="default"/>
                <w:b w:val="0"/>
                <w:bCs/>
                <w:color w:val="auto"/>
                <w:highlight w:val="none"/>
              </w:rPr>
              <w:t>5</w:t>
            </w:r>
          </w:p>
        </w:tc>
        <w:tc>
          <w:tcPr>
            <w:tcW w:w="1310" w:type="dxa"/>
            <w:tcBorders>
              <w:tl2br w:val="nil"/>
              <w:tr2bl w:val="nil"/>
            </w:tcBorders>
            <w:noWrap w:val="0"/>
            <w:vAlign w:val="center"/>
          </w:tcPr>
          <w:p w14:paraId="681AEB91">
            <w:pPr>
              <w:pStyle w:val="45"/>
              <w:bidi w:val="0"/>
              <w:rPr>
                <w:rFonts w:hint="default"/>
                <w:b w:val="0"/>
                <w:bCs/>
                <w:color w:val="auto"/>
                <w:highlight w:val="none"/>
              </w:rPr>
            </w:pPr>
            <w:r>
              <w:rPr>
                <w:rFonts w:hint="default"/>
                <w:b w:val="0"/>
                <w:bCs/>
                <w:color w:val="auto"/>
                <w:highlight w:val="none"/>
              </w:rPr>
              <w:t>监测方法</w:t>
            </w:r>
          </w:p>
        </w:tc>
        <w:tc>
          <w:tcPr>
            <w:tcW w:w="4332" w:type="dxa"/>
            <w:tcBorders>
              <w:tl2br w:val="nil"/>
              <w:tr2bl w:val="nil"/>
            </w:tcBorders>
            <w:noWrap w:val="0"/>
            <w:vAlign w:val="center"/>
          </w:tcPr>
          <w:p w14:paraId="49117C2F">
            <w:pPr>
              <w:pStyle w:val="45"/>
              <w:bidi w:val="0"/>
              <w:rPr>
                <w:rFonts w:hint="default"/>
                <w:b w:val="0"/>
                <w:bCs/>
                <w:color w:val="auto"/>
                <w:highlight w:val="none"/>
              </w:rPr>
            </w:pPr>
            <w:r>
              <w:rPr>
                <w:rFonts w:hint="default"/>
                <w:b w:val="0"/>
                <w:bCs/>
                <w:color w:val="auto"/>
                <w:highlight w:val="none"/>
              </w:rPr>
              <w:t>按《声环境质量标准》（GB3096－2008）规定的方法和要求进行</w:t>
            </w:r>
          </w:p>
        </w:tc>
        <w:tc>
          <w:tcPr>
            <w:tcW w:w="2426" w:type="dxa"/>
            <w:tcBorders>
              <w:tl2br w:val="nil"/>
              <w:tr2bl w:val="nil"/>
            </w:tcBorders>
            <w:noWrap w:val="0"/>
            <w:vAlign w:val="center"/>
          </w:tcPr>
          <w:p w14:paraId="77119C39">
            <w:pPr>
              <w:pStyle w:val="45"/>
              <w:bidi w:val="0"/>
              <w:rPr>
                <w:rFonts w:hint="default"/>
                <w:b w:val="0"/>
                <w:bCs/>
                <w:color w:val="auto"/>
                <w:highlight w:val="none"/>
              </w:rPr>
            </w:pPr>
          </w:p>
        </w:tc>
      </w:tr>
      <w:tr w14:paraId="07869F8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78" w:type="dxa"/>
            <w:tcBorders>
              <w:tl2br w:val="nil"/>
              <w:tr2bl w:val="nil"/>
            </w:tcBorders>
            <w:noWrap w:val="0"/>
            <w:vAlign w:val="center"/>
          </w:tcPr>
          <w:p w14:paraId="3357A24E">
            <w:pPr>
              <w:pStyle w:val="45"/>
              <w:bidi w:val="0"/>
              <w:rPr>
                <w:rFonts w:hint="default"/>
                <w:b w:val="0"/>
                <w:bCs/>
                <w:color w:val="auto"/>
                <w:highlight w:val="none"/>
              </w:rPr>
            </w:pPr>
            <w:r>
              <w:rPr>
                <w:rFonts w:hint="default"/>
                <w:b w:val="0"/>
                <w:bCs/>
                <w:color w:val="auto"/>
                <w:highlight w:val="none"/>
              </w:rPr>
              <w:t>6</w:t>
            </w:r>
          </w:p>
        </w:tc>
        <w:tc>
          <w:tcPr>
            <w:tcW w:w="1310" w:type="dxa"/>
            <w:tcBorders>
              <w:tl2br w:val="nil"/>
              <w:tr2bl w:val="nil"/>
            </w:tcBorders>
            <w:noWrap w:val="0"/>
            <w:vAlign w:val="center"/>
          </w:tcPr>
          <w:p w14:paraId="7F43F382">
            <w:pPr>
              <w:pStyle w:val="45"/>
              <w:bidi w:val="0"/>
              <w:rPr>
                <w:rFonts w:hint="default"/>
                <w:b w:val="0"/>
                <w:bCs/>
                <w:color w:val="auto"/>
                <w:highlight w:val="none"/>
              </w:rPr>
            </w:pPr>
            <w:r>
              <w:rPr>
                <w:rFonts w:hint="default"/>
                <w:b w:val="0"/>
                <w:bCs/>
                <w:color w:val="auto"/>
                <w:highlight w:val="none"/>
              </w:rPr>
              <w:t>监测单位</w:t>
            </w:r>
          </w:p>
        </w:tc>
        <w:tc>
          <w:tcPr>
            <w:tcW w:w="4332" w:type="dxa"/>
            <w:tcBorders>
              <w:tl2br w:val="nil"/>
              <w:tr2bl w:val="nil"/>
            </w:tcBorders>
            <w:noWrap w:val="0"/>
            <w:vAlign w:val="center"/>
          </w:tcPr>
          <w:p w14:paraId="65ED8195">
            <w:pPr>
              <w:pStyle w:val="45"/>
              <w:bidi w:val="0"/>
              <w:rPr>
                <w:rFonts w:hint="default"/>
                <w:b w:val="0"/>
                <w:bCs/>
                <w:color w:val="auto"/>
                <w:highlight w:val="none"/>
              </w:rPr>
            </w:pPr>
            <w:r>
              <w:rPr>
                <w:rFonts w:hint="default"/>
                <w:b w:val="0"/>
                <w:bCs/>
                <w:color w:val="auto"/>
                <w:highlight w:val="none"/>
                <w:lang w:eastAsia="zh-CN"/>
              </w:rPr>
              <w:t>长沙瑾瑶环保科技有限公司</w:t>
            </w:r>
          </w:p>
        </w:tc>
        <w:tc>
          <w:tcPr>
            <w:tcW w:w="2426" w:type="dxa"/>
            <w:tcBorders>
              <w:tl2br w:val="nil"/>
              <w:tr2bl w:val="nil"/>
            </w:tcBorders>
            <w:noWrap w:val="0"/>
            <w:vAlign w:val="center"/>
          </w:tcPr>
          <w:p w14:paraId="12833835">
            <w:pPr>
              <w:pStyle w:val="45"/>
              <w:bidi w:val="0"/>
              <w:rPr>
                <w:rFonts w:hint="default"/>
                <w:b w:val="0"/>
                <w:bCs/>
                <w:color w:val="auto"/>
                <w:highlight w:val="none"/>
              </w:rPr>
            </w:pPr>
          </w:p>
        </w:tc>
      </w:tr>
      <w:tr w14:paraId="61D4D7B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78" w:type="dxa"/>
            <w:tcBorders>
              <w:tl2br w:val="nil"/>
              <w:tr2bl w:val="nil"/>
            </w:tcBorders>
            <w:noWrap w:val="0"/>
            <w:vAlign w:val="center"/>
          </w:tcPr>
          <w:p w14:paraId="70EF0333">
            <w:pPr>
              <w:pStyle w:val="45"/>
              <w:bidi w:val="0"/>
              <w:rPr>
                <w:rFonts w:hint="default"/>
                <w:b w:val="0"/>
                <w:bCs/>
                <w:color w:val="auto"/>
                <w:highlight w:val="none"/>
              </w:rPr>
            </w:pPr>
            <w:r>
              <w:rPr>
                <w:rFonts w:hint="default"/>
                <w:b w:val="0"/>
                <w:bCs/>
                <w:color w:val="auto"/>
                <w:highlight w:val="none"/>
              </w:rPr>
              <w:t>7</w:t>
            </w:r>
          </w:p>
        </w:tc>
        <w:tc>
          <w:tcPr>
            <w:tcW w:w="1310" w:type="dxa"/>
            <w:tcBorders>
              <w:tl2br w:val="nil"/>
              <w:tr2bl w:val="nil"/>
            </w:tcBorders>
            <w:noWrap w:val="0"/>
            <w:vAlign w:val="center"/>
          </w:tcPr>
          <w:p w14:paraId="5CC42CF0">
            <w:pPr>
              <w:pStyle w:val="45"/>
              <w:bidi w:val="0"/>
              <w:rPr>
                <w:rFonts w:hint="default"/>
                <w:b w:val="0"/>
                <w:bCs/>
                <w:color w:val="auto"/>
                <w:highlight w:val="none"/>
              </w:rPr>
            </w:pPr>
            <w:r>
              <w:rPr>
                <w:rFonts w:hint="default"/>
                <w:b w:val="0"/>
                <w:bCs/>
                <w:color w:val="auto"/>
                <w:highlight w:val="none"/>
              </w:rPr>
              <w:t>评价标准</w:t>
            </w:r>
          </w:p>
        </w:tc>
        <w:tc>
          <w:tcPr>
            <w:tcW w:w="4332" w:type="dxa"/>
            <w:tcBorders>
              <w:tl2br w:val="nil"/>
              <w:tr2bl w:val="nil"/>
            </w:tcBorders>
            <w:noWrap w:val="0"/>
            <w:vAlign w:val="center"/>
          </w:tcPr>
          <w:p w14:paraId="6BB0E85C">
            <w:pPr>
              <w:pStyle w:val="45"/>
              <w:bidi w:val="0"/>
              <w:rPr>
                <w:rFonts w:hint="default"/>
                <w:b w:val="0"/>
                <w:bCs/>
                <w:color w:val="auto"/>
                <w:highlight w:val="none"/>
              </w:rPr>
            </w:pPr>
            <w:r>
              <w:rPr>
                <w:rFonts w:hint="default"/>
                <w:b w:val="0"/>
                <w:bCs/>
                <w:color w:val="auto"/>
                <w:highlight w:val="none"/>
              </w:rPr>
              <w:t>《声环境质量标准》（GB3096-2008）中的2类标准</w:t>
            </w:r>
          </w:p>
        </w:tc>
        <w:tc>
          <w:tcPr>
            <w:tcW w:w="2426" w:type="dxa"/>
            <w:tcBorders>
              <w:tl2br w:val="nil"/>
              <w:tr2bl w:val="nil"/>
            </w:tcBorders>
            <w:noWrap w:val="0"/>
            <w:vAlign w:val="center"/>
          </w:tcPr>
          <w:p w14:paraId="78E97BE1">
            <w:pPr>
              <w:pStyle w:val="45"/>
              <w:bidi w:val="0"/>
              <w:rPr>
                <w:rFonts w:hint="default"/>
                <w:b w:val="0"/>
                <w:bCs/>
                <w:color w:val="auto"/>
                <w:highlight w:val="none"/>
              </w:rPr>
            </w:pPr>
          </w:p>
        </w:tc>
      </w:tr>
      <w:tr w14:paraId="05F2868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78" w:type="dxa"/>
            <w:tcBorders>
              <w:tl2br w:val="nil"/>
              <w:tr2bl w:val="nil"/>
            </w:tcBorders>
            <w:noWrap w:val="0"/>
            <w:vAlign w:val="center"/>
          </w:tcPr>
          <w:p w14:paraId="124D1A44">
            <w:pPr>
              <w:pStyle w:val="45"/>
              <w:bidi w:val="0"/>
              <w:rPr>
                <w:rFonts w:hint="default"/>
                <w:b w:val="0"/>
                <w:bCs/>
                <w:color w:val="auto"/>
                <w:highlight w:val="none"/>
              </w:rPr>
            </w:pPr>
            <w:r>
              <w:rPr>
                <w:rFonts w:hint="default"/>
                <w:b w:val="0"/>
                <w:bCs/>
                <w:color w:val="auto"/>
                <w:highlight w:val="none"/>
              </w:rPr>
              <w:t>8</w:t>
            </w:r>
          </w:p>
        </w:tc>
        <w:tc>
          <w:tcPr>
            <w:tcW w:w="1310" w:type="dxa"/>
            <w:tcBorders>
              <w:tl2br w:val="nil"/>
              <w:tr2bl w:val="nil"/>
            </w:tcBorders>
            <w:noWrap w:val="0"/>
            <w:vAlign w:val="center"/>
          </w:tcPr>
          <w:p w14:paraId="7564D178">
            <w:pPr>
              <w:pStyle w:val="45"/>
              <w:bidi w:val="0"/>
              <w:rPr>
                <w:rFonts w:hint="default"/>
                <w:b w:val="0"/>
                <w:bCs/>
                <w:color w:val="auto"/>
                <w:highlight w:val="none"/>
              </w:rPr>
            </w:pPr>
            <w:r>
              <w:rPr>
                <w:rFonts w:hint="default"/>
                <w:b w:val="0"/>
                <w:bCs/>
                <w:color w:val="auto"/>
                <w:highlight w:val="none"/>
              </w:rPr>
              <w:t>评价结论</w:t>
            </w:r>
          </w:p>
        </w:tc>
        <w:tc>
          <w:tcPr>
            <w:tcW w:w="4332" w:type="dxa"/>
            <w:tcBorders>
              <w:tl2br w:val="nil"/>
              <w:tr2bl w:val="nil"/>
            </w:tcBorders>
            <w:noWrap w:val="0"/>
            <w:vAlign w:val="center"/>
          </w:tcPr>
          <w:p w14:paraId="7B6F1FCA">
            <w:pPr>
              <w:pStyle w:val="45"/>
              <w:bidi w:val="0"/>
              <w:rPr>
                <w:rFonts w:hint="default"/>
                <w:b w:val="0"/>
                <w:bCs/>
                <w:color w:val="auto"/>
                <w:highlight w:val="none"/>
              </w:rPr>
            </w:pPr>
            <w:r>
              <w:rPr>
                <w:rFonts w:hint="default"/>
                <w:b w:val="0"/>
                <w:bCs/>
                <w:color w:val="auto"/>
                <w:highlight w:val="none"/>
              </w:rPr>
              <w:t>各监测点昼夜间噪声均可满足《声环境质量标准》（GB3096-2008）</w:t>
            </w:r>
            <w:r>
              <w:rPr>
                <w:rFonts w:hint="eastAsia"/>
                <w:b w:val="0"/>
                <w:bCs/>
                <w:color w:val="auto"/>
                <w:highlight w:val="none"/>
                <w:lang w:val="en-US" w:eastAsia="zh-CN"/>
              </w:rPr>
              <w:t>2类</w:t>
            </w:r>
            <w:r>
              <w:rPr>
                <w:rFonts w:hint="default"/>
                <w:b w:val="0"/>
                <w:bCs/>
                <w:color w:val="auto"/>
                <w:highlight w:val="none"/>
              </w:rPr>
              <w:t>标准要求</w:t>
            </w:r>
          </w:p>
        </w:tc>
        <w:tc>
          <w:tcPr>
            <w:tcW w:w="2426" w:type="dxa"/>
            <w:tcBorders>
              <w:tl2br w:val="nil"/>
              <w:tr2bl w:val="nil"/>
            </w:tcBorders>
            <w:noWrap w:val="0"/>
            <w:vAlign w:val="center"/>
          </w:tcPr>
          <w:p w14:paraId="02813EB8">
            <w:pPr>
              <w:pStyle w:val="45"/>
              <w:bidi w:val="0"/>
              <w:rPr>
                <w:rFonts w:hint="default"/>
                <w:b w:val="0"/>
                <w:bCs/>
                <w:color w:val="auto"/>
                <w:highlight w:val="none"/>
              </w:rPr>
            </w:pPr>
            <w:r>
              <w:rPr>
                <w:rFonts w:hint="default"/>
                <w:b w:val="0"/>
                <w:bCs/>
                <w:color w:val="auto"/>
                <w:highlight w:val="none"/>
              </w:rPr>
              <w:t>噪声现状监测统计结果见下表</w:t>
            </w:r>
          </w:p>
        </w:tc>
      </w:tr>
    </w:tbl>
    <w:p w14:paraId="10CC5E91">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b/>
          <w:bCs/>
          <w:color w:val="auto"/>
          <w:sz w:val="24"/>
          <w:szCs w:val="24"/>
          <w:highlight w:val="none"/>
        </w:rPr>
      </w:pPr>
      <w:r>
        <w:rPr>
          <w:rFonts w:hint="default" w:ascii="Times New Roman" w:hAnsi="Times New Roman" w:cs="Times New Roman"/>
          <w:b/>
          <w:bCs/>
          <w:color w:val="auto"/>
          <w:sz w:val="24"/>
          <w:szCs w:val="24"/>
          <w:highlight w:val="none"/>
        </w:rPr>
        <w:t>表</w:t>
      </w:r>
      <w:r>
        <w:rPr>
          <w:rFonts w:hint="eastAsia" w:ascii="Times New Roman" w:hAnsi="Times New Roman" w:cs="Times New Roman"/>
          <w:b/>
          <w:bCs/>
          <w:color w:val="auto"/>
          <w:sz w:val="24"/>
          <w:szCs w:val="24"/>
          <w:highlight w:val="none"/>
          <w:lang w:val="en-US" w:eastAsia="zh-CN"/>
        </w:rPr>
        <w:t xml:space="preserve">5.5-2  </w:t>
      </w:r>
      <w:r>
        <w:rPr>
          <w:rFonts w:hint="default" w:ascii="Times New Roman" w:hAnsi="Times New Roman" w:cs="Times New Roman"/>
          <w:b/>
          <w:bCs/>
          <w:color w:val="auto"/>
          <w:sz w:val="24"/>
          <w:szCs w:val="24"/>
          <w:highlight w:val="none"/>
        </w:rPr>
        <w:t>声环境质量现状监测结果单位：dB（A）</w:t>
      </w:r>
    </w:p>
    <w:tbl>
      <w:tblPr>
        <w:tblStyle w:val="19"/>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756"/>
        <w:gridCol w:w="1283"/>
        <w:gridCol w:w="855"/>
        <w:gridCol w:w="967"/>
        <w:gridCol w:w="1641"/>
        <w:gridCol w:w="1834"/>
      </w:tblGrid>
      <w:tr w14:paraId="160B053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689" w:type="dxa"/>
            <w:tcBorders>
              <w:tl2br w:val="nil"/>
              <w:tr2bl w:val="nil"/>
            </w:tcBorders>
            <w:noWrap w:val="0"/>
            <w:vAlign w:val="center"/>
          </w:tcPr>
          <w:p w14:paraId="08D0086C">
            <w:pPr>
              <w:pStyle w:val="45"/>
              <w:bidi w:val="0"/>
              <w:rPr>
                <w:rFonts w:hint="default"/>
                <w:b w:val="0"/>
                <w:bCs/>
                <w:color w:val="auto"/>
                <w:highlight w:val="none"/>
              </w:rPr>
            </w:pPr>
            <w:r>
              <w:rPr>
                <w:rFonts w:hint="default"/>
                <w:b w:val="0"/>
                <w:bCs/>
                <w:color w:val="auto"/>
                <w:highlight w:val="none"/>
              </w:rPr>
              <w:t>监测点位</w:t>
            </w:r>
          </w:p>
        </w:tc>
        <w:tc>
          <w:tcPr>
            <w:tcW w:w="1234" w:type="dxa"/>
            <w:tcBorders>
              <w:tl2br w:val="nil"/>
              <w:tr2bl w:val="nil"/>
            </w:tcBorders>
            <w:noWrap w:val="0"/>
            <w:vAlign w:val="center"/>
          </w:tcPr>
          <w:p w14:paraId="00CA817E">
            <w:pPr>
              <w:pStyle w:val="45"/>
              <w:bidi w:val="0"/>
              <w:rPr>
                <w:rFonts w:hint="default"/>
                <w:b w:val="0"/>
                <w:bCs/>
                <w:color w:val="auto"/>
                <w:highlight w:val="none"/>
              </w:rPr>
            </w:pPr>
            <w:r>
              <w:rPr>
                <w:rFonts w:hint="default"/>
                <w:b w:val="0"/>
                <w:bCs/>
                <w:color w:val="auto"/>
                <w:highlight w:val="none"/>
              </w:rPr>
              <w:t>日期</w:t>
            </w:r>
          </w:p>
        </w:tc>
        <w:tc>
          <w:tcPr>
            <w:tcW w:w="822" w:type="dxa"/>
            <w:tcBorders>
              <w:tl2br w:val="nil"/>
              <w:tr2bl w:val="nil"/>
            </w:tcBorders>
            <w:noWrap w:val="0"/>
            <w:vAlign w:val="center"/>
          </w:tcPr>
          <w:p w14:paraId="3DBCCDFC">
            <w:pPr>
              <w:pStyle w:val="45"/>
              <w:bidi w:val="0"/>
              <w:rPr>
                <w:rFonts w:hint="default"/>
                <w:b w:val="0"/>
                <w:bCs/>
                <w:color w:val="auto"/>
                <w:highlight w:val="none"/>
              </w:rPr>
            </w:pPr>
            <w:r>
              <w:rPr>
                <w:rFonts w:hint="default"/>
                <w:b w:val="0"/>
                <w:bCs/>
                <w:color w:val="auto"/>
                <w:highlight w:val="none"/>
              </w:rPr>
              <w:t>昼间</w:t>
            </w:r>
          </w:p>
        </w:tc>
        <w:tc>
          <w:tcPr>
            <w:tcW w:w="930" w:type="dxa"/>
            <w:tcBorders>
              <w:tl2br w:val="nil"/>
              <w:tr2bl w:val="nil"/>
            </w:tcBorders>
            <w:noWrap w:val="0"/>
            <w:vAlign w:val="center"/>
          </w:tcPr>
          <w:p w14:paraId="1D798C6B">
            <w:pPr>
              <w:pStyle w:val="45"/>
              <w:bidi w:val="0"/>
              <w:rPr>
                <w:rFonts w:hint="default"/>
                <w:b w:val="0"/>
                <w:bCs/>
                <w:color w:val="auto"/>
                <w:highlight w:val="none"/>
              </w:rPr>
            </w:pPr>
            <w:r>
              <w:rPr>
                <w:rFonts w:hint="default"/>
                <w:b w:val="0"/>
                <w:bCs/>
                <w:color w:val="auto"/>
                <w:highlight w:val="none"/>
              </w:rPr>
              <w:t>夜间</w:t>
            </w:r>
          </w:p>
        </w:tc>
        <w:tc>
          <w:tcPr>
            <w:tcW w:w="1578" w:type="dxa"/>
            <w:tcBorders>
              <w:tl2br w:val="nil"/>
              <w:tr2bl w:val="nil"/>
            </w:tcBorders>
            <w:noWrap w:val="0"/>
            <w:vAlign w:val="center"/>
          </w:tcPr>
          <w:p w14:paraId="20B39A72">
            <w:pPr>
              <w:pStyle w:val="45"/>
              <w:bidi w:val="0"/>
              <w:rPr>
                <w:rFonts w:hint="default"/>
                <w:b w:val="0"/>
                <w:bCs/>
                <w:color w:val="auto"/>
                <w:highlight w:val="none"/>
              </w:rPr>
            </w:pPr>
            <w:r>
              <w:rPr>
                <w:rFonts w:hint="default"/>
                <w:b w:val="0"/>
                <w:bCs/>
                <w:color w:val="auto"/>
                <w:highlight w:val="none"/>
              </w:rPr>
              <w:t>评价标准</w:t>
            </w:r>
          </w:p>
        </w:tc>
        <w:tc>
          <w:tcPr>
            <w:tcW w:w="1764" w:type="dxa"/>
            <w:tcBorders>
              <w:tl2br w:val="nil"/>
              <w:tr2bl w:val="nil"/>
            </w:tcBorders>
            <w:noWrap w:val="0"/>
            <w:vAlign w:val="center"/>
          </w:tcPr>
          <w:p w14:paraId="4D4AE70C">
            <w:pPr>
              <w:pStyle w:val="45"/>
              <w:bidi w:val="0"/>
              <w:rPr>
                <w:rFonts w:hint="default"/>
                <w:b w:val="0"/>
                <w:bCs/>
                <w:color w:val="auto"/>
                <w:highlight w:val="none"/>
              </w:rPr>
            </w:pPr>
            <w:r>
              <w:rPr>
                <w:rFonts w:hint="default"/>
                <w:b w:val="0"/>
                <w:bCs/>
                <w:color w:val="auto"/>
                <w:highlight w:val="none"/>
              </w:rPr>
              <w:t>评价结果</w:t>
            </w:r>
          </w:p>
        </w:tc>
      </w:tr>
      <w:tr w14:paraId="1D94A28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689" w:type="dxa"/>
            <w:tcBorders>
              <w:tl2br w:val="nil"/>
              <w:tr2bl w:val="nil"/>
            </w:tcBorders>
            <w:noWrap w:val="0"/>
            <w:vAlign w:val="center"/>
          </w:tcPr>
          <w:p w14:paraId="7279084A">
            <w:pPr>
              <w:pStyle w:val="45"/>
              <w:bidi w:val="0"/>
              <w:rPr>
                <w:rFonts w:hint="default"/>
                <w:b w:val="0"/>
                <w:bCs/>
                <w:color w:val="auto"/>
                <w:highlight w:val="none"/>
              </w:rPr>
            </w:pPr>
            <w:r>
              <w:rPr>
                <w:rFonts w:hint="eastAsia"/>
                <w:b w:val="0"/>
                <w:bCs/>
                <w:color w:val="auto"/>
                <w:highlight w:val="none"/>
                <w:lang w:val="en-US" w:eastAsia="zh-CN"/>
              </w:rPr>
              <w:t>N1升压站东侧外1m</w:t>
            </w:r>
          </w:p>
        </w:tc>
        <w:tc>
          <w:tcPr>
            <w:tcW w:w="1234" w:type="dxa"/>
            <w:tcBorders>
              <w:tl2br w:val="nil"/>
              <w:tr2bl w:val="nil"/>
            </w:tcBorders>
            <w:noWrap w:val="0"/>
            <w:vAlign w:val="center"/>
          </w:tcPr>
          <w:p w14:paraId="26A7FF45">
            <w:pPr>
              <w:pStyle w:val="45"/>
              <w:bidi w:val="0"/>
              <w:rPr>
                <w:rFonts w:hint="default"/>
                <w:b w:val="0"/>
                <w:bCs/>
                <w:color w:val="auto"/>
                <w:highlight w:val="none"/>
              </w:rPr>
            </w:pPr>
            <w:r>
              <w:rPr>
                <w:rFonts w:hint="default"/>
                <w:b w:val="0"/>
                <w:bCs/>
                <w:color w:val="auto"/>
                <w:highlight w:val="none"/>
              </w:rPr>
              <w:t>202</w:t>
            </w:r>
            <w:r>
              <w:rPr>
                <w:rFonts w:hint="eastAsia"/>
                <w:b w:val="0"/>
                <w:bCs/>
                <w:color w:val="auto"/>
                <w:highlight w:val="none"/>
                <w:lang w:val="en-US" w:eastAsia="zh-CN"/>
              </w:rPr>
              <w:t>3.7.7</w:t>
            </w:r>
          </w:p>
        </w:tc>
        <w:tc>
          <w:tcPr>
            <w:tcW w:w="822" w:type="dxa"/>
            <w:tcBorders>
              <w:tl2br w:val="nil"/>
              <w:tr2bl w:val="nil"/>
            </w:tcBorders>
            <w:noWrap w:val="0"/>
            <w:vAlign w:val="center"/>
          </w:tcPr>
          <w:p w14:paraId="2B0353E7">
            <w:pPr>
              <w:pStyle w:val="45"/>
              <w:bidi w:val="0"/>
              <w:rPr>
                <w:rFonts w:hint="default"/>
                <w:b w:val="0"/>
                <w:bCs/>
                <w:color w:val="auto"/>
                <w:highlight w:val="none"/>
                <w:lang w:val="en-US" w:eastAsia="zh-CN"/>
              </w:rPr>
            </w:pPr>
            <w:r>
              <w:rPr>
                <w:rFonts w:hint="eastAsia"/>
                <w:b w:val="0"/>
                <w:bCs/>
                <w:color w:val="auto"/>
                <w:highlight w:val="none"/>
                <w:lang w:val="en-US" w:eastAsia="zh-CN"/>
              </w:rPr>
              <w:t>56</w:t>
            </w:r>
          </w:p>
        </w:tc>
        <w:tc>
          <w:tcPr>
            <w:tcW w:w="930" w:type="dxa"/>
            <w:tcBorders>
              <w:tl2br w:val="nil"/>
              <w:tr2bl w:val="nil"/>
            </w:tcBorders>
            <w:noWrap w:val="0"/>
            <w:vAlign w:val="center"/>
          </w:tcPr>
          <w:p w14:paraId="01AB331F">
            <w:pPr>
              <w:pStyle w:val="45"/>
              <w:bidi w:val="0"/>
              <w:rPr>
                <w:rFonts w:hint="default"/>
                <w:b w:val="0"/>
                <w:bCs/>
                <w:color w:val="auto"/>
                <w:highlight w:val="none"/>
                <w:lang w:val="en-US" w:eastAsia="zh-CN"/>
              </w:rPr>
            </w:pPr>
            <w:r>
              <w:rPr>
                <w:rFonts w:hint="eastAsia"/>
                <w:b w:val="0"/>
                <w:bCs/>
                <w:color w:val="auto"/>
                <w:highlight w:val="none"/>
                <w:lang w:val="en-US" w:eastAsia="zh-CN"/>
              </w:rPr>
              <w:t>42</w:t>
            </w:r>
          </w:p>
        </w:tc>
        <w:tc>
          <w:tcPr>
            <w:tcW w:w="1578" w:type="dxa"/>
            <w:vMerge w:val="restart"/>
            <w:tcBorders>
              <w:tl2br w:val="nil"/>
              <w:tr2bl w:val="nil"/>
            </w:tcBorders>
            <w:noWrap w:val="0"/>
            <w:vAlign w:val="center"/>
          </w:tcPr>
          <w:p w14:paraId="0D09AAD8">
            <w:pPr>
              <w:pStyle w:val="45"/>
              <w:bidi w:val="0"/>
              <w:rPr>
                <w:rFonts w:hint="default"/>
                <w:b w:val="0"/>
                <w:bCs/>
                <w:color w:val="auto"/>
                <w:highlight w:val="none"/>
              </w:rPr>
            </w:pPr>
            <w:r>
              <w:rPr>
                <w:rFonts w:hint="default"/>
                <w:b w:val="0"/>
                <w:bCs/>
                <w:color w:val="auto"/>
                <w:highlight w:val="none"/>
              </w:rPr>
              <w:t>2类：昼间60，</w:t>
            </w:r>
          </w:p>
          <w:p w14:paraId="7307780F">
            <w:pPr>
              <w:pStyle w:val="45"/>
              <w:bidi w:val="0"/>
              <w:rPr>
                <w:rFonts w:hint="default"/>
                <w:b w:val="0"/>
                <w:bCs/>
                <w:color w:val="auto"/>
                <w:highlight w:val="none"/>
              </w:rPr>
            </w:pPr>
            <w:r>
              <w:rPr>
                <w:rFonts w:hint="default"/>
                <w:b w:val="0"/>
                <w:bCs/>
                <w:color w:val="auto"/>
                <w:highlight w:val="none"/>
              </w:rPr>
              <w:t>夜间50</w:t>
            </w:r>
          </w:p>
        </w:tc>
        <w:tc>
          <w:tcPr>
            <w:tcW w:w="1764" w:type="dxa"/>
            <w:tcBorders>
              <w:tl2br w:val="nil"/>
              <w:tr2bl w:val="nil"/>
            </w:tcBorders>
            <w:noWrap w:val="0"/>
            <w:vAlign w:val="center"/>
          </w:tcPr>
          <w:p w14:paraId="12266A1A">
            <w:pPr>
              <w:pStyle w:val="45"/>
              <w:bidi w:val="0"/>
              <w:rPr>
                <w:rFonts w:hint="default"/>
                <w:b w:val="0"/>
                <w:bCs/>
                <w:color w:val="auto"/>
                <w:highlight w:val="none"/>
              </w:rPr>
            </w:pPr>
            <w:r>
              <w:rPr>
                <w:rFonts w:hint="default"/>
                <w:b w:val="0"/>
                <w:bCs/>
                <w:color w:val="auto"/>
                <w:highlight w:val="none"/>
              </w:rPr>
              <w:t>达标</w:t>
            </w:r>
          </w:p>
        </w:tc>
      </w:tr>
      <w:tr w14:paraId="45F5B83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689" w:type="dxa"/>
            <w:tcBorders>
              <w:tl2br w:val="nil"/>
              <w:tr2bl w:val="nil"/>
            </w:tcBorders>
            <w:noWrap w:val="0"/>
            <w:vAlign w:val="center"/>
          </w:tcPr>
          <w:p w14:paraId="225CA680">
            <w:pPr>
              <w:pStyle w:val="45"/>
              <w:bidi w:val="0"/>
              <w:rPr>
                <w:rFonts w:hint="default"/>
                <w:b w:val="0"/>
                <w:bCs/>
                <w:color w:val="auto"/>
                <w:highlight w:val="none"/>
              </w:rPr>
            </w:pPr>
            <w:r>
              <w:rPr>
                <w:rFonts w:hint="eastAsia"/>
                <w:b w:val="0"/>
                <w:bCs/>
                <w:color w:val="auto"/>
                <w:highlight w:val="none"/>
                <w:lang w:val="en-US" w:eastAsia="zh-CN"/>
              </w:rPr>
              <w:t>N2升压站南侧外1m</w:t>
            </w:r>
          </w:p>
        </w:tc>
        <w:tc>
          <w:tcPr>
            <w:tcW w:w="1234" w:type="dxa"/>
            <w:tcBorders>
              <w:tl2br w:val="nil"/>
              <w:tr2bl w:val="nil"/>
            </w:tcBorders>
            <w:noWrap w:val="0"/>
            <w:vAlign w:val="center"/>
          </w:tcPr>
          <w:p w14:paraId="27EE24D3">
            <w:pPr>
              <w:pStyle w:val="45"/>
              <w:bidi w:val="0"/>
              <w:rPr>
                <w:rFonts w:hint="default"/>
                <w:b w:val="0"/>
                <w:bCs/>
                <w:color w:val="auto"/>
                <w:highlight w:val="none"/>
              </w:rPr>
            </w:pPr>
            <w:r>
              <w:rPr>
                <w:rFonts w:hint="default"/>
                <w:b w:val="0"/>
                <w:bCs/>
                <w:color w:val="auto"/>
                <w:highlight w:val="none"/>
              </w:rPr>
              <w:t>202</w:t>
            </w:r>
            <w:r>
              <w:rPr>
                <w:rFonts w:hint="eastAsia"/>
                <w:b w:val="0"/>
                <w:bCs/>
                <w:color w:val="auto"/>
                <w:highlight w:val="none"/>
                <w:lang w:val="en-US" w:eastAsia="zh-CN"/>
              </w:rPr>
              <w:t>3.7.7</w:t>
            </w:r>
          </w:p>
        </w:tc>
        <w:tc>
          <w:tcPr>
            <w:tcW w:w="822" w:type="dxa"/>
            <w:tcBorders>
              <w:tl2br w:val="nil"/>
              <w:tr2bl w:val="nil"/>
            </w:tcBorders>
            <w:noWrap w:val="0"/>
            <w:vAlign w:val="center"/>
          </w:tcPr>
          <w:p w14:paraId="779E629F">
            <w:pPr>
              <w:pStyle w:val="45"/>
              <w:bidi w:val="0"/>
              <w:rPr>
                <w:rFonts w:hint="default"/>
                <w:b w:val="0"/>
                <w:bCs/>
                <w:color w:val="auto"/>
                <w:highlight w:val="none"/>
                <w:lang w:val="en-US" w:eastAsia="zh-CN"/>
              </w:rPr>
            </w:pPr>
            <w:r>
              <w:rPr>
                <w:rFonts w:hint="eastAsia"/>
                <w:b w:val="0"/>
                <w:bCs/>
                <w:color w:val="auto"/>
                <w:highlight w:val="none"/>
                <w:lang w:val="en-US" w:eastAsia="zh-CN"/>
              </w:rPr>
              <w:t>55</w:t>
            </w:r>
          </w:p>
        </w:tc>
        <w:tc>
          <w:tcPr>
            <w:tcW w:w="930" w:type="dxa"/>
            <w:tcBorders>
              <w:tl2br w:val="nil"/>
              <w:tr2bl w:val="nil"/>
            </w:tcBorders>
            <w:noWrap w:val="0"/>
            <w:vAlign w:val="center"/>
          </w:tcPr>
          <w:p w14:paraId="5EB5FFFC">
            <w:pPr>
              <w:pStyle w:val="45"/>
              <w:bidi w:val="0"/>
              <w:rPr>
                <w:rFonts w:hint="default"/>
                <w:b w:val="0"/>
                <w:bCs/>
                <w:color w:val="auto"/>
                <w:highlight w:val="none"/>
                <w:lang w:val="en-US" w:eastAsia="zh-CN"/>
              </w:rPr>
            </w:pPr>
            <w:r>
              <w:rPr>
                <w:rFonts w:hint="eastAsia"/>
                <w:b w:val="0"/>
                <w:bCs/>
                <w:color w:val="auto"/>
                <w:highlight w:val="none"/>
                <w:lang w:val="en-US" w:eastAsia="zh-CN"/>
              </w:rPr>
              <w:t>44</w:t>
            </w:r>
          </w:p>
        </w:tc>
        <w:tc>
          <w:tcPr>
            <w:tcW w:w="1578" w:type="dxa"/>
            <w:vMerge w:val="continue"/>
            <w:tcBorders>
              <w:tl2br w:val="nil"/>
              <w:tr2bl w:val="nil"/>
            </w:tcBorders>
            <w:noWrap w:val="0"/>
            <w:vAlign w:val="center"/>
          </w:tcPr>
          <w:p w14:paraId="6D1B4AEB">
            <w:pPr>
              <w:pStyle w:val="45"/>
              <w:bidi w:val="0"/>
              <w:rPr>
                <w:rFonts w:hint="default"/>
                <w:b w:val="0"/>
                <w:bCs/>
                <w:color w:val="auto"/>
                <w:highlight w:val="none"/>
              </w:rPr>
            </w:pPr>
          </w:p>
        </w:tc>
        <w:tc>
          <w:tcPr>
            <w:tcW w:w="1764" w:type="dxa"/>
            <w:tcBorders>
              <w:tl2br w:val="nil"/>
              <w:tr2bl w:val="nil"/>
            </w:tcBorders>
            <w:noWrap w:val="0"/>
            <w:vAlign w:val="center"/>
          </w:tcPr>
          <w:p w14:paraId="42ECE3BE">
            <w:pPr>
              <w:pStyle w:val="45"/>
              <w:bidi w:val="0"/>
              <w:rPr>
                <w:rFonts w:hint="default"/>
                <w:b w:val="0"/>
                <w:bCs/>
                <w:color w:val="auto"/>
                <w:highlight w:val="none"/>
              </w:rPr>
            </w:pPr>
            <w:r>
              <w:rPr>
                <w:rFonts w:hint="default"/>
                <w:b w:val="0"/>
                <w:bCs/>
                <w:color w:val="auto"/>
                <w:highlight w:val="none"/>
              </w:rPr>
              <w:t>达标</w:t>
            </w:r>
          </w:p>
        </w:tc>
      </w:tr>
      <w:tr w14:paraId="6EB477C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689" w:type="dxa"/>
            <w:tcBorders>
              <w:tl2br w:val="nil"/>
              <w:tr2bl w:val="nil"/>
            </w:tcBorders>
            <w:noWrap w:val="0"/>
            <w:vAlign w:val="center"/>
          </w:tcPr>
          <w:p w14:paraId="152AE385">
            <w:pPr>
              <w:pStyle w:val="45"/>
              <w:bidi w:val="0"/>
              <w:rPr>
                <w:rFonts w:hint="default"/>
                <w:b w:val="0"/>
                <w:bCs/>
                <w:color w:val="auto"/>
                <w:highlight w:val="none"/>
              </w:rPr>
            </w:pPr>
            <w:r>
              <w:rPr>
                <w:rFonts w:hint="eastAsia"/>
                <w:b w:val="0"/>
                <w:bCs/>
                <w:color w:val="auto"/>
                <w:highlight w:val="none"/>
                <w:lang w:val="en-US" w:eastAsia="zh-CN"/>
              </w:rPr>
              <w:t>N3升压站西侧外1m</w:t>
            </w:r>
          </w:p>
        </w:tc>
        <w:tc>
          <w:tcPr>
            <w:tcW w:w="1234" w:type="dxa"/>
            <w:tcBorders>
              <w:tl2br w:val="nil"/>
              <w:tr2bl w:val="nil"/>
            </w:tcBorders>
            <w:noWrap w:val="0"/>
            <w:vAlign w:val="center"/>
          </w:tcPr>
          <w:p w14:paraId="10E59C44">
            <w:pPr>
              <w:pStyle w:val="45"/>
              <w:bidi w:val="0"/>
              <w:rPr>
                <w:rFonts w:hint="default"/>
                <w:b w:val="0"/>
                <w:bCs/>
                <w:color w:val="auto"/>
                <w:highlight w:val="none"/>
              </w:rPr>
            </w:pPr>
            <w:r>
              <w:rPr>
                <w:rFonts w:hint="default"/>
                <w:b w:val="0"/>
                <w:bCs/>
                <w:color w:val="auto"/>
                <w:highlight w:val="none"/>
              </w:rPr>
              <w:t>202</w:t>
            </w:r>
            <w:r>
              <w:rPr>
                <w:rFonts w:hint="eastAsia"/>
                <w:b w:val="0"/>
                <w:bCs/>
                <w:color w:val="auto"/>
                <w:highlight w:val="none"/>
                <w:lang w:val="en-US" w:eastAsia="zh-CN"/>
              </w:rPr>
              <w:t>3.7.7</w:t>
            </w:r>
          </w:p>
        </w:tc>
        <w:tc>
          <w:tcPr>
            <w:tcW w:w="822" w:type="dxa"/>
            <w:tcBorders>
              <w:tl2br w:val="nil"/>
              <w:tr2bl w:val="nil"/>
            </w:tcBorders>
            <w:noWrap w:val="0"/>
            <w:vAlign w:val="center"/>
          </w:tcPr>
          <w:p w14:paraId="0D20B4E7">
            <w:pPr>
              <w:pStyle w:val="45"/>
              <w:bidi w:val="0"/>
              <w:rPr>
                <w:rFonts w:hint="default"/>
                <w:b w:val="0"/>
                <w:bCs/>
                <w:color w:val="auto"/>
                <w:highlight w:val="none"/>
                <w:lang w:val="en-US" w:eastAsia="zh-CN"/>
              </w:rPr>
            </w:pPr>
            <w:r>
              <w:rPr>
                <w:rFonts w:hint="eastAsia"/>
                <w:b w:val="0"/>
                <w:bCs/>
                <w:color w:val="auto"/>
                <w:highlight w:val="none"/>
                <w:lang w:val="en-US" w:eastAsia="zh-CN"/>
              </w:rPr>
              <w:t>53</w:t>
            </w:r>
          </w:p>
        </w:tc>
        <w:tc>
          <w:tcPr>
            <w:tcW w:w="930" w:type="dxa"/>
            <w:tcBorders>
              <w:tl2br w:val="nil"/>
              <w:tr2bl w:val="nil"/>
            </w:tcBorders>
            <w:noWrap w:val="0"/>
            <w:vAlign w:val="center"/>
          </w:tcPr>
          <w:p w14:paraId="73B11EC5">
            <w:pPr>
              <w:pStyle w:val="45"/>
              <w:bidi w:val="0"/>
              <w:rPr>
                <w:rFonts w:hint="default"/>
                <w:b w:val="0"/>
                <w:bCs/>
                <w:color w:val="auto"/>
                <w:highlight w:val="none"/>
                <w:lang w:val="en-US" w:eastAsia="zh-CN"/>
              </w:rPr>
            </w:pPr>
            <w:r>
              <w:rPr>
                <w:rFonts w:hint="eastAsia"/>
                <w:b w:val="0"/>
                <w:bCs/>
                <w:color w:val="auto"/>
                <w:highlight w:val="none"/>
                <w:lang w:val="en-US" w:eastAsia="zh-CN"/>
              </w:rPr>
              <w:t>45</w:t>
            </w:r>
          </w:p>
        </w:tc>
        <w:tc>
          <w:tcPr>
            <w:tcW w:w="1578" w:type="dxa"/>
            <w:vMerge w:val="continue"/>
            <w:tcBorders>
              <w:tl2br w:val="nil"/>
              <w:tr2bl w:val="nil"/>
            </w:tcBorders>
            <w:noWrap w:val="0"/>
            <w:vAlign w:val="center"/>
          </w:tcPr>
          <w:p w14:paraId="1ECEE270">
            <w:pPr>
              <w:pStyle w:val="45"/>
              <w:bidi w:val="0"/>
              <w:rPr>
                <w:rFonts w:hint="default"/>
                <w:b w:val="0"/>
                <w:bCs/>
                <w:color w:val="auto"/>
                <w:highlight w:val="none"/>
              </w:rPr>
            </w:pPr>
          </w:p>
        </w:tc>
        <w:tc>
          <w:tcPr>
            <w:tcW w:w="1764" w:type="dxa"/>
            <w:tcBorders>
              <w:tl2br w:val="nil"/>
              <w:tr2bl w:val="nil"/>
            </w:tcBorders>
            <w:noWrap w:val="0"/>
            <w:vAlign w:val="center"/>
          </w:tcPr>
          <w:p w14:paraId="0A38937C">
            <w:pPr>
              <w:pStyle w:val="45"/>
              <w:bidi w:val="0"/>
              <w:rPr>
                <w:rFonts w:hint="default"/>
                <w:b w:val="0"/>
                <w:bCs/>
                <w:color w:val="auto"/>
                <w:highlight w:val="none"/>
              </w:rPr>
            </w:pPr>
            <w:r>
              <w:rPr>
                <w:rFonts w:hint="default"/>
                <w:b w:val="0"/>
                <w:bCs/>
                <w:color w:val="auto"/>
                <w:highlight w:val="none"/>
              </w:rPr>
              <w:t>达标</w:t>
            </w:r>
          </w:p>
        </w:tc>
      </w:tr>
      <w:tr w14:paraId="283E3AA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689" w:type="dxa"/>
            <w:tcBorders>
              <w:tl2br w:val="nil"/>
              <w:tr2bl w:val="nil"/>
            </w:tcBorders>
            <w:noWrap w:val="0"/>
            <w:vAlign w:val="center"/>
          </w:tcPr>
          <w:p w14:paraId="44938CE8">
            <w:pPr>
              <w:pStyle w:val="45"/>
              <w:bidi w:val="0"/>
              <w:rPr>
                <w:rFonts w:hint="default"/>
                <w:b w:val="0"/>
                <w:bCs/>
                <w:color w:val="auto"/>
                <w:highlight w:val="none"/>
              </w:rPr>
            </w:pPr>
            <w:r>
              <w:rPr>
                <w:rFonts w:hint="eastAsia"/>
                <w:b w:val="0"/>
                <w:bCs/>
                <w:color w:val="auto"/>
                <w:highlight w:val="none"/>
                <w:lang w:val="en-US" w:eastAsia="zh-CN"/>
              </w:rPr>
              <w:t>N4升压站北侧外1m</w:t>
            </w:r>
          </w:p>
        </w:tc>
        <w:tc>
          <w:tcPr>
            <w:tcW w:w="1234" w:type="dxa"/>
            <w:tcBorders>
              <w:tl2br w:val="nil"/>
              <w:tr2bl w:val="nil"/>
            </w:tcBorders>
            <w:noWrap w:val="0"/>
            <w:vAlign w:val="center"/>
          </w:tcPr>
          <w:p w14:paraId="30ADD5C1">
            <w:pPr>
              <w:pStyle w:val="45"/>
              <w:bidi w:val="0"/>
              <w:rPr>
                <w:rFonts w:hint="default"/>
                <w:b w:val="0"/>
                <w:bCs/>
                <w:color w:val="auto"/>
                <w:highlight w:val="none"/>
              </w:rPr>
            </w:pPr>
            <w:r>
              <w:rPr>
                <w:rFonts w:hint="default"/>
                <w:b w:val="0"/>
                <w:bCs/>
                <w:color w:val="auto"/>
                <w:highlight w:val="none"/>
              </w:rPr>
              <w:t>202</w:t>
            </w:r>
            <w:r>
              <w:rPr>
                <w:rFonts w:hint="eastAsia"/>
                <w:b w:val="0"/>
                <w:bCs/>
                <w:color w:val="auto"/>
                <w:highlight w:val="none"/>
                <w:lang w:val="en-US" w:eastAsia="zh-CN"/>
              </w:rPr>
              <w:t>3.7.7</w:t>
            </w:r>
          </w:p>
        </w:tc>
        <w:tc>
          <w:tcPr>
            <w:tcW w:w="822" w:type="dxa"/>
            <w:tcBorders>
              <w:tl2br w:val="nil"/>
              <w:tr2bl w:val="nil"/>
            </w:tcBorders>
            <w:noWrap w:val="0"/>
            <w:vAlign w:val="center"/>
          </w:tcPr>
          <w:p w14:paraId="056C1C53">
            <w:pPr>
              <w:pStyle w:val="45"/>
              <w:bidi w:val="0"/>
              <w:rPr>
                <w:rFonts w:hint="default"/>
                <w:b w:val="0"/>
                <w:bCs/>
                <w:color w:val="auto"/>
                <w:highlight w:val="none"/>
                <w:lang w:val="en-US" w:eastAsia="zh-CN"/>
              </w:rPr>
            </w:pPr>
            <w:r>
              <w:rPr>
                <w:rFonts w:hint="eastAsia"/>
                <w:b w:val="0"/>
                <w:bCs/>
                <w:color w:val="auto"/>
                <w:highlight w:val="none"/>
                <w:lang w:val="en-US" w:eastAsia="zh-CN"/>
              </w:rPr>
              <w:t>56</w:t>
            </w:r>
          </w:p>
        </w:tc>
        <w:tc>
          <w:tcPr>
            <w:tcW w:w="930" w:type="dxa"/>
            <w:tcBorders>
              <w:tl2br w:val="nil"/>
              <w:tr2bl w:val="nil"/>
            </w:tcBorders>
            <w:noWrap w:val="0"/>
            <w:vAlign w:val="center"/>
          </w:tcPr>
          <w:p w14:paraId="682A1488">
            <w:pPr>
              <w:pStyle w:val="45"/>
              <w:bidi w:val="0"/>
              <w:rPr>
                <w:rFonts w:hint="default"/>
                <w:b w:val="0"/>
                <w:bCs/>
                <w:color w:val="auto"/>
                <w:highlight w:val="none"/>
                <w:lang w:val="en-US" w:eastAsia="zh-CN"/>
              </w:rPr>
            </w:pPr>
            <w:r>
              <w:rPr>
                <w:rFonts w:hint="eastAsia"/>
                <w:b w:val="0"/>
                <w:bCs/>
                <w:color w:val="auto"/>
                <w:highlight w:val="none"/>
                <w:lang w:val="en-US" w:eastAsia="zh-CN"/>
              </w:rPr>
              <w:t>43</w:t>
            </w:r>
          </w:p>
        </w:tc>
        <w:tc>
          <w:tcPr>
            <w:tcW w:w="1578" w:type="dxa"/>
            <w:vMerge w:val="continue"/>
            <w:tcBorders>
              <w:tl2br w:val="nil"/>
              <w:tr2bl w:val="nil"/>
            </w:tcBorders>
            <w:noWrap w:val="0"/>
            <w:vAlign w:val="center"/>
          </w:tcPr>
          <w:p w14:paraId="5849FD40">
            <w:pPr>
              <w:pStyle w:val="45"/>
              <w:bidi w:val="0"/>
              <w:rPr>
                <w:rFonts w:hint="default"/>
                <w:b w:val="0"/>
                <w:bCs/>
                <w:color w:val="auto"/>
                <w:highlight w:val="none"/>
              </w:rPr>
            </w:pPr>
          </w:p>
        </w:tc>
        <w:tc>
          <w:tcPr>
            <w:tcW w:w="1764" w:type="dxa"/>
            <w:tcBorders>
              <w:tl2br w:val="nil"/>
              <w:tr2bl w:val="nil"/>
            </w:tcBorders>
            <w:noWrap w:val="0"/>
            <w:vAlign w:val="center"/>
          </w:tcPr>
          <w:p w14:paraId="4BC0A72B">
            <w:pPr>
              <w:pStyle w:val="45"/>
              <w:bidi w:val="0"/>
              <w:rPr>
                <w:rFonts w:hint="default"/>
                <w:b w:val="0"/>
                <w:bCs/>
                <w:color w:val="auto"/>
                <w:highlight w:val="none"/>
              </w:rPr>
            </w:pPr>
            <w:r>
              <w:rPr>
                <w:rFonts w:hint="default"/>
                <w:b w:val="0"/>
                <w:bCs/>
                <w:color w:val="auto"/>
                <w:highlight w:val="none"/>
              </w:rPr>
              <w:t>达标</w:t>
            </w:r>
          </w:p>
        </w:tc>
      </w:tr>
      <w:tr w14:paraId="0C4CB8D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689" w:type="dxa"/>
            <w:tcBorders>
              <w:tl2br w:val="nil"/>
              <w:tr2bl w:val="nil"/>
            </w:tcBorders>
            <w:noWrap w:val="0"/>
            <w:vAlign w:val="center"/>
          </w:tcPr>
          <w:p w14:paraId="11FCE78D">
            <w:pPr>
              <w:pStyle w:val="45"/>
              <w:bidi w:val="0"/>
              <w:rPr>
                <w:rFonts w:hint="default"/>
                <w:b w:val="0"/>
                <w:bCs/>
                <w:color w:val="auto"/>
                <w:highlight w:val="none"/>
              </w:rPr>
            </w:pPr>
            <w:r>
              <w:rPr>
                <w:rFonts w:hint="eastAsia"/>
                <w:b w:val="0"/>
                <w:bCs/>
                <w:color w:val="auto"/>
                <w:highlight w:val="none"/>
                <w:lang w:val="en-US" w:eastAsia="zh-CN"/>
              </w:rPr>
              <w:t>N5老屋塘村居民房屋外1m</w:t>
            </w:r>
          </w:p>
        </w:tc>
        <w:tc>
          <w:tcPr>
            <w:tcW w:w="1234" w:type="dxa"/>
            <w:tcBorders>
              <w:tl2br w:val="nil"/>
              <w:tr2bl w:val="nil"/>
            </w:tcBorders>
            <w:noWrap w:val="0"/>
            <w:vAlign w:val="center"/>
          </w:tcPr>
          <w:p w14:paraId="7CA4D0CB">
            <w:pPr>
              <w:pStyle w:val="45"/>
              <w:bidi w:val="0"/>
              <w:rPr>
                <w:rFonts w:hint="default"/>
                <w:b w:val="0"/>
                <w:bCs/>
                <w:color w:val="auto"/>
                <w:highlight w:val="none"/>
              </w:rPr>
            </w:pPr>
            <w:r>
              <w:rPr>
                <w:rFonts w:hint="default"/>
                <w:b w:val="0"/>
                <w:bCs/>
                <w:color w:val="auto"/>
                <w:highlight w:val="none"/>
              </w:rPr>
              <w:t>202</w:t>
            </w:r>
            <w:r>
              <w:rPr>
                <w:rFonts w:hint="eastAsia"/>
                <w:b w:val="0"/>
                <w:bCs/>
                <w:color w:val="auto"/>
                <w:highlight w:val="none"/>
                <w:lang w:val="en-US" w:eastAsia="zh-CN"/>
              </w:rPr>
              <w:t>3.7.7</w:t>
            </w:r>
          </w:p>
        </w:tc>
        <w:tc>
          <w:tcPr>
            <w:tcW w:w="822" w:type="dxa"/>
            <w:tcBorders>
              <w:tl2br w:val="nil"/>
              <w:tr2bl w:val="nil"/>
            </w:tcBorders>
            <w:noWrap w:val="0"/>
            <w:vAlign w:val="center"/>
          </w:tcPr>
          <w:p w14:paraId="060DF9D0">
            <w:pPr>
              <w:pStyle w:val="45"/>
              <w:bidi w:val="0"/>
              <w:rPr>
                <w:rFonts w:hint="default"/>
                <w:b w:val="0"/>
                <w:bCs/>
                <w:color w:val="auto"/>
                <w:highlight w:val="none"/>
                <w:lang w:val="en-US" w:eastAsia="zh-CN"/>
              </w:rPr>
            </w:pPr>
            <w:r>
              <w:rPr>
                <w:rFonts w:hint="eastAsia"/>
                <w:b w:val="0"/>
                <w:bCs/>
                <w:color w:val="auto"/>
                <w:highlight w:val="none"/>
                <w:lang w:val="en-US" w:eastAsia="zh-CN"/>
              </w:rPr>
              <w:t>53</w:t>
            </w:r>
          </w:p>
        </w:tc>
        <w:tc>
          <w:tcPr>
            <w:tcW w:w="930" w:type="dxa"/>
            <w:tcBorders>
              <w:tl2br w:val="nil"/>
              <w:tr2bl w:val="nil"/>
            </w:tcBorders>
            <w:noWrap w:val="0"/>
            <w:vAlign w:val="center"/>
          </w:tcPr>
          <w:p w14:paraId="0ECD3A08">
            <w:pPr>
              <w:pStyle w:val="45"/>
              <w:bidi w:val="0"/>
              <w:rPr>
                <w:rFonts w:hint="default"/>
                <w:b w:val="0"/>
                <w:bCs/>
                <w:color w:val="auto"/>
                <w:highlight w:val="none"/>
                <w:lang w:val="en-US" w:eastAsia="zh-CN"/>
              </w:rPr>
            </w:pPr>
            <w:r>
              <w:rPr>
                <w:rFonts w:hint="eastAsia"/>
                <w:b w:val="0"/>
                <w:bCs/>
                <w:color w:val="auto"/>
                <w:highlight w:val="none"/>
                <w:lang w:val="en-US" w:eastAsia="zh-CN"/>
              </w:rPr>
              <w:t>42</w:t>
            </w:r>
          </w:p>
        </w:tc>
        <w:tc>
          <w:tcPr>
            <w:tcW w:w="1578" w:type="dxa"/>
            <w:vMerge w:val="continue"/>
            <w:tcBorders>
              <w:tl2br w:val="nil"/>
              <w:tr2bl w:val="nil"/>
            </w:tcBorders>
            <w:noWrap w:val="0"/>
            <w:vAlign w:val="center"/>
          </w:tcPr>
          <w:p w14:paraId="641DCE68">
            <w:pPr>
              <w:pStyle w:val="45"/>
              <w:bidi w:val="0"/>
              <w:rPr>
                <w:rFonts w:hint="default"/>
                <w:b w:val="0"/>
                <w:bCs/>
                <w:color w:val="auto"/>
                <w:highlight w:val="none"/>
              </w:rPr>
            </w:pPr>
          </w:p>
        </w:tc>
        <w:tc>
          <w:tcPr>
            <w:tcW w:w="1764" w:type="dxa"/>
            <w:tcBorders>
              <w:tl2br w:val="nil"/>
              <w:tr2bl w:val="nil"/>
            </w:tcBorders>
            <w:noWrap w:val="0"/>
            <w:vAlign w:val="center"/>
          </w:tcPr>
          <w:p w14:paraId="3B0F3CC8">
            <w:pPr>
              <w:pStyle w:val="45"/>
              <w:bidi w:val="0"/>
              <w:rPr>
                <w:rFonts w:hint="default"/>
                <w:b w:val="0"/>
                <w:bCs/>
                <w:color w:val="auto"/>
                <w:highlight w:val="none"/>
              </w:rPr>
            </w:pPr>
            <w:r>
              <w:rPr>
                <w:rFonts w:hint="default"/>
                <w:b w:val="0"/>
                <w:bCs/>
                <w:color w:val="auto"/>
                <w:highlight w:val="none"/>
              </w:rPr>
              <w:t>达标</w:t>
            </w:r>
          </w:p>
        </w:tc>
      </w:tr>
      <w:tr w14:paraId="69E8410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jc w:val="center"/>
        </w:trPr>
        <w:tc>
          <w:tcPr>
            <w:tcW w:w="1689" w:type="dxa"/>
            <w:tcBorders>
              <w:tl2br w:val="nil"/>
              <w:tr2bl w:val="nil"/>
            </w:tcBorders>
            <w:noWrap w:val="0"/>
            <w:vAlign w:val="center"/>
          </w:tcPr>
          <w:p w14:paraId="4CE77D2D">
            <w:pPr>
              <w:pStyle w:val="45"/>
              <w:bidi w:val="0"/>
              <w:rPr>
                <w:rFonts w:hint="default"/>
                <w:b w:val="0"/>
                <w:bCs/>
                <w:color w:val="auto"/>
                <w:highlight w:val="none"/>
              </w:rPr>
            </w:pPr>
            <w:r>
              <w:rPr>
                <w:rFonts w:hint="eastAsia"/>
                <w:b w:val="0"/>
                <w:bCs/>
                <w:color w:val="auto"/>
                <w:highlight w:val="none"/>
                <w:lang w:val="en-US" w:eastAsia="zh-CN"/>
              </w:rPr>
              <w:t>N6高峰村居民房屋外1m</w:t>
            </w:r>
          </w:p>
        </w:tc>
        <w:tc>
          <w:tcPr>
            <w:tcW w:w="1234" w:type="dxa"/>
            <w:tcBorders>
              <w:tl2br w:val="nil"/>
              <w:tr2bl w:val="nil"/>
            </w:tcBorders>
            <w:noWrap w:val="0"/>
            <w:vAlign w:val="center"/>
          </w:tcPr>
          <w:p w14:paraId="64A7803C">
            <w:pPr>
              <w:pStyle w:val="45"/>
              <w:bidi w:val="0"/>
              <w:rPr>
                <w:rFonts w:hint="default"/>
                <w:b w:val="0"/>
                <w:bCs/>
                <w:color w:val="auto"/>
                <w:highlight w:val="none"/>
              </w:rPr>
            </w:pPr>
            <w:r>
              <w:rPr>
                <w:rFonts w:hint="default"/>
                <w:b w:val="0"/>
                <w:bCs/>
                <w:color w:val="auto"/>
                <w:highlight w:val="none"/>
              </w:rPr>
              <w:t>202</w:t>
            </w:r>
            <w:r>
              <w:rPr>
                <w:rFonts w:hint="eastAsia"/>
                <w:b w:val="0"/>
                <w:bCs/>
                <w:color w:val="auto"/>
                <w:highlight w:val="none"/>
                <w:lang w:val="en-US" w:eastAsia="zh-CN"/>
              </w:rPr>
              <w:t>3.7.7</w:t>
            </w:r>
          </w:p>
        </w:tc>
        <w:tc>
          <w:tcPr>
            <w:tcW w:w="822" w:type="dxa"/>
            <w:tcBorders>
              <w:tl2br w:val="nil"/>
              <w:tr2bl w:val="nil"/>
            </w:tcBorders>
            <w:noWrap w:val="0"/>
            <w:vAlign w:val="center"/>
          </w:tcPr>
          <w:p w14:paraId="02B11FE2">
            <w:pPr>
              <w:pStyle w:val="45"/>
              <w:bidi w:val="0"/>
              <w:rPr>
                <w:rFonts w:hint="default"/>
                <w:b w:val="0"/>
                <w:bCs/>
                <w:color w:val="auto"/>
                <w:highlight w:val="none"/>
                <w:lang w:val="en-US" w:eastAsia="zh-CN"/>
              </w:rPr>
            </w:pPr>
            <w:r>
              <w:rPr>
                <w:rFonts w:hint="eastAsia"/>
                <w:b w:val="0"/>
                <w:bCs/>
                <w:color w:val="auto"/>
                <w:highlight w:val="none"/>
                <w:lang w:val="en-US" w:eastAsia="zh-CN"/>
              </w:rPr>
              <w:t>53</w:t>
            </w:r>
          </w:p>
        </w:tc>
        <w:tc>
          <w:tcPr>
            <w:tcW w:w="930" w:type="dxa"/>
            <w:tcBorders>
              <w:tl2br w:val="nil"/>
              <w:tr2bl w:val="nil"/>
            </w:tcBorders>
            <w:noWrap w:val="0"/>
            <w:vAlign w:val="center"/>
          </w:tcPr>
          <w:p w14:paraId="532C2C6D">
            <w:pPr>
              <w:pStyle w:val="45"/>
              <w:bidi w:val="0"/>
              <w:rPr>
                <w:rFonts w:hint="default"/>
                <w:b w:val="0"/>
                <w:bCs/>
                <w:color w:val="auto"/>
                <w:highlight w:val="none"/>
                <w:lang w:val="en-US" w:eastAsia="zh-CN"/>
              </w:rPr>
            </w:pPr>
            <w:r>
              <w:rPr>
                <w:rFonts w:hint="eastAsia"/>
                <w:b w:val="0"/>
                <w:bCs/>
                <w:color w:val="auto"/>
                <w:highlight w:val="none"/>
                <w:lang w:val="en-US" w:eastAsia="zh-CN"/>
              </w:rPr>
              <w:t>44</w:t>
            </w:r>
          </w:p>
        </w:tc>
        <w:tc>
          <w:tcPr>
            <w:tcW w:w="1578" w:type="dxa"/>
            <w:vMerge w:val="continue"/>
            <w:tcBorders>
              <w:tl2br w:val="nil"/>
              <w:tr2bl w:val="nil"/>
            </w:tcBorders>
            <w:noWrap w:val="0"/>
            <w:vAlign w:val="center"/>
          </w:tcPr>
          <w:p w14:paraId="39D81D64">
            <w:pPr>
              <w:pStyle w:val="45"/>
              <w:bidi w:val="0"/>
              <w:rPr>
                <w:rFonts w:hint="default"/>
                <w:b w:val="0"/>
                <w:bCs/>
                <w:color w:val="auto"/>
                <w:highlight w:val="none"/>
              </w:rPr>
            </w:pPr>
          </w:p>
        </w:tc>
        <w:tc>
          <w:tcPr>
            <w:tcW w:w="1764" w:type="dxa"/>
            <w:tcBorders>
              <w:tl2br w:val="nil"/>
              <w:tr2bl w:val="nil"/>
            </w:tcBorders>
            <w:noWrap w:val="0"/>
            <w:vAlign w:val="center"/>
          </w:tcPr>
          <w:p w14:paraId="01D9B8C4">
            <w:pPr>
              <w:pStyle w:val="45"/>
              <w:bidi w:val="0"/>
              <w:rPr>
                <w:rFonts w:hint="default"/>
                <w:b w:val="0"/>
                <w:bCs/>
                <w:color w:val="auto"/>
                <w:highlight w:val="none"/>
                <w:lang w:val="en-US" w:eastAsia="zh-CN"/>
              </w:rPr>
            </w:pPr>
            <w:r>
              <w:rPr>
                <w:rFonts w:hint="default"/>
                <w:b w:val="0"/>
                <w:bCs/>
                <w:color w:val="auto"/>
                <w:highlight w:val="none"/>
              </w:rPr>
              <w:t>达标</w:t>
            </w:r>
          </w:p>
        </w:tc>
      </w:tr>
      <w:tr w14:paraId="7DBD17F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689" w:type="dxa"/>
            <w:tcBorders>
              <w:tl2br w:val="nil"/>
              <w:tr2bl w:val="nil"/>
            </w:tcBorders>
            <w:noWrap w:val="0"/>
            <w:vAlign w:val="center"/>
          </w:tcPr>
          <w:p w14:paraId="53717992">
            <w:pPr>
              <w:pStyle w:val="45"/>
              <w:bidi w:val="0"/>
              <w:rPr>
                <w:rFonts w:hint="default"/>
                <w:b w:val="0"/>
                <w:bCs/>
                <w:color w:val="auto"/>
                <w:highlight w:val="none"/>
              </w:rPr>
            </w:pPr>
            <w:r>
              <w:rPr>
                <w:rFonts w:hint="eastAsia"/>
                <w:b w:val="0"/>
                <w:bCs/>
                <w:color w:val="auto"/>
                <w:highlight w:val="none"/>
                <w:lang w:val="en-US" w:eastAsia="zh-CN"/>
              </w:rPr>
              <w:t>N7</w:t>
            </w:r>
            <w:r>
              <w:rPr>
                <w:rFonts w:hint="default"/>
                <w:b w:val="0"/>
                <w:bCs/>
                <w:color w:val="auto"/>
                <w:highlight w:val="none"/>
                <w:lang w:val="en-US" w:eastAsia="zh-CN"/>
              </w:rPr>
              <w:t>黄土铺镇观音亭居民点</w:t>
            </w:r>
          </w:p>
        </w:tc>
        <w:tc>
          <w:tcPr>
            <w:tcW w:w="1234" w:type="dxa"/>
            <w:tcBorders>
              <w:tl2br w:val="nil"/>
              <w:tr2bl w:val="nil"/>
            </w:tcBorders>
            <w:noWrap w:val="0"/>
            <w:vAlign w:val="center"/>
          </w:tcPr>
          <w:p w14:paraId="3404DC19">
            <w:pPr>
              <w:pStyle w:val="45"/>
              <w:bidi w:val="0"/>
              <w:rPr>
                <w:rFonts w:hint="default"/>
                <w:b w:val="0"/>
                <w:bCs/>
                <w:color w:val="auto"/>
                <w:highlight w:val="none"/>
              </w:rPr>
            </w:pPr>
            <w:r>
              <w:rPr>
                <w:rFonts w:hint="default"/>
                <w:b w:val="0"/>
                <w:bCs/>
                <w:color w:val="auto"/>
                <w:highlight w:val="none"/>
              </w:rPr>
              <w:t>202</w:t>
            </w:r>
            <w:r>
              <w:rPr>
                <w:rFonts w:hint="eastAsia"/>
                <w:b w:val="0"/>
                <w:bCs/>
                <w:color w:val="auto"/>
                <w:highlight w:val="none"/>
                <w:lang w:val="en-US" w:eastAsia="zh-CN"/>
              </w:rPr>
              <w:t>3.7.7</w:t>
            </w:r>
          </w:p>
        </w:tc>
        <w:tc>
          <w:tcPr>
            <w:tcW w:w="822" w:type="dxa"/>
            <w:tcBorders>
              <w:tl2br w:val="nil"/>
              <w:tr2bl w:val="nil"/>
            </w:tcBorders>
            <w:noWrap w:val="0"/>
            <w:vAlign w:val="center"/>
          </w:tcPr>
          <w:p w14:paraId="5B533D26">
            <w:pPr>
              <w:pStyle w:val="45"/>
              <w:bidi w:val="0"/>
              <w:rPr>
                <w:rFonts w:hint="default"/>
                <w:b w:val="0"/>
                <w:bCs/>
                <w:color w:val="auto"/>
                <w:highlight w:val="none"/>
                <w:lang w:val="en-US" w:eastAsia="zh-CN"/>
              </w:rPr>
            </w:pPr>
            <w:r>
              <w:rPr>
                <w:rFonts w:hint="eastAsia"/>
                <w:b w:val="0"/>
                <w:bCs/>
                <w:color w:val="auto"/>
                <w:highlight w:val="none"/>
                <w:lang w:val="en-US" w:eastAsia="zh-CN"/>
              </w:rPr>
              <w:t>51</w:t>
            </w:r>
          </w:p>
        </w:tc>
        <w:tc>
          <w:tcPr>
            <w:tcW w:w="930" w:type="dxa"/>
            <w:tcBorders>
              <w:tl2br w:val="nil"/>
              <w:tr2bl w:val="nil"/>
            </w:tcBorders>
            <w:noWrap w:val="0"/>
            <w:vAlign w:val="center"/>
          </w:tcPr>
          <w:p w14:paraId="0E45E585">
            <w:pPr>
              <w:pStyle w:val="45"/>
              <w:bidi w:val="0"/>
              <w:rPr>
                <w:rFonts w:hint="default"/>
                <w:b w:val="0"/>
                <w:bCs/>
                <w:color w:val="auto"/>
                <w:highlight w:val="none"/>
                <w:lang w:val="en-US" w:eastAsia="zh-CN"/>
              </w:rPr>
            </w:pPr>
            <w:r>
              <w:rPr>
                <w:rFonts w:hint="eastAsia"/>
                <w:b w:val="0"/>
                <w:bCs/>
                <w:color w:val="auto"/>
                <w:highlight w:val="none"/>
                <w:lang w:val="en-US" w:eastAsia="zh-CN"/>
              </w:rPr>
              <w:t>42</w:t>
            </w:r>
          </w:p>
        </w:tc>
        <w:tc>
          <w:tcPr>
            <w:tcW w:w="1578" w:type="dxa"/>
            <w:vMerge w:val="continue"/>
            <w:tcBorders>
              <w:tl2br w:val="nil"/>
              <w:tr2bl w:val="nil"/>
            </w:tcBorders>
            <w:noWrap w:val="0"/>
            <w:vAlign w:val="center"/>
          </w:tcPr>
          <w:p w14:paraId="22E131E0">
            <w:pPr>
              <w:pStyle w:val="45"/>
              <w:bidi w:val="0"/>
              <w:rPr>
                <w:rFonts w:hint="default"/>
                <w:b w:val="0"/>
                <w:bCs/>
                <w:color w:val="auto"/>
                <w:highlight w:val="none"/>
              </w:rPr>
            </w:pPr>
          </w:p>
        </w:tc>
        <w:tc>
          <w:tcPr>
            <w:tcW w:w="1764" w:type="dxa"/>
            <w:tcBorders>
              <w:tl2br w:val="nil"/>
              <w:tr2bl w:val="nil"/>
            </w:tcBorders>
            <w:noWrap w:val="0"/>
            <w:vAlign w:val="center"/>
          </w:tcPr>
          <w:p w14:paraId="0A64A79A">
            <w:pPr>
              <w:pStyle w:val="45"/>
              <w:bidi w:val="0"/>
              <w:rPr>
                <w:rFonts w:hint="default"/>
                <w:b w:val="0"/>
                <w:bCs/>
                <w:color w:val="auto"/>
                <w:highlight w:val="none"/>
                <w:lang w:val="en-US" w:eastAsia="zh-CN"/>
              </w:rPr>
            </w:pPr>
            <w:r>
              <w:rPr>
                <w:rFonts w:hint="default"/>
                <w:b w:val="0"/>
                <w:bCs/>
                <w:color w:val="auto"/>
                <w:highlight w:val="none"/>
              </w:rPr>
              <w:t>达标</w:t>
            </w:r>
          </w:p>
        </w:tc>
      </w:tr>
    </w:tbl>
    <w:p w14:paraId="1EBC6AD3">
      <w:pPr>
        <w:bidi w:val="0"/>
        <w:rPr>
          <w:rFonts w:ascii="Times New Roman" w:hAnsi="Times New Roman" w:eastAsia="宋体" w:cs="Times New Roman"/>
          <w:color w:val="auto"/>
          <w:highlight w:val="none"/>
        </w:rPr>
      </w:pPr>
      <w:r>
        <w:rPr>
          <w:rFonts w:hint="default" w:ascii="Times New Roman" w:hAnsi="Times New Roman" w:cs="Times New Roman"/>
          <w:color w:val="auto"/>
          <w:kern w:val="2"/>
          <w:sz w:val="24"/>
          <w:szCs w:val="24"/>
          <w:highlight w:val="none"/>
          <w:lang w:val="en-US" w:eastAsia="zh-CN" w:bidi="ar-SA"/>
        </w:rPr>
        <w:t>从上表可看出，监测期间评价范围内昼夜间声环境质量均能达到《声环境质量标准》（GB3096-2008）2类标准。</w:t>
      </w:r>
    </w:p>
    <w:p w14:paraId="19742C5A">
      <w:pPr>
        <w:pStyle w:val="4"/>
        <w:bidi w:val="0"/>
        <w:rPr>
          <w:rFonts w:hint="default" w:ascii="Times New Roman" w:hAnsi="Times New Roman" w:cs="Times New Roman"/>
          <w:color w:val="auto"/>
          <w:highlight w:val="none"/>
        </w:rPr>
      </w:pPr>
      <w:bookmarkStart w:id="82" w:name="_Toc26541"/>
      <w:r>
        <w:rPr>
          <w:rFonts w:hint="eastAsia" w:cs="Times New Roman"/>
          <w:color w:val="auto"/>
          <w:highlight w:val="none"/>
          <w:lang w:val="en-US" w:eastAsia="zh-CN"/>
        </w:rPr>
        <w:t>大气环境</w:t>
      </w:r>
      <w:r>
        <w:rPr>
          <w:rFonts w:hint="eastAsia" w:ascii="Times New Roman" w:hAnsi="Times New Roman" w:cs="Times New Roman"/>
          <w:color w:val="auto"/>
          <w:highlight w:val="none"/>
          <w:lang w:val="en-US" w:eastAsia="zh-CN"/>
        </w:rPr>
        <w:t>现状调查与评价</w:t>
      </w:r>
      <w:bookmarkEnd w:id="82"/>
    </w:p>
    <w:p w14:paraId="089455BF">
      <w:pPr>
        <w:pStyle w:val="2"/>
        <w:keepNext w:val="0"/>
        <w:keepLines w:val="0"/>
        <w:pageBreakBefore w:val="0"/>
        <w:widowControl w:val="0"/>
        <w:kinsoku/>
        <w:wordWrap/>
        <w:overflowPunct/>
        <w:topLinePunct w:val="0"/>
        <w:autoSpaceDE/>
        <w:autoSpaceDN/>
        <w:bidi w:val="0"/>
        <w:adjustRightInd w:val="0"/>
        <w:snapToGrid w:val="0"/>
        <w:spacing w:before="0" w:after="0" w:line="360" w:lineRule="auto"/>
        <w:ind w:left="0" w:right="0" w:firstLine="480" w:firstLineChars="200"/>
        <w:jc w:val="both"/>
        <w:textAlignment w:val="auto"/>
        <w:rPr>
          <w:rFonts w:hint="default" w:ascii="Times New Roman" w:hAnsi="Times New Roman" w:cs="Times New Roman"/>
          <w:color w:val="auto"/>
          <w:kern w:val="0"/>
          <w:sz w:val="24"/>
          <w:szCs w:val="24"/>
          <w:highlight w:val="none"/>
          <w:lang w:val="en-US" w:eastAsia="zh-CN" w:bidi="ar-SA"/>
        </w:rPr>
      </w:pPr>
      <w:r>
        <w:rPr>
          <w:rFonts w:hint="eastAsia" w:ascii="Times New Roman" w:hAnsi="Times New Roman" w:cs="Times New Roman"/>
          <w:color w:val="auto"/>
          <w:kern w:val="0"/>
          <w:sz w:val="24"/>
          <w:szCs w:val="24"/>
          <w:highlight w:val="none"/>
          <w:lang w:val="en-US" w:eastAsia="zh-CN" w:bidi="ar-SA"/>
        </w:rPr>
        <w:t>1、区域达标判定</w:t>
      </w:r>
    </w:p>
    <w:p w14:paraId="562E084B">
      <w:pPr>
        <w:pStyle w:val="2"/>
        <w:keepNext w:val="0"/>
        <w:keepLines w:val="0"/>
        <w:pageBreakBefore w:val="0"/>
        <w:widowControl w:val="0"/>
        <w:kinsoku/>
        <w:wordWrap/>
        <w:overflowPunct/>
        <w:topLinePunct w:val="0"/>
        <w:autoSpaceDE/>
        <w:autoSpaceDN/>
        <w:bidi w:val="0"/>
        <w:adjustRightInd w:val="0"/>
        <w:snapToGrid w:val="0"/>
        <w:spacing w:before="0" w:after="0" w:line="360" w:lineRule="auto"/>
        <w:ind w:left="0" w:right="0" w:firstLine="480" w:firstLineChars="200"/>
        <w:jc w:val="both"/>
        <w:textAlignment w:val="auto"/>
        <w:rPr>
          <w:rFonts w:hint="default" w:ascii="Times New Roman" w:hAnsi="Times New Roman" w:cs="Times New Roman"/>
          <w:color w:val="auto"/>
          <w:kern w:val="0"/>
          <w:sz w:val="24"/>
          <w:szCs w:val="24"/>
          <w:highlight w:val="none"/>
          <w:u w:val="none"/>
          <w:lang w:val="en-US" w:eastAsia="zh-CN" w:bidi="ar-SA"/>
        </w:rPr>
      </w:pPr>
      <w:r>
        <w:rPr>
          <w:rFonts w:hint="default" w:ascii="Times New Roman" w:hAnsi="Times New Roman" w:cs="Times New Roman"/>
          <w:color w:val="auto"/>
          <w:kern w:val="0"/>
          <w:sz w:val="24"/>
          <w:szCs w:val="24"/>
          <w:highlight w:val="none"/>
          <w:lang w:val="en-US" w:eastAsia="zh-CN" w:bidi="ar-SA"/>
        </w:rPr>
        <w:t>本项目位于</w:t>
      </w:r>
      <w:r>
        <w:rPr>
          <w:rFonts w:hint="eastAsia" w:ascii="Times New Roman" w:hAnsi="Times New Roman" w:cs="Times New Roman"/>
          <w:color w:val="auto"/>
          <w:kern w:val="0"/>
          <w:sz w:val="24"/>
          <w:szCs w:val="24"/>
          <w:highlight w:val="none"/>
          <w:lang w:val="en-US" w:eastAsia="zh-CN" w:bidi="ar-SA"/>
        </w:rPr>
        <w:t>衡阳市祁东县</w:t>
      </w:r>
      <w:r>
        <w:rPr>
          <w:rFonts w:hint="default" w:ascii="Times New Roman" w:hAnsi="Times New Roman" w:cs="Times New Roman"/>
          <w:color w:val="auto"/>
          <w:kern w:val="0"/>
          <w:sz w:val="24"/>
          <w:szCs w:val="24"/>
          <w:highlight w:val="none"/>
          <w:lang w:val="en-US" w:eastAsia="zh-CN" w:bidi="ar-SA"/>
        </w:rPr>
        <w:t>，评价区域属于环境空气二类功能区，其空气质量执行《环境空气质量标准》（GB3095-2012）及其修改单中二级标准。</w:t>
      </w:r>
      <w:r>
        <w:rPr>
          <w:rFonts w:hint="eastAsia" w:ascii="Times New Roman" w:hAnsi="Times New Roman" w:cs="Times New Roman"/>
          <w:color w:val="auto"/>
          <w:kern w:val="0"/>
          <w:sz w:val="24"/>
          <w:szCs w:val="24"/>
          <w:highlight w:val="none"/>
          <w:u w:val="none"/>
          <w:lang w:val="en-US" w:eastAsia="zh-CN" w:bidi="ar-SA"/>
        </w:rPr>
        <w:t>本次环评收集了衡阳市生态环境局发布的《2022年1-12月全市环境质量状况的通报》，祁东县</w:t>
      </w:r>
      <w:r>
        <w:rPr>
          <w:rFonts w:hint="default" w:ascii="Times New Roman" w:hAnsi="Times New Roman" w:cs="Times New Roman"/>
          <w:color w:val="auto"/>
          <w:kern w:val="0"/>
          <w:sz w:val="24"/>
          <w:szCs w:val="24"/>
          <w:highlight w:val="none"/>
          <w:u w:val="none"/>
          <w:lang w:val="en-US" w:eastAsia="zh-CN" w:bidi="ar-SA"/>
        </w:rPr>
        <w:t>20</w:t>
      </w:r>
      <w:r>
        <w:rPr>
          <w:rFonts w:hint="eastAsia" w:ascii="Times New Roman" w:hAnsi="Times New Roman" w:cs="Times New Roman"/>
          <w:color w:val="auto"/>
          <w:kern w:val="0"/>
          <w:sz w:val="24"/>
          <w:szCs w:val="24"/>
          <w:highlight w:val="none"/>
          <w:u w:val="none"/>
          <w:lang w:val="en-US" w:eastAsia="zh-CN" w:bidi="ar-SA"/>
        </w:rPr>
        <w:t>22</w:t>
      </w:r>
      <w:r>
        <w:rPr>
          <w:rFonts w:hint="default" w:ascii="Times New Roman" w:hAnsi="Times New Roman" w:cs="Times New Roman"/>
          <w:color w:val="auto"/>
          <w:kern w:val="0"/>
          <w:sz w:val="24"/>
          <w:szCs w:val="24"/>
          <w:highlight w:val="none"/>
          <w:u w:val="none"/>
          <w:lang w:val="en-US" w:eastAsia="zh-CN" w:bidi="ar-SA"/>
        </w:rPr>
        <w:t>年环境空气质量年均值如下。</w:t>
      </w:r>
    </w:p>
    <w:p w14:paraId="158DBDCF">
      <w:pPr>
        <w:pStyle w:val="37"/>
        <w:keepNext w:val="0"/>
        <w:keepLines w:val="0"/>
        <w:pageBreakBefore w:val="0"/>
        <w:widowControl/>
        <w:kinsoku/>
        <w:wordWrap/>
        <w:overflowPunct/>
        <w:topLinePunct w:val="0"/>
        <w:autoSpaceDE w:val="0"/>
        <w:autoSpaceDN w:val="0"/>
        <w:bidi w:val="0"/>
        <w:adjustRightInd w:val="0"/>
        <w:snapToGrid w:val="0"/>
        <w:spacing w:line="240" w:lineRule="auto"/>
        <w:ind w:left="0" w:leftChars="0" w:right="0" w:rightChars="0" w:firstLine="0" w:firstLineChars="0"/>
        <w:jc w:val="center"/>
        <w:textAlignment w:val="auto"/>
        <w:rPr>
          <w:rFonts w:hint="default" w:ascii="Times New Roman" w:hAnsi="Times New Roman" w:cs="Times New Roman"/>
          <w:b/>
          <w:bCs/>
          <w:color w:val="auto"/>
          <w:sz w:val="24"/>
          <w:szCs w:val="24"/>
          <w:highlight w:val="none"/>
          <w:u w:val="none"/>
          <w:lang w:val="en-US" w:eastAsia="zh-CN"/>
        </w:rPr>
      </w:pPr>
      <w:r>
        <w:rPr>
          <w:rFonts w:hint="default" w:ascii="Times New Roman" w:hAnsi="Times New Roman" w:cs="Times New Roman"/>
          <w:b/>
          <w:bCs/>
          <w:color w:val="auto"/>
          <w:sz w:val="24"/>
          <w:szCs w:val="24"/>
          <w:highlight w:val="none"/>
          <w:u w:val="none"/>
          <w:lang w:val="en-US" w:eastAsia="zh-CN"/>
        </w:rPr>
        <w:t>表</w:t>
      </w:r>
      <w:r>
        <w:rPr>
          <w:rFonts w:hint="eastAsia" w:ascii="Times New Roman" w:hAnsi="Times New Roman" w:cs="Times New Roman"/>
          <w:b/>
          <w:bCs/>
          <w:color w:val="auto"/>
          <w:sz w:val="24"/>
          <w:szCs w:val="24"/>
          <w:highlight w:val="none"/>
          <w:u w:val="none"/>
          <w:lang w:val="en-US" w:eastAsia="zh-CN"/>
        </w:rPr>
        <w:t>5.6</w:t>
      </w:r>
      <w:r>
        <w:rPr>
          <w:rFonts w:hint="default" w:ascii="Times New Roman" w:hAnsi="Times New Roman" w:cs="Times New Roman"/>
          <w:b/>
          <w:bCs/>
          <w:color w:val="auto"/>
          <w:sz w:val="24"/>
          <w:szCs w:val="24"/>
          <w:highlight w:val="none"/>
          <w:u w:val="none"/>
          <w:lang w:val="en-US" w:eastAsia="zh-CN"/>
        </w:rPr>
        <w:t>-1</w:t>
      </w:r>
      <w:r>
        <w:rPr>
          <w:rFonts w:hint="eastAsia" w:ascii="Times New Roman" w:hAnsi="Times New Roman" w:cs="Times New Roman"/>
          <w:b/>
          <w:bCs/>
          <w:color w:val="auto"/>
          <w:sz w:val="24"/>
          <w:szCs w:val="24"/>
          <w:highlight w:val="none"/>
          <w:u w:val="none"/>
          <w:lang w:val="en-US" w:eastAsia="zh-CN"/>
        </w:rPr>
        <w:t xml:space="preserve">  祁东</w:t>
      </w:r>
      <w:r>
        <w:rPr>
          <w:rFonts w:hint="default" w:ascii="Times New Roman" w:hAnsi="Times New Roman" w:cs="Times New Roman"/>
          <w:b/>
          <w:bCs/>
          <w:color w:val="auto"/>
          <w:sz w:val="24"/>
          <w:szCs w:val="24"/>
          <w:highlight w:val="none"/>
          <w:u w:val="none"/>
          <w:lang w:val="en-US" w:eastAsia="zh-CN"/>
        </w:rPr>
        <w:t>县20</w:t>
      </w:r>
      <w:r>
        <w:rPr>
          <w:rFonts w:hint="eastAsia" w:ascii="Times New Roman" w:hAnsi="Times New Roman" w:cs="Times New Roman"/>
          <w:b/>
          <w:bCs/>
          <w:color w:val="auto"/>
          <w:sz w:val="24"/>
          <w:szCs w:val="24"/>
          <w:highlight w:val="none"/>
          <w:u w:val="none"/>
          <w:lang w:val="en-US" w:eastAsia="zh-CN"/>
        </w:rPr>
        <w:t>22</w:t>
      </w:r>
      <w:r>
        <w:rPr>
          <w:rFonts w:hint="default" w:ascii="Times New Roman" w:hAnsi="Times New Roman" w:cs="Times New Roman"/>
          <w:b/>
          <w:bCs/>
          <w:color w:val="auto"/>
          <w:sz w:val="24"/>
          <w:szCs w:val="24"/>
          <w:highlight w:val="none"/>
          <w:u w:val="none"/>
          <w:lang w:val="en-US" w:eastAsia="zh-CN"/>
        </w:rPr>
        <w:t>年环境空气质量监测统计表</w:t>
      </w:r>
    </w:p>
    <w:tbl>
      <w:tblPr>
        <w:tblStyle w:val="1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28"/>
        <w:gridCol w:w="2219"/>
        <w:gridCol w:w="1458"/>
        <w:gridCol w:w="1578"/>
        <w:gridCol w:w="1151"/>
        <w:gridCol w:w="1188"/>
      </w:tblGrid>
      <w:tr w14:paraId="3BBD86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44" w:type="pct"/>
            <w:tcBorders>
              <w:tl2br w:val="nil"/>
              <w:tr2bl w:val="nil"/>
            </w:tcBorders>
            <w:noWrap w:val="0"/>
            <w:vAlign w:val="center"/>
          </w:tcPr>
          <w:p w14:paraId="67DFD2A1">
            <w:pPr>
              <w:pStyle w:val="45"/>
              <w:bidi w:val="0"/>
              <w:rPr>
                <w:b w:val="0"/>
                <w:bCs/>
                <w:color w:val="auto"/>
                <w:highlight w:val="none"/>
                <w:lang w:val="en-US" w:eastAsia="zh-CN"/>
              </w:rPr>
            </w:pPr>
            <w:r>
              <w:rPr>
                <w:b w:val="0"/>
                <w:bCs/>
                <w:color w:val="auto"/>
                <w:highlight w:val="none"/>
                <w:lang w:val="en-US" w:eastAsia="zh-CN"/>
              </w:rPr>
              <w:t>污染物</w:t>
            </w:r>
          </w:p>
        </w:tc>
        <w:tc>
          <w:tcPr>
            <w:tcW w:w="1301" w:type="pct"/>
            <w:tcBorders>
              <w:tl2br w:val="nil"/>
              <w:tr2bl w:val="nil"/>
            </w:tcBorders>
            <w:noWrap w:val="0"/>
            <w:vAlign w:val="center"/>
          </w:tcPr>
          <w:p w14:paraId="3F460258">
            <w:pPr>
              <w:pStyle w:val="45"/>
              <w:bidi w:val="0"/>
              <w:rPr>
                <w:b w:val="0"/>
                <w:bCs/>
                <w:color w:val="auto"/>
                <w:highlight w:val="none"/>
                <w:lang w:val="en-US" w:eastAsia="zh-CN"/>
              </w:rPr>
            </w:pPr>
            <w:r>
              <w:rPr>
                <w:b w:val="0"/>
                <w:bCs/>
                <w:color w:val="auto"/>
                <w:highlight w:val="none"/>
                <w:lang w:val="en-US" w:eastAsia="zh-CN"/>
              </w:rPr>
              <w:t>年评价指标</w:t>
            </w:r>
          </w:p>
        </w:tc>
        <w:tc>
          <w:tcPr>
            <w:tcW w:w="855" w:type="pct"/>
            <w:tcBorders>
              <w:tl2br w:val="nil"/>
              <w:tr2bl w:val="nil"/>
            </w:tcBorders>
            <w:noWrap w:val="0"/>
            <w:vAlign w:val="center"/>
          </w:tcPr>
          <w:p w14:paraId="7DF588CD">
            <w:pPr>
              <w:pStyle w:val="45"/>
              <w:bidi w:val="0"/>
              <w:rPr>
                <w:b w:val="0"/>
                <w:bCs/>
                <w:color w:val="auto"/>
                <w:highlight w:val="none"/>
                <w:lang w:val="en-US" w:eastAsia="zh-CN"/>
              </w:rPr>
            </w:pPr>
            <w:r>
              <w:rPr>
                <w:b w:val="0"/>
                <w:bCs/>
                <w:color w:val="auto"/>
                <w:highlight w:val="none"/>
                <w:lang w:val="en-US" w:eastAsia="zh-CN"/>
              </w:rPr>
              <w:t>现状浓度（µg/m3）</w:t>
            </w:r>
          </w:p>
        </w:tc>
        <w:tc>
          <w:tcPr>
            <w:tcW w:w="925" w:type="pct"/>
            <w:tcBorders>
              <w:tl2br w:val="nil"/>
              <w:tr2bl w:val="nil"/>
            </w:tcBorders>
            <w:noWrap w:val="0"/>
            <w:vAlign w:val="center"/>
          </w:tcPr>
          <w:p w14:paraId="2642C559">
            <w:pPr>
              <w:pStyle w:val="45"/>
              <w:bidi w:val="0"/>
              <w:rPr>
                <w:b w:val="0"/>
                <w:bCs/>
                <w:color w:val="auto"/>
                <w:highlight w:val="none"/>
                <w:lang w:val="en-US" w:eastAsia="zh-CN"/>
              </w:rPr>
            </w:pPr>
            <w:r>
              <w:rPr>
                <w:b w:val="0"/>
                <w:bCs/>
                <w:color w:val="auto"/>
                <w:highlight w:val="none"/>
                <w:lang w:val="en-US" w:eastAsia="zh-CN"/>
              </w:rPr>
              <w:t>标准值（µg/m3）</w:t>
            </w:r>
          </w:p>
        </w:tc>
        <w:tc>
          <w:tcPr>
            <w:tcW w:w="675" w:type="pct"/>
            <w:tcBorders>
              <w:tl2br w:val="nil"/>
              <w:tr2bl w:val="nil"/>
            </w:tcBorders>
            <w:noWrap w:val="0"/>
            <w:vAlign w:val="center"/>
          </w:tcPr>
          <w:p w14:paraId="14924ACD">
            <w:pPr>
              <w:pStyle w:val="45"/>
              <w:bidi w:val="0"/>
              <w:rPr>
                <w:b w:val="0"/>
                <w:bCs/>
                <w:color w:val="auto"/>
                <w:highlight w:val="none"/>
                <w:lang w:val="en-US" w:eastAsia="zh-CN"/>
              </w:rPr>
            </w:pPr>
            <w:r>
              <w:rPr>
                <w:b w:val="0"/>
                <w:bCs/>
                <w:color w:val="auto"/>
                <w:highlight w:val="none"/>
                <w:lang w:val="en-US" w:eastAsia="zh-CN"/>
              </w:rPr>
              <w:t>占标率%</w:t>
            </w:r>
          </w:p>
        </w:tc>
        <w:tc>
          <w:tcPr>
            <w:tcW w:w="696" w:type="pct"/>
            <w:tcBorders>
              <w:tl2br w:val="nil"/>
              <w:tr2bl w:val="nil"/>
            </w:tcBorders>
            <w:noWrap w:val="0"/>
            <w:vAlign w:val="center"/>
          </w:tcPr>
          <w:p w14:paraId="5526BD3D">
            <w:pPr>
              <w:pStyle w:val="45"/>
              <w:bidi w:val="0"/>
              <w:rPr>
                <w:b w:val="0"/>
                <w:bCs/>
                <w:color w:val="auto"/>
                <w:highlight w:val="none"/>
                <w:lang w:val="en-US" w:eastAsia="zh-CN"/>
              </w:rPr>
            </w:pPr>
            <w:r>
              <w:rPr>
                <w:b w:val="0"/>
                <w:bCs/>
                <w:color w:val="auto"/>
                <w:highlight w:val="none"/>
                <w:lang w:val="en-US" w:eastAsia="zh-CN"/>
              </w:rPr>
              <w:t>达标情况</w:t>
            </w:r>
          </w:p>
        </w:tc>
      </w:tr>
      <w:tr w14:paraId="5B1ADC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4" w:type="pct"/>
            <w:tcBorders>
              <w:tl2br w:val="nil"/>
              <w:tr2bl w:val="nil"/>
            </w:tcBorders>
            <w:noWrap w:val="0"/>
            <w:vAlign w:val="center"/>
          </w:tcPr>
          <w:p w14:paraId="2F7FB158">
            <w:pPr>
              <w:pStyle w:val="45"/>
              <w:bidi w:val="0"/>
              <w:rPr>
                <w:b w:val="0"/>
                <w:bCs/>
                <w:color w:val="auto"/>
                <w:highlight w:val="none"/>
                <w:lang w:val="en-US" w:eastAsia="zh-CN"/>
              </w:rPr>
            </w:pPr>
            <w:r>
              <w:rPr>
                <w:b w:val="0"/>
                <w:bCs/>
                <w:color w:val="auto"/>
                <w:highlight w:val="none"/>
                <w:lang w:val="en-US" w:eastAsia="zh-CN"/>
              </w:rPr>
              <w:t>SO</w:t>
            </w:r>
            <w:r>
              <w:rPr>
                <w:b w:val="0"/>
                <w:bCs/>
                <w:color w:val="auto"/>
                <w:highlight w:val="none"/>
                <w:vertAlign w:val="subscript"/>
                <w:lang w:val="en-US" w:eastAsia="zh-CN"/>
              </w:rPr>
              <w:t>2</w:t>
            </w:r>
          </w:p>
        </w:tc>
        <w:tc>
          <w:tcPr>
            <w:tcW w:w="1301" w:type="pct"/>
            <w:tcBorders>
              <w:tl2br w:val="nil"/>
              <w:tr2bl w:val="nil"/>
            </w:tcBorders>
            <w:noWrap w:val="0"/>
            <w:vAlign w:val="center"/>
          </w:tcPr>
          <w:p w14:paraId="3B9328C9">
            <w:pPr>
              <w:pStyle w:val="45"/>
              <w:bidi w:val="0"/>
              <w:rPr>
                <w:b w:val="0"/>
                <w:bCs/>
                <w:color w:val="auto"/>
                <w:highlight w:val="none"/>
                <w:lang w:val="en-US" w:eastAsia="zh-CN"/>
              </w:rPr>
            </w:pPr>
            <w:r>
              <w:rPr>
                <w:b w:val="0"/>
                <w:bCs/>
                <w:color w:val="auto"/>
                <w:highlight w:val="none"/>
                <w:lang w:val="en-US" w:eastAsia="zh-CN"/>
              </w:rPr>
              <w:t>年平均质量浓度</w:t>
            </w:r>
          </w:p>
        </w:tc>
        <w:tc>
          <w:tcPr>
            <w:tcW w:w="855" w:type="pct"/>
            <w:tcBorders>
              <w:tl2br w:val="nil"/>
              <w:tr2bl w:val="nil"/>
            </w:tcBorders>
            <w:noWrap w:val="0"/>
            <w:vAlign w:val="center"/>
          </w:tcPr>
          <w:p w14:paraId="4766F00A">
            <w:pPr>
              <w:pStyle w:val="45"/>
              <w:bidi w:val="0"/>
              <w:rPr>
                <w:rFonts w:hint="default"/>
                <w:b w:val="0"/>
                <w:bCs/>
                <w:color w:val="auto"/>
                <w:highlight w:val="none"/>
                <w:lang w:val="en-US" w:eastAsia="zh-CN"/>
              </w:rPr>
            </w:pPr>
            <w:r>
              <w:rPr>
                <w:rFonts w:hint="eastAsia"/>
                <w:b w:val="0"/>
                <w:bCs/>
                <w:color w:val="auto"/>
                <w:highlight w:val="none"/>
                <w:lang w:val="en-US" w:eastAsia="zh-CN"/>
              </w:rPr>
              <w:t>7</w:t>
            </w:r>
          </w:p>
        </w:tc>
        <w:tc>
          <w:tcPr>
            <w:tcW w:w="925" w:type="pct"/>
            <w:tcBorders>
              <w:tl2br w:val="nil"/>
              <w:tr2bl w:val="nil"/>
            </w:tcBorders>
            <w:noWrap w:val="0"/>
            <w:vAlign w:val="center"/>
          </w:tcPr>
          <w:p w14:paraId="6237CEA4">
            <w:pPr>
              <w:pStyle w:val="45"/>
              <w:bidi w:val="0"/>
              <w:rPr>
                <w:b w:val="0"/>
                <w:bCs/>
                <w:color w:val="auto"/>
                <w:highlight w:val="none"/>
                <w:lang w:val="en-US" w:eastAsia="zh-CN"/>
              </w:rPr>
            </w:pPr>
            <w:r>
              <w:rPr>
                <w:b w:val="0"/>
                <w:bCs/>
                <w:color w:val="auto"/>
                <w:highlight w:val="none"/>
                <w:lang w:val="en-US" w:eastAsia="zh-CN"/>
              </w:rPr>
              <w:t>60</w:t>
            </w:r>
          </w:p>
        </w:tc>
        <w:tc>
          <w:tcPr>
            <w:tcW w:w="675" w:type="pct"/>
            <w:tcBorders>
              <w:tl2br w:val="nil"/>
              <w:tr2bl w:val="nil"/>
            </w:tcBorders>
            <w:noWrap w:val="0"/>
            <w:vAlign w:val="center"/>
          </w:tcPr>
          <w:p w14:paraId="58309CC4">
            <w:pPr>
              <w:pStyle w:val="45"/>
              <w:bidi w:val="0"/>
              <w:rPr>
                <w:rFonts w:hint="default"/>
                <w:b w:val="0"/>
                <w:bCs/>
                <w:color w:val="auto"/>
                <w:highlight w:val="none"/>
                <w:lang w:val="en-US" w:eastAsia="zh-CN"/>
              </w:rPr>
            </w:pPr>
            <w:r>
              <w:rPr>
                <w:rFonts w:hint="eastAsia"/>
                <w:b w:val="0"/>
                <w:bCs/>
                <w:color w:val="auto"/>
                <w:highlight w:val="none"/>
                <w:lang w:val="en-US" w:eastAsia="zh-CN"/>
              </w:rPr>
              <w:t>11.7</w:t>
            </w:r>
          </w:p>
        </w:tc>
        <w:tc>
          <w:tcPr>
            <w:tcW w:w="696" w:type="pct"/>
            <w:tcBorders>
              <w:tl2br w:val="nil"/>
              <w:tr2bl w:val="nil"/>
            </w:tcBorders>
            <w:noWrap w:val="0"/>
            <w:vAlign w:val="center"/>
          </w:tcPr>
          <w:p w14:paraId="54E50DB5">
            <w:pPr>
              <w:pStyle w:val="45"/>
              <w:bidi w:val="0"/>
              <w:rPr>
                <w:b w:val="0"/>
                <w:bCs/>
                <w:color w:val="auto"/>
                <w:highlight w:val="none"/>
                <w:lang w:val="en-US" w:eastAsia="zh-CN"/>
              </w:rPr>
            </w:pPr>
            <w:r>
              <w:rPr>
                <w:b w:val="0"/>
                <w:bCs/>
                <w:color w:val="auto"/>
                <w:highlight w:val="none"/>
                <w:lang w:val="en-US" w:eastAsia="zh-CN"/>
              </w:rPr>
              <w:t>达标</w:t>
            </w:r>
          </w:p>
        </w:tc>
      </w:tr>
      <w:tr w14:paraId="01FC6D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4" w:type="pct"/>
            <w:tcBorders>
              <w:tl2br w:val="nil"/>
              <w:tr2bl w:val="nil"/>
            </w:tcBorders>
            <w:noWrap w:val="0"/>
            <w:vAlign w:val="center"/>
          </w:tcPr>
          <w:p w14:paraId="3A3B93AA">
            <w:pPr>
              <w:pStyle w:val="45"/>
              <w:bidi w:val="0"/>
              <w:rPr>
                <w:b w:val="0"/>
                <w:bCs/>
                <w:color w:val="auto"/>
                <w:highlight w:val="none"/>
                <w:lang w:val="en-US" w:eastAsia="zh-CN"/>
              </w:rPr>
            </w:pPr>
            <w:r>
              <w:rPr>
                <w:b w:val="0"/>
                <w:bCs/>
                <w:color w:val="auto"/>
                <w:highlight w:val="none"/>
                <w:lang w:val="en-US" w:eastAsia="zh-CN"/>
              </w:rPr>
              <w:t>NO</w:t>
            </w:r>
            <w:r>
              <w:rPr>
                <w:b w:val="0"/>
                <w:bCs/>
                <w:color w:val="auto"/>
                <w:highlight w:val="none"/>
                <w:vertAlign w:val="subscript"/>
                <w:lang w:val="en-US" w:eastAsia="zh-CN"/>
              </w:rPr>
              <w:t>2</w:t>
            </w:r>
          </w:p>
        </w:tc>
        <w:tc>
          <w:tcPr>
            <w:tcW w:w="1301" w:type="pct"/>
            <w:tcBorders>
              <w:tl2br w:val="nil"/>
              <w:tr2bl w:val="nil"/>
            </w:tcBorders>
            <w:noWrap w:val="0"/>
            <w:vAlign w:val="center"/>
          </w:tcPr>
          <w:p w14:paraId="0AAC99D6">
            <w:pPr>
              <w:pStyle w:val="45"/>
              <w:bidi w:val="0"/>
              <w:rPr>
                <w:b w:val="0"/>
                <w:bCs/>
                <w:color w:val="auto"/>
                <w:highlight w:val="none"/>
                <w:lang w:val="en-US" w:eastAsia="zh-CN"/>
              </w:rPr>
            </w:pPr>
            <w:r>
              <w:rPr>
                <w:b w:val="0"/>
                <w:bCs/>
                <w:color w:val="auto"/>
                <w:highlight w:val="none"/>
                <w:lang w:val="en-US" w:eastAsia="zh-CN"/>
              </w:rPr>
              <w:t>年平均质量浓度</w:t>
            </w:r>
          </w:p>
        </w:tc>
        <w:tc>
          <w:tcPr>
            <w:tcW w:w="855" w:type="pct"/>
            <w:tcBorders>
              <w:tl2br w:val="nil"/>
              <w:tr2bl w:val="nil"/>
            </w:tcBorders>
            <w:noWrap w:val="0"/>
            <w:vAlign w:val="center"/>
          </w:tcPr>
          <w:p w14:paraId="3E6132E6">
            <w:pPr>
              <w:pStyle w:val="45"/>
              <w:bidi w:val="0"/>
              <w:rPr>
                <w:rFonts w:hint="default"/>
                <w:b w:val="0"/>
                <w:bCs/>
                <w:color w:val="auto"/>
                <w:highlight w:val="none"/>
                <w:lang w:val="en-US" w:eastAsia="zh-CN"/>
              </w:rPr>
            </w:pPr>
            <w:r>
              <w:rPr>
                <w:rFonts w:hint="eastAsia"/>
                <w:b w:val="0"/>
                <w:bCs/>
                <w:color w:val="auto"/>
                <w:highlight w:val="none"/>
                <w:lang w:val="en-US" w:eastAsia="zh-CN"/>
              </w:rPr>
              <w:t>12</w:t>
            </w:r>
          </w:p>
        </w:tc>
        <w:tc>
          <w:tcPr>
            <w:tcW w:w="925" w:type="pct"/>
            <w:tcBorders>
              <w:tl2br w:val="nil"/>
              <w:tr2bl w:val="nil"/>
            </w:tcBorders>
            <w:noWrap w:val="0"/>
            <w:vAlign w:val="center"/>
          </w:tcPr>
          <w:p w14:paraId="0BEA41A3">
            <w:pPr>
              <w:pStyle w:val="45"/>
              <w:bidi w:val="0"/>
              <w:rPr>
                <w:b w:val="0"/>
                <w:bCs/>
                <w:color w:val="auto"/>
                <w:highlight w:val="none"/>
                <w:lang w:val="en-US" w:eastAsia="zh-CN"/>
              </w:rPr>
            </w:pPr>
            <w:r>
              <w:rPr>
                <w:b w:val="0"/>
                <w:bCs/>
                <w:color w:val="auto"/>
                <w:highlight w:val="none"/>
                <w:lang w:val="en-US" w:eastAsia="zh-CN"/>
              </w:rPr>
              <w:t>40</w:t>
            </w:r>
          </w:p>
        </w:tc>
        <w:tc>
          <w:tcPr>
            <w:tcW w:w="675" w:type="pct"/>
            <w:tcBorders>
              <w:tl2br w:val="nil"/>
              <w:tr2bl w:val="nil"/>
            </w:tcBorders>
            <w:noWrap w:val="0"/>
            <w:vAlign w:val="center"/>
          </w:tcPr>
          <w:p w14:paraId="22B2B55F">
            <w:pPr>
              <w:pStyle w:val="45"/>
              <w:bidi w:val="0"/>
              <w:rPr>
                <w:rFonts w:hint="default"/>
                <w:b w:val="0"/>
                <w:bCs/>
                <w:color w:val="auto"/>
                <w:highlight w:val="none"/>
                <w:lang w:val="en-US" w:eastAsia="zh-CN"/>
              </w:rPr>
            </w:pPr>
            <w:r>
              <w:rPr>
                <w:rFonts w:hint="eastAsia"/>
                <w:b w:val="0"/>
                <w:bCs/>
                <w:color w:val="auto"/>
                <w:highlight w:val="none"/>
                <w:lang w:val="en-US" w:eastAsia="zh-CN"/>
              </w:rPr>
              <w:t>30.0</w:t>
            </w:r>
          </w:p>
        </w:tc>
        <w:tc>
          <w:tcPr>
            <w:tcW w:w="696" w:type="pct"/>
            <w:tcBorders>
              <w:tl2br w:val="nil"/>
              <w:tr2bl w:val="nil"/>
            </w:tcBorders>
            <w:noWrap w:val="0"/>
            <w:vAlign w:val="center"/>
          </w:tcPr>
          <w:p w14:paraId="7519607B">
            <w:pPr>
              <w:pStyle w:val="45"/>
              <w:bidi w:val="0"/>
              <w:rPr>
                <w:b w:val="0"/>
                <w:bCs/>
                <w:color w:val="auto"/>
                <w:highlight w:val="none"/>
                <w:lang w:val="en-US" w:eastAsia="zh-CN"/>
              </w:rPr>
            </w:pPr>
            <w:r>
              <w:rPr>
                <w:b w:val="0"/>
                <w:bCs/>
                <w:color w:val="auto"/>
                <w:highlight w:val="none"/>
                <w:lang w:val="en-US" w:eastAsia="zh-CN"/>
              </w:rPr>
              <w:t>达标</w:t>
            </w:r>
          </w:p>
        </w:tc>
      </w:tr>
      <w:tr w14:paraId="705522E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4" w:type="pct"/>
            <w:tcBorders>
              <w:tl2br w:val="nil"/>
              <w:tr2bl w:val="nil"/>
            </w:tcBorders>
            <w:noWrap w:val="0"/>
            <w:vAlign w:val="center"/>
          </w:tcPr>
          <w:p w14:paraId="36E0A1C8">
            <w:pPr>
              <w:pStyle w:val="45"/>
              <w:bidi w:val="0"/>
              <w:rPr>
                <w:b w:val="0"/>
                <w:bCs/>
                <w:color w:val="auto"/>
                <w:highlight w:val="none"/>
                <w:lang w:val="en-US" w:eastAsia="zh-CN"/>
              </w:rPr>
            </w:pPr>
            <w:r>
              <w:rPr>
                <w:b w:val="0"/>
                <w:bCs/>
                <w:color w:val="auto"/>
                <w:highlight w:val="none"/>
                <w:lang w:val="en-US" w:eastAsia="zh-CN"/>
              </w:rPr>
              <w:t>CO</w:t>
            </w:r>
          </w:p>
        </w:tc>
        <w:tc>
          <w:tcPr>
            <w:tcW w:w="1301" w:type="pct"/>
            <w:tcBorders>
              <w:tl2br w:val="nil"/>
              <w:tr2bl w:val="nil"/>
            </w:tcBorders>
            <w:noWrap w:val="0"/>
            <w:vAlign w:val="center"/>
          </w:tcPr>
          <w:p w14:paraId="27C6DDAB">
            <w:pPr>
              <w:pStyle w:val="45"/>
              <w:bidi w:val="0"/>
              <w:rPr>
                <w:b w:val="0"/>
                <w:bCs/>
                <w:color w:val="auto"/>
                <w:highlight w:val="none"/>
                <w:lang w:val="en-US" w:eastAsia="zh-CN"/>
              </w:rPr>
            </w:pPr>
            <w:r>
              <w:rPr>
                <w:b w:val="0"/>
                <w:bCs/>
                <w:color w:val="auto"/>
                <w:highlight w:val="none"/>
                <w:lang w:val="en-US" w:eastAsia="zh-CN"/>
              </w:rPr>
              <w:t>百分位数日平均质量浓度</w:t>
            </w:r>
          </w:p>
        </w:tc>
        <w:tc>
          <w:tcPr>
            <w:tcW w:w="855" w:type="pct"/>
            <w:tcBorders>
              <w:tl2br w:val="nil"/>
              <w:tr2bl w:val="nil"/>
            </w:tcBorders>
            <w:noWrap w:val="0"/>
            <w:vAlign w:val="center"/>
          </w:tcPr>
          <w:p w14:paraId="74D14DCF">
            <w:pPr>
              <w:pStyle w:val="45"/>
              <w:bidi w:val="0"/>
              <w:rPr>
                <w:rFonts w:hint="default"/>
                <w:b w:val="0"/>
                <w:bCs/>
                <w:color w:val="auto"/>
                <w:highlight w:val="none"/>
                <w:lang w:val="en-US" w:eastAsia="zh-CN"/>
              </w:rPr>
            </w:pPr>
            <w:r>
              <w:rPr>
                <w:rFonts w:hint="eastAsia"/>
                <w:b w:val="0"/>
                <w:bCs/>
                <w:color w:val="auto"/>
                <w:highlight w:val="none"/>
                <w:lang w:val="en-US" w:eastAsia="zh-CN"/>
              </w:rPr>
              <w:t>1100</w:t>
            </w:r>
          </w:p>
        </w:tc>
        <w:tc>
          <w:tcPr>
            <w:tcW w:w="925" w:type="pct"/>
            <w:tcBorders>
              <w:tl2br w:val="nil"/>
              <w:tr2bl w:val="nil"/>
            </w:tcBorders>
            <w:noWrap w:val="0"/>
            <w:vAlign w:val="center"/>
          </w:tcPr>
          <w:p w14:paraId="28A8EAD6">
            <w:pPr>
              <w:pStyle w:val="45"/>
              <w:bidi w:val="0"/>
              <w:rPr>
                <w:b w:val="0"/>
                <w:bCs/>
                <w:color w:val="auto"/>
                <w:highlight w:val="none"/>
                <w:lang w:val="en-US" w:eastAsia="zh-CN"/>
              </w:rPr>
            </w:pPr>
            <w:r>
              <w:rPr>
                <w:b w:val="0"/>
                <w:bCs/>
                <w:color w:val="auto"/>
                <w:highlight w:val="none"/>
                <w:lang w:val="en-US" w:eastAsia="zh-CN"/>
              </w:rPr>
              <w:t>4000</w:t>
            </w:r>
          </w:p>
        </w:tc>
        <w:tc>
          <w:tcPr>
            <w:tcW w:w="675" w:type="pct"/>
            <w:tcBorders>
              <w:tl2br w:val="nil"/>
              <w:tr2bl w:val="nil"/>
            </w:tcBorders>
            <w:noWrap w:val="0"/>
            <w:vAlign w:val="center"/>
          </w:tcPr>
          <w:p w14:paraId="380ADA89">
            <w:pPr>
              <w:pStyle w:val="45"/>
              <w:bidi w:val="0"/>
              <w:rPr>
                <w:rFonts w:hint="default"/>
                <w:b w:val="0"/>
                <w:bCs/>
                <w:color w:val="auto"/>
                <w:highlight w:val="none"/>
                <w:lang w:val="en-US" w:eastAsia="zh-CN"/>
              </w:rPr>
            </w:pPr>
            <w:r>
              <w:rPr>
                <w:rFonts w:hint="eastAsia"/>
                <w:b w:val="0"/>
                <w:bCs/>
                <w:color w:val="auto"/>
                <w:highlight w:val="none"/>
                <w:lang w:val="en-US" w:eastAsia="zh-CN"/>
              </w:rPr>
              <w:t>27.5</w:t>
            </w:r>
          </w:p>
        </w:tc>
        <w:tc>
          <w:tcPr>
            <w:tcW w:w="696" w:type="pct"/>
            <w:tcBorders>
              <w:tl2br w:val="nil"/>
              <w:tr2bl w:val="nil"/>
            </w:tcBorders>
            <w:noWrap w:val="0"/>
            <w:vAlign w:val="center"/>
          </w:tcPr>
          <w:p w14:paraId="48FBA451">
            <w:pPr>
              <w:pStyle w:val="45"/>
              <w:bidi w:val="0"/>
              <w:rPr>
                <w:b w:val="0"/>
                <w:bCs/>
                <w:color w:val="auto"/>
                <w:highlight w:val="none"/>
                <w:lang w:val="en-US" w:eastAsia="zh-CN"/>
              </w:rPr>
            </w:pPr>
            <w:r>
              <w:rPr>
                <w:b w:val="0"/>
                <w:bCs/>
                <w:color w:val="auto"/>
                <w:highlight w:val="none"/>
                <w:lang w:val="en-US" w:eastAsia="zh-CN"/>
              </w:rPr>
              <w:t>达标</w:t>
            </w:r>
          </w:p>
        </w:tc>
      </w:tr>
      <w:tr w14:paraId="562B6E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4" w:type="pct"/>
            <w:tcBorders>
              <w:tl2br w:val="nil"/>
              <w:tr2bl w:val="nil"/>
            </w:tcBorders>
            <w:noWrap w:val="0"/>
            <w:vAlign w:val="center"/>
          </w:tcPr>
          <w:p w14:paraId="641072AF">
            <w:pPr>
              <w:pStyle w:val="45"/>
              <w:bidi w:val="0"/>
              <w:rPr>
                <w:b w:val="0"/>
                <w:bCs/>
                <w:color w:val="auto"/>
                <w:highlight w:val="none"/>
                <w:lang w:val="en-US" w:eastAsia="zh-CN"/>
              </w:rPr>
            </w:pPr>
            <w:r>
              <w:rPr>
                <w:b w:val="0"/>
                <w:bCs/>
                <w:color w:val="auto"/>
                <w:highlight w:val="none"/>
                <w:lang w:val="en-US" w:eastAsia="zh-CN"/>
              </w:rPr>
              <w:t>O</w:t>
            </w:r>
            <w:r>
              <w:rPr>
                <w:b w:val="0"/>
                <w:bCs/>
                <w:color w:val="auto"/>
                <w:highlight w:val="none"/>
                <w:vertAlign w:val="subscript"/>
                <w:lang w:val="en-US" w:eastAsia="zh-CN"/>
              </w:rPr>
              <w:t>3</w:t>
            </w:r>
          </w:p>
        </w:tc>
        <w:tc>
          <w:tcPr>
            <w:tcW w:w="1301" w:type="pct"/>
            <w:tcBorders>
              <w:tl2br w:val="nil"/>
              <w:tr2bl w:val="nil"/>
            </w:tcBorders>
            <w:noWrap w:val="0"/>
            <w:vAlign w:val="center"/>
          </w:tcPr>
          <w:p w14:paraId="74C44F04">
            <w:pPr>
              <w:pStyle w:val="45"/>
              <w:bidi w:val="0"/>
              <w:rPr>
                <w:b w:val="0"/>
                <w:bCs/>
                <w:color w:val="auto"/>
                <w:highlight w:val="none"/>
                <w:lang w:val="en-US" w:eastAsia="zh-CN"/>
              </w:rPr>
            </w:pPr>
            <w:r>
              <w:rPr>
                <w:b w:val="0"/>
                <w:bCs/>
                <w:color w:val="auto"/>
                <w:highlight w:val="none"/>
                <w:lang w:val="en-US" w:eastAsia="zh-CN"/>
              </w:rPr>
              <w:t>百分位数8h</w:t>
            </w:r>
            <w:r>
              <w:rPr>
                <w:rFonts w:hint="eastAsia"/>
                <w:b w:val="0"/>
                <w:bCs/>
                <w:color w:val="auto"/>
                <w:highlight w:val="none"/>
                <w:lang w:val="en-US" w:eastAsia="zh-CN"/>
              </w:rPr>
              <w:t>滑动</w:t>
            </w:r>
            <w:r>
              <w:rPr>
                <w:b w:val="0"/>
                <w:bCs/>
                <w:color w:val="auto"/>
                <w:highlight w:val="none"/>
                <w:lang w:val="en-US" w:eastAsia="zh-CN"/>
              </w:rPr>
              <w:t>平均质量浓度</w:t>
            </w:r>
          </w:p>
        </w:tc>
        <w:tc>
          <w:tcPr>
            <w:tcW w:w="855" w:type="pct"/>
            <w:tcBorders>
              <w:tl2br w:val="nil"/>
              <w:tr2bl w:val="nil"/>
            </w:tcBorders>
            <w:noWrap w:val="0"/>
            <w:vAlign w:val="center"/>
          </w:tcPr>
          <w:p w14:paraId="2701B488">
            <w:pPr>
              <w:pStyle w:val="45"/>
              <w:bidi w:val="0"/>
              <w:rPr>
                <w:rFonts w:hint="default"/>
                <w:b w:val="0"/>
                <w:bCs/>
                <w:color w:val="auto"/>
                <w:highlight w:val="none"/>
                <w:lang w:val="en-US" w:eastAsia="zh-CN"/>
              </w:rPr>
            </w:pPr>
            <w:r>
              <w:rPr>
                <w:rFonts w:hint="eastAsia"/>
                <w:b w:val="0"/>
                <w:bCs/>
                <w:color w:val="auto"/>
                <w:highlight w:val="none"/>
                <w:lang w:val="en-US" w:eastAsia="zh-CN"/>
              </w:rPr>
              <w:t>141</w:t>
            </w:r>
          </w:p>
        </w:tc>
        <w:tc>
          <w:tcPr>
            <w:tcW w:w="925" w:type="pct"/>
            <w:tcBorders>
              <w:tl2br w:val="nil"/>
              <w:tr2bl w:val="nil"/>
            </w:tcBorders>
            <w:noWrap w:val="0"/>
            <w:vAlign w:val="center"/>
          </w:tcPr>
          <w:p w14:paraId="0973B7E9">
            <w:pPr>
              <w:pStyle w:val="45"/>
              <w:bidi w:val="0"/>
              <w:rPr>
                <w:b w:val="0"/>
                <w:bCs/>
                <w:color w:val="auto"/>
                <w:highlight w:val="none"/>
                <w:lang w:val="en-US" w:eastAsia="zh-CN"/>
              </w:rPr>
            </w:pPr>
            <w:r>
              <w:rPr>
                <w:b w:val="0"/>
                <w:bCs/>
                <w:color w:val="auto"/>
                <w:highlight w:val="none"/>
                <w:lang w:val="en-US" w:eastAsia="zh-CN"/>
              </w:rPr>
              <w:t>160</w:t>
            </w:r>
          </w:p>
        </w:tc>
        <w:tc>
          <w:tcPr>
            <w:tcW w:w="675" w:type="pct"/>
            <w:tcBorders>
              <w:tl2br w:val="nil"/>
              <w:tr2bl w:val="nil"/>
            </w:tcBorders>
            <w:noWrap w:val="0"/>
            <w:vAlign w:val="center"/>
          </w:tcPr>
          <w:p w14:paraId="5829D91A">
            <w:pPr>
              <w:pStyle w:val="45"/>
              <w:bidi w:val="0"/>
              <w:rPr>
                <w:rFonts w:hint="default"/>
                <w:b w:val="0"/>
                <w:bCs/>
                <w:color w:val="auto"/>
                <w:highlight w:val="none"/>
                <w:lang w:val="en-US" w:eastAsia="zh-CN"/>
              </w:rPr>
            </w:pPr>
            <w:r>
              <w:rPr>
                <w:rFonts w:hint="eastAsia"/>
                <w:b w:val="0"/>
                <w:bCs/>
                <w:color w:val="auto"/>
                <w:highlight w:val="none"/>
                <w:lang w:val="en-US" w:eastAsia="zh-CN"/>
              </w:rPr>
              <w:t>88.1</w:t>
            </w:r>
          </w:p>
        </w:tc>
        <w:tc>
          <w:tcPr>
            <w:tcW w:w="696" w:type="pct"/>
            <w:tcBorders>
              <w:tl2br w:val="nil"/>
              <w:tr2bl w:val="nil"/>
            </w:tcBorders>
            <w:noWrap w:val="0"/>
            <w:vAlign w:val="center"/>
          </w:tcPr>
          <w:p w14:paraId="135C31F7">
            <w:pPr>
              <w:pStyle w:val="45"/>
              <w:bidi w:val="0"/>
              <w:rPr>
                <w:b w:val="0"/>
                <w:bCs/>
                <w:color w:val="auto"/>
                <w:highlight w:val="none"/>
                <w:lang w:val="en-US" w:eastAsia="zh-CN"/>
              </w:rPr>
            </w:pPr>
            <w:r>
              <w:rPr>
                <w:b w:val="0"/>
                <w:bCs/>
                <w:color w:val="auto"/>
                <w:highlight w:val="none"/>
                <w:lang w:val="en-US" w:eastAsia="zh-CN"/>
              </w:rPr>
              <w:t>达标</w:t>
            </w:r>
          </w:p>
        </w:tc>
      </w:tr>
      <w:tr w14:paraId="308B1BE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4" w:type="pct"/>
            <w:tcBorders>
              <w:tl2br w:val="nil"/>
              <w:tr2bl w:val="nil"/>
            </w:tcBorders>
            <w:noWrap w:val="0"/>
            <w:vAlign w:val="center"/>
          </w:tcPr>
          <w:p w14:paraId="42703386">
            <w:pPr>
              <w:pStyle w:val="45"/>
              <w:bidi w:val="0"/>
              <w:rPr>
                <w:b w:val="0"/>
                <w:bCs/>
                <w:color w:val="auto"/>
                <w:highlight w:val="none"/>
                <w:lang w:val="en-US" w:eastAsia="zh-CN"/>
              </w:rPr>
            </w:pPr>
            <w:r>
              <w:rPr>
                <w:b w:val="0"/>
                <w:bCs/>
                <w:color w:val="auto"/>
                <w:highlight w:val="none"/>
                <w:lang w:val="en-US" w:eastAsia="zh-CN"/>
              </w:rPr>
              <w:t>PM</w:t>
            </w:r>
            <w:r>
              <w:rPr>
                <w:b w:val="0"/>
                <w:bCs/>
                <w:color w:val="auto"/>
                <w:highlight w:val="none"/>
                <w:vertAlign w:val="subscript"/>
                <w:lang w:val="en-US" w:eastAsia="zh-CN"/>
              </w:rPr>
              <w:t>10</w:t>
            </w:r>
          </w:p>
        </w:tc>
        <w:tc>
          <w:tcPr>
            <w:tcW w:w="1301" w:type="pct"/>
            <w:tcBorders>
              <w:tl2br w:val="nil"/>
              <w:tr2bl w:val="nil"/>
            </w:tcBorders>
            <w:noWrap w:val="0"/>
            <w:vAlign w:val="center"/>
          </w:tcPr>
          <w:p w14:paraId="5809E189">
            <w:pPr>
              <w:pStyle w:val="45"/>
              <w:bidi w:val="0"/>
              <w:rPr>
                <w:b w:val="0"/>
                <w:bCs/>
                <w:color w:val="auto"/>
                <w:highlight w:val="none"/>
                <w:lang w:val="en-US" w:eastAsia="zh-CN"/>
              </w:rPr>
            </w:pPr>
            <w:r>
              <w:rPr>
                <w:b w:val="0"/>
                <w:bCs/>
                <w:color w:val="auto"/>
                <w:highlight w:val="none"/>
                <w:lang w:val="en-US" w:eastAsia="zh-CN"/>
              </w:rPr>
              <w:t>年平均质量浓度</w:t>
            </w:r>
          </w:p>
        </w:tc>
        <w:tc>
          <w:tcPr>
            <w:tcW w:w="855" w:type="pct"/>
            <w:tcBorders>
              <w:tl2br w:val="nil"/>
              <w:tr2bl w:val="nil"/>
            </w:tcBorders>
            <w:noWrap w:val="0"/>
            <w:vAlign w:val="center"/>
          </w:tcPr>
          <w:p w14:paraId="25F072C5">
            <w:pPr>
              <w:pStyle w:val="45"/>
              <w:bidi w:val="0"/>
              <w:rPr>
                <w:rFonts w:hint="default"/>
                <w:b w:val="0"/>
                <w:bCs/>
                <w:color w:val="auto"/>
                <w:highlight w:val="none"/>
                <w:lang w:val="en-US" w:eastAsia="zh-CN"/>
              </w:rPr>
            </w:pPr>
            <w:r>
              <w:rPr>
                <w:rFonts w:hint="eastAsia"/>
                <w:b w:val="0"/>
                <w:bCs/>
                <w:color w:val="auto"/>
                <w:highlight w:val="none"/>
                <w:lang w:val="en-US" w:eastAsia="zh-CN"/>
              </w:rPr>
              <w:t>38</w:t>
            </w:r>
          </w:p>
        </w:tc>
        <w:tc>
          <w:tcPr>
            <w:tcW w:w="925" w:type="pct"/>
            <w:tcBorders>
              <w:tl2br w:val="nil"/>
              <w:tr2bl w:val="nil"/>
            </w:tcBorders>
            <w:noWrap w:val="0"/>
            <w:vAlign w:val="center"/>
          </w:tcPr>
          <w:p w14:paraId="35131F68">
            <w:pPr>
              <w:pStyle w:val="45"/>
              <w:bidi w:val="0"/>
              <w:rPr>
                <w:b w:val="0"/>
                <w:bCs/>
                <w:color w:val="auto"/>
                <w:highlight w:val="none"/>
                <w:lang w:val="en-US" w:eastAsia="zh-CN"/>
              </w:rPr>
            </w:pPr>
            <w:r>
              <w:rPr>
                <w:b w:val="0"/>
                <w:bCs/>
                <w:color w:val="auto"/>
                <w:highlight w:val="none"/>
                <w:lang w:val="en-US" w:eastAsia="zh-CN"/>
              </w:rPr>
              <w:t>70</w:t>
            </w:r>
          </w:p>
        </w:tc>
        <w:tc>
          <w:tcPr>
            <w:tcW w:w="675" w:type="pct"/>
            <w:tcBorders>
              <w:tl2br w:val="nil"/>
              <w:tr2bl w:val="nil"/>
            </w:tcBorders>
            <w:noWrap w:val="0"/>
            <w:vAlign w:val="center"/>
          </w:tcPr>
          <w:p w14:paraId="556B4FA2">
            <w:pPr>
              <w:pStyle w:val="45"/>
              <w:bidi w:val="0"/>
              <w:rPr>
                <w:rFonts w:hint="default"/>
                <w:b w:val="0"/>
                <w:bCs/>
                <w:color w:val="auto"/>
                <w:highlight w:val="none"/>
                <w:lang w:val="en-US" w:eastAsia="zh-CN"/>
              </w:rPr>
            </w:pPr>
            <w:r>
              <w:rPr>
                <w:rFonts w:hint="eastAsia"/>
                <w:b w:val="0"/>
                <w:bCs/>
                <w:color w:val="auto"/>
                <w:highlight w:val="none"/>
                <w:lang w:val="en-US" w:eastAsia="zh-CN"/>
              </w:rPr>
              <w:t>54.3</w:t>
            </w:r>
          </w:p>
        </w:tc>
        <w:tc>
          <w:tcPr>
            <w:tcW w:w="696" w:type="pct"/>
            <w:tcBorders>
              <w:tl2br w:val="nil"/>
              <w:tr2bl w:val="nil"/>
            </w:tcBorders>
            <w:noWrap w:val="0"/>
            <w:vAlign w:val="center"/>
          </w:tcPr>
          <w:p w14:paraId="3E2D13D7">
            <w:pPr>
              <w:pStyle w:val="45"/>
              <w:bidi w:val="0"/>
              <w:rPr>
                <w:b w:val="0"/>
                <w:bCs/>
                <w:color w:val="auto"/>
                <w:highlight w:val="none"/>
                <w:lang w:val="en-US" w:eastAsia="zh-CN"/>
              </w:rPr>
            </w:pPr>
            <w:r>
              <w:rPr>
                <w:b w:val="0"/>
                <w:bCs/>
                <w:color w:val="auto"/>
                <w:highlight w:val="none"/>
                <w:lang w:val="en-US" w:eastAsia="zh-CN"/>
              </w:rPr>
              <w:t>达标</w:t>
            </w:r>
          </w:p>
        </w:tc>
      </w:tr>
      <w:tr w14:paraId="7C34FB0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44" w:type="pct"/>
            <w:tcBorders>
              <w:tl2br w:val="nil"/>
              <w:tr2bl w:val="nil"/>
            </w:tcBorders>
            <w:noWrap w:val="0"/>
            <w:vAlign w:val="center"/>
          </w:tcPr>
          <w:p w14:paraId="440408EF">
            <w:pPr>
              <w:pStyle w:val="45"/>
              <w:bidi w:val="0"/>
              <w:rPr>
                <w:b w:val="0"/>
                <w:bCs/>
                <w:color w:val="auto"/>
                <w:highlight w:val="none"/>
                <w:lang w:val="en-US" w:eastAsia="zh-CN"/>
              </w:rPr>
            </w:pPr>
            <w:r>
              <w:rPr>
                <w:b w:val="0"/>
                <w:bCs/>
                <w:color w:val="auto"/>
                <w:highlight w:val="none"/>
                <w:lang w:val="en-US" w:eastAsia="zh-CN"/>
              </w:rPr>
              <w:t>PM</w:t>
            </w:r>
            <w:r>
              <w:rPr>
                <w:b w:val="0"/>
                <w:bCs/>
                <w:color w:val="auto"/>
                <w:highlight w:val="none"/>
                <w:vertAlign w:val="subscript"/>
                <w:lang w:val="en-US" w:eastAsia="zh-CN"/>
              </w:rPr>
              <w:t>2.5</w:t>
            </w:r>
          </w:p>
        </w:tc>
        <w:tc>
          <w:tcPr>
            <w:tcW w:w="1301" w:type="pct"/>
            <w:tcBorders>
              <w:tl2br w:val="nil"/>
              <w:tr2bl w:val="nil"/>
            </w:tcBorders>
            <w:noWrap w:val="0"/>
            <w:vAlign w:val="center"/>
          </w:tcPr>
          <w:p w14:paraId="4722089D">
            <w:pPr>
              <w:pStyle w:val="45"/>
              <w:bidi w:val="0"/>
              <w:rPr>
                <w:b w:val="0"/>
                <w:bCs/>
                <w:color w:val="auto"/>
                <w:highlight w:val="none"/>
                <w:lang w:val="en-US" w:eastAsia="zh-CN"/>
              </w:rPr>
            </w:pPr>
            <w:r>
              <w:rPr>
                <w:b w:val="0"/>
                <w:bCs/>
                <w:color w:val="auto"/>
                <w:highlight w:val="none"/>
                <w:lang w:val="en-US" w:eastAsia="zh-CN"/>
              </w:rPr>
              <w:t>年平均质量浓度</w:t>
            </w:r>
          </w:p>
        </w:tc>
        <w:tc>
          <w:tcPr>
            <w:tcW w:w="855" w:type="pct"/>
            <w:tcBorders>
              <w:tl2br w:val="nil"/>
              <w:tr2bl w:val="nil"/>
            </w:tcBorders>
            <w:noWrap w:val="0"/>
            <w:vAlign w:val="center"/>
          </w:tcPr>
          <w:p w14:paraId="3177FEAE">
            <w:pPr>
              <w:pStyle w:val="45"/>
              <w:bidi w:val="0"/>
              <w:rPr>
                <w:rFonts w:hint="default"/>
                <w:b w:val="0"/>
                <w:bCs/>
                <w:color w:val="auto"/>
                <w:highlight w:val="none"/>
                <w:lang w:val="en-US" w:eastAsia="zh-CN"/>
              </w:rPr>
            </w:pPr>
            <w:r>
              <w:rPr>
                <w:rFonts w:hint="eastAsia"/>
                <w:b w:val="0"/>
                <w:bCs/>
                <w:color w:val="auto"/>
                <w:highlight w:val="none"/>
                <w:lang w:val="en-US" w:eastAsia="zh-CN"/>
              </w:rPr>
              <w:t>26</w:t>
            </w:r>
          </w:p>
        </w:tc>
        <w:tc>
          <w:tcPr>
            <w:tcW w:w="925" w:type="pct"/>
            <w:tcBorders>
              <w:tl2br w:val="nil"/>
              <w:tr2bl w:val="nil"/>
            </w:tcBorders>
            <w:noWrap w:val="0"/>
            <w:vAlign w:val="center"/>
          </w:tcPr>
          <w:p w14:paraId="360D3ABF">
            <w:pPr>
              <w:pStyle w:val="45"/>
              <w:bidi w:val="0"/>
              <w:rPr>
                <w:b w:val="0"/>
                <w:bCs/>
                <w:color w:val="auto"/>
                <w:highlight w:val="none"/>
                <w:lang w:val="en-US" w:eastAsia="zh-CN"/>
              </w:rPr>
            </w:pPr>
            <w:r>
              <w:rPr>
                <w:b w:val="0"/>
                <w:bCs/>
                <w:color w:val="auto"/>
                <w:highlight w:val="none"/>
                <w:lang w:val="en-US" w:eastAsia="zh-CN"/>
              </w:rPr>
              <w:t>35</w:t>
            </w:r>
          </w:p>
        </w:tc>
        <w:tc>
          <w:tcPr>
            <w:tcW w:w="675" w:type="pct"/>
            <w:tcBorders>
              <w:tl2br w:val="nil"/>
              <w:tr2bl w:val="nil"/>
            </w:tcBorders>
            <w:noWrap w:val="0"/>
            <w:vAlign w:val="center"/>
          </w:tcPr>
          <w:p w14:paraId="3DA4301C">
            <w:pPr>
              <w:pStyle w:val="45"/>
              <w:bidi w:val="0"/>
              <w:rPr>
                <w:rFonts w:hint="default"/>
                <w:b w:val="0"/>
                <w:bCs/>
                <w:color w:val="auto"/>
                <w:highlight w:val="none"/>
                <w:lang w:val="en-US" w:eastAsia="zh-CN"/>
              </w:rPr>
            </w:pPr>
            <w:r>
              <w:rPr>
                <w:rFonts w:hint="eastAsia"/>
                <w:b w:val="0"/>
                <w:bCs/>
                <w:color w:val="auto"/>
                <w:highlight w:val="none"/>
                <w:lang w:val="en-US" w:eastAsia="zh-CN"/>
              </w:rPr>
              <w:t>74.3</w:t>
            </w:r>
          </w:p>
        </w:tc>
        <w:tc>
          <w:tcPr>
            <w:tcW w:w="696" w:type="pct"/>
            <w:tcBorders>
              <w:tl2br w:val="nil"/>
              <w:tr2bl w:val="nil"/>
            </w:tcBorders>
            <w:noWrap w:val="0"/>
            <w:vAlign w:val="center"/>
          </w:tcPr>
          <w:p w14:paraId="3F5340DB">
            <w:pPr>
              <w:pStyle w:val="45"/>
              <w:bidi w:val="0"/>
              <w:rPr>
                <w:b w:val="0"/>
                <w:bCs/>
                <w:color w:val="auto"/>
                <w:highlight w:val="none"/>
                <w:lang w:val="en-US" w:eastAsia="zh-CN"/>
              </w:rPr>
            </w:pPr>
            <w:r>
              <w:rPr>
                <w:b w:val="0"/>
                <w:bCs/>
                <w:color w:val="auto"/>
                <w:highlight w:val="none"/>
                <w:lang w:val="en-US" w:eastAsia="zh-CN"/>
              </w:rPr>
              <w:t>达标</w:t>
            </w:r>
          </w:p>
        </w:tc>
      </w:tr>
    </w:tbl>
    <w:p w14:paraId="1B710561">
      <w:pPr>
        <w:pStyle w:val="37"/>
        <w:keepNext w:val="0"/>
        <w:keepLines w:val="0"/>
        <w:pageBreakBefore w:val="0"/>
        <w:kinsoku/>
        <w:wordWrap/>
        <w:overflowPunct/>
        <w:topLinePunct w:val="0"/>
        <w:bidi w:val="0"/>
        <w:adjustRightInd w:val="0"/>
        <w:snapToGrid w:val="0"/>
        <w:spacing w:line="360" w:lineRule="auto"/>
        <w:ind w:firstLine="480" w:firstLineChars="200"/>
        <w:textAlignment w:val="auto"/>
        <w:rPr>
          <w:rFonts w:hint="default" w:ascii="Times New Roman" w:hAnsi="Times New Roman" w:cs="Times New Roman"/>
          <w:color w:val="auto"/>
          <w:kern w:val="0"/>
          <w:sz w:val="24"/>
          <w:szCs w:val="24"/>
          <w:highlight w:val="none"/>
          <w:u w:val="none"/>
          <w:lang w:val="en-US" w:eastAsia="zh-CN" w:bidi="ar-SA"/>
        </w:rPr>
      </w:pPr>
      <w:r>
        <w:rPr>
          <w:rFonts w:hint="default" w:ascii="Times New Roman" w:hAnsi="Times New Roman" w:cs="Times New Roman"/>
          <w:color w:val="auto"/>
          <w:kern w:val="0"/>
          <w:sz w:val="24"/>
          <w:szCs w:val="24"/>
          <w:highlight w:val="none"/>
          <w:u w:val="none"/>
          <w:lang w:val="en-US" w:eastAsia="zh-CN" w:bidi="ar-SA"/>
        </w:rPr>
        <w:t>由上表可知，</w:t>
      </w:r>
      <w:r>
        <w:rPr>
          <w:rFonts w:hint="eastAsia" w:ascii="Times New Roman" w:hAnsi="Times New Roman" w:cs="Times New Roman"/>
          <w:color w:val="auto"/>
          <w:kern w:val="0"/>
          <w:sz w:val="24"/>
          <w:szCs w:val="24"/>
          <w:highlight w:val="none"/>
          <w:u w:val="none"/>
          <w:lang w:val="en-US" w:eastAsia="zh-CN" w:bidi="ar-SA"/>
        </w:rPr>
        <w:t>祁东</w:t>
      </w:r>
      <w:r>
        <w:rPr>
          <w:rFonts w:hint="default" w:ascii="Times New Roman" w:hAnsi="Times New Roman" w:cs="Times New Roman"/>
          <w:color w:val="auto"/>
          <w:kern w:val="0"/>
          <w:sz w:val="24"/>
          <w:szCs w:val="24"/>
          <w:highlight w:val="none"/>
          <w:u w:val="none"/>
          <w:lang w:val="en-US" w:eastAsia="zh-CN" w:bidi="ar-SA"/>
        </w:rPr>
        <w:t>县2022年度常规监测点PM</w:t>
      </w:r>
      <w:r>
        <w:rPr>
          <w:rFonts w:hint="default" w:ascii="Times New Roman" w:hAnsi="Times New Roman" w:cs="Times New Roman"/>
          <w:color w:val="auto"/>
          <w:kern w:val="0"/>
          <w:sz w:val="24"/>
          <w:szCs w:val="24"/>
          <w:highlight w:val="none"/>
          <w:u w:val="none"/>
          <w:vertAlign w:val="subscript"/>
          <w:lang w:val="en-US" w:eastAsia="zh-CN" w:bidi="ar-SA"/>
        </w:rPr>
        <w:t>2.5</w:t>
      </w:r>
      <w:r>
        <w:rPr>
          <w:rFonts w:hint="default" w:ascii="Times New Roman" w:hAnsi="Times New Roman" w:cs="Times New Roman"/>
          <w:color w:val="auto"/>
          <w:kern w:val="0"/>
          <w:sz w:val="24"/>
          <w:szCs w:val="24"/>
          <w:highlight w:val="none"/>
          <w:u w:val="none"/>
          <w:lang w:val="en-US" w:eastAsia="zh-CN" w:bidi="ar-SA"/>
        </w:rPr>
        <w:t>、PM</w:t>
      </w:r>
      <w:r>
        <w:rPr>
          <w:rFonts w:hint="default" w:ascii="Times New Roman" w:hAnsi="Times New Roman" w:cs="Times New Roman"/>
          <w:color w:val="auto"/>
          <w:kern w:val="0"/>
          <w:sz w:val="24"/>
          <w:szCs w:val="24"/>
          <w:highlight w:val="none"/>
          <w:u w:val="none"/>
          <w:vertAlign w:val="subscript"/>
          <w:lang w:val="en-US" w:eastAsia="zh-CN" w:bidi="ar-SA"/>
        </w:rPr>
        <w:t>10</w:t>
      </w:r>
      <w:r>
        <w:rPr>
          <w:rFonts w:hint="default" w:ascii="Times New Roman" w:hAnsi="Times New Roman" w:cs="Times New Roman"/>
          <w:color w:val="auto"/>
          <w:kern w:val="0"/>
          <w:sz w:val="24"/>
          <w:szCs w:val="24"/>
          <w:highlight w:val="none"/>
          <w:u w:val="none"/>
          <w:lang w:val="en-US" w:eastAsia="zh-CN" w:bidi="ar-SA"/>
        </w:rPr>
        <w:t>、SO</w:t>
      </w:r>
      <w:r>
        <w:rPr>
          <w:rFonts w:hint="default" w:ascii="Times New Roman" w:hAnsi="Times New Roman" w:cs="Times New Roman"/>
          <w:color w:val="auto"/>
          <w:kern w:val="0"/>
          <w:sz w:val="24"/>
          <w:szCs w:val="24"/>
          <w:highlight w:val="none"/>
          <w:u w:val="none"/>
          <w:vertAlign w:val="subscript"/>
          <w:lang w:val="en-US" w:eastAsia="zh-CN" w:bidi="ar-SA"/>
        </w:rPr>
        <w:t>2</w:t>
      </w:r>
      <w:r>
        <w:rPr>
          <w:rFonts w:hint="default" w:ascii="Times New Roman" w:hAnsi="Times New Roman" w:cs="Times New Roman"/>
          <w:color w:val="auto"/>
          <w:kern w:val="0"/>
          <w:sz w:val="24"/>
          <w:szCs w:val="24"/>
          <w:highlight w:val="none"/>
          <w:u w:val="none"/>
          <w:lang w:val="en-US" w:eastAsia="zh-CN" w:bidi="ar-SA"/>
        </w:rPr>
        <w:t>、NO</w:t>
      </w:r>
      <w:r>
        <w:rPr>
          <w:rFonts w:hint="default" w:ascii="Times New Roman" w:hAnsi="Times New Roman" w:cs="Times New Roman"/>
          <w:color w:val="auto"/>
          <w:kern w:val="0"/>
          <w:sz w:val="24"/>
          <w:szCs w:val="24"/>
          <w:highlight w:val="none"/>
          <w:u w:val="none"/>
          <w:vertAlign w:val="subscript"/>
          <w:lang w:val="en-US" w:eastAsia="zh-CN" w:bidi="ar-SA"/>
        </w:rPr>
        <w:t>2</w:t>
      </w:r>
      <w:r>
        <w:rPr>
          <w:rFonts w:hint="default" w:ascii="Times New Roman" w:hAnsi="Times New Roman" w:cs="Times New Roman"/>
          <w:color w:val="auto"/>
          <w:kern w:val="0"/>
          <w:sz w:val="24"/>
          <w:szCs w:val="24"/>
          <w:highlight w:val="none"/>
          <w:u w:val="none"/>
          <w:lang w:val="en-US" w:eastAsia="zh-CN" w:bidi="ar-SA"/>
        </w:rPr>
        <w:t>等的年平均质量浓度、CO的百分位数日平均质量浓度、臭氧百分位数8h滑动平均质量浓度均能满足《环境空气质量标准》（GB3095-2012）及其修改单中的二级标准要求，因此，项目所在区域2022年环境空气质量为达标区。</w:t>
      </w:r>
    </w:p>
    <w:p w14:paraId="4C92D326">
      <w:pPr>
        <w:pStyle w:val="37"/>
        <w:keepNext w:val="0"/>
        <w:keepLines w:val="0"/>
        <w:pageBreakBefore w:val="0"/>
        <w:kinsoku/>
        <w:wordWrap/>
        <w:overflowPunct/>
        <w:topLinePunct w:val="0"/>
        <w:bidi w:val="0"/>
        <w:adjustRightInd w:val="0"/>
        <w:snapToGrid w:val="0"/>
        <w:spacing w:line="360" w:lineRule="auto"/>
        <w:ind w:firstLine="480" w:firstLineChars="200"/>
        <w:textAlignment w:val="auto"/>
        <w:rPr>
          <w:rFonts w:hint="eastAsia" w:ascii="Times New Roman" w:hAnsi="Times New Roman" w:cs="Times New Roman"/>
          <w:color w:val="auto"/>
          <w:kern w:val="0"/>
          <w:sz w:val="24"/>
          <w:szCs w:val="24"/>
          <w:highlight w:val="none"/>
          <w:u w:val="none"/>
          <w:lang w:val="en-US" w:eastAsia="zh-CN" w:bidi="ar-SA"/>
        </w:rPr>
      </w:pPr>
      <w:r>
        <w:rPr>
          <w:rFonts w:hint="eastAsia" w:ascii="Times New Roman" w:hAnsi="Times New Roman" w:cs="Times New Roman"/>
          <w:color w:val="auto"/>
          <w:kern w:val="0"/>
          <w:sz w:val="24"/>
          <w:szCs w:val="24"/>
          <w:highlight w:val="none"/>
          <w:u w:val="none"/>
          <w:lang w:val="en-US" w:eastAsia="zh-CN" w:bidi="ar-SA"/>
        </w:rPr>
        <w:t>2、补充监测</w:t>
      </w:r>
    </w:p>
    <w:p w14:paraId="08F2DB82">
      <w:pPr>
        <w:pStyle w:val="40"/>
        <w:spacing w:before="0" w:after="0"/>
        <w:ind w:right="0" w:firstLine="420"/>
        <w:rPr>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本次评价委托长沙瑾瑶环保科技有限公司对本项目的环境空气质量现状进行实测，监测时间为2023年7月5日至2023年7月7日</w:t>
      </w:r>
      <w:r>
        <w:rPr>
          <w:rFonts w:hint="eastAsia"/>
          <w:color w:val="auto"/>
          <w:sz w:val="24"/>
          <w:szCs w:val="24"/>
          <w:highlight w:val="none"/>
          <w:lang w:val="en-US" w:eastAsia="zh-CN"/>
        </w:rPr>
        <w:t>，监测结果如下：</w:t>
      </w:r>
    </w:p>
    <w:p w14:paraId="62DC0171">
      <w:pPr>
        <w:pStyle w:val="46"/>
        <w:bidi w:val="0"/>
        <w:rPr>
          <w:rFonts w:hint="default"/>
          <w:lang w:val="en-US" w:eastAsia="zh-CN"/>
        </w:rPr>
      </w:pPr>
      <w:r>
        <w:rPr>
          <w:rFonts w:hint="default"/>
          <w:lang w:val="en-US" w:eastAsia="zh-CN"/>
        </w:rPr>
        <w:t>表</w:t>
      </w:r>
      <w:r>
        <w:rPr>
          <w:rFonts w:hint="eastAsia"/>
          <w:lang w:val="en-US" w:eastAsia="zh-CN"/>
        </w:rPr>
        <w:t>5.6</w:t>
      </w:r>
      <w:r>
        <w:rPr>
          <w:rFonts w:hint="default"/>
          <w:lang w:val="en-US" w:eastAsia="zh-CN"/>
        </w:rPr>
        <w:t>-2  大气环境监测点位一览表</w:t>
      </w:r>
    </w:p>
    <w:tbl>
      <w:tblPr>
        <w:tblStyle w:val="1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928"/>
        <w:gridCol w:w="2719"/>
        <w:gridCol w:w="1212"/>
        <w:gridCol w:w="2663"/>
      </w:tblGrid>
      <w:tr w14:paraId="0C3B91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1" w:type="pct"/>
            <w:tcBorders>
              <w:tl2br w:val="nil"/>
              <w:tr2bl w:val="nil"/>
            </w:tcBorders>
            <w:noWrap w:val="0"/>
            <w:vAlign w:val="center"/>
          </w:tcPr>
          <w:p w14:paraId="4DD66D38">
            <w:pPr>
              <w:pStyle w:val="45"/>
              <w:bidi w:val="0"/>
              <w:rPr>
                <w:rFonts w:hint="eastAsia"/>
                <w:b w:val="0"/>
                <w:bCs/>
                <w:color w:val="auto"/>
                <w:highlight w:val="none"/>
                <w:lang w:val="en-US" w:eastAsia="zh-CN"/>
              </w:rPr>
            </w:pPr>
            <w:r>
              <w:rPr>
                <w:rFonts w:hint="eastAsia"/>
                <w:b w:val="0"/>
                <w:bCs/>
                <w:color w:val="auto"/>
                <w:highlight w:val="none"/>
                <w:lang w:val="en-US" w:eastAsia="zh-CN"/>
              </w:rPr>
              <w:t>监测点</w:t>
            </w:r>
          </w:p>
        </w:tc>
        <w:tc>
          <w:tcPr>
            <w:tcW w:w="1595" w:type="pct"/>
            <w:tcBorders>
              <w:tl2br w:val="nil"/>
              <w:tr2bl w:val="nil"/>
            </w:tcBorders>
            <w:noWrap w:val="0"/>
            <w:vAlign w:val="center"/>
          </w:tcPr>
          <w:p w14:paraId="18C1B0EB">
            <w:pPr>
              <w:pStyle w:val="45"/>
              <w:bidi w:val="0"/>
              <w:rPr>
                <w:rFonts w:hint="eastAsia"/>
                <w:b w:val="0"/>
                <w:bCs/>
                <w:color w:val="auto"/>
                <w:highlight w:val="none"/>
                <w:lang w:val="en-US" w:eastAsia="zh-CN"/>
              </w:rPr>
            </w:pPr>
            <w:r>
              <w:rPr>
                <w:rFonts w:hint="eastAsia"/>
                <w:b w:val="0"/>
                <w:bCs/>
                <w:color w:val="auto"/>
                <w:highlight w:val="none"/>
                <w:lang w:val="en-US" w:eastAsia="zh-CN"/>
              </w:rPr>
              <w:t>经纬度坐标</w:t>
            </w:r>
          </w:p>
        </w:tc>
        <w:tc>
          <w:tcPr>
            <w:tcW w:w="711" w:type="pct"/>
            <w:tcBorders>
              <w:tl2br w:val="nil"/>
              <w:tr2bl w:val="nil"/>
            </w:tcBorders>
            <w:noWrap w:val="0"/>
            <w:vAlign w:val="center"/>
          </w:tcPr>
          <w:p w14:paraId="79007F80">
            <w:pPr>
              <w:pStyle w:val="45"/>
              <w:bidi w:val="0"/>
              <w:rPr>
                <w:rFonts w:hint="eastAsia"/>
                <w:b w:val="0"/>
                <w:bCs/>
                <w:color w:val="auto"/>
                <w:highlight w:val="none"/>
                <w:lang w:val="en-US" w:eastAsia="zh-CN"/>
              </w:rPr>
            </w:pPr>
            <w:r>
              <w:rPr>
                <w:rFonts w:hint="eastAsia"/>
                <w:b w:val="0"/>
                <w:bCs/>
                <w:color w:val="auto"/>
                <w:highlight w:val="none"/>
                <w:lang w:val="en-US" w:eastAsia="zh-CN"/>
              </w:rPr>
              <w:t>监测因子</w:t>
            </w:r>
          </w:p>
        </w:tc>
        <w:tc>
          <w:tcPr>
            <w:tcW w:w="1561" w:type="pct"/>
            <w:tcBorders>
              <w:tl2br w:val="nil"/>
              <w:tr2bl w:val="nil"/>
            </w:tcBorders>
            <w:noWrap w:val="0"/>
            <w:vAlign w:val="center"/>
          </w:tcPr>
          <w:p w14:paraId="73F252ED">
            <w:pPr>
              <w:pStyle w:val="45"/>
              <w:bidi w:val="0"/>
              <w:rPr>
                <w:rFonts w:hint="eastAsia"/>
                <w:b w:val="0"/>
                <w:bCs/>
                <w:color w:val="auto"/>
                <w:highlight w:val="none"/>
                <w:lang w:val="en-US" w:eastAsia="zh-CN"/>
              </w:rPr>
            </w:pPr>
            <w:r>
              <w:rPr>
                <w:rFonts w:hint="eastAsia"/>
                <w:b w:val="0"/>
                <w:bCs/>
                <w:color w:val="auto"/>
                <w:highlight w:val="none"/>
                <w:lang w:val="en-US" w:eastAsia="zh-CN"/>
              </w:rPr>
              <w:t>监测时间和频次</w:t>
            </w:r>
          </w:p>
        </w:tc>
      </w:tr>
      <w:tr w14:paraId="7568E02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1" w:type="pct"/>
            <w:tcBorders>
              <w:tl2br w:val="nil"/>
              <w:tr2bl w:val="nil"/>
            </w:tcBorders>
            <w:noWrap w:val="0"/>
            <w:vAlign w:val="center"/>
          </w:tcPr>
          <w:p w14:paraId="62FBBDBF">
            <w:pPr>
              <w:pStyle w:val="45"/>
              <w:bidi w:val="0"/>
              <w:rPr>
                <w:rFonts w:hint="eastAsia"/>
                <w:b w:val="0"/>
                <w:bCs/>
                <w:color w:val="auto"/>
                <w:highlight w:val="none"/>
                <w:lang w:val="en-US" w:eastAsia="zh-CN"/>
              </w:rPr>
            </w:pPr>
            <w:r>
              <w:rPr>
                <w:rFonts w:hint="eastAsia"/>
                <w:b w:val="0"/>
                <w:bCs/>
                <w:color w:val="auto"/>
                <w:highlight w:val="none"/>
                <w:lang w:val="en-US" w:eastAsia="zh-CN"/>
              </w:rPr>
              <w:t>升压站场址外下风向1m</w:t>
            </w:r>
          </w:p>
        </w:tc>
        <w:tc>
          <w:tcPr>
            <w:tcW w:w="1595" w:type="pct"/>
            <w:tcBorders>
              <w:tl2br w:val="nil"/>
              <w:tr2bl w:val="nil"/>
            </w:tcBorders>
            <w:noWrap w:val="0"/>
            <w:vAlign w:val="center"/>
          </w:tcPr>
          <w:p w14:paraId="2EA95B93">
            <w:pPr>
              <w:pStyle w:val="45"/>
              <w:bidi w:val="0"/>
              <w:rPr>
                <w:rFonts w:hint="default"/>
                <w:b w:val="0"/>
                <w:bCs/>
                <w:color w:val="auto"/>
                <w:highlight w:val="none"/>
                <w:lang w:val="en-US" w:eastAsia="zh-CN"/>
              </w:rPr>
            </w:pPr>
            <w:r>
              <w:rPr>
                <w:rFonts w:hint="eastAsia"/>
                <w:b w:val="0"/>
                <w:bCs/>
                <w:color w:val="auto"/>
                <w:highlight w:val="none"/>
                <w:lang w:val="en-US" w:eastAsia="zh-CN"/>
              </w:rPr>
              <w:t>北纬：</w:t>
            </w:r>
            <w:r>
              <w:rPr>
                <w:rFonts w:hint="eastAsia"/>
                <w:b w:val="0"/>
                <w:bCs/>
                <w:color w:val="auto"/>
                <w:highlight w:val="none"/>
              </w:rPr>
              <w:t>26.925889936</w:t>
            </w:r>
            <w:r>
              <w:rPr>
                <w:rFonts w:hint="eastAsia"/>
                <w:b w:val="0"/>
                <w:bCs/>
                <w:color w:val="auto"/>
                <w:highlight w:val="none"/>
                <w:lang w:val="en-US" w:eastAsia="zh-CN"/>
              </w:rPr>
              <w:t>°</w:t>
            </w:r>
          </w:p>
          <w:p w14:paraId="4D804E6A">
            <w:pPr>
              <w:pStyle w:val="45"/>
              <w:bidi w:val="0"/>
              <w:rPr>
                <w:rFonts w:hint="default"/>
                <w:b w:val="0"/>
                <w:bCs/>
                <w:color w:val="auto"/>
                <w:highlight w:val="none"/>
                <w:lang w:val="en-US" w:eastAsia="zh-CN"/>
              </w:rPr>
            </w:pPr>
            <w:r>
              <w:rPr>
                <w:rFonts w:hint="eastAsia"/>
                <w:b w:val="0"/>
                <w:bCs/>
                <w:color w:val="auto"/>
                <w:highlight w:val="none"/>
                <w:lang w:val="en-US" w:eastAsia="zh-CN"/>
              </w:rPr>
              <w:t>东经：</w:t>
            </w:r>
            <w:r>
              <w:rPr>
                <w:rFonts w:hint="eastAsia"/>
                <w:b w:val="0"/>
                <w:bCs/>
                <w:color w:val="auto"/>
                <w:highlight w:val="none"/>
              </w:rPr>
              <w:t>111.898498905</w:t>
            </w:r>
            <w:r>
              <w:rPr>
                <w:rFonts w:hint="eastAsia"/>
                <w:b w:val="0"/>
                <w:bCs/>
                <w:color w:val="auto"/>
                <w:highlight w:val="none"/>
                <w:lang w:val="en-US" w:eastAsia="zh-CN"/>
              </w:rPr>
              <w:t>°</w:t>
            </w:r>
          </w:p>
        </w:tc>
        <w:tc>
          <w:tcPr>
            <w:tcW w:w="711" w:type="pct"/>
            <w:tcBorders>
              <w:tl2br w:val="nil"/>
              <w:tr2bl w:val="nil"/>
            </w:tcBorders>
            <w:noWrap w:val="0"/>
            <w:vAlign w:val="center"/>
          </w:tcPr>
          <w:p w14:paraId="18BBCE83">
            <w:pPr>
              <w:pStyle w:val="45"/>
              <w:bidi w:val="0"/>
              <w:rPr>
                <w:rFonts w:hint="eastAsia"/>
                <w:b w:val="0"/>
                <w:bCs/>
                <w:color w:val="auto"/>
                <w:highlight w:val="none"/>
                <w:lang w:val="en-US" w:eastAsia="zh-CN"/>
              </w:rPr>
            </w:pPr>
            <w:r>
              <w:rPr>
                <w:b w:val="0"/>
                <w:bCs/>
                <w:color w:val="auto"/>
                <w:highlight w:val="none"/>
              </w:rPr>
              <w:t>NO</w:t>
            </w:r>
            <w:r>
              <w:rPr>
                <w:rFonts w:hint="eastAsia"/>
                <w:b w:val="0"/>
                <w:bCs/>
                <w:color w:val="auto"/>
                <w:highlight w:val="none"/>
                <w:lang w:val="en-US" w:eastAsia="zh-CN"/>
              </w:rPr>
              <w:t>x</w:t>
            </w:r>
            <w:r>
              <w:rPr>
                <w:b w:val="0"/>
                <w:bCs/>
                <w:color w:val="auto"/>
                <w:highlight w:val="none"/>
              </w:rPr>
              <w:t>、</w:t>
            </w:r>
            <w:r>
              <w:rPr>
                <w:rFonts w:hint="eastAsia"/>
                <w:b w:val="0"/>
                <w:bCs/>
                <w:color w:val="auto"/>
                <w:highlight w:val="none"/>
                <w:lang w:val="en-US" w:eastAsia="zh-CN"/>
              </w:rPr>
              <w:t>TSP</w:t>
            </w:r>
          </w:p>
        </w:tc>
        <w:tc>
          <w:tcPr>
            <w:tcW w:w="1561" w:type="pct"/>
            <w:tcBorders>
              <w:tl2br w:val="nil"/>
              <w:tr2bl w:val="nil"/>
            </w:tcBorders>
            <w:noWrap w:val="0"/>
            <w:vAlign w:val="center"/>
          </w:tcPr>
          <w:p w14:paraId="4B641320">
            <w:pPr>
              <w:pStyle w:val="45"/>
              <w:bidi w:val="0"/>
              <w:rPr>
                <w:rFonts w:hint="eastAsia"/>
                <w:b w:val="0"/>
                <w:bCs/>
                <w:color w:val="auto"/>
                <w:highlight w:val="none"/>
                <w:lang w:val="en-US" w:eastAsia="zh-CN"/>
              </w:rPr>
            </w:pPr>
            <w:r>
              <w:rPr>
                <w:rFonts w:hint="eastAsia"/>
                <w:b w:val="0"/>
                <w:bCs/>
                <w:color w:val="auto"/>
                <w:highlight w:val="none"/>
              </w:rPr>
              <w:t>连续监测</w:t>
            </w:r>
            <w:r>
              <w:rPr>
                <w:rFonts w:hint="eastAsia"/>
                <w:b w:val="0"/>
                <w:bCs/>
                <w:color w:val="auto"/>
                <w:highlight w:val="none"/>
                <w:lang w:val="en-US" w:eastAsia="zh-CN"/>
              </w:rPr>
              <w:t>3</w:t>
            </w:r>
            <w:r>
              <w:rPr>
                <w:rFonts w:hint="eastAsia"/>
                <w:b w:val="0"/>
                <w:bCs/>
                <w:color w:val="auto"/>
                <w:highlight w:val="none"/>
              </w:rPr>
              <w:t>天</w:t>
            </w:r>
            <w:r>
              <w:rPr>
                <w:b w:val="0"/>
                <w:bCs/>
                <w:color w:val="auto"/>
                <w:highlight w:val="none"/>
              </w:rPr>
              <w:t>，NO</w:t>
            </w:r>
            <w:r>
              <w:rPr>
                <w:rFonts w:hint="eastAsia"/>
                <w:b w:val="0"/>
                <w:bCs/>
                <w:color w:val="auto"/>
                <w:highlight w:val="none"/>
                <w:lang w:val="en-US" w:eastAsia="zh-CN"/>
              </w:rPr>
              <w:t>x测小时值，TSP测</w:t>
            </w:r>
            <w:r>
              <w:rPr>
                <w:b w:val="0"/>
                <w:bCs/>
                <w:color w:val="auto"/>
                <w:highlight w:val="none"/>
              </w:rPr>
              <w:t>日均值</w:t>
            </w:r>
          </w:p>
        </w:tc>
      </w:tr>
    </w:tbl>
    <w:p w14:paraId="4D4F7EEB">
      <w:pPr>
        <w:pStyle w:val="46"/>
        <w:bidi w:val="0"/>
        <w:rPr>
          <w:rFonts w:hint="default"/>
          <w:lang w:val="en-US" w:eastAsia="zh-CN"/>
        </w:rPr>
      </w:pPr>
      <w:r>
        <w:rPr>
          <w:rFonts w:hint="default"/>
          <w:lang w:val="en-US" w:eastAsia="zh-CN"/>
        </w:rPr>
        <w:t>表</w:t>
      </w:r>
      <w:r>
        <w:rPr>
          <w:rFonts w:hint="eastAsia"/>
          <w:lang w:val="en-US" w:eastAsia="zh-CN"/>
        </w:rPr>
        <w:t>5.6</w:t>
      </w:r>
      <w:r>
        <w:rPr>
          <w:rFonts w:hint="default"/>
          <w:lang w:val="en-US" w:eastAsia="zh-CN"/>
        </w:rPr>
        <w:t>-3  大气环境质量现状监测统计结果表  mg/Nm</w:t>
      </w:r>
      <w:r>
        <w:rPr>
          <w:rFonts w:hint="default"/>
          <w:vertAlign w:val="superscript"/>
          <w:lang w:val="en-US" w:eastAsia="zh-CN"/>
        </w:rPr>
        <w:t>3</w:t>
      </w:r>
    </w:p>
    <w:tbl>
      <w:tblPr>
        <w:tblStyle w:val="1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67"/>
        <w:gridCol w:w="2176"/>
        <w:gridCol w:w="1314"/>
        <w:gridCol w:w="1858"/>
        <w:gridCol w:w="1807"/>
      </w:tblGrid>
      <w:tr w14:paraId="214FCB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288" w:type="dxa"/>
            <w:vMerge w:val="restart"/>
            <w:tcBorders>
              <w:tl2br w:val="nil"/>
              <w:tr2bl w:val="nil"/>
            </w:tcBorders>
            <w:noWrap w:val="0"/>
            <w:vAlign w:val="center"/>
          </w:tcPr>
          <w:p w14:paraId="2D06AD82">
            <w:pPr>
              <w:pStyle w:val="45"/>
              <w:bidi w:val="0"/>
              <w:rPr>
                <w:b w:val="0"/>
                <w:bCs/>
                <w:color w:val="auto"/>
                <w:highlight w:val="none"/>
              </w:rPr>
            </w:pPr>
            <w:r>
              <w:rPr>
                <w:b w:val="0"/>
                <w:bCs/>
                <w:color w:val="auto"/>
                <w:highlight w:val="none"/>
              </w:rPr>
              <w:t>采样日期</w:t>
            </w:r>
          </w:p>
        </w:tc>
        <w:tc>
          <w:tcPr>
            <w:tcW w:w="2050" w:type="dxa"/>
            <w:vMerge w:val="restart"/>
            <w:tcBorders>
              <w:tl2br w:val="nil"/>
              <w:tr2bl w:val="nil"/>
            </w:tcBorders>
            <w:noWrap w:val="0"/>
            <w:vAlign w:val="center"/>
          </w:tcPr>
          <w:p w14:paraId="085138F3">
            <w:pPr>
              <w:pStyle w:val="45"/>
              <w:bidi w:val="0"/>
              <w:rPr>
                <w:b w:val="0"/>
                <w:bCs/>
                <w:color w:val="auto"/>
                <w:highlight w:val="none"/>
              </w:rPr>
            </w:pPr>
            <w:r>
              <w:rPr>
                <w:b w:val="0"/>
                <w:bCs/>
                <w:color w:val="auto"/>
                <w:highlight w:val="none"/>
              </w:rPr>
              <w:t>采样时间</w:t>
            </w:r>
          </w:p>
        </w:tc>
        <w:tc>
          <w:tcPr>
            <w:tcW w:w="1238" w:type="dxa"/>
            <w:vMerge w:val="restart"/>
            <w:tcBorders>
              <w:tl2br w:val="nil"/>
              <w:tr2bl w:val="nil"/>
            </w:tcBorders>
            <w:noWrap w:val="0"/>
            <w:vAlign w:val="center"/>
          </w:tcPr>
          <w:p w14:paraId="3E0E02F9">
            <w:pPr>
              <w:pStyle w:val="45"/>
              <w:bidi w:val="0"/>
              <w:rPr>
                <w:b w:val="0"/>
                <w:bCs/>
                <w:color w:val="auto"/>
                <w:highlight w:val="none"/>
              </w:rPr>
            </w:pPr>
            <w:r>
              <w:rPr>
                <w:b w:val="0"/>
                <w:bCs/>
                <w:color w:val="auto"/>
                <w:highlight w:val="none"/>
              </w:rPr>
              <w:t>点位名称</w:t>
            </w:r>
          </w:p>
        </w:tc>
        <w:tc>
          <w:tcPr>
            <w:tcW w:w="3451" w:type="dxa"/>
            <w:gridSpan w:val="2"/>
            <w:tcBorders>
              <w:tl2br w:val="nil"/>
              <w:tr2bl w:val="nil"/>
            </w:tcBorders>
            <w:noWrap w:val="0"/>
            <w:vAlign w:val="center"/>
          </w:tcPr>
          <w:p w14:paraId="7CC43CA1">
            <w:pPr>
              <w:pStyle w:val="45"/>
              <w:bidi w:val="0"/>
              <w:rPr>
                <w:b w:val="0"/>
                <w:bCs/>
                <w:color w:val="auto"/>
                <w:highlight w:val="none"/>
              </w:rPr>
            </w:pPr>
            <w:r>
              <w:rPr>
                <w:b w:val="0"/>
                <w:bCs/>
                <w:color w:val="auto"/>
                <w:highlight w:val="none"/>
              </w:rPr>
              <w:t>检测结果</w:t>
            </w:r>
          </w:p>
        </w:tc>
      </w:tr>
      <w:tr w14:paraId="5A60B8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288" w:type="dxa"/>
            <w:vMerge w:val="continue"/>
            <w:tcBorders>
              <w:tl2br w:val="nil"/>
              <w:tr2bl w:val="nil"/>
            </w:tcBorders>
            <w:noWrap w:val="0"/>
            <w:vAlign w:val="center"/>
          </w:tcPr>
          <w:p w14:paraId="41ADFF5B">
            <w:pPr>
              <w:pStyle w:val="45"/>
              <w:bidi w:val="0"/>
              <w:rPr>
                <w:b w:val="0"/>
                <w:bCs/>
                <w:color w:val="auto"/>
                <w:highlight w:val="none"/>
              </w:rPr>
            </w:pPr>
          </w:p>
        </w:tc>
        <w:tc>
          <w:tcPr>
            <w:tcW w:w="2050" w:type="dxa"/>
            <w:vMerge w:val="continue"/>
            <w:tcBorders>
              <w:tl2br w:val="nil"/>
              <w:tr2bl w:val="nil"/>
            </w:tcBorders>
            <w:noWrap w:val="0"/>
            <w:vAlign w:val="center"/>
          </w:tcPr>
          <w:p w14:paraId="2A94543B">
            <w:pPr>
              <w:pStyle w:val="45"/>
              <w:bidi w:val="0"/>
              <w:rPr>
                <w:b w:val="0"/>
                <w:bCs/>
                <w:color w:val="auto"/>
                <w:highlight w:val="none"/>
              </w:rPr>
            </w:pPr>
          </w:p>
        </w:tc>
        <w:tc>
          <w:tcPr>
            <w:tcW w:w="1238" w:type="dxa"/>
            <w:vMerge w:val="continue"/>
            <w:tcBorders>
              <w:tl2br w:val="nil"/>
              <w:tr2bl w:val="nil"/>
            </w:tcBorders>
            <w:noWrap w:val="0"/>
            <w:vAlign w:val="center"/>
          </w:tcPr>
          <w:p w14:paraId="6C6AA705">
            <w:pPr>
              <w:pStyle w:val="45"/>
              <w:bidi w:val="0"/>
              <w:rPr>
                <w:b w:val="0"/>
                <w:bCs/>
                <w:color w:val="auto"/>
                <w:highlight w:val="none"/>
              </w:rPr>
            </w:pPr>
          </w:p>
        </w:tc>
        <w:tc>
          <w:tcPr>
            <w:tcW w:w="1750" w:type="dxa"/>
            <w:tcBorders>
              <w:tl2br w:val="nil"/>
              <w:tr2bl w:val="nil"/>
            </w:tcBorders>
            <w:noWrap w:val="0"/>
            <w:vAlign w:val="center"/>
          </w:tcPr>
          <w:p w14:paraId="5FC56474">
            <w:pPr>
              <w:pStyle w:val="45"/>
              <w:bidi w:val="0"/>
              <w:rPr>
                <w:b w:val="0"/>
                <w:bCs/>
                <w:color w:val="auto"/>
                <w:highlight w:val="none"/>
              </w:rPr>
            </w:pPr>
            <w:r>
              <w:rPr>
                <w:rFonts w:hint="eastAsia"/>
                <w:b w:val="0"/>
                <w:bCs/>
                <w:color w:val="auto"/>
                <w:highlight w:val="none"/>
              </w:rPr>
              <w:t>N</w:t>
            </w:r>
            <w:r>
              <w:rPr>
                <w:b w:val="0"/>
                <w:bCs/>
                <w:color w:val="auto"/>
                <w:highlight w:val="none"/>
              </w:rPr>
              <w:t>Ox（</w:t>
            </w:r>
            <w:r>
              <w:rPr>
                <w:rFonts w:hint="eastAsia"/>
                <w:b w:val="0"/>
                <w:bCs/>
                <w:color w:val="auto"/>
                <w:highlight w:val="none"/>
                <w:lang w:val="en-US" w:eastAsia="zh-CN"/>
              </w:rPr>
              <w:t>u</w:t>
            </w:r>
            <w:r>
              <w:rPr>
                <w:b w:val="0"/>
                <w:bCs/>
                <w:color w:val="auto"/>
                <w:highlight w:val="none"/>
              </w:rPr>
              <w:t>g/m3</w:t>
            </w:r>
            <w:r>
              <w:rPr>
                <w:rFonts w:hint="eastAsia"/>
                <w:b w:val="0"/>
                <w:bCs/>
                <w:color w:val="auto"/>
                <w:highlight w:val="none"/>
                <w:lang w:val="en-US" w:eastAsia="zh-CN"/>
              </w:rPr>
              <w:t>）</w:t>
            </w:r>
          </w:p>
        </w:tc>
        <w:tc>
          <w:tcPr>
            <w:tcW w:w="1701" w:type="dxa"/>
            <w:tcBorders>
              <w:tl2br w:val="nil"/>
              <w:tr2bl w:val="nil"/>
            </w:tcBorders>
            <w:noWrap w:val="0"/>
            <w:vAlign w:val="center"/>
          </w:tcPr>
          <w:p w14:paraId="6CB3E488">
            <w:pPr>
              <w:pStyle w:val="45"/>
              <w:bidi w:val="0"/>
              <w:rPr>
                <w:b w:val="0"/>
                <w:bCs/>
                <w:color w:val="auto"/>
                <w:highlight w:val="none"/>
              </w:rPr>
            </w:pPr>
            <w:r>
              <w:rPr>
                <w:b w:val="0"/>
                <w:bCs/>
                <w:color w:val="auto"/>
                <w:highlight w:val="none"/>
              </w:rPr>
              <w:t>TSP（</w:t>
            </w:r>
            <w:r>
              <w:rPr>
                <w:rFonts w:hint="eastAsia"/>
                <w:b w:val="0"/>
                <w:bCs/>
                <w:color w:val="auto"/>
                <w:highlight w:val="none"/>
                <w:lang w:val="en-US" w:eastAsia="zh-CN"/>
              </w:rPr>
              <w:t>u</w:t>
            </w:r>
            <w:r>
              <w:rPr>
                <w:b w:val="0"/>
                <w:bCs/>
                <w:color w:val="auto"/>
                <w:highlight w:val="none"/>
              </w:rPr>
              <w:t>g/m3</w:t>
            </w:r>
            <w:r>
              <w:rPr>
                <w:rFonts w:hint="eastAsia"/>
                <w:b w:val="0"/>
                <w:bCs/>
                <w:color w:val="auto"/>
                <w:highlight w:val="none"/>
                <w:lang w:val="en-US" w:eastAsia="zh-CN"/>
              </w:rPr>
              <w:t>）</w:t>
            </w:r>
          </w:p>
        </w:tc>
      </w:tr>
      <w:tr w14:paraId="0C890CE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88" w:type="dxa"/>
            <w:vMerge w:val="restart"/>
            <w:tcBorders>
              <w:tl2br w:val="nil"/>
              <w:tr2bl w:val="nil"/>
            </w:tcBorders>
            <w:noWrap w:val="0"/>
            <w:vAlign w:val="center"/>
          </w:tcPr>
          <w:p w14:paraId="5D103D5F">
            <w:pPr>
              <w:pStyle w:val="45"/>
              <w:bidi w:val="0"/>
              <w:rPr>
                <w:rFonts w:hint="default"/>
                <w:b w:val="0"/>
                <w:bCs/>
                <w:color w:val="auto"/>
                <w:highlight w:val="none"/>
                <w:lang w:val="en-US"/>
              </w:rPr>
            </w:pPr>
            <w:r>
              <w:rPr>
                <w:rFonts w:hint="eastAsia"/>
                <w:b w:val="0"/>
                <w:bCs/>
                <w:color w:val="auto"/>
                <w:highlight w:val="none"/>
              </w:rPr>
              <w:t>202</w:t>
            </w:r>
            <w:r>
              <w:rPr>
                <w:rFonts w:hint="eastAsia"/>
                <w:b w:val="0"/>
                <w:bCs/>
                <w:color w:val="auto"/>
                <w:highlight w:val="none"/>
                <w:lang w:val="en-US" w:eastAsia="zh-CN"/>
              </w:rPr>
              <w:t>3.07.05</w:t>
            </w:r>
          </w:p>
        </w:tc>
        <w:tc>
          <w:tcPr>
            <w:tcW w:w="2050" w:type="dxa"/>
            <w:tcBorders>
              <w:tl2br w:val="nil"/>
              <w:tr2bl w:val="nil"/>
            </w:tcBorders>
            <w:noWrap w:val="0"/>
            <w:vAlign w:val="center"/>
          </w:tcPr>
          <w:p w14:paraId="12119838">
            <w:pPr>
              <w:pStyle w:val="45"/>
              <w:bidi w:val="0"/>
              <w:rPr>
                <w:b w:val="0"/>
                <w:bCs/>
                <w:color w:val="auto"/>
                <w:highlight w:val="none"/>
              </w:rPr>
            </w:pPr>
            <w:r>
              <w:rPr>
                <w:b w:val="0"/>
                <w:bCs/>
                <w:color w:val="auto"/>
                <w:highlight w:val="none"/>
              </w:rPr>
              <w:t>02:00-次日02:00</w:t>
            </w:r>
          </w:p>
        </w:tc>
        <w:tc>
          <w:tcPr>
            <w:tcW w:w="1238" w:type="dxa"/>
            <w:vMerge w:val="restart"/>
            <w:tcBorders>
              <w:tl2br w:val="nil"/>
              <w:tr2bl w:val="nil"/>
            </w:tcBorders>
            <w:noWrap w:val="0"/>
            <w:vAlign w:val="center"/>
          </w:tcPr>
          <w:p w14:paraId="771F7539">
            <w:pPr>
              <w:pStyle w:val="45"/>
              <w:bidi w:val="0"/>
              <w:rPr>
                <w:b w:val="0"/>
                <w:bCs/>
                <w:color w:val="auto"/>
                <w:highlight w:val="none"/>
              </w:rPr>
            </w:pPr>
            <w:r>
              <w:rPr>
                <w:rFonts w:hint="eastAsia"/>
                <w:b w:val="0"/>
                <w:bCs/>
                <w:color w:val="auto"/>
                <w:highlight w:val="none"/>
                <w:lang w:val="en-US" w:eastAsia="zh-CN"/>
              </w:rPr>
              <w:t>G1</w:t>
            </w:r>
            <w:r>
              <w:rPr>
                <w:b w:val="0"/>
                <w:bCs/>
                <w:color w:val="auto"/>
                <w:highlight w:val="none"/>
              </w:rPr>
              <w:t>升压站</w:t>
            </w:r>
            <w:r>
              <w:rPr>
                <w:rFonts w:hint="eastAsia"/>
                <w:b w:val="0"/>
                <w:bCs/>
                <w:color w:val="auto"/>
                <w:highlight w:val="none"/>
                <w:lang w:val="en-US" w:eastAsia="zh-CN"/>
              </w:rPr>
              <w:t>场址外下风向1m</w:t>
            </w:r>
          </w:p>
        </w:tc>
        <w:tc>
          <w:tcPr>
            <w:tcW w:w="1750" w:type="dxa"/>
            <w:tcBorders>
              <w:tl2br w:val="nil"/>
              <w:tr2bl w:val="nil"/>
            </w:tcBorders>
            <w:noWrap w:val="0"/>
            <w:vAlign w:val="center"/>
          </w:tcPr>
          <w:p w14:paraId="0DA90B43">
            <w:pPr>
              <w:pStyle w:val="45"/>
              <w:bidi w:val="0"/>
              <w:rPr>
                <w:rFonts w:hint="default"/>
                <w:b w:val="0"/>
                <w:bCs/>
                <w:color w:val="auto"/>
                <w:highlight w:val="none"/>
                <w:lang w:val="en-US" w:eastAsia="zh-CN"/>
              </w:rPr>
            </w:pPr>
            <w:r>
              <w:rPr>
                <w:rFonts w:hint="eastAsia"/>
                <w:b w:val="0"/>
                <w:bCs/>
                <w:color w:val="auto"/>
                <w:highlight w:val="none"/>
                <w:lang w:val="en-US" w:eastAsia="zh-CN"/>
              </w:rPr>
              <w:t>/</w:t>
            </w:r>
          </w:p>
        </w:tc>
        <w:tc>
          <w:tcPr>
            <w:tcW w:w="1701" w:type="dxa"/>
            <w:tcBorders>
              <w:tl2br w:val="nil"/>
              <w:tr2bl w:val="nil"/>
            </w:tcBorders>
            <w:noWrap w:val="0"/>
            <w:vAlign w:val="center"/>
          </w:tcPr>
          <w:p w14:paraId="38076885">
            <w:pPr>
              <w:pStyle w:val="45"/>
              <w:bidi w:val="0"/>
              <w:rPr>
                <w:rFonts w:hint="default"/>
                <w:b w:val="0"/>
                <w:bCs/>
                <w:color w:val="auto"/>
                <w:highlight w:val="none"/>
                <w:lang w:val="en-US" w:eastAsia="zh-CN"/>
              </w:rPr>
            </w:pPr>
            <w:r>
              <w:rPr>
                <w:rFonts w:hint="eastAsia"/>
                <w:b w:val="0"/>
                <w:bCs/>
                <w:color w:val="auto"/>
                <w:highlight w:val="none"/>
                <w:lang w:val="en-US" w:eastAsia="zh-CN"/>
              </w:rPr>
              <w:t>87</w:t>
            </w:r>
          </w:p>
        </w:tc>
      </w:tr>
      <w:tr w14:paraId="5F3EA1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88" w:type="dxa"/>
            <w:vMerge w:val="continue"/>
            <w:tcBorders>
              <w:tl2br w:val="nil"/>
              <w:tr2bl w:val="nil"/>
            </w:tcBorders>
            <w:noWrap w:val="0"/>
            <w:vAlign w:val="center"/>
          </w:tcPr>
          <w:p w14:paraId="50C8022A">
            <w:pPr>
              <w:pStyle w:val="45"/>
              <w:bidi w:val="0"/>
              <w:rPr>
                <w:b w:val="0"/>
                <w:bCs/>
                <w:color w:val="auto"/>
                <w:highlight w:val="none"/>
              </w:rPr>
            </w:pPr>
          </w:p>
        </w:tc>
        <w:tc>
          <w:tcPr>
            <w:tcW w:w="2050" w:type="dxa"/>
            <w:tcBorders>
              <w:tl2br w:val="nil"/>
              <w:tr2bl w:val="nil"/>
            </w:tcBorders>
            <w:noWrap w:val="0"/>
            <w:vAlign w:val="center"/>
          </w:tcPr>
          <w:p w14:paraId="4BF8D023">
            <w:pPr>
              <w:pStyle w:val="45"/>
              <w:bidi w:val="0"/>
              <w:rPr>
                <w:b w:val="0"/>
                <w:bCs/>
                <w:color w:val="auto"/>
                <w:highlight w:val="none"/>
              </w:rPr>
            </w:pPr>
            <w:r>
              <w:rPr>
                <w:b w:val="0"/>
                <w:bCs/>
                <w:color w:val="auto"/>
                <w:highlight w:val="none"/>
              </w:rPr>
              <w:t>0</w:t>
            </w:r>
            <w:r>
              <w:rPr>
                <w:rFonts w:hint="eastAsia"/>
                <w:b w:val="0"/>
                <w:bCs/>
                <w:color w:val="auto"/>
                <w:highlight w:val="none"/>
              </w:rPr>
              <w:t>2</w:t>
            </w:r>
            <w:r>
              <w:rPr>
                <w:b w:val="0"/>
                <w:bCs/>
                <w:color w:val="auto"/>
                <w:highlight w:val="none"/>
              </w:rPr>
              <w:t>:00- 0</w:t>
            </w:r>
            <w:r>
              <w:rPr>
                <w:rFonts w:hint="eastAsia"/>
                <w:b w:val="0"/>
                <w:bCs/>
                <w:color w:val="auto"/>
                <w:highlight w:val="none"/>
              </w:rPr>
              <w:t>3</w:t>
            </w:r>
            <w:r>
              <w:rPr>
                <w:b w:val="0"/>
                <w:bCs/>
                <w:color w:val="auto"/>
                <w:highlight w:val="none"/>
              </w:rPr>
              <w:t>:00</w:t>
            </w:r>
          </w:p>
        </w:tc>
        <w:tc>
          <w:tcPr>
            <w:tcW w:w="1238" w:type="dxa"/>
            <w:vMerge w:val="continue"/>
            <w:tcBorders>
              <w:tl2br w:val="nil"/>
              <w:tr2bl w:val="nil"/>
            </w:tcBorders>
            <w:noWrap w:val="0"/>
            <w:vAlign w:val="center"/>
          </w:tcPr>
          <w:p w14:paraId="3A1B970F">
            <w:pPr>
              <w:pStyle w:val="45"/>
              <w:bidi w:val="0"/>
              <w:rPr>
                <w:b w:val="0"/>
                <w:bCs/>
                <w:color w:val="auto"/>
                <w:highlight w:val="none"/>
              </w:rPr>
            </w:pPr>
          </w:p>
        </w:tc>
        <w:tc>
          <w:tcPr>
            <w:tcW w:w="1750" w:type="dxa"/>
            <w:tcBorders>
              <w:tl2br w:val="nil"/>
              <w:tr2bl w:val="nil"/>
            </w:tcBorders>
            <w:noWrap w:val="0"/>
            <w:vAlign w:val="center"/>
          </w:tcPr>
          <w:p w14:paraId="2D338928">
            <w:pPr>
              <w:pStyle w:val="45"/>
              <w:bidi w:val="0"/>
              <w:rPr>
                <w:rFonts w:hint="default"/>
                <w:b w:val="0"/>
                <w:bCs/>
                <w:color w:val="auto"/>
                <w:highlight w:val="none"/>
                <w:lang w:val="en-US" w:eastAsia="zh-CN"/>
              </w:rPr>
            </w:pPr>
            <w:r>
              <w:rPr>
                <w:rFonts w:hint="eastAsia"/>
                <w:b w:val="0"/>
                <w:bCs/>
                <w:color w:val="auto"/>
                <w:highlight w:val="none"/>
                <w:lang w:val="en-US" w:eastAsia="zh-CN"/>
              </w:rPr>
              <w:t>45</w:t>
            </w:r>
          </w:p>
        </w:tc>
        <w:tc>
          <w:tcPr>
            <w:tcW w:w="1701" w:type="dxa"/>
            <w:tcBorders>
              <w:tl2br w:val="nil"/>
              <w:tr2bl w:val="nil"/>
            </w:tcBorders>
            <w:noWrap w:val="0"/>
            <w:vAlign w:val="center"/>
          </w:tcPr>
          <w:p w14:paraId="0825C064">
            <w:pPr>
              <w:pStyle w:val="45"/>
              <w:bidi w:val="0"/>
              <w:rPr>
                <w:rFonts w:hint="eastAsia"/>
                <w:b w:val="0"/>
                <w:bCs/>
                <w:color w:val="auto"/>
                <w:highlight w:val="none"/>
                <w:lang w:val="en-US" w:eastAsia="zh-CN"/>
              </w:rPr>
            </w:pPr>
            <w:r>
              <w:rPr>
                <w:rFonts w:hint="eastAsia"/>
                <w:b w:val="0"/>
                <w:bCs/>
                <w:color w:val="auto"/>
                <w:highlight w:val="none"/>
                <w:lang w:val="en-US" w:eastAsia="zh-CN"/>
              </w:rPr>
              <w:t>/</w:t>
            </w:r>
          </w:p>
        </w:tc>
      </w:tr>
      <w:tr w14:paraId="5528156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88" w:type="dxa"/>
            <w:vMerge w:val="continue"/>
            <w:tcBorders>
              <w:tl2br w:val="nil"/>
              <w:tr2bl w:val="nil"/>
            </w:tcBorders>
            <w:noWrap w:val="0"/>
            <w:vAlign w:val="center"/>
          </w:tcPr>
          <w:p w14:paraId="531D2881">
            <w:pPr>
              <w:pStyle w:val="45"/>
              <w:bidi w:val="0"/>
              <w:rPr>
                <w:b w:val="0"/>
                <w:bCs/>
                <w:color w:val="auto"/>
                <w:highlight w:val="none"/>
              </w:rPr>
            </w:pPr>
          </w:p>
        </w:tc>
        <w:tc>
          <w:tcPr>
            <w:tcW w:w="2050" w:type="dxa"/>
            <w:tcBorders>
              <w:tl2br w:val="nil"/>
              <w:tr2bl w:val="nil"/>
            </w:tcBorders>
            <w:noWrap w:val="0"/>
            <w:vAlign w:val="center"/>
          </w:tcPr>
          <w:p w14:paraId="069575B4">
            <w:pPr>
              <w:pStyle w:val="45"/>
              <w:bidi w:val="0"/>
              <w:rPr>
                <w:b w:val="0"/>
                <w:bCs/>
                <w:color w:val="auto"/>
                <w:highlight w:val="none"/>
              </w:rPr>
            </w:pPr>
            <w:r>
              <w:rPr>
                <w:rFonts w:hint="eastAsia"/>
                <w:b w:val="0"/>
                <w:bCs/>
                <w:color w:val="auto"/>
                <w:highlight w:val="none"/>
              </w:rPr>
              <w:t>08</w:t>
            </w:r>
            <w:r>
              <w:rPr>
                <w:b w:val="0"/>
                <w:bCs/>
                <w:color w:val="auto"/>
                <w:highlight w:val="none"/>
              </w:rPr>
              <w:t xml:space="preserve">:00- </w:t>
            </w:r>
            <w:r>
              <w:rPr>
                <w:rFonts w:hint="eastAsia"/>
                <w:b w:val="0"/>
                <w:bCs/>
                <w:color w:val="auto"/>
                <w:highlight w:val="none"/>
              </w:rPr>
              <w:t>09</w:t>
            </w:r>
            <w:r>
              <w:rPr>
                <w:b w:val="0"/>
                <w:bCs/>
                <w:color w:val="auto"/>
                <w:highlight w:val="none"/>
              </w:rPr>
              <w:t>:00</w:t>
            </w:r>
          </w:p>
        </w:tc>
        <w:tc>
          <w:tcPr>
            <w:tcW w:w="1238" w:type="dxa"/>
            <w:vMerge w:val="continue"/>
            <w:tcBorders>
              <w:tl2br w:val="nil"/>
              <w:tr2bl w:val="nil"/>
            </w:tcBorders>
            <w:noWrap w:val="0"/>
            <w:vAlign w:val="center"/>
          </w:tcPr>
          <w:p w14:paraId="2AF788CF">
            <w:pPr>
              <w:pStyle w:val="45"/>
              <w:bidi w:val="0"/>
              <w:rPr>
                <w:b w:val="0"/>
                <w:bCs/>
                <w:color w:val="auto"/>
                <w:highlight w:val="none"/>
              </w:rPr>
            </w:pPr>
          </w:p>
        </w:tc>
        <w:tc>
          <w:tcPr>
            <w:tcW w:w="1750" w:type="dxa"/>
            <w:tcBorders>
              <w:tl2br w:val="nil"/>
              <w:tr2bl w:val="nil"/>
            </w:tcBorders>
            <w:noWrap w:val="0"/>
            <w:vAlign w:val="center"/>
          </w:tcPr>
          <w:p w14:paraId="7897A306">
            <w:pPr>
              <w:pStyle w:val="45"/>
              <w:bidi w:val="0"/>
              <w:rPr>
                <w:rFonts w:hint="default"/>
                <w:b w:val="0"/>
                <w:bCs/>
                <w:color w:val="auto"/>
                <w:highlight w:val="none"/>
                <w:lang w:val="en-US" w:eastAsia="zh-CN"/>
              </w:rPr>
            </w:pPr>
            <w:r>
              <w:rPr>
                <w:rFonts w:hint="eastAsia"/>
                <w:b w:val="0"/>
                <w:bCs/>
                <w:color w:val="auto"/>
                <w:highlight w:val="none"/>
                <w:lang w:val="en-US" w:eastAsia="zh-CN"/>
              </w:rPr>
              <w:t>48</w:t>
            </w:r>
          </w:p>
        </w:tc>
        <w:tc>
          <w:tcPr>
            <w:tcW w:w="1701" w:type="dxa"/>
            <w:tcBorders>
              <w:tl2br w:val="nil"/>
              <w:tr2bl w:val="nil"/>
            </w:tcBorders>
            <w:noWrap w:val="0"/>
            <w:vAlign w:val="center"/>
          </w:tcPr>
          <w:p w14:paraId="79232096">
            <w:pPr>
              <w:pStyle w:val="45"/>
              <w:bidi w:val="0"/>
              <w:rPr>
                <w:rFonts w:hint="eastAsia"/>
                <w:b w:val="0"/>
                <w:bCs/>
                <w:color w:val="auto"/>
                <w:highlight w:val="none"/>
                <w:lang w:val="en-US" w:eastAsia="zh-CN"/>
              </w:rPr>
            </w:pPr>
            <w:r>
              <w:rPr>
                <w:rFonts w:hint="eastAsia"/>
                <w:b w:val="0"/>
                <w:bCs/>
                <w:color w:val="auto"/>
                <w:highlight w:val="none"/>
                <w:lang w:val="en-US" w:eastAsia="zh-CN"/>
              </w:rPr>
              <w:t>/</w:t>
            </w:r>
          </w:p>
        </w:tc>
      </w:tr>
      <w:tr w14:paraId="1F5A413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88" w:type="dxa"/>
            <w:vMerge w:val="continue"/>
            <w:tcBorders>
              <w:tl2br w:val="nil"/>
              <w:tr2bl w:val="nil"/>
            </w:tcBorders>
            <w:noWrap w:val="0"/>
            <w:vAlign w:val="center"/>
          </w:tcPr>
          <w:p w14:paraId="4707CC3B">
            <w:pPr>
              <w:pStyle w:val="45"/>
              <w:bidi w:val="0"/>
              <w:rPr>
                <w:b w:val="0"/>
                <w:bCs/>
                <w:color w:val="auto"/>
                <w:highlight w:val="none"/>
              </w:rPr>
            </w:pPr>
          </w:p>
        </w:tc>
        <w:tc>
          <w:tcPr>
            <w:tcW w:w="2050" w:type="dxa"/>
            <w:tcBorders>
              <w:tl2br w:val="nil"/>
              <w:tr2bl w:val="nil"/>
            </w:tcBorders>
            <w:noWrap w:val="0"/>
            <w:vAlign w:val="center"/>
          </w:tcPr>
          <w:p w14:paraId="342BC1D0">
            <w:pPr>
              <w:pStyle w:val="45"/>
              <w:bidi w:val="0"/>
              <w:rPr>
                <w:b w:val="0"/>
                <w:bCs/>
                <w:color w:val="auto"/>
                <w:highlight w:val="none"/>
              </w:rPr>
            </w:pPr>
            <w:r>
              <w:rPr>
                <w:b w:val="0"/>
                <w:bCs/>
                <w:color w:val="auto"/>
                <w:highlight w:val="none"/>
              </w:rPr>
              <w:t>1</w:t>
            </w:r>
            <w:r>
              <w:rPr>
                <w:rFonts w:hint="eastAsia"/>
                <w:b w:val="0"/>
                <w:bCs/>
                <w:color w:val="auto"/>
                <w:highlight w:val="none"/>
              </w:rPr>
              <w:t>4</w:t>
            </w:r>
            <w:r>
              <w:rPr>
                <w:b w:val="0"/>
                <w:bCs/>
                <w:color w:val="auto"/>
                <w:highlight w:val="none"/>
              </w:rPr>
              <w:t>:00- 1</w:t>
            </w:r>
            <w:r>
              <w:rPr>
                <w:rFonts w:hint="eastAsia"/>
                <w:b w:val="0"/>
                <w:bCs/>
                <w:color w:val="auto"/>
                <w:highlight w:val="none"/>
              </w:rPr>
              <w:t>5</w:t>
            </w:r>
            <w:r>
              <w:rPr>
                <w:b w:val="0"/>
                <w:bCs/>
                <w:color w:val="auto"/>
                <w:highlight w:val="none"/>
              </w:rPr>
              <w:t>:00</w:t>
            </w:r>
          </w:p>
        </w:tc>
        <w:tc>
          <w:tcPr>
            <w:tcW w:w="1238" w:type="dxa"/>
            <w:vMerge w:val="continue"/>
            <w:tcBorders>
              <w:tl2br w:val="nil"/>
              <w:tr2bl w:val="nil"/>
            </w:tcBorders>
            <w:noWrap w:val="0"/>
            <w:vAlign w:val="center"/>
          </w:tcPr>
          <w:p w14:paraId="2C2267B8">
            <w:pPr>
              <w:pStyle w:val="45"/>
              <w:bidi w:val="0"/>
              <w:rPr>
                <w:b w:val="0"/>
                <w:bCs/>
                <w:color w:val="auto"/>
                <w:highlight w:val="none"/>
              </w:rPr>
            </w:pPr>
          </w:p>
        </w:tc>
        <w:tc>
          <w:tcPr>
            <w:tcW w:w="1750" w:type="dxa"/>
            <w:tcBorders>
              <w:tl2br w:val="nil"/>
              <w:tr2bl w:val="nil"/>
            </w:tcBorders>
            <w:noWrap w:val="0"/>
            <w:vAlign w:val="center"/>
          </w:tcPr>
          <w:p w14:paraId="4C097ACA">
            <w:pPr>
              <w:pStyle w:val="45"/>
              <w:bidi w:val="0"/>
              <w:rPr>
                <w:rFonts w:hint="default"/>
                <w:b w:val="0"/>
                <w:bCs/>
                <w:color w:val="auto"/>
                <w:highlight w:val="none"/>
                <w:lang w:val="en-US" w:eastAsia="zh-CN"/>
              </w:rPr>
            </w:pPr>
            <w:r>
              <w:rPr>
                <w:rFonts w:hint="eastAsia"/>
                <w:b w:val="0"/>
                <w:bCs/>
                <w:color w:val="auto"/>
                <w:highlight w:val="none"/>
                <w:lang w:val="en-US" w:eastAsia="zh-CN"/>
              </w:rPr>
              <w:t>46</w:t>
            </w:r>
          </w:p>
        </w:tc>
        <w:tc>
          <w:tcPr>
            <w:tcW w:w="1701" w:type="dxa"/>
            <w:tcBorders>
              <w:tl2br w:val="nil"/>
              <w:tr2bl w:val="nil"/>
            </w:tcBorders>
            <w:noWrap w:val="0"/>
            <w:vAlign w:val="center"/>
          </w:tcPr>
          <w:p w14:paraId="32E4D8ED">
            <w:pPr>
              <w:pStyle w:val="45"/>
              <w:bidi w:val="0"/>
              <w:rPr>
                <w:rFonts w:hint="eastAsia"/>
                <w:b w:val="0"/>
                <w:bCs/>
                <w:color w:val="auto"/>
                <w:highlight w:val="none"/>
                <w:lang w:val="en-US" w:eastAsia="zh-CN"/>
              </w:rPr>
            </w:pPr>
            <w:r>
              <w:rPr>
                <w:rFonts w:hint="eastAsia"/>
                <w:b w:val="0"/>
                <w:bCs/>
                <w:color w:val="auto"/>
                <w:highlight w:val="none"/>
                <w:lang w:val="en-US" w:eastAsia="zh-CN"/>
              </w:rPr>
              <w:t>/</w:t>
            </w:r>
          </w:p>
        </w:tc>
      </w:tr>
      <w:tr w14:paraId="05829A5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88" w:type="dxa"/>
            <w:vMerge w:val="continue"/>
            <w:tcBorders>
              <w:tl2br w:val="nil"/>
              <w:tr2bl w:val="nil"/>
            </w:tcBorders>
            <w:noWrap w:val="0"/>
            <w:vAlign w:val="center"/>
          </w:tcPr>
          <w:p w14:paraId="58A9A119">
            <w:pPr>
              <w:pStyle w:val="45"/>
              <w:bidi w:val="0"/>
              <w:rPr>
                <w:b w:val="0"/>
                <w:bCs/>
                <w:color w:val="auto"/>
                <w:highlight w:val="none"/>
              </w:rPr>
            </w:pPr>
          </w:p>
        </w:tc>
        <w:tc>
          <w:tcPr>
            <w:tcW w:w="2050" w:type="dxa"/>
            <w:tcBorders>
              <w:tl2br w:val="nil"/>
              <w:tr2bl w:val="nil"/>
            </w:tcBorders>
            <w:noWrap w:val="0"/>
            <w:vAlign w:val="center"/>
          </w:tcPr>
          <w:p w14:paraId="6E5A5250">
            <w:pPr>
              <w:pStyle w:val="45"/>
              <w:bidi w:val="0"/>
              <w:rPr>
                <w:b w:val="0"/>
                <w:bCs/>
                <w:color w:val="auto"/>
                <w:highlight w:val="none"/>
              </w:rPr>
            </w:pPr>
            <w:r>
              <w:rPr>
                <w:rFonts w:hint="eastAsia"/>
                <w:b w:val="0"/>
                <w:bCs/>
                <w:color w:val="auto"/>
                <w:highlight w:val="none"/>
              </w:rPr>
              <w:t>20</w:t>
            </w:r>
            <w:r>
              <w:rPr>
                <w:b w:val="0"/>
                <w:bCs/>
                <w:color w:val="auto"/>
                <w:highlight w:val="none"/>
              </w:rPr>
              <w:t xml:space="preserve">:00- </w:t>
            </w:r>
            <w:r>
              <w:rPr>
                <w:rFonts w:hint="eastAsia"/>
                <w:b w:val="0"/>
                <w:bCs/>
                <w:color w:val="auto"/>
                <w:highlight w:val="none"/>
              </w:rPr>
              <w:t>21</w:t>
            </w:r>
            <w:r>
              <w:rPr>
                <w:b w:val="0"/>
                <w:bCs/>
                <w:color w:val="auto"/>
                <w:highlight w:val="none"/>
              </w:rPr>
              <w:t>:00</w:t>
            </w:r>
          </w:p>
        </w:tc>
        <w:tc>
          <w:tcPr>
            <w:tcW w:w="1238" w:type="dxa"/>
            <w:vMerge w:val="continue"/>
            <w:tcBorders>
              <w:tl2br w:val="nil"/>
              <w:tr2bl w:val="nil"/>
            </w:tcBorders>
            <w:noWrap w:val="0"/>
            <w:vAlign w:val="center"/>
          </w:tcPr>
          <w:p w14:paraId="6D764F62">
            <w:pPr>
              <w:pStyle w:val="45"/>
              <w:bidi w:val="0"/>
              <w:rPr>
                <w:b w:val="0"/>
                <w:bCs/>
                <w:color w:val="auto"/>
                <w:highlight w:val="none"/>
              </w:rPr>
            </w:pPr>
          </w:p>
        </w:tc>
        <w:tc>
          <w:tcPr>
            <w:tcW w:w="1750" w:type="dxa"/>
            <w:tcBorders>
              <w:tl2br w:val="nil"/>
              <w:tr2bl w:val="nil"/>
            </w:tcBorders>
            <w:noWrap w:val="0"/>
            <w:vAlign w:val="center"/>
          </w:tcPr>
          <w:p w14:paraId="29E79E33">
            <w:pPr>
              <w:pStyle w:val="45"/>
              <w:bidi w:val="0"/>
              <w:rPr>
                <w:rFonts w:hint="eastAsia"/>
                <w:b w:val="0"/>
                <w:bCs/>
                <w:color w:val="auto"/>
                <w:highlight w:val="none"/>
                <w:lang w:val="en-US" w:eastAsia="zh-CN"/>
              </w:rPr>
            </w:pPr>
            <w:r>
              <w:rPr>
                <w:rFonts w:hint="eastAsia"/>
                <w:b w:val="0"/>
                <w:bCs/>
                <w:color w:val="auto"/>
                <w:highlight w:val="none"/>
                <w:lang w:val="en-US" w:eastAsia="zh-CN"/>
              </w:rPr>
              <w:t>42</w:t>
            </w:r>
          </w:p>
        </w:tc>
        <w:tc>
          <w:tcPr>
            <w:tcW w:w="1701" w:type="dxa"/>
            <w:tcBorders>
              <w:tl2br w:val="nil"/>
              <w:tr2bl w:val="nil"/>
            </w:tcBorders>
            <w:noWrap w:val="0"/>
            <w:vAlign w:val="center"/>
          </w:tcPr>
          <w:p w14:paraId="0906FF57">
            <w:pPr>
              <w:pStyle w:val="45"/>
              <w:bidi w:val="0"/>
              <w:rPr>
                <w:rFonts w:hint="eastAsia"/>
                <w:b w:val="0"/>
                <w:bCs/>
                <w:color w:val="auto"/>
                <w:highlight w:val="none"/>
                <w:lang w:val="en-US" w:eastAsia="zh-CN"/>
              </w:rPr>
            </w:pPr>
            <w:r>
              <w:rPr>
                <w:rFonts w:hint="eastAsia"/>
                <w:b w:val="0"/>
                <w:bCs/>
                <w:color w:val="auto"/>
                <w:highlight w:val="none"/>
                <w:lang w:val="en-US" w:eastAsia="zh-CN"/>
              </w:rPr>
              <w:t>/</w:t>
            </w:r>
          </w:p>
        </w:tc>
      </w:tr>
      <w:tr w14:paraId="353A983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88" w:type="dxa"/>
            <w:vMerge w:val="restart"/>
            <w:tcBorders>
              <w:tl2br w:val="nil"/>
              <w:tr2bl w:val="nil"/>
            </w:tcBorders>
            <w:noWrap w:val="0"/>
            <w:vAlign w:val="center"/>
          </w:tcPr>
          <w:p w14:paraId="51BD3301">
            <w:pPr>
              <w:pStyle w:val="45"/>
              <w:bidi w:val="0"/>
              <w:rPr>
                <w:b w:val="0"/>
                <w:bCs/>
                <w:color w:val="auto"/>
                <w:highlight w:val="none"/>
              </w:rPr>
            </w:pPr>
            <w:r>
              <w:rPr>
                <w:rFonts w:hint="eastAsia"/>
                <w:b w:val="0"/>
                <w:bCs/>
                <w:color w:val="auto"/>
                <w:highlight w:val="none"/>
              </w:rPr>
              <w:t>202</w:t>
            </w:r>
            <w:r>
              <w:rPr>
                <w:rFonts w:hint="eastAsia"/>
                <w:b w:val="0"/>
                <w:bCs/>
                <w:color w:val="auto"/>
                <w:highlight w:val="none"/>
                <w:lang w:val="en-US" w:eastAsia="zh-CN"/>
              </w:rPr>
              <w:t>3.07.06</w:t>
            </w:r>
          </w:p>
        </w:tc>
        <w:tc>
          <w:tcPr>
            <w:tcW w:w="2050" w:type="dxa"/>
            <w:tcBorders>
              <w:tl2br w:val="nil"/>
              <w:tr2bl w:val="nil"/>
            </w:tcBorders>
            <w:noWrap w:val="0"/>
            <w:vAlign w:val="center"/>
          </w:tcPr>
          <w:p w14:paraId="14A62A75">
            <w:pPr>
              <w:pStyle w:val="45"/>
              <w:bidi w:val="0"/>
              <w:rPr>
                <w:b w:val="0"/>
                <w:bCs/>
                <w:color w:val="auto"/>
                <w:highlight w:val="none"/>
                <w:lang w:val="en-US" w:eastAsia="zh-CN"/>
              </w:rPr>
            </w:pPr>
            <w:r>
              <w:rPr>
                <w:b w:val="0"/>
                <w:bCs/>
                <w:color w:val="auto"/>
                <w:highlight w:val="none"/>
              </w:rPr>
              <w:t>02:00-次日02:00</w:t>
            </w:r>
          </w:p>
        </w:tc>
        <w:tc>
          <w:tcPr>
            <w:tcW w:w="1238" w:type="dxa"/>
            <w:vMerge w:val="continue"/>
            <w:tcBorders>
              <w:tl2br w:val="nil"/>
              <w:tr2bl w:val="nil"/>
            </w:tcBorders>
            <w:noWrap w:val="0"/>
            <w:vAlign w:val="center"/>
          </w:tcPr>
          <w:p w14:paraId="6804D68E">
            <w:pPr>
              <w:pStyle w:val="45"/>
              <w:bidi w:val="0"/>
              <w:rPr>
                <w:b w:val="0"/>
                <w:bCs/>
                <w:color w:val="auto"/>
                <w:highlight w:val="none"/>
              </w:rPr>
            </w:pPr>
          </w:p>
        </w:tc>
        <w:tc>
          <w:tcPr>
            <w:tcW w:w="1750" w:type="dxa"/>
            <w:tcBorders>
              <w:tl2br w:val="nil"/>
              <w:tr2bl w:val="nil"/>
            </w:tcBorders>
            <w:noWrap w:val="0"/>
            <w:vAlign w:val="center"/>
          </w:tcPr>
          <w:p w14:paraId="18232A30">
            <w:pPr>
              <w:pStyle w:val="45"/>
              <w:bidi w:val="0"/>
              <w:rPr>
                <w:rFonts w:hint="eastAsia"/>
                <w:b w:val="0"/>
                <w:bCs/>
                <w:color w:val="auto"/>
                <w:highlight w:val="none"/>
                <w:lang w:val="en-US" w:eastAsia="zh-CN"/>
              </w:rPr>
            </w:pPr>
            <w:r>
              <w:rPr>
                <w:rFonts w:hint="eastAsia"/>
                <w:b w:val="0"/>
                <w:bCs/>
                <w:color w:val="auto"/>
                <w:highlight w:val="none"/>
                <w:lang w:val="en-US" w:eastAsia="zh-CN"/>
              </w:rPr>
              <w:t>/</w:t>
            </w:r>
          </w:p>
        </w:tc>
        <w:tc>
          <w:tcPr>
            <w:tcW w:w="1701" w:type="dxa"/>
            <w:tcBorders>
              <w:tl2br w:val="nil"/>
              <w:tr2bl w:val="nil"/>
            </w:tcBorders>
            <w:noWrap w:val="0"/>
            <w:vAlign w:val="center"/>
          </w:tcPr>
          <w:p w14:paraId="70D6442C">
            <w:pPr>
              <w:pStyle w:val="45"/>
              <w:bidi w:val="0"/>
              <w:rPr>
                <w:rFonts w:hint="default"/>
                <w:b w:val="0"/>
                <w:bCs/>
                <w:color w:val="auto"/>
                <w:highlight w:val="none"/>
                <w:lang w:val="en-US" w:eastAsia="zh-CN"/>
              </w:rPr>
            </w:pPr>
            <w:r>
              <w:rPr>
                <w:rFonts w:hint="eastAsia"/>
                <w:b w:val="0"/>
                <w:bCs/>
                <w:color w:val="auto"/>
                <w:highlight w:val="none"/>
                <w:lang w:val="en-US" w:eastAsia="zh-CN"/>
              </w:rPr>
              <w:t>79</w:t>
            </w:r>
          </w:p>
        </w:tc>
      </w:tr>
      <w:tr w14:paraId="0C88F95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88" w:type="dxa"/>
            <w:vMerge w:val="continue"/>
            <w:tcBorders>
              <w:tl2br w:val="nil"/>
              <w:tr2bl w:val="nil"/>
            </w:tcBorders>
            <w:noWrap w:val="0"/>
            <w:vAlign w:val="center"/>
          </w:tcPr>
          <w:p w14:paraId="3D421A44">
            <w:pPr>
              <w:pStyle w:val="45"/>
              <w:bidi w:val="0"/>
              <w:rPr>
                <w:b w:val="0"/>
                <w:bCs/>
                <w:color w:val="auto"/>
                <w:highlight w:val="none"/>
              </w:rPr>
            </w:pPr>
          </w:p>
        </w:tc>
        <w:tc>
          <w:tcPr>
            <w:tcW w:w="2050" w:type="dxa"/>
            <w:tcBorders>
              <w:tl2br w:val="nil"/>
              <w:tr2bl w:val="nil"/>
            </w:tcBorders>
            <w:noWrap w:val="0"/>
            <w:vAlign w:val="center"/>
          </w:tcPr>
          <w:p w14:paraId="6C0E8D0A">
            <w:pPr>
              <w:pStyle w:val="45"/>
              <w:bidi w:val="0"/>
              <w:rPr>
                <w:b w:val="0"/>
                <w:bCs/>
                <w:color w:val="auto"/>
                <w:highlight w:val="none"/>
                <w:lang w:val="en-US" w:eastAsia="zh-CN"/>
              </w:rPr>
            </w:pPr>
            <w:r>
              <w:rPr>
                <w:b w:val="0"/>
                <w:bCs/>
                <w:color w:val="auto"/>
                <w:highlight w:val="none"/>
              </w:rPr>
              <w:t>0</w:t>
            </w:r>
            <w:r>
              <w:rPr>
                <w:rFonts w:hint="eastAsia"/>
                <w:b w:val="0"/>
                <w:bCs/>
                <w:color w:val="auto"/>
                <w:highlight w:val="none"/>
              </w:rPr>
              <w:t>2</w:t>
            </w:r>
            <w:r>
              <w:rPr>
                <w:b w:val="0"/>
                <w:bCs/>
                <w:color w:val="auto"/>
                <w:highlight w:val="none"/>
              </w:rPr>
              <w:t>:00- 0</w:t>
            </w:r>
            <w:r>
              <w:rPr>
                <w:rFonts w:hint="eastAsia"/>
                <w:b w:val="0"/>
                <w:bCs/>
                <w:color w:val="auto"/>
                <w:highlight w:val="none"/>
              </w:rPr>
              <w:t>3</w:t>
            </w:r>
            <w:r>
              <w:rPr>
                <w:b w:val="0"/>
                <w:bCs/>
                <w:color w:val="auto"/>
                <w:highlight w:val="none"/>
              </w:rPr>
              <w:t>:00</w:t>
            </w:r>
          </w:p>
        </w:tc>
        <w:tc>
          <w:tcPr>
            <w:tcW w:w="1238" w:type="dxa"/>
            <w:vMerge w:val="continue"/>
            <w:tcBorders>
              <w:tl2br w:val="nil"/>
              <w:tr2bl w:val="nil"/>
            </w:tcBorders>
            <w:noWrap w:val="0"/>
            <w:vAlign w:val="center"/>
          </w:tcPr>
          <w:p w14:paraId="49E26FB0">
            <w:pPr>
              <w:pStyle w:val="45"/>
              <w:bidi w:val="0"/>
              <w:rPr>
                <w:b w:val="0"/>
                <w:bCs/>
                <w:color w:val="auto"/>
                <w:highlight w:val="none"/>
              </w:rPr>
            </w:pPr>
          </w:p>
        </w:tc>
        <w:tc>
          <w:tcPr>
            <w:tcW w:w="1750" w:type="dxa"/>
            <w:tcBorders>
              <w:tl2br w:val="nil"/>
              <w:tr2bl w:val="nil"/>
            </w:tcBorders>
            <w:noWrap w:val="0"/>
            <w:vAlign w:val="center"/>
          </w:tcPr>
          <w:p w14:paraId="6FD7996D">
            <w:pPr>
              <w:pStyle w:val="45"/>
              <w:bidi w:val="0"/>
              <w:rPr>
                <w:rFonts w:hint="default"/>
                <w:b w:val="0"/>
                <w:bCs/>
                <w:color w:val="auto"/>
                <w:highlight w:val="none"/>
                <w:lang w:val="en-US" w:eastAsia="zh-CN"/>
              </w:rPr>
            </w:pPr>
            <w:r>
              <w:rPr>
                <w:rFonts w:hint="eastAsia"/>
                <w:b w:val="0"/>
                <w:bCs/>
                <w:color w:val="auto"/>
                <w:highlight w:val="none"/>
                <w:lang w:val="en-US" w:eastAsia="zh-CN"/>
              </w:rPr>
              <w:t>53</w:t>
            </w:r>
          </w:p>
        </w:tc>
        <w:tc>
          <w:tcPr>
            <w:tcW w:w="1701" w:type="dxa"/>
            <w:tcBorders>
              <w:tl2br w:val="nil"/>
              <w:tr2bl w:val="nil"/>
            </w:tcBorders>
            <w:noWrap w:val="0"/>
            <w:vAlign w:val="center"/>
          </w:tcPr>
          <w:p w14:paraId="4E722C99">
            <w:pPr>
              <w:pStyle w:val="45"/>
              <w:bidi w:val="0"/>
              <w:rPr>
                <w:rFonts w:hint="eastAsia"/>
                <w:b w:val="0"/>
                <w:bCs/>
                <w:color w:val="auto"/>
                <w:highlight w:val="none"/>
                <w:lang w:val="en-US" w:eastAsia="zh-CN"/>
              </w:rPr>
            </w:pPr>
            <w:r>
              <w:rPr>
                <w:rFonts w:hint="eastAsia"/>
                <w:b w:val="0"/>
                <w:bCs/>
                <w:color w:val="auto"/>
                <w:highlight w:val="none"/>
                <w:lang w:val="en-US" w:eastAsia="zh-CN"/>
              </w:rPr>
              <w:t>/</w:t>
            </w:r>
          </w:p>
        </w:tc>
      </w:tr>
      <w:tr w14:paraId="5F0F31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88" w:type="dxa"/>
            <w:vMerge w:val="continue"/>
            <w:tcBorders>
              <w:tl2br w:val="nil"/>
              <w:tr2bl w:val="nil"/>
            </w:tcBorders>
            <w:noWrap w:val="0"/>
            <w:vAlign w:val="center"/>
          </w:tcPr>
          <w:p w14:paraId="3F44F9CD">
            <w:pPr>
              <w:pStyle w:val="45"/>
              <w:bidi w:val="0"/>
              <w:rPr>
                <w:b w:val="0"/>
                <w:bCs/>
                <w:color w:val="auto"/>
                <w:highlight w:val="none"/>
              </w:rPr>
            </w:pPr>
          </w:p>
        </w:tc>
        <w:tc>
          <w:tcPr>
            <w:tcW w:w="2050" w:type="dxa"/>
            <w:tcBorders>
              <w:tl2br w:val="nil"/>
              <w:tr2bl w:val="nil"/>
            </w:tcBorders>
            <w:noWrap w:val="0"/>
            <w:vAlign w:val="center"/>
          </w:tcPr>
          <w:p w14:paraId="4AD56F4D">
            <w:pPr>
              <w:pStyle w:val="45"/>
              <w:bidi w:val="0"/>
              <w:rPr>
                <w:b w:val="0"/>
                <w:bCs/>
                <w:color w:val="auto"/>
                <w:highlight w:val="none"/>
                <w:lang w:val="en-US" w:eastAsia="zh-CN"/>
              </w:rPr>
            </w:pPr>
            <w:r>
              <w:rPr>
                <w:rFonts w:hint="eastAsia"/>
                <w:b w:val="0"/>
                <w:bCs/>
                <w:color w:val="auto"/>
                <w:highlight w:val="none"/>
              </w:rPr>
              <w:t>08</w:t>
            </w:r>
            <w:r>
              <w:rPr>
                <w:b w:val="0"/>
                <w:bCs/>
                <w:color w:val="auto"/>
                <w:highlight w:val="none"/>
              </w:rPr>
              <w:t xml:space="preserve">:00- </w:t>
            </w:r>
            <w:r>
              <w:rPr>
                <w:rFonts w:hint="eastAsia"/>
                <w:b w:val="0"/>
                <w:bCs/>
                <w:color w:val="auto"/>
                <w:highlight w:val="none"/>
              </w:rPr>
              <w:t>09</w:t>
            </w:r>
            <w:r>
              <w:rPr>
                <w:b w:val="0"/>
                <w:bCs/>
                <w:color w:val="auto"/>
                <w:highlight w:val="none"/>
              </w:rPr>
              <w:t>:00</w:t>
            </w:r>
          </w:p>
        </w:tc>
        <w:tc>
          <w:tcPr>
            <w:tcW w:w="1238" w:type="dxa"/>
            <w:vMerge w:val="continue"/>
            <w:tcBorders>
              <w:tl2br w:val="nil"/>
              <w:tr2bl w:val="nil"/>
            </w:tcBorders>
            <w:noWrap w:val="0"/>
            <w:vAlign w:val="center"/>
          </w:tcPr>
          <w:p w14:paraId="4D71AF85">
            <w:pPr>
              <w:pStyle w:val="45"/>
              <w:bidi w:val="0"/>
              <w:rPr>
                <w:b w:val="0"/>
                <w:bCs/>
                <w:color w:val="auto"/>
                <w:highlight w:val="none"/>
              </w:rPr>
            </w:pPr>
          </w:p>
        </w:tc>
        <w:tc>
          <w:tcPr>
            <w:tcW w:w="1750" w:type="dxa"/>
            <w:tcBorders>
              <w:tl2br w:val="nil"/>
              <w:tr2bl w:val="nil"/>
            </w:tcBorders>
            <w:noWrap w:val="0"/>
            <w:vAlign w:val="center"/>
          </w:tcPr>
          <w:p w14:paraId="744E1E70">
            <w:pPr>
              <w:pStyle w:val="45"/>
              <w:bidi w:val="0"/>
              <w:rPr>
                <w:rFonts w:hint="default"/>
                <w:b w:val="0"/>
                <w:bCs/>
                <w:color w:val="auto"/>
                <w:highlight w:val="none"/>
                <w:lang w:val="en-US" w:eastAsia="zh-CN"/>
              </w:rPr>
            </w:pPr>
            <w:r>
              <w:rPr>
                <w:rFonts w:hint="eastAsia"/>
                <w:b w:val="0"/>
                <w:bCs/>
                <w:color w:val="auto"/>
                <w:highlight w:val="none"/>
                <w:lang w:val="en-US" w:eastAsia="zh-CN"/>
              </w:rPr>
              <w:t>52</w:t>
            </w:r>
          </w:p>
        </w:tc>
        <w:tc>
          <w:tcPr>
            <w:tcW w:w="1701" w:type="dxa"/>
            <w:tcBorders>
              <w:tl2br w:val="nil"/>
              <w:tr2bl w:val="nil"/>
            </w:tcBorders>
            <w:noWrap w:val="0"/>
            <w:vAlign w:val="center"/>
          </w:tcPr>
          <w:p w14:paraId="67D8322D">
            <w:pPr>
              <w:pStyle w:val="45"/>
              <w:bidi w:val="0"/>
              <w:rPr>
                <w:rFonts w:hint="eastAsia"/>
                <w:b w:val="0"/>
                <w:bCs/>
                <w:color w:val="auto"/>
                <w:highlight w:val="none"/>
                <w:lang w:val="en-US" w:eastAsia="zh-CN"/>
              </w:rPr>
            </w:pPr>
            <w:r>
              <w:rPr>
                <w:rFonts w:hint="eastAsia"/>
                <w:b w:val="0"/>
                <w:bCs/>
                <w:color w:val="auto"/>
                <w:highlight w:val="none"/>
                <w:lang w:val="en-US" w:eastAsia="zh-CN"/>
              </w:rPr>
              <w:t>/</w:t>
            </w:r>
          </w:p>
        </w:tc>
      </w:tr>
      <w:tr w14:paraId="26B97E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88" w:type="dxa"/>
            <w:vMerge w:val="continue"/>
            <w:tcBorders>
              <w:tl2br w:val="nil"/>
              <w:tr2bl w:val="nil"/>
            </w:tcBorders>
            <w:noWrap w:val="0"/>
            <w:vAlign w:val="center"/>
          </w:tcPr>
          <w:p w14:paraId="417F7FA6">
            <w:pPr>
              <w:pStyle w:val="45"/>
              <w:bidi w:val="0"/>
              <w:rPr>
                <w:b w:val="0"/>
                <w:bCs/>
                <w:color w:val="auto"/>
                <w:highlight w:val="none"/>
              </w:rPr>
            </w:pPr>
          </w:p>
        </w:tc>
        <w:tc>
          <w:tcPr>
            <w:tcW w:w="2050" w:type="dxa"/>
            <w:tcBorders>
              <w:tl2br w:val="nil"/>
              <w:tr2bl w:val="nil"/>
            </w:tcBorders>
            <w:noWrap w:val="0"/>
            <w:vAlign w:val="center"/>
          </w:tcPr>
          <w:p w14:paraId="7A2E95AA">
            <w:pPr>
              <w:pStyle w:val="45"/>
              <w:bidi w:val="0"/>
              <w:rPr>
                <w:b w:val="0"/>
                <w:bCs/>
                <w:color w:val="auto"/>
                <w:highlight w:val="none"/>
                <w:lang w:val="en-US" w:eastAsia="zh-CN"/>
              </w:rPr>
            </w:pPr>
            <w:r>
              <w:rPr>
                <w:b w:val="0"/>
                <w:bCs/>
                <w:color w:val="auto"/>
                <w:highlight w:val="none"/>
              </w:rPr>
              <w:t>1</w:t>
            </w:r>
            <w:r>
              <w:rPr>
                <w:rFonts w:hint="eastAsia"/>
                <w:b w:val="0"/>
                <w:bCs/>
                <w:color w:val="auto"/>
                <w:highlight w:val="none"/>
              </w:rPr>
              <w:t>4</w:t>
            </w:r>
            <w:r>
              <w:rPr>
                <w:b w:val="0"/>
                <w:bCs/>
                <w:color w:val="auto"/>
                <w:highlight w:val="none"/>
              </w:rPr>
              <w:t>:00- 1</w:t>
            </w:r>
            <w:r>
              <w:rPr>
                <w:rFonts w:hint="eastAsia"/>
                <w:b w:val="0"/>
                <w:bCs/>
                <w:color w:val="auto"/>
                <w:highlight w:val="none"/>
              </w:rPr>
              <w:t>5</w:t>
            </w:r>
            <w:r>
              <w:rPr>
                <w:b w:val="0"/>
                <w:bCs/>
                <w:color w:val="auto"/>
                <w:highlight w:val="none"/>
              </w:rPr>
              <w:t>:00</w:t>
            </w:r>
          </w:p>
        </w:tc>
        <w:tc>
          <w:tcPr>
            <w:tcW w:w="1238" w:type="dxa"/>
            <w:vMerge w:val="continue"/>
            <w:tcBorders>
              <w:tl2br w:val="nil"/>
              <w:tr2bl w:val="nil"/>
            </w:tcBorders>
            <w:noWrap w:val="0"/>
            <w:vAlign w:val="center"/>
          </w:tcPr>
          <w:p w14:paraId="1062F9F0">
            <w:pPr>
              <w:pStyle w:val="45"/>
              <w:bidi w:val="0"/>
              <w:rPr>
                <w:b w:val="0"/>
                <w:bCs/>
                <w:color w:val="auto"/>
                <w:highlight w:val="none"/>
              </w:rPr>
            </w:pPr>
          </w:p>
        </w:tc>
        <w:tc>
          <w:tcPr>
            <w:tcW w:w="1750" w:type="dxa"/>
            <w:tcBorders>
              <w:tl2br w:val="nil"/>
              <w:tr2bl w:val="nil"/>
            </w:tcBorders>
            <w:noWrap w:val="0"/>
            <w:vAlign w:val="center"/>
          </w:tcPr>
          <w:p w14:paraId="185A192A">
            <w:pPr>
              <w:pStyle w:val="45"/>
              <w:bidi w:val="0"/>
              <w:rPr>
                <w:rFonts w:hint="default"/>
                <w:b w:val="0"/>
                <w:bCs/>
                <w:color w:val="auto"/>
                <w:highlight w:val="none"/>
                <w:lang w:val="en-US" w:eastAsia="zh-CN"/>
              </w:rPr>
            </w:pPr>
            <w:r>
              <w:rPr>
                <w:rFonts w:hint="eastAsia"/>
                <w:b w:val="0"/>
                <w:bCs/>
                <w:color w:val="auto"/>
                <w:highlight w:val="none"/>
                <w:lang w:val="en-US" w:eastAsia="zh-CN"/>
              </w:rPr>
              <w:t>57</w:t>
            </w:r>
          </w:p>
        </w:tc>
        <w:tc>
          <w:tcPr>
            <w:tcW w:w="1701" w:type="dxa"/>
            <w:tcBorders>
              <w:tl2br w:val="nil"/>
              <w:tr2bl w:val="nil"/>
            </w:tcBorders>
            <w:noWrap w:val="0"/>
            <w:vAlign w:val="center"/>
          </w:tcPr>
          <w:p w14:paraId="2EED7C68">
            <w:pPr>
              <w:pStyle w:val="45"/>
              <w:bidi w:val="0"/>
              <w:rPr>
                <w:rFonts w:hint="eastAsia"/>
                <w:b w:val="0"/>
                <w:bCs/>
                <w:color w:val="auto"/>
                <w:highlight w:val="none"/>
                <w:lang w:val="en-US" w:eastAsia="zh-CN"/>
              </w:rPr>
            </w:pPr>
            <w:r>
              <w:rPr>
                <w:rFonts w:hint="eastAsia"/>
                <w:b w:val="0"/>
                <w:bCs/>
                <w:color w:val="auto"/>
                <w:highlight w:val="none"/>
                <w:lang w:val="en-US" w:eastAsia="zh-CN"/>
              </w:rPr>
              <w:t>/</w:t>
            </w:r>
          </w:p>
        </w:tc>
      </w:tr>
      <w:tr w14:paraId="1CA486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88" w:type="dxa"/>
            <w:vMerge w:val="continue"/>
            <w:tcBorders>
              <w:tl2br w:val="nil"/>
              <w:tr2bl w:val="nil"/>
            </w:tcBorders>
            <w:noWrap w:val="0"/>
            <w:vAlign w:val="center"/>
          </w:tcPr>
          <w:p w14:paraId="32BBA9B1">
            <w:pPr>
              <w:pStyle w:val="45"/>
              <w:bidi w:val="0"/>
              <w:rPr>
                <w:b w:val="0"/>
                <w:bCs/>
                <w:color w:val="auto"/>
                <w:highlight w:val="none"/>
              </w:rPr>
            </w:pPr>
          </w:p>
        </w:tc>
        <w:tc>
          <w:tcPr>
            <w:tcW w:w="2050" w:type="dxa"/>
            <w:tcBorders>
              <w:tl2br w:val="nil"/>
              <w:tr2bl w:val="nil"/>
            </w:tcBorders>
            <w:noWrap w:val="0"/>
            <w:vAlign w:val="center"/>
          </w:tcPr>
          <w:p w14:paraId="44058387">
            <w:pPr>
              <w:pStyle w:val="45"/>
              <w:bidi w:val="0"/>
              <w:rPr>
                <w:b w:val="0"/>
                <w:bCs/>
                <w:color w:val="auto"/>
                <w:highlight w:val="none"/>
              </w:rPr>
            </w:pPr>
            <w:r>
              <w:rPr>
                <w:rFonts w:hint="eastAsia"/>
                <w:b w:val="0"/>
                <w:bCs/>
                <w:color w:val="auto"/>
                <w:highlight w:val="none"/>
              </w:rPr>
              <w:t>20</w:t>
            </w:r>
            <w:r>
              <w:rPr>
                <w:b w:val="0"/>
                <w:bCs/>
                <w:color w:val="auto"/>
                <w:highlight w:val="none"/>
              </w:rPr>
              <w:t xml:space="preserve">:00- </w:t>
            </w:r>
            <w:r>
              <w:rPr>
                <w:rFonts w:hint="eastAsia"/>
                <w:b w:val="0"/>
                <w:bCs/>
                <w:color w:val="auto"/>
                <w:highlight w:val="none"/>
              </w:rPr>
              <w:t>21</w:t>
            </w:r>
            <w:r>
              <w:rPr>
                <w:b w:val="0"/>
                <w:bCs/>
                <w:color w:val="auto"/>
                <w:highlight w:val="none"/>
              </w:rPr>
              <w:t>:00</w:t>
            </w:r>
          </w:p>
        </w:tc>
        <w:tc>
          <w:tcPr>
            <w:tcW w:w="1238" w:type="dxa"/>
            <w:vMerge w:val="continue"/>
            <w:tcBorders>
              <w:tl2br w:val="nil"/>
              <w:tr2bl w:val="nil"/>
            </w:tcBorders>
            <w:noWrap w:val="0"/>
            <w:vAlign w:val="center"/>
          </w:tcPr>
          <w:p w14:paraId="0FF81AE6">
            <w:pPr>
              <w:pStyle w:val="45"/>
              <w:bidi w:val="0"/>
              <w:rPr>
                <w:b w:val="0"/>
                <w:bCs/>
                <w:color w:val="auto"/>
                <w:highlight w:val="none"/>
              </w:rPr>
            </w:pPr>
          </w:p>
        </w:tc>
        <w:tc>
          <w:tcPr>
            <w:tcW w:w="1750" w:type="dxa"/>
            <w:tcBorders>
              <w:tl2br w:val="nil"/>
              <w:tr2bl w:val="nil"/>
            </w:tcBorders>
            <w:noWrap w:val="0"/>
            <w:vAlign w:val="center"/>
          </w:tcPr>
          <w:p w14:paraId="318496F6">
            <w:pPr>
              <w:pStyle w:val="45"/>
              <w:bidi w:val="0"/>
              <w:rPr>
                <w:rFonts w:hint="default"/>
                <w:b w:val="0"/>
                <w:bCs/>
                <w:color w:val="auto"/>
                <w:highlight w:val="none"/>
                <w:lang w:val="en-US" w:eastAsia="zh-CN"/>
              </w:rPr>
            </w:pPr>
            <w:r>
              <w:rPr>
                <w:rFonts w:hint="eastAsia"/>
                <w:b w:val="0"/>
                <w:bCs/>
                <w:color w:val="auto"/>
                <w:highlight w:val="none"/>
                <w:lang w:val="en-US" w:eastAsia="zh-CN"/>
              </w:rPr>
              <w:t>48</w:t>
            </w:r>
          </w:p>
        </w:tc>
        <w:tc>
          <w:tcPr>
            <w:tcW w:w="1701" w:type="dxa"/>
            <w:tcBorders>
              <w:tl2br w:val="nil"/>
              <w:tr2bl w:val="nil"/>
            </w:tcBorders>
            <w:noWrap w:val="0"/>
            <w:vAlign w:val="center"/>
          </w:tcPr>
          <w:p w14:paraId="3868233D">
            <w:pPr>
              <w:pStyle w:val="45"/>
              <w:bidi w:val="0"/>
              <w:rPr>
                <w:rFonts w:hint="eastAsia"/>
                <w:b w:val="0"/>
                <w:bCs/>
                <w:color w:val="auto"/>
                <w:highlight w:val="none"/>
                <w:lang w:val="en-US" w:eastAsia="zh-CN"/>
              </w:rPr>
            </w:pPr>
            <w:r>
              <w:rPr>
                <w:rFonts w:hint="eastAsia"/>
                <w:b w:val="0"/>
                <w:bCs/>
                <w:color w:val="auto"/>
                <w:highlight w:val="none"/>
                <w:lang w:val="en-US" w:eastAsia="zh-CN"/>
              </w:rPr>
              <w:t>/</w:t>
            </w:r>
          </w:p>
        </w:tc>
      </w:tr>
      <w:tr w14:paraId="7C536CA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88" w:type="dxa"/>
            <w:vMerge w:val="restart"/>
            <w:tcBorders>
              <w:tl2br w:val="nil"/>
              <w:tr2bl w:val="nil"/>
            </w:tcBorders>
            <w:noWrap w:val="0"/>
            <w:vAlign w:val="center"/>
          </w:tcPr>
          <w:p w14:paraId="67080502">
            <w:pPr>
              <w:pStyle w:val="45"/>
              <w:bidi w:val="0"/>
              <w:rPr>
                <w:b w:val="0"/>
                <w:bCs/>
                <w:color w:val="auto"/>
                <w:highlight w:val="none"/>
              </w:rPr>
            </w:pPr>
            <w:r>
              <w:rPr>
                <w:rFonts w:hint="eastAsia"/>
                <w:b w:val="0"/>
                <w:bCs/>
                <w:color w:val="auto"/>
                <w:highlight w:val="none"/>
              </w:rPr>
              <w:t>202</w:t>
            </w:r>
            <w:r>
              <w:rPr>
                <w:rFonts w:hint="eastAsia"/>
                <w:b w:val="0"/>
                <w:bCs/>
                <w:color w:val="auto"/>
                <w:highlight w:val="none"/>
                <w:lang w:val="en-US" w:eastAsia="zh-CN"/>
              </w:rPr>
              <w:t>3.07.07</w:t>
            </w:r>
          </w:p>
        </w:tc>
        <w:tc>
          <w:tcPr>
            <w:tcW w:w="2050" w:type="dxa"/>
            <w:tcBorders>
              <w:tl2br w:val="nil"/>
              <w:tr2bl w:val="nil"/>
            </w:tcBorders>
            <w:noWrap w:val="0"/>
            <w:vAlign w:val="center"/>
          </w:tcPr>
          <w:p w14:paraId="7F8D134B">
            <w:pPr>
              <w:pStyle w:val="45"/>
              <w:bidi w:val="0"/>
              <w:rPr>
                <w:b w:val="0"/>
                <w:bCs/>
                <w:color w:val="auto"/>
                <w:highlight w:val="none"/>
                <w:lang w:val="en-US" w:eastAsia="zh-CN"/>
              </w:rPr>
            </w:pPr>
            <w:r>
              <w:rPr>
                <w:b w:val="0"/>
                <w:bCs/>
                <w:color w:val="auto"/>
                <w:highlight w:val="none"/>
              </w:rPr>
              <w:t>02:00-次日02:00</w:t>
            </w:r>
          </w:p>
        </w:tc>
        <w:tc>
          <w:tcPr>
            <w:tcW w:w="1238" w:type="dxa"/>
            <w:vMerge w:val="continue"/>
            <w:tcBorders>
              <w:tl2br w:val="nil"/>
              <w:tr2bl w:val="nil"/>
            </w:tcBorders>
            <w:noWrap w:val="0"/>
            <w:vAlign w:val="center"/>
          </w:tcPr>
          <w:p w14:paraId="50164F36">
            <w:pPr>
              <w:pStyle w:val="45"/>
              <w:bidi w:val="0"/>
              <w:rPr>
                <w:b w:val="0"/>
                <w:bCs/>
                <w:color w:val="auto"/>
                <w:highlight w:val="none"/>
              </w:rPr>
            </w:pPr>
          </w:p>
        </w:tc>
        <w:tc>
          <w:tcPr>
            <w:tcW w:w="1750" w:type="dxa"/>
            <w:tcBorders>
              <w:tl2br w:val="nil"/>
              <w:tr2bl w:val="nil"/>
            </w:tcBorders>
            <w:noWrap w:val="0"/>
            <w:vAlign w:val="center"/>
          </w:tcPr>
          <w:p w14:paraId="664148ED">
            <w:pPr>
              <w:pStyle w:val="45"/>
              <w:bidi w:val="0"/>
              <w:rPr>
                <w:rFonts w:hint="eastAsia"/>
                <w:b w:val="0"/>
                <w:bCs/>
                <w:color w:val="auto"/>
                <w:highlight w:val="none"/>
                <w:lang w:val="en-US" w:eastAsia="zh-CN"/>
              </w:rPr>
            </w:pPr>
            <w:r>
              <w:rPr>
                <w:rFonts w:hint="eastAsia"/>
                <w:b w:val="0"/>
                <w:bCs/>
                <w:color w:val="auto"/>
                <w:highlight w:val="none"/>
                <w:lang w:val="en-US" w:eastAsia="zh-CN"/>
              </w:rPr>
              <w:t>/</w:t>
            </w:r>
          </w:p>
        </w:tc>
        <w:tc>
          <w:tcPr>
            <w:tcW w:w="1701" w:type="dxa"/>
            <w:tcBorders>
              <w:tl2br w:val="nil"/>
              <w:tr2bl w:val="nil"/>
            </w:tcBorders>
            <w:noWrap w:val="0"/>
            <w:vAlign w:val="center"/>
          </w:tcPr>
          <w:p w14:paraId="0223B664">
            <w:pPr>
              <w:pStyle w:val="45"/>
              <w:bidi w:val="0"/>
              <w:rPr>
                <w:rFonts w:hint="default"/>
                <w:b w:val="0"/>
                <w:bCs/>
                <w:color w:val="auto"/>
                <w:highlight w:val="none"/>
                <w:lang w:val="en-US" w:eastAsia="zh-CN"/>
              </w:rPr>
            </w:pPr>
            <w:r>
              <w:rPr>
                <w:rFonts w:hint="eastAsia"/>
                <w:b w:val="0"/>
                <w:bCs/>
                <w:color w:val="auto"/>
                <w:highlight w:val="none"/>
                <w:lang w:val="en-US" w:eastAsia="zh-CN"/>
              </w:rPr>
              <w:t>83</w:t>
            </w:r>
          </w:p>
        </w:tc>
      </w:tr>
      <w:tr w14:paraId="563C90E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88" w:type="dxa"/>
            <w:vMerge w:val="continue"/>
            <w:tcBorders>
              <w:tl2br w:val="nil"/>
              <w:tr2bl w:val="nil"/>
            </w:tcBorders>
            <w:noWrap w:val="0"/>
            <w:vAlign w:val="center"/>
          </w:tcPr>
          <w:p w14:paraId="2AA3B9C8">
            <w:pPr>
              <w:pStyle w:val="45"/>
              <w:bidi w:val="0"/>
              <w:rPr>
                <w:b w:val="0"/>
                <w:bCs/>
                <w:color w:val="auto"/>
                <w:highlight w:val="none"/>
              </w:rPr>
            </w:pPr>
          </w:p>
        </w:tc>
        <w:tc>
          <w:tcPr>
            <w:tcW w:w="2050" w:type="dxa"/>
            <w:tcBorders>
              <w:tl2br w:val="nil"/>
              <w:tr2bl w:val="nil"/>
            </w:tcBorders>
            <w:noWrap w:val="0"/>
            <w:vAlign w:val="center"/>
          </w:tcPr>
          <w:p w14:paraId="75639CB5">
            <w:pPr>
              <w:pStyle w:val="45"/>
              <w:bidi w:val="0"/>
              <w:rPr>
                <w:b w:val="0"/>
                <w:bCs/>
                <w:color w:val="auto"/>
                <w:highlight w:val="none"/>
                <w:lang w:val="en-US" w:eastAsia="zh-CN"/>
              </w:rPr>
            </w:pPr>
            <w:r>
              <w:rPr>
                <w:b w:val="0"/>
                <w:bCs/>
                <w:color w:val="auto"/>
                <w:highlight w:val="none"/>
              </w:rPr>
              <w:t>0</w:t>
            </w:r>
            <w:r>
              <w:rPr>
                <w:rFonts w:hint="eastAsia"/>
                <w:b w:val="0"/>
                <w:bCs/>
                <w:color w:val="auto"/>
                <w:highlight w:val="none"/>
              </w:rPr>
              <w:t>2</w:t>
            </w:r>
            <w:r>
              <w:rPr>
                <w:b w:val="0"/>
                <w:bCs/>
                <w:color w:val="auto"/>
                <w:highlight w:val="none"/>
              </w:rPr>
              <w:t>:00- 0</w:t>
            </w:r>
            <w:r>
              <w:rPr>
                <w:rFonts w:hint="eastAsia"/>
                <w:b w:val="0"/>
                <w:bCs/>
                <w:color w:val="auto"/>
                <w:highlight w:val="none"/>
              </w:rPr>
              <w:t>3</w:t>
            </w:r>
            <w:r>
              <w:rPr>
                <w:b w:val="0"/>
                <w:bCs/>
                <w:color w:val="auto"/>
                <w:highlight w:val="none"/>
              </w:rPr>
              <w:t>:00</w:t>
            </w:r>
          </w:p>
        </w:tc>
        <w:tc>
          <w:tcPr>
            <w:tcW w:w="1238" w:type="dxa"/>
            <w:vMerge w:val="continue"/>
            <w:tcBorders>
              <w:tl2br w:val="nil"/>
              <w:tr2bl w:val="nil"/>
            </w:tcBorders>
            <w:noWrap w:val="0"/>
            <w:vAlign w:val="center"/>
          </w:tcPr>
          <w:p w14:paraId="353E0D97">
            <w:pPr>
              <w:pStyle w:val="45"/>
              <w:bidi w:val="0"/>
              <w:rPr>
                <w:b w:val="0"/>
                <w:bCs/>
                <w:color w:val="auto"/>
                <w:highlight w:val="none"/>
              </w:rPr>
            </w:pPr>
          </w:p>
        </w:tc>
        <w:tc>
          <w:tcPr>
            <w:tcW w:w="1750" w:type="dxa"/>
            <w:tcBorders>
              <w:tl2br w:val="nil"/>
              <w:tr2bl w:val="nil"/>
            </w:tcBorders>
            <w:noWrap w:val="0"/>
            <w:vAlign w:val="center"/>
          </w:tcPr>
          <w:p w14:paraId="06B52DF4">
            <w:pPr>
              <w:pStyle w:val="45"/>
              <w:bidi w:val="0"/>
              <w:rPr>
                <w:rFonts w:hint="default"/>
                <w:b w:val="0"/>
                <w:bCs/>
                <w:color w:val="auto"/>
                <w:highlight w:val="none"/>
                <w:lang w:val="en-US" w:eastAsia="zh-CN"/>
              </w:rPr>
            </w:pPr>
            <w:r>
              <w:rPr>
                <w:rFonts w:hint="eastAsia"/>
                <w:b w:val="0"/>
                <w:bCs/>
                <w:color w:val="auto"/>
                <w:highlight w:val="none"/>
                <w:lang w:val="en-US" w:eastAsia="zh-CN"/>
              </w:rPr>
              <w:t>42</w:t>
            </w:r>
          </w:p>
        </w:tc>
        <w:tc>
          <w:tcPr>
            <w:tcW w:w="1701" w:type="dxa"/>
            <w:tcBorders>
              <w:tl2br w:val="nil"/>
              <w:tr2bl w:val="nil"/>
            </w:tcBorders>
            <w:noWrap w:val="0"/>
            <w:vAlign w:val="center"/>
          </w:tcPr>
          <w:p w14:paraId="76F0D11B">
            <w:pPr>
              <w:pStyle w:val="45"/>
              <w:bidi w:val="0"/>
              <w:rPr>
                <w:rFonts w:hint="eastAsia"/>
                <w:b w:val="0"/>
                <w:bCs/>
                <w:color w:val="auto"/>
                <w:highlight w:val="none"/>
                <w:lang w:val="en-US" w:eastAsia="zh-CN"/>
              </w:rPr>
            </w:pPr>
            <w:r>
              <w:rPr>
                <w:rFonts w:hint="eastAsia"/>
                <w:b w:val="0"/>
                <w:bCs/>
                <w:color w:val="auto"/>
                <w:highlight w:val="none"/>
                <w:lang w:val="en-US" w:eastAsia="zh-CN"/>
              </w:rPr>
              <w:t>/</w:t>
            </w:r>
          </w:p>
        </w:tc>
      </w:tr>
      <w:tr w14:paraId="1EEFB75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88" w:type="dxa"/>
            <w:vMerge w:val="continue"/>
            <w:tcBorders>
              <w:tl2br w:val="nil"/>
              <w:tr2bl w:val="nil"/>
            </w:tcBorders>
            <w:noWrap w:val="0"/>
            <w:vAlign w:val="center"/>
          </w:tcPr>
          <w:p w14:paraId="39C510DC">
            <w:pPr>
              <w:pStyle w:val="45"/>
              <w:bidi w:val="0"/>
              <w:rPr>
                <w:b w:val="0"/>
                <w:bCs/>
                <w:color w:val="auto"/>
                <w:highlight w:val="none"/>
              </w:rPr>
            </w:pPr>
          </w:p>
        </w:tc>
        <w:tc>
          <w:tcPr>
            <w:tcW w:w="2050" w:type="dxa"/>
            <w:tcBorders>
              <w:tl2br w:val="nil"/>
              <w:tr2bl w:val="nil"/>
            </w:tcBorders>
            <w:noWrap w:val="0"/>
            <w:vAlign w:val="center"/>
          </w:tcPr>
          <w:p w14:paraId="3F802A38">
            <w:pPr>
              <w:pStyle w:val="45"/>
              <w:bidi w:val="0"/>
              <w:rPr>
                <w:b w:val="0"/>
                <w:bCs/>
                <w:color w:val="auto"/>
                <w:highlight w:val="none"/>
                <w:lang w:val="en-US" w:eastAsia="zh-CN"/>
              </w:rPr>
            </w:pPr>
            <w:r>
              <w:rPr>
                <w:rFonts w:hint="eastAsia"/>
                <w:b w:val="0"/>
                <w:bCs/>
                <w:color w:val="auto"/>
                <w:highlight w:val="none"/>
              </w:rPr>
              <w:t>08</w:t>
            </w:r>
            <w:r>
              <w:rPr>
                <w:b w:val="0"/>
                <w:bCs/>
                <w:color w:val="auto"/>
                <w:highlight w:val="none"/>
              </w:rPr>
              <w:t xml:space="preserve">:00- </w:t>
            </w:r>
            <w:r>
              <w:rPr>
                <w:rFonts w:hint="eastAsia"/>
                <w:b w:val="0"/>
                <w:bCs/>
                <w:color w:val="auto"/>
                <w:highlight w:val="none"/>
              </w:rPr>
              <w:t>09</w:t>
            </w:r>
            <w:r>
              <w:rPr>
                <w:b w:val="0"/>
                <w:bCs/>
                <w:color w:val="auto"/>
                <w:highlight w:val="none"/>
              </w:rPr>
              <w:t>:00</w:t>
            </w:r>
          </w:p>
        </w:tc>
        <w:tc>
          <w:tcPr>
            <w:tcW w:w="1238" w:type="dxa"/>
            <w:vMerge w:val="continue"/>
            <w:tcBorders>
              <w:tl2br w:val="nil"/>
              <w:tr2bl w:val="nil"/>
            </w:tcBorders>
            <w:noWrap w:val="0"/>
            <w:vAlign w:val="center"/>
          </w:tcPr>
          <w:p w14:paraId="77A5DD58">
            <w:pPr>
              <w:pStyle w:val="45"/>
              <w:bidi w:val="0"/>
              <w:rPr>
                <w:b w:val="0"/>
                <w:bCs/>
                <w:color w:val="auto"/>
                <w:highlight w:val="none"/>
              </w:rPr>
            </w:pPr>
          </w:p>
        </w:tc>
        <w:tc>
          <w:tcPr>
            <w:tcW w:w="1750" w:type="dxa"/>
            <w:tcBorders>
              <w:tl2br w:val="nil"/>
              <w:tr2bl w:val="nil"/>
            </w:tcBorders>
            <w:noWrap w:val="0"/>
            <w:vAlign w:val="center"/>
          </w:tcPr>
          <w:p w14:paraId="237A8526">
            <w:pPr>
              <w:pStyle w:val="45"/>
              <w:bidi w:val="0"/>
              <w:rPr>
                <w:rFonts w:hint="default"/>
                <w:b w:val="0"/>
                <w:bCs/>
                <w:color w:val="auto"/>
                <w:highlight w:val="none"/>
                <w:lang w:val="en-US" w:eastAsia="zh-CN"/>
              </w:rPr>
            </w:pPr>
            <w:r>
              <w:rPr>
                <w:rFonts w:hint="eastAsia"/>
                <w:b w:val="0"/>
                <w:bCs/>
                <w:color w:val="auto"/>
                <w:highlight w:val="none"/>
                <w:lang w:val="en-US" w:eastAsia="zh-CN"/>
              </w:rPr>
              <w:t>46</w:t>
            </w:r>
          </w:p>
        </w:tc>
        <w:tc>
          <w:tcPr>
            <w:tcW w:w="1701" w:type="dxa"/>
            <w:tcBorders>
              <w:tl2br w:val="nil"/>
              <w:tr2bl w:val="nil"/>
            </w:tcBorders>
            <w:noWrap w:val="0"/>
            <w:vAlign w:val="center"/>
          </w:tcPr>
          <w:p w14:paraId="0550D587">
            <w:pPr>
              <w:pStyle w:val="45"/>
              <w:bidi w:val="0"/>
              <w:rPr>
                <w:rFonts w:hint="eastAsia"/>
                <w:b w:val="0"/>
                <w:bCs/>
                <w:color w:val="auto"/>
                <w:highlight w:val="none"/>
                <w:lang w:val="en-US" w:eastAsia="zh-CN"/>
              </w:rPr>
            </w:pPr>
            <w:r>
              <w:rPr>
                <w:rFonts w:hint="eastAsia"/>
                <w:b w:val="0"/>
                <w:bCs/>
                <w:color w:val="auto"/>
                <w:highlight w:val="none"/>
                <w:lang w:val="en-US" w:eastAsia="zh-CN"/>
              </w:rPr>
              <w:t>/</w:t>
            </w:r>
          </w:p>
        </w:tc>
      </w:tr>
      <w:tr w14:paraId="6925812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88" w:type="dxa"/>
            <w:vMerge w:val="continue"/>
            <w:tcBorders>
              <w:tl2br w:val="nil"/>
              <w:tr2bl w:val="nil"/>
            </w:tcBorders>
            <w:noWrap w:val="0"/>
            <w:vAlign w:val="top"/>
          </w:tcPr>
          <w:p w14:paraId="7182AEE5">
            <w:pPr>
              <w:pStyle w:val="45"/>
              <w:bidi w:val="0"/>
              <w:rPr>
                <w:b w:val="0"/>
                <w:bCs/>
                <w:color w:val="auto"/>
                <w:highlight w:val="none"/>
              </w:rPr>
            </w:pPr>
          </w:p>
        </w:tc>
        <w:tc>
          <w:tcPr>
            <w:tcW w:w="2050" w:type="dxa"/>
            <w:tcBorders>
              <w:tl2br w:val="nil"/>
              <w:tr2bl w:val="nil"/>
            </w:tcBorders>
            <w:noWrap w:val="0"/>
            <w:vAlign w:val="center"/>
          </w:tcPr>
          <w:p w14:paraId="40FF7A84">
            <w:pPr>
              <w:pStyle w:val="45"/>
              <w:bidi w:val="0"/>
              <w:rPr>
                <w:b w:val="0"/>
                <w:bCs/>
                <w:color w:val="auto"/>
                <w:highlight w:val="none"/>
                <w:lang w:val="en-US" w:eastAsia="zh-CN"/>
              </w:rPr>
            </w:pPr>
            <w:r>
              <w:rPr>
                <w:b w:val="0"/>
                <w:bCs/>
                <w:color w:val="auto"/>
                <w:highlight w:val="none"/>
              </w:rPr>
              <w:t>1</w:t>
            </w:r>
            <w:r>
              <w:rPr>
                <w:rFonts w:hint="eastAsia"/>
                <w:b w:val="0"/>
                <w:bCs/>
                <w:color w:val="auto"/>
                <w:highlight w:val="none"/>
              </w:rPr>
              <w:t>4</w:t>
            </w:r>
            <w:r>
              <w:rPr>
                <w:b w:val="0"/>
                <w:bCs/>
                <w:color w:val="auto"/>
                <w:highlight w:val="none"/>
              </w:rPr>
              <w:t>:00- 1</w:t>
            </w:r>
            <w:r>
              <w:rPr>
                <w:rFonts w:hint="eastAsia"/>
                <w:b w:val="0"/>
                <w:bCs/>
                <w:color w:val="auto"/>
                <w:highlight w:val="none"/>
              </w:rPr>
              <w:t>5</w:t>
            </w:r>
            <w:r>
              <w:rPr>
                <w:b w:val="0"/>
                <w:bCs/>
                <w:color w:val="auto"/>
                <w:highlight w:val="none"/>
              </w:rPr>
              <w:t>:00</w:t>
            </w:r>
          </w:p>
        </w:tc>
        <w:tc>
          <w:tcPr>
            <w:tcW w:w="1238" w:type="dxa"/>
            <w:vMerge w:val="continue"/>
            <w:tcBorders>
              <w:tl2br w:val="nil"/>
              <w:tr2bl w:val="nil"/>
            </w:tcBorders>
            <w:noWrap w:val="0"/>
            <w:vAlign w:val="top"/>
          </w:tcPr>
          <w:p w14:paraId="1DD63482">
            <w:pPr>
              <w:pStyle w:val="45"/>
              <w:bidi w:val="0"/>
              <w:rPr>
                <w:b w:val="0"/>
                <w:bCs/>
                <w:color w:val="auto"/>
                <w:highlight w:val="none"/>
              </w:rPr>
            </w:pPr>
          </w:p>
        </w:tc>
        <w:tc>
          <w:tcPr>
            <w:tcW w:w="1750" w:type="dxa"/>
            <w:tcBorders>
              <w:tl2br w:val="nil"/>
              <w:tr2bl w:val="nil"/>
            </w:tcBorders>
            <w:noWrap w:val="0"/>
            <w:vAlign w:val="top"/>
          </w:tcPr>
          <w:p w14:paraId="4EF4330A">
            <w:pPr>
              <w:pStyle w:val="45"/>
              <w:bidi w:val="0"/>
              <w:rPr>
                <w:rFonts w:hint="default"/>
                <w:b w:val="0"/>
                <w:bCs/>
                <w:color w:val="auto"/>
                <w:highlight w:val="none"/>
                <w:lang w:val="en-US" w:eastAsia="zh-CN"/>
              </w:rPr>
            </w:pPr>
            <w:r>
              <w:rPr>
                <w:rFonts w:hint="eastAsia"/>
                <w:b w:val="0"/>
                <w:bCs/>
                <w:color w:val="auto"/>
                <w:highlight w:val="none"/>
                <w:lang w:val="en-US" w:eastAsia="zh-CN"/>
              </w:rPr>
              <w:t>53</w:t>
            </w:r>
          </w:p>
        </w:tc>
        <w:tc>
          <w:tcPr>
            <w:tcW w:w="1701" w:type="dxa"/>
            <w:tcBorders>
              <w:tl2br w:val="nil"/>
              <w:tr2bl w:val="nil"/>
            </w:tcBorders>
            <w:noWrap w:val="0"/>
            <w:vAlign w:val="center"/>
          </w:tcPr>
          <w:p w14:paraId="691CC646">
            <w:pPr>
              <w:pStyle w:val="45"/>
              <w:bidi w:val="0"/>
              <w:rPr>
                <w:rFonts w:hint="eastAsia"/>
                <w:b w:val="0"/>
                <w:bCs/>
                <w:color w:val="auto"/>
                <w:highlight w:val="none"/>
                <w:lang w:val="en-US" w:eastAsia="zh-CN"/>
              </w:rPr>
            </w:pPr>
            <w:r>
              <w:rPr>
                <w:rFonts w:hint="eastAsia"/>
                <w:b w:val="0"/>
                <w:bCs/>
                <w:color w:val="auto"/>
                <w:highlight w:val="none"/>
                <w:lang w:val="en-US" w:eastAsia="zh-CN"/>
              </w:rPr>
              <w:t>/</w:t>
            </w:r>
          </w:p>
        </w:tc>
      </w:tr>
      <w:tr w14:paraId="71A16D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88" w:type="dxa"/>
            <w:vMerge w:val="continue"/>
            <w:tcBorders>
              <w:tl2br w:val="nil"/>
              <w:tr2bl w:val="nil"/>
            </w:tcBorders>
            <w:noWrap w:val="0"/>
            <w:vAlign w:val="top"/>
          </w:tcPr>
          <w:p w14:paraId="00FDD4A0">
            <w:pPr>
              <w:pStyle w:val="45"/>
              <w:bidi w:val="0"/>
              <w:rPr>
                <w:b w:val="0"/>
                <w:bCs/>
                <w:color w:val="auto"/>
                <w:highlight w:val="none"/>
              </w:rPr>
            </w:pPr>
          </w:p>
        </w:tc>
        <w:tc>
          <w:tcPr>
            <w:tcW w:w="2050" w:type="dxa"/>
            <w:tcBorders>
              <w:tl2br w:val="nil"/>
              <w:tr2bl w:val="nil"/>
            </w:tcBorders>
            <w:noWrap w:val="0"/>
            <w:vAlign w:val="center"/>
          </w:tcPr>
          <w:p w14:paraId="3A99F276">
            <w:pPr>
              <w:pStyle w:val="45"/>
              <w:bidi w:val="0"/>
              <w:rPr>
                <w:b w:val="0"/>
                <w:bCs/>
                <w:color w:val="auto"/>
                <w:highlight w:val="none"/>
              </w:rPr>
            </w:pPr>
            <w:r>
              <w:rPr>
                <w:rFonts w:hint="eastAsia"/>
                <w:b w:val="0"/>
                <w:bCs/>
                <w:color w:val="auto"/>
                <w:highlight w:val="none"/>
              </w:rPr>
              <w:t>20</w:t>
            </w:r>
            <w:r>
              <w:rPr>
                <w:b w:val="0"/>
                <w:bCs/>
                <w:color w:val="auto"/>
                <w:highlight w:val="none"/>
              </w:rPr>
              <w:t xml:space="preserve">:00- </w:t>
            </w:r>
            <w:r>
              <w:rPr>
                <w:rFonts w:hint="eastAsia"/>
                <w:b w:val="0"/>
                <w:bCs/>
                <w:color w:val="auto"/>
                <w:highlight w:val="none"/>
              </w:rPr>
              <w:t>21</w:t>
            </w:r>
            <w:r>
              <w:rPr>
                <w:b w:val="0"/>
                <w:bCs/>
                <w:color w:val="auto"/>
                <w:highlight w:val="none"/>
              </w:rPr>
              <w:t>:00</w:t>
            </w:r>
          </w:p>
        </w:tc>
        <w:tc>
          <w:tcPr>
            <w:tcW w:w="1238" w:type="dxa"/>
            <w:vMerge w:val="continue"/>
            <w:tcBorders>
              <w:tl2br w:val="nil"/>
              <w:tr2bl w:val="nil"/>
            </w:tcBorders>
            <w:noWrap w:val="0"/>
            <w:vAlign w:val="top"/>
          </w:tcPr>
          <w:p w14:paraId="60FCDC78">
            <w:pPr>
              <w:pStyle w:val="45"/>
              <w:bidi w:val="0"/>
              <w:rPr>
                <w:b w:val="0"/>
                <w:bCs/>
                <w:color w:val="auto"/>
                <w:highlight w:val="none"/>
              </w:rPr>
            </w:pPr>
          </w:p>
        </w:tc>
        <w:tc>
          <w:tcPr>
            <w:tcW w:w="1750" w:type="dxa"/>
            <w:tcBorders>
              <w:tl2br w:val="nil"/>
              <w:tr2bl w:val="nil"/>
            </w:tcBorders>
            <w:noWrap w:val="0"/>
            <w:vAlign w:val="top"/>
          </w:tcPr>
          <w:p w14:paraId="5370945D">
            <w:pPr>
              <w:pStyle w:val="45"/>
              <w:bidi w:val="0"/>
              <w:rPr>
                <w:rFonts w:hint="default"/>
                <w:b w:val="0"/>
                <w:bCs/>
                <w:color w:val="auto"/>
                <w:highlight w:val="none"/>
                <w:lang w:val="en-US" w:eastAsia="zh-CN"/>
              </w:rPr>
            </w:pPr>
            <w:r>
              <w:rPr>
                <w:rFonts w:hint="eastAsia"/>
                <w:b w:val="0"/>
                <w:bCs/>
                <w:color w:val="auto"/>
                <w:highlight w:val="none"/>
                <w:lang w:val="en-US" w:eastAsia="zh-CN"/>
              </w:rPr>
              <w:t>48</w:t>
            </w:r>
          </w:p>
        </w:tc>
        <w:tc>
          <w:tcPr>
            <w:tcW w:w="1701" w:type="dxa"/>
            <w:tcBorders>
              <w:tl2br w:val="nil"/>
              <w:tr2bl w:val="nil"/>
            </w:tcBorders>
            <w:noWrap w:val="0"/>
            <w:vAlign w:val="center"/>
          </w:tcPr>
          <w:p w14:paraId="366F54DF">
            <w:pPr>
              <w:pStyle w:val="45"/>
              <w:bidi w:val="0"/>
              <w:rPr>
                <w:rFonts w:hint="eastAsia"/>
                <w:b w:val="0"/>
                <w:bCs/>
                <w:color w:val="auto"/>
                <w:highlight w:val="none"/>
                <w:lang w:val="en-US" w:eastAsia="zh-CN"/>
              </w:rPr>
            </w:pPr>
            <w:r>
              <w:rPr>
                <w:rFonts w:hint="eastAsia"/>
                <w:b w:val="0"/>
                <w:bCs/>
                <w:color w:val="auto"/>
                <w:highlight w:val="none"/>
                <w:lang w:val="en-US" w:eastAsia="zh-CN"/>
              </w:rPr>
              <w:t>/</w:t>
            </w:r>
          </w:p>
        </w:tc>
      </w:tr>
      <w:tr w14:paraId="03FB37E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76" w:type="dxa"/>
            <w:gridSpan w:val="3"/>
            <w:tcBorders>
              <w:tl2br w:val="nil"/>
              <w:tr2bl w:val="nil"/>
            </w:tcBorders>
            <w:noWrap w:val="0"/>
            <w:vAlign w:val="center"/>
          </w:tcPr>
          <w:p w14:paraId="706B94EF">
            <w:pPr>
              <w:pStyle w:val="45"/>
              <w:bidi w:val="0"/>
              <w:rPr>
                <w:b w:val="0"/>
                <w:bCs/>
                <w:color w:val="auto"/>
                <w:highlight w:val="none"/>
              </w:rPr>
            </w:pPr>
            <w:r>
              <w:rPr>
                <w:rFonts w:hint="eastAsia"/>
                <w:b w:val="0"/>
                <w:bCs/>
                <w:color w:val="auto"/>
                <w:highlight w:val="none"/>
                <w:lang w:eastAsia="zh-CN"/>
              </w:rPr>
              <w:t>标准限值</w:t>
            </w:r>
          </w:p>
        </w:tc>
        <w:tc>
          <w:tcPr>
            <w:tcW w:w="1750" w:type="dxa"/>
            <w:tcBorders>
              <w:tl2br w:val="nil"/>
              <w:tr2bl w:val="nil"/>
            </w:tcBorders>
            <w:noWrap w:val="0"/>
            <w:vAlign w:val="top"/>
          </w:tcPr>
          <w:p w14:paraId="4B381CC2">
            <w:pPr>
              <w:pStyle w:val="45"/>
              <w:bidi w:val="0"/>
              <w:rPr>
                <w:rFonts w:hint="default"/>
                <w:b w:val="0"/>
                <w:bCs/>
                <w:color w:val="auto"/>
                <w:highlight w:val="none"/>
                <w:lang w:val="en-US" w:eastAsia="zh-CN"/>
              </w:rPr>
            </w:pPr>
            <w:r>
              <w:rPr>
                <w:rFonts w:hint="eastAsia"/>
                <w:b w:val="0"/>
                <w:bCs/>
                <w:color w:val="auto"/>
                <w:highlight w:val="none"/>
                <w:lang w:val="en-US" w:eastAsia="zh-CN"/>
              </w:rPr>
              <w:t>250</w:t>
            </w:r>
          </w:p>
        </w:tc>
        <w:tc>
          <w:tcPr>
            <w:tcW w:w="1701" w:type="dxa"/>
            <w:tcBorders>
              <w:tl2br w:val="nil"/>
              <w:tr2bl w:val="nil"/>
            </w:tcBorders>
            <w:noWrap w:val="0"/>
            <w:vAlign w:val="center"/>
          </w:tcPr>
          <w:p w14:paraId="0D398811">
            <w:pPr>
              <w:pStyle w:val="45"/>
              <w:bidi w:val="0"/>
              <w:rPr>
                <w:rFonts w:hint="default"/>
                <w:b w:val="0"/>
                <w:bCs/>
                <w:color w:val="auto"/>
                <w:highlight w:val="none"/>
                <w:lang w:val="en-US" w:eastAsia="zh-CN"/>
              </w:rPr>
            </w:pPr>
            <w:r>
              <w:rPr>
                <w:rFonts w:hint="eastAsia"/>
                <w:b w:val="0"/>
                <w:bCs/>
                <w:color w:val="auto"/>
                <w:highlight w:val="none"/>
                <w:lang w:val="en-US" w:eastAsia="zh-CN"/>
              </w:rPr>
              <w:t>300</w:t>
            </w:r>
          </w:p>
        </w:tc>
      </w:tr>
      <w:tr w14:paraId="69124B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76" w:type="dxa"/>
            <w:gridSpan w:val="3"/>
            <w:tcBorders>
              <w:tl2br w:val="nil"/>
              <w:tr2bl w:val="nil"/>
            </w:tcBorders>
            <w:noWrap w:val="0"/>
            <w:vAlign w:val="center"/>
          </w:tcPr>
          <w:p w14:paraId="2BFEA83F">
            <w:pPr>
              <w:pStyle w:val="45"/>
              <w:bidi w:val="0"/>
              <w:rPr>
                <w:rFonts w:hint="eastAsia"/>
                <w:b w:val="0"/>
                <w:bCs/>
                <w:color w:val="auto"/>
                <w:highlight w:val="none"/>
                <w:lang w:eastAsia="zh-CN"/>
              </w:rPr>
            </w:pPr>
            <w:r>
              <w:rPr>
                <w:rFonts w:hint="eastAsia"/>
                <w:b w:val="0"/>
                <w:bCs/>
                <w:color w:val="auto"/>
                <w:highlight w:val="none"/>
                <w:lang w:val="en-US" w:eastAsia="zh-CN"/>
              </w:rPr>
              <w:t>超标率</w:t>
            </w:r>
          </w:p>
        </w:tc>
        <w:tc>
          <w:tcPr>
            <w:tcW w:w="1750" w:type="dxa"/>
            <w:tcBorders>
              <w:tl2br w:val="nil"/>
              <w:tr2bl w:val="nil"/>
            </w:tcBorders>
            <w:noWrap w:val="0"/>
            <w:vAlign w:val="center"/>
          </w:tcPr>
          <w:p w14:paraId="023227AA">
            <w:pPr>
              <w:pStyle w:val="45"/>
              <w:bidi w:val="0"/>
              <w:rPr>
                <w:rFonts w:hint="default"/>
                <w:b w:val="0"/>
                <w:bCs/>
                <w:color w:val="auto"/>
                <w:highlight w:val="none"/>
                <w:lang w:val="en-US" w:eastAsia="zh-CN"/>
              </w:rPr>
            </w:pPr>
            <w:r>
              <w:rPr>
                <w:rFonts w:hint="eastAsia"/>
                <w:b w:val="0"/>
                <w:bCs/>
                <w:color w:val="auto"/>
                <w:highlight w:val="none"/>
                <w:lang w:val="en-US" w:eastAsia="zh-CN"/>
              </w:rPr>
              <w:t>0</w:t>
            </w:r>
          </w:p>
        </w:tc>
        <w:tc>
          <w:tcPr>
            <w:tcW w:w="1701" w:type="dxa"/>
            <w:tcBorders>
              <w:tl2br w:val="nil"/>
              <w:tr2bl w:val="nil"/>
            </w:tcBorders>
            <w:noWrap w:val="0"/>
            <w:vAlign w:val="center"/>
          </w:tcPr>
          <w:p w14:paraId="2196F7CE">
            <w:pPr>
              <w:pStyle w:val="45"/>
              <w:bidi w:val="0"/>
              <w:rPr>
                <w:rFonts w:hint="default"/>
                <w:b w:val="0"/>
                <w:bCs/>
                <w:color w:val="auto"/>
                <w:highlight w:val="none"/>
                <w:lang w:val="en-US" w:eastAsia="zh-CN"/>
              </w:rPr>
            </w:pPr>
            <w:r>
              <w:rPr>
                <w:rFonts w:hint="eastAsia"/>
                <w:b w:val="0"/>
                <w:bCs/>
                <w:color w:val="auto"/>
                <w:highlight w:val="none"/>
                <w:lang w:val="en-US" w:eastAsia="zh-CN"/>
              </w:rPr>
              <w:t>0</w:t>
            </w:r>
          </w:p>
        </w:tc>
      </w:tr>
      <w:tr w14:paraId="766388C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76" w:type="dxa"/>
            <w:gridSpan w:val="3"/>
            <w:tcBorders>
              <w:tl2br w:val="nil"/>
              <w:tr2bl w:val="nil"/>
            </w:tcBorders>
            <w:noWrap w:val="0"/>
            <w:vAlign w:val="center"/>
          </w:tcPr>
          <w:p w14:paraId="2F36974C">
            <w:pPr>
              <w:pStyle w:val="45"/>
              <w:bidi w:val="0"/>
              <w:rPr>
                <w:rFonts w:hint="eastAsia"/>
                <w:b w:val="0"/>
                <w:bCs/>
                <w:color w:val="auto"/>
                <w:highlight w:val="none"/>
                <w:lang w:eastAsia="zh-CN"/>
              </w:rPr>
            </w:pPr>
            <w:r>
              <w:rPr>
                <w:rFonts w:hint="eastAsia"/>
                <w:b w:val="0"/>
                <w:bCs/>
                <w:color w:val="auto"/>
                <w:highlight w:val="none"/>
                <w:lang w:val="en-US" w:eastAsia="zh-CN"/>
              </w:rPr>
              <w:t>最大超标倍数</w:t>
            </w:r>
          </w:p>
        </w:tc>
        <w:tc>
          <w:tcPr>
            <w:tcW w:w="1750" w:type="dxa"/>
            <w:tcBorders>
              <w:tl2br w:val="nil"/>
              <w:tr2bl w:val="nil"/>
            </w:tcBorders>
            <w:noWrap w:val="0"/>
            <w:vAlign w:val="center"/>
          </w:tcPr>
          <w:p w14:paraId="41113224">
            <w:pPr>
              <w:pStyle w:val="45"/>
              <w:bidi w:val="0"/>
              <w:rPr>
                <w:rFonts w:hint="default"/>
                <w:b w:val="0"/>
                <w:bCs/>
                <w:color w:val="auto"/>
                <w:highlight w:val="none"/>
                <w:lang w:val="en-US" w:eastAsia="zh-CN"/>
              </w:rPr>
            </w:pPr>
            <w:r>
              <w:rPr>
                <w:rFonts w:hint="eastAsia"/>
                <w:b w:val="0"/>
                <w:bCs/>
                <w:color w:val="auto"/>
                <w:highlight w:val="none"/>
                <w:lang w:val="en-US" w:eastAsia="zh-CN"/>
              </w:rPr>
              <w:t>0</w:t>
            </w:r>
          </w:p>
        </w:tc>
        <w:tc>
          <w:tcPr>
            <w:tcW w:w="1701" w:type="dxa"/>
            <w:tcBorders>
              <w:tl2br w:val="nil"/>
              <w:tr2bl w:val="nil"/>
            </w:tcBorders>
            <w:noWrap w:val="0"/>
            <w:vAlign w:val="center"/>
          </w:tcPr>
          <w:p w14:paraId="475AFA22">
            <w:pPr>
              <w:pStyle w:val="45"/>
              <w:bidi w:val="0"/>
              <w:rPr>
                <w:rFonts w:hint="default"/>
                <w:b w:val="0"/>
                <w:bCs/>
                <w:color w:val="auto"/>
                <w:highlight w:val="none"/>
                <w:lang w:val="en-US" w:eastAsia="zh-CN"/>
              </w:rPr>
            </w:pPr>
            <w:r>
              <w:rPr>
                <w:rFonts w:hint="eastAsia"/>
                <w:b w:val="0"/>
                <w:bCs/>
                <w:color w:val="auto"/>
                <w:highlight w:val="none"/>
                <w:lang w:val="en-US" w:eastAsia="zh-CN"/>
              </w:rPr>
              <w:t>0</w:t>
            </w:r>
          </w:p>
        </w:tc>
      </w:tr>
      <w:tr w14:paraId="15DB92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27" w:type="dxa"/>
            <w:gridSpan w:val="5"/>
            <w:tcBorders>
              <w:tl2br w:val="nil"/>
              <w:tr2bl w:val="nil"/>
            </w:tcBorders>
            <w:noWrap w:val="0"/>
            <w:vAlign w:val="top"/>
          </w:tcPr>
          <w:p w14:paraId="6CEA67F5">
            <w:pPr>
              <w:pStyle w:val="45"/>
              <w:bidi w:val="0"/>
              <w:rPr>
                <w:rFonts w:hint="eastAsia"/>
                <w:b w:val="0"/>
                <w:bCs/>
                <w:color w:val="auto"/>
                <w:highlight w:val="none"/>
                <w:lang w:val="en-US" w:eastAsia="zh-CN"/>
              </w:rPr>
            </w:pPr>
            <w:r>
              <w:rPr>
                <w:rFonts w:hint="eastAsia"/>
                <w:b w:val="0"/>
                <w:bCs/>
                <w:color w:val="auto"/>
                <w:highlight w:val="none"/>
                <w:lang w:val="en-US" w:eastAsia="zh-CN"/>
              </w:rPr>
              <w:t>备注：NOx、TSP执行《环境空气质量标准》（GB3095-2012）及2018年修改单。</w:t>
            </w:r>
          </w:p>
        </w:tc>
      </w:tr>
    </w:tbl>
    <w:p w14:paraId="5A804C50">
      <w:pPr>
        <w:bidi w:val="0"/>
        <w:rPr>
          <w:rFonts w:ascii="Times New Roman" w:hAnsi="Times New Roman" w:eastAsia="宋体" w:cs="Times New Roman"/>
          <w:color w:val="auto"/>
          <w:highlight w:val="none"/>
        </w:rPr>
      </w:pPr>
      <w:r>
        <w:rPr>
          <w:rFonts w:hint="eastAsia"/>
          <w:color w:val="auto"/>
          <w:highlight w:val="none"/>
          <w:lang w:val="en-US" w:eastAsia="zh-CN"/>
        </w:rPr>
        <w:t>根据上表监测结果可知，项目拟建地NOx、TSP环境空气质量现状均可满足《环境空气质量标准》（GB3095-2012）及2018年修改单标准要求。</w:t>
      </w:r>
    </w:p>
    <w:p w14:paraId="4849A867">
      <w:pPr>
        <w:pStyle w:val="4"/>
        <w:bidi w:val="0"/>
        <w:rPr>
          <w:rFonts w:hint="default" w:ascii="Times New Roman" w:hAnsi="Times New Roman" w:cs="Times New Roman"/>
          <w:color w:val="auto"/>
          <w:highlight w:val="none"/>
        </w:rPr>
      </w:pPr>
      <w:bookmarkStart w:id="83" w:name="_Toc23746"/>
      <w:r>
        <w:rPr>
          <w:rFonts w:hint="eastAsia" w:cs="Times New Roman"/>
          <w:color w:val="auto"/>
          <w:highlight w:val="none"/>
          <w:lang w:val="en-US" w:eastAsia="zh-CN"/>
        </w:rPr>
        <w:t>电磁环境</w:t>
      </w:r>
      <w:r>
        <w:rPr>
          <w:rFonts w:hint="eastAsia" w:ascii="Times New Roman" w:hAnsi="Times New Roman" w:cs="Times New Roman"/>
          <w:color w:val="auto"/>
          <w:highlight w:val="none"/>
          <w:lang w:val="en-US" w:eastAsia="zh-CN"/>
        </w:rPr>
        <w:t>现状调查与评价</w:t>
      </w:r>
      <w:bookmarkEnd w:id="83"/>
    </w:p>
    <w:p w14:paraId="7A4F38B5">
      <w:pPr>
        <w:pStyle w:val="2"/>
        <w:keepNext w:val="0"/>
        <w:keepLines w:val="0"/>
        <w:pageBreakBefore w:val="0"/>
        <w:widowControl w:val="0"/>
        <w:kinsoku/>
        <w:wordWrap/>
        <w:overflowPunct/>
        <w:topLinePunct w:val="0"/>
        <w:autoSpaceDE/>
        <w:autoSpaceDN/>
        <w:bidi w:val="0"/>
        <w:adjustRightInd w:val="0"/>
        <w:snapToGrid w:val="0"/>
        <w:spacing w:before="0" w:after="0" w:line="360" w:lineRule="auto"/>
        <w:ind w:right="0" w:firstLine="480" w:firstLineChars="200"/>
        <w:jc w:val="both"/>
        <w:textAlignment w:val="auto"/>
        <w:rPr>
          <w:rFonts w:hint="eastAsia" w:ascii="Times New Roman" w:hAnsi="Times New Roman" w:cs="Times New Roman"/>
          <w:b w:val="0"/>
          <w:bCs w:val="0"/>
          <w:color w:val="auto"/>
          <w:kern w:val="0"/>
          <w:sz w:val="24"/>
          <w:szCs w:val="24"/>
          <w:highlight w:val="none"/>
          <w:lang w:val="en-US" w:eastAsia="zh-CN" w:bidi="ar-SA"/>
        </w:rPr>
      </w:pPr>
      <w:r>
        <w:rPr>
          <w:rFonts w:hint="eastAsia" w:ascii="Times New Roman" w:hAnsi="Times New Roman" w:cs="Times New Roman"/>
          <w:b w:val="0"/>
          <w:bCs w:val="0"/>
          <w:color w:val="auto"/>
          <w:kern w:val="0"/>
          <w:sz w:val="24"/>
          <w:szCs w:val="24"/>
          <w:highlight w:val="none"/>
          <w:lang w:val="en-US" w:eastAsia="zh-CN" w:bidi="ar-SA"/>
        </w:rPr>
        <w:t>本项目依托已建大马风电场110kV升压站，升压站电磁辐射质量现状采用大马风电场升压站2021年4月2日电磁辐射验收监测数据。监测情况如下：</w:t>
      </w:r>
    </w:p>
    <w:p w14:paraId="0CDD9E06">
      <w:pPr>
        <w:pStyle w:val="2"/>
        <w:keepNext w:val="0"/>
        <w:keepLines w:val="0"/>
        <w:pageBreakBefore w:val="0"/>
        <w:widowControl w:val="0"/>
        <w:kinsoku/>
        <w:wordWrap/>
        <w:overflowPunct/>
        <w:topLinePunct w:val="0"/>
        <w:autoSpaceDE/>
        <w:autoSpaceDN/>
        <w:bidi w:val="0"/>
        <w:adjustRightInd w:val="0"/>
        <w:snapToGrid w:val="0"/>
        <w:spacing w:before="0" w:after="0" w:line="360" w:lineRule="auto"/>
        <w:ind w:right="0" w:firstLine="480" w:firstLineChars="200"/>
        <w:jc w:val="both"/>
        <w:textAlignment w:val="auto"/>
        <w:rPr>
          <w:rFonts w:hint="eastAsia" w:ascii="Times New Roman" w:hAnsi="Times New Roman" w:cs="Times New Roman"/>
          <w:b w:val="0"/>
          <w:bCs w:val="0"/>
          <w:color w:val="auto"/>
          <w:kern w:val="0"/>
          <w:sz w:val="24"/>
          <w:szCs w:val="24"/>
          <w:highlight w:val="none"/>
          <w:lang w:val="en-US" w:eastAsia="zh-CN" w:bidi="ar-SA"/>
        </w:rPr>
      </w:pPr>
      <w:r>
        <w:rPr>
          <w:rFonts w:hint="eastAsia" w:ascii="Times New Roman" w:hAnsi="Times New Roman" w:cs="Times New Roman"/>
          <w:b w:val="0"/>
          <w:bCs w:val="0"/>
          <w:color w:val="auto"/>
          <w:kern w:val="0"/>
          <w:sz w:val="24"/>
          <w:szCs w:val="24"/>
          <w:highlight w:val="none"/>
          <w:lang w:val="en-US" w:eastAsia="zh-CN" w:bidi="ar-SA"/>
        </w:rPr>
        <w:t>（1）监测因子：工频电场（E）、工频磁场（B）</w:t>
      </w:r>
    </w:p>
    <w:p w14:paraId="71F6733D">
      <w:pPr>
        <w:pStyle w:val="2"/>
        <w:keepNext w:val="0"/>
        <w:keepLines w:val="0"/>
        <w:pageBreakBefore w:val="0"/>
        <w:widowControl w:val="0"/>
        <w:kinsoku/>
        <w:wordWrap/>
        <w:overflowPunct/>
        <w:topLinePunct w:val="0"/>
        <w:autoSpaceDE/>
        <w:autoSpaceDN/>
        <w:bidi w:val="0"/>
        <w:adjustRightInd w:val="0"/>
        <w:snapToGrid w:val="0"/>
        <w:spacing w:before="0" w:after="0" w:line="360" w:lineRule="auto"/>
        <w:ind w:right="0" w:firstLine="480" w:firstLineChars="200"/>
        <w:jc w:val="both"/>
        <w:textAlignment w:val="auto"/>
        <w:rPr>
          <w:rFonts w:hint="default" w:ascii="Times New Roman" w:hAnsi="Times New Roman" w:cs="Times New Roman"/>
          <w:b w:val="0"/>
          <w:bCs w:val="0"/>
          <w:color w:val="auto"/>
          <w:kern w:val="0"/>
          <w:sz w:val="24"/>
          <w:szCs w:val="24"/>
          <w:highlight w:val="none"/>
          <w:lang w:val="en-US" w:eastAsia="zh-CN" w:bidi="ar-SA"/>
        </w:rPr>
      </w:pPr>
      <w:r>
        <w:rPr>
          <w:rFonts w:hint="eastAsia" w:ascii="Times New Roman" w:hAnsi="Times New Roman" w:cs="Times New Roman"/>
          <w:b w:val="0"/>
          <w:bCs w:val="0"/>
          <w:color w:val="auto"/>
          <w:kern w:val="0"/>
          <w:sz w:val="24"/>
          <w:szCs w:val="24"/>
          <w:highlight w:val="none"/>
          <w:lang w:val="en-US" w:eastAsia="zh-CN" w:bidi="ar-SA"/>
        </w:rPr>
        <w:t>（2）监测点位：</w:t>
      </w:r>
      <w:r>
        <w:rPr>
          <w:rFonts w:hint="default" w:ascii="Times New Roman" w:hAnsi="Times New Roman" w:cs="Times New Roman"/>
          <w:color w:val="auto"/>
          <w:sz w:val="24"/>
          <w:szCs w:val="24"/>
          <w:highlight w:val="none"/>
          <w:lang w:val="en-US" w:eastAsia="zh-CN"/>
        </w:rPr>
        <w:t>在升压站站址四周进行电磁环境现状监测</w:t>
      </w:r>
    </w:p>
    <w:p w14:paraId="321504B5">
      <w:pPr>
        <w:pStyle w:val="2"/>
        <w:keepNext w:val="0"/>
        <w:keepLines w:val="0"/>
        <w:pageBreakBefore w:val="0"/>
        <w:widowControl w:val="0"/>
        <w:kinsoku/>
        <w:wordWrap/>
        <w:overflowPunct/>
        <w:topLinePunct w:val="0"/>
        <w:autoSpaceDE/>
        <w:autoSpaceDN/>
        <w:bidi w:val="0"/>
        <w:adjustRightInd w:val="0"/>
        <w:snapToGrid w:val="0"/>
        <w:spacing w:before="0" w:after="0" w:line="360" w:lineRule="auto"/>
        <w:ind w:right="0" w:firstLine="480" w:firstLineChars="200"/>
        <w:jc w:val="both"/>
        <w:textAlignment w:val="auto"/>
        <w:rPr>
          <w:rFonts w:hint="default" w:ascii="Times New Roman" w:hAnsi="Times New Roman" w:cs="Times New Roman"/>
          <w:b w:val="0"/>
          <w:bCs w:val="0"/>
          <w:color w:val="auto"/>
          <w:kern w:val="0"/>
          <w:sz w:val="24"/>
          <w:szCs w:val="24"/>
          <w:highlight w:val="none"/>
          <w:lang w:val="en-US" w:eastAsia="zh-CN" w:bidi="ar-SA"/>
        </w:rPr>
      </w:pPr>
      <w:r>
        <w:rPr>
          <w:rFonts w:hint="eastAsia" w:ascii="Times New Roman" w:hAnsi="Times New Roman" w:cs="Times New Roman"/>
          <w:b w:val="0"/>
          <w:bCs w:val="0"/>
          <w:color w:val="auto"/>
          <w:kern w:val="0"/>
          <w:sz w:val="24"/>
          <w:szCs w:val="24"/>
          <w:highlight w:val="none"/>
          <w:lang w:val="en-US" w:eastAsia="zh-CN" w:bidi="ar-SA"/>
        </w:rPr>
        <w:t>（3）监测频次：监测1天，每个监测点监测5次</w:t>
      </w:r>
    </w:p>
    <w:p w14:paraId="21CF576B">
      <w:pPr>
        <w:pStyle w:val="2"/>
        <w:keepNext w:val="0"/>
        <w:keepLines w:val="0"/>
        <w:pageBreakBefore w:val="0"/>
        <w:widowControl w:val="0"/>
        <w:kinsoku/>
        <w:wordWrap/>
        <w:overflowPunct/>
        <w:topLinePunct w:val="0"/>
        <w:autoSpaceDE/>
        <w:autoSpaceDN/>
        <w:bidi w:val="0"/>
        <w:adjustRightInd w:val="0"/>
        <w:snapToGrid w:val="0"/>
        <w:spacing w:before="0" w:after="0" w:line="360" w:lineRule="auto"/>
        <w:ind w:right="0" w:firstLine="480" w:firstLineChars="200"/>
        <w:jc w:val="both"/>
        <w:textAlignment w:val="auto"/>
        <w:rPr>
          <w:rFonts w:hint="eastAsia" w:ascii="Times New Roman" w:hAnsi="Times New Roman" w:cs="Times New Roman"/>
          <w:b w:val="0"/>
          <w:bCs w:val="0"/>
          <w:color w:val="auto"/>
          <w:kern w:val="0"/>
          <w:sz w:val="24"/>
          <w:szCs w:val="24"/>
          <w:highlight w:val="none"/>
          <w:lang w:val="en-US" w:eastAsia="zh-CN" w:bidi="ar-SA"/>
        </w:rPr>
      </w:pPr>
      <w:r>
        <w:rPr>
          <w:rFonts w:hint="eastAsia" w:ascii="Times New Roman" w:hAnsi="Times New Roman" w:cs="Times New Roman"/>
          <w:b w:val="0"/>
          <w:bCs w:val="0"/>
          <w:color w:val="auto"/>
          <w:kern w:val="0"/>
          <w:sz w:val="24"/>
          <w:szCs w:val="24"/>
          <w:highlight w:val="none"/>
          <w:lang w:val="en-US" w:eastAsia="zh-CN" w:bidi="ar-SA"/>
        </w:rPr>
        <w:t>（4）监测结果如下表所示。</w:t>
      </w:r>
    </w:p>
    <w:p w14:paraId="7A6AF731">
      <w:pPr>
        <w:pStyle w:val="2"/>
        <w:keepNext w:val="0"/>
        <w:keepLines w:val="0"/>
        <w:pageBreakBefore w:val="0"/>
        <w:widowControl w:val="0"/>
        <w:kinsoku/>
        <w:wordWrap/>
        <w:overflowPunct/>
        <w:topLinePunct w:val="0"/>
        <w:autoSpaceDE/>
        <w:autoSpaceDN/>
        <w:bidi w:val="0"/>
        <w:adjustRightInd w:val="0"/>
        <w:snapToGrid w:val="0"/>
        <w:spacing w:before="0" w:after="0" w:line="240" w:lineRule="auto"/>
        <w:ind w:right="0"/>
        <w:jc w:val="center"/>
        <w:textAlignment w:val="auto"/>
        <w:rPr>
          <w:rFonts w:hint="default" w:ascii="Times New Roman" w:hAnsi="Times New Roman" w:cs="Times New Roman"/>
          <w:b/>
          <w:bCs/>
          <w:color w:val="auto"/>
          <w:sz w:val="24"/>
          <w:szCs w:val="24"/>
          <w:highlight w:val="none"/>
        </w:rPr>
      </w:pPr>
      <w:r>
        <w:rPr>
          <w:rFonts w:hint="default" w:ascii="Times New Roman" w:hAnsi="Times New Roman" w:cs="Times New Roman"/>
          <w:b/>
          <w:bCs/>
          <w:color w:val="auto"/>
          <w:sz w:val="24"/>
          <w:szCs w:val="24"/>
          <w:highlight w:val="none"/>
        </w:rPr>
        <w:t>表</w:t>
      </w:r>
      <w:r>
        <w:rPr>
          <w:rFonts w:hint="eastAsia" w:ascii="Times New Roman" w:hAnsi="Times New Roman" w:cs="Times New Roman"/>
          <w:b/>
          <w:bCs/>
          <w:color w:val="auto"/>
          <w:sz w:val="24"/>
          <w:szCs w:val="24"/>
          <w:highlight w:val="none"/>
          <w:lang w:val="en-US" w:eastAsia="zh-CN"/>
        </w:rPr>
        <w:t>5.7-1  现有升压站电磁辐射</w:t>
      </w:r>
      <w:r>
        <w:rPr>
          <w:rFonts w:hint="default" w:ascii="Times New Roman" w:hAnsi="Times New Roman" w:cs="Times New Roman"/>
          <w:b/>
          <w:bCs/>
          <w:color w:val="auto"/>
          <w:sz w:val="24"/>
          <w:szCs w:val="24"/>
          <w:highlight w:val="none"/>
        </w:rPr>
        <w:t>质量现状监测结果单位：dB（A）</w:t>
      </w:r>
    </w:p>
    <w:tbl>
      <w:tblPr>
        <w:tblStyle w:val="19"/>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635"/>
        <w:gridCol w:w="2459"/>
        <w:gridCol w:w="1402"/>
        <w:gridCol w:w="1118"/>
        <w:gridCol w:w="1469"/>
        <w:gridCol w:w="1252"/>
      </w:tblGrid>
      <w:tr w14:paraId="7DB9D4D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79" w:type="dxa"/>
            <w:gridSpan w:val="2"/>
            <w:tcBorders>
              <w:tl2br w:val="nil"/>
              <w:tr2bl w:val="nil"/>
            </w:tcBorders>
            <w:noWrap w:val="0"/>
            <w:vAlign w:val="top"/>
          </w:tcPr>
          <w:p w14:paraId="04A4F2B5">
            <w:pPr>
              <w:pStyle w:val="23"/>
              <w:bidi w:val="0"/>
              <w:rPr>
                <w:rFonts w:hint="default"/>
                <w:color w:val="auto"/>
                <w:highlight w:val="none"/>
              </w:rPr>
            </w:pPr>
            <w:r>
              <w:rPr>
                <w:rFonts w:hint="default"/>
                <w:color w:val="auto"/>
                <w:highlight w:val="none"/>
              </w:rPr>
              <w:t>监测点位</w:t>
            </w:r>
          </w:p>
        </w:tc>
        <w:tc>
          <w:tcPr>
            <w:tcW w:w="2427" w:type="dxa"/>
            <w:gridSpan w:val="2"/>
            <w:tcBorders>
              <w:tl2br w:val="nil"/>
              <w:tr2bl w:val="nil"/>
            </w:tcBorders>
            <w:noWrap w:val="0"/>
            <w:vAlign w:val="top"/>
          </w:tcPr>
          <w:p w14:paraId="2E02EEB5">
            <w:pPr>
              <w:pStyle w:val="23"/>
              <w:bidi w:val="0"/>
              <w:rPr>
                <w:rFonts w:hint="default"/>
                <w:color w:val="auto"/>
                <w:highlight w:val="none"/>
              </w:rPr>
            </w:pPr>
            <w:r>
              <w:rPr>
                <w:rFonts w:hint="default"/>
                <w:color w:val="auto"/>
                <w:highlight w:val="none"/>
              </w:rPr>
              <w:t>工频电场强度（V/m）</w:t>
            </w:r>
          </w:p>
        </w:tc>
        <w:tc>
          <w:tcPr>
            <w:tcW w:w="2621" w:type="dxa"/>
            <w:gridSpan w:val="2"/>
            <w:tcBorders>
              <w:tl2br w:val="nil"/>
              <w:tr2bl w:val="nil"/>
            </w:tcBorders>
            <w:noWrap w:val="0"/>
            <w:vAlign w:val="top"/>
          </w:tcPr>
          <w:p w14:paraId="2C962C82">
            <w:pPr>
              <w:pStyle w:val="23"/>
              <w:bidi w:val="0"/>
              <w:rPr>
                <w:rFonts w:hint="default"/>
                <w:color w:val="auto"/>
                <w:highlight w:val="none"/>
              </w:rPr>
            </w:pPr>
            <w:r>
              <w:rPr>
                <w:rFonts w:hint="default"/>
                <w:color w:val="auto"/>
                <w:highlight w:val="none"/>
              </w:rPr>
              <w:t>工频磁感应强度（µT）</w:t>
            </w:r>
          </w:p>
        </w:tc>
      </w:tr>
      <w:tr w14:paraId="2FCCBB1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611" w:type="dxa"/>
            <w:tcBorders>
              <w:tl2br w:val="nil"/>
              <w:tr2bl w:val="nil"/>
            </w:tcBorders>
            <w:noWrap w:val="0"/>
            <w:vAlign w:val="top"/>
          </w:tcPr>
          <w:p w14:paraId="55804CA3">
            <w:pPr>
              <w:pStyle w:val="23"/>
              <w:bidi w:val="0"/>
              <w:rPr>
                <w:rFonts w:hint="default"/>
                <w:color w:val="auto"/>
                <w:highlight w:val="none"/>
              </w:rPr>
            </w:pPr>
            <w:r>
              <w:rPr>
                <w:rFonts w:hint="default"/>
                <w:color w:val="auto"/>
                <w:highlight w:val="none"/>
              </w:rPr>
              <w:t>编号</w:t>
            </w:r>
          </w:p>
        </w:tc>
        <w:tc>
          <w:tcPr>
            <w:tcW w:w="2368" w:type="dxa"/>
            <w:tcBorders>
              <w:tl2br w:val="nil"/>
              <w:tr2bl w:val="nil"/>
            </w:tcBorders>
            <w:noWrap w:val="0"/>
            <w:vAlign w:val="top"/>
          </w:tcPr>
          <w:p w14:paraId="00574257">
            <w:pPr>
              <w:pStyle w:val="23"/>
              <w:bidi w:val="0"/>
              <w:rPr>
                <w:rFonts w:hint="default"/>
                <w:color w:val="auto"/>
                <w:highlight w:val="none"/>
              </w:rPr>
            </w:pPr>
            <w:r>
              <w:rPr>
                <w:rFonts w:hint="default"/>
                <w:color w:val="auto"/>
                <w:highlight w:val="none"/>
              </w:rPr>
              <w:t>名称</w:t>
            </w:r>
          </w:p>
        </w:tc>
        <w:tc>
          <w:tcPr>
            <w:tcW w:w="1350" w:type="dxa"/>
            <w:tcBorders>
              <w:tl2br w:val="nil"/>
              <w:tr2bl w:val="nil"/>
            </w:tcBorders>
            <w:noWrap w:val="0"/>
            <w:vAlign w:val="top"/>
          </w:tcPr>
          <w:p w14:paraId="508DC01B">
            <w:pPr>
              <w:pStyle w:val="23"/>
              <w:bidi w:val="0"/>
              <w:rPr>
                <w:rFonts w:hint="default"/>
                <w:color w:val="auto"/>
                <w:highlight w:val="none"/>
              </w:rPr>
            </w:pPr>
            <w:r>
              <w:rPr>
                <w:rFonts w:hint="default"/>
                <w:color w:val="auto"/>
                <w:highlight w:val="none"/>
              </w:rPr>
              <w:t>监测值</w:t>
            </w:r>
          </w:p>
        </w:tc>
        <w:tc>
          <w:tcPr>
            <w:tcW w:w="1077" w:type="dxa"/>
            <w:tcBorders>
              <w:tl2br w:val="nil"/>
              <w:tr2bl w:val="nil"/>
            </w:tcBorders>
            <w:noWrap w:val="0"/>
            <w:vAlign w:val="top"/>
          </w:tcPr>
          <w:p w14:paraId="62EDEE08">
            <w:pPr>
              <w:pStyle w:val="23"/>
              <w:bidi w:val="0"/>
              <w:rPr>
                <w:rFonts w:hint="default"/>
                <w:color w:val="auto"/>
                <w:highlight w:val="none"/>
              </w:rPr>
            </w:pPr>
            <w:r>
              <w:rPr>
                <w:rFonts w:hint="default"/>
                <w:color w:val="auto"/>
                <w:highlight w:val="none"/>
              </w:rPr>
              <w:t>标准限值</w:t>
            </w:r>
          </w:p>
        </w:tc>
        <w:tc>
          <w:tcPr>
            <w:tcW w:w="1415" w:type="dxa"/>
            <w:tcBorders>
              <w:tl2br w:val="nil"/>
              <w:tr2bl w:val="nil"/>
            </w:tcBorders>
            <w:noWrap w:val="0"/>
            <w:vAlign w:val="top"/>
          </w:tcPr>
          <w:p w14:paraId="745C46FB">
            <w:pPr>
              <w:pStyle w:val="23"/>
              <w:bidi w:val="0"/>
              <w:rPr>
                <w:rFonts w:hint="default"/>
                <w:color w:val="auto"/>
                <w:highlight w:val="none"/>
              </w:rPr>
            </w:pPr>
            <w:r>
              <w:rPr>
                <w:rFonts w:hint="default"/>
                <w:color w:val="auto"/>
                <w:highlight w:val="none"/>
              </w:rPr>
              <w:t>监测值</w:t>
            </w:r>
          </w:p>
        </w:tc>
        <w:tc>
          <w:tcPr>
            <w:tcW w:w="1206" w:type="dxa"/>
            <w:tcBorders>
              <w:tl2br w:val="nil"/>
              <w:tr2bl w:val="nil"/>
            </w:tcBorders>
            <w:noWrap w:val="0"/>
            <w:vAlign w:val="top"/>
          </w:tcPr>
          <w:p w14:paraId="523EFA0F">
            <w:pPr>
              <w:pStyle w:val="23"/>
              <w:bidi w:val="0"/>
              <w:rPr>
                <w:rFonts w:hint="default"/>
                <w:color w:val="auto"/>
                <w:highlight w:val="none"/>
              </w:rPr>
            </w:pPr>
            <w:r>
              <w:rPr>
                <w:rFonts w:hint="default"/>
                <w:color w:val="auto"/>
                <w:highlight w:val="none"/>
              </w:rPr>
              <w:t>标准限值</w:t>
            </w:r>
          </w:p>
        </w:tc>
      </w:tr>
      <w:tr w14:paraId="2D8096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611" w:type="dxa"/>
            <w:tcBorders>
              <w:tl2br w:val="nil"/>
              <w:tr2bl w:val="nil"/>
            </w:tcBorders>
            <w:noWrap w:val="0"/>
            <w:vAlign w:val="center"/>
          </w:tcPr>
          <w:p w14:paraId="4A4848B7">
            <w:pPr>
              <w:pStyle w:val="23"/>
              <w:bidi w:val="0"/>
              <w:rPr>
                <w:rFonts w:hint="default"/>
                <w:color w:val="auto"/>
                <w:highlight w:val="none"/>
              </w:rPr>
            </w:pPr>
            <w:r>
              <w:rPr>
                <w:rFonts w:hint="default"/>
                <w:color w:val="auto"/>
                <w:highlight w:val="none"/>
              </w:rPr>
              <w:t>1</w:t>
            </w:r>
          </w:p>
        </w:tc>
        <w:tc>
          <w:tcPr>
            <w:tcW w:w="2368" w:type="dxa"/>
            <w:tcBorders>
              <w:tl2br w:val="nil"/>
              <w:tr2bl w:val="nil"/>
            </w:tcBorders>
            <w:noWrap w:val="0"/>
            <w:vAlign w:val="center"/>
          </w:tcPr>
          <w:p w14:paraId="5F8A53EA">
            <w:pPr>
              <w:pStyle w:val="23"/>
              <w:bidi w:val="0"/>
              <w:rPr>
                <w:rFonts w:hint="default"/>
                <w:color w:val="auto"/>
                <w:highlight w:val="none"/>
                <w:lang w:val="en-US" w:eastAsia="zh-CN"/>
              </w:rPr>
            </w:pPr>
            <w:r>
              <w:rPr>
                <w:rFonts w:hint="default"/>
                <w:color w:val="auto"/>
                <w:highlight w:val="none"/>
                <w:lang w:val="en-US" w:eastAsia="zh-CN"/>
              </w:rPr>
              <w:t>站址东侧</w:t>
            </w:r>
            <w:r>
              <w:rPr>
                <w:rFonts w:hint="eastAsia"/>
                <w:color w:val="auto"/>
                <w:highlight w:val="none"/>
                <w:lang w:val="en-US" w:eastAsia="zh-CN"/>
              </w:rPr>
              <w:t>（△1）</w:t>
            </w:r>
          </w:p>
        </w:tc>
        <w:tc>
          <w:tcPr>
            <w:tcW w:w="1350" w:type="dxa"/>
            <w:tcBorders>
              <w:tl2br w:val="nil"/>
              <w:tr2bl w:val="nil"/>
            </w:tcBorders>
            <w:noWrap w:val="0"/>
            <w:vAlign w:val="center"/>
          </w:tcPr>
          <w:p w14:paraId="4656DB2B">
            <w:pPr>
              <w:pStyle w:val="23"/>
              <w:bidi w:val="0"/>
              <w:rPr>
                <w:rFonts w:hint="default"/>
                <w:color w:val="auto"/>
                <w:highlight w:val="none"/>
                <w:lang w:val="en-US" w:eastAsia="zh-CN"/>
              </w:rPr>
            </w:pPr>
            <w:r>
              <w:rPr>
                <w:rFonts w:hint="eastAsia"/>
                <w:color w:val="auto"/>
                <w:highlight w:val="none"/>
                <w:lang w:val="en-US" w:eastAsia="zh-CN"/>
              </w:rPr>
              <w:t>1.47±0.04</w:t>
            </w:r>
          </w:p>
        </w:tc>
        <w:tc>
          <w:tcPr>
            <w:tcW w:w="1077" w:type="dxa"/>
            <w:tcBorders>
              <w:tl2br w:val="nil"/>
              <w:tr2bl w:val="nil"/>
            </w:tcBorders>
            <w:noWrap w:val="0"/>
            <w:vAlign w:val="center"/>
          </w:tcPr>
          <w:p w14:paraId="5E5F9799">
            <w:pPr>
              <w:pStyle w:val="23"/>
              <w:bidi w:val="0"/>
              <w:rPr>
                <w:rFonts w:hint="default"/>
                <w:color w:val="auto"/>
                <w:highlight w:val="none"/>
              </w:rPr>
            </w:pPr>
            <w:r>
              <w:rPr>
                <w:rFonts w:hint="default"/>
                <w:color w:val="auto"/>
                <w:highlight w:val="none"/>
              </w:rPr>
              <w:t>4000</w:t>
            </w:r>
          </w:p>
        </w:tc>
        <w:tc>
          <w:tcPr>
            <w:tcW w:w="1415" w:type="dxa"/>
            <w:tcBorders>
              <w:tl2br w:val="nil"/>
              <w:tr2bl w:val="nil"/>
            </w:tcBorders>
            <w:noWrap w:val="0"/>
            <w:vAlign w:val="center"/>
          </w:tcPr>
          <w:p w14:paraId="09464510">
            <w:pPr>
              <w:pStyle w:val="23"/>
              <w:bidi w:val="0"/>
              <w:rPr>
                <w:rFonts w:hint="default"/>
                <w:color w:val="auto"/>
                <w:highlight w:val="none"/>
                <w:lang w:val="en-US" w:eastAsia="zh-CN"/>
              </w:rPr>
            </w:pPr>
            <w:r>
              <w:rPr>
                <w:rFonts w:hint="eastAsia"/>
                <w:color w:val="auto"/>
                <w:highlight w:val="none"/>
                <w:lang w:val="en-US" w:eastAsia="zh-CN"/>
              </w:rPr>
              <w:t>0.295±0.002</w:t>
            </w:r>
          </w:p>
        </w:tc>
        <w:tc>
          <w:tcPr>
            <w:tcW w:w="1206" w:type="dxa"/>
            <w:tcBorders>
              <w:tl2br w:val="nil"/>
              <w:tr2bl w:val="nil"/>
            </w:tcBorders>
            <w:noWrap w:val="0"/>
            <w:vAlign w:val="center"/>
          </w:tcPr>
          <w:p w14:paraId="0EFC0CE9">
            <w:pPr>
              <w:pStyle w:val="23"/>
              <w:bidi w:val="0"/>
              <w:rPr>
                <w:rFonts w:hint="default"/>
                <w:color w:val="auto"/>
                <w:highlight w:val="none"/>
              </w:rPr>
            </w:pPr>
            <w:r>
              <w:rPr>
                <w:rFonts w:hint="default"/>
                <w:color w:val="auto"/>
                <w:highlight w:val="none"/>
              </w:rPr>
              <w:t>100</w:t>
            </w:r>
          </w:p>
        </w:tc>
      </w:tr>
      <w:tr w14:paraId="2E0F19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611" w:type="dxa"/>
            <w:tcBorders>
              <w:tl2br w:val="nil"/>
              <w:tr2bl w:val="nil"/>
            </w:tcBorders>
            <w:noWrap w:val="0"/>
            <w:vAlign w:val="top"/>
          </w:tcPr>
          <w:p w14:paraId="0B0DF495">
            <w:pPr>
              <w:pStyle w:val="23"/>
              <w:bidi w:val="0"/>
              <w:rPr>
                <w:rFonts w:hint="default"/>
                <w:color w:val="auto"/>
                <w:highlight w:val="none"/>
              </w:rPr>
            </w:pPr>
            <w:r>
              <w:rPr>
                <w:rFonts w:hint="default"/>
                <w:color w:val="auto"/>
                <w:highlight w:val="none"/>
              </w:rPr>
              <w:t>2</w:t>
            </w:r>
          </w:p>
        </w:tc>
        <w:tc>
          <w:tcPr>
            <w:tcW w:w="2368" w:type="dxa"/>
            <w:tcBorders>
              <w:tl2br w:val="nil"/>
              <w:tr2bl w:val="nil"/>
            </w:tcBorders>
            <w:noWrap w:val="0"/>
            <w:vAlign w:val="top"/>
          </w:tcPr>
          <w:p w14:paraId="5FEC66EE">
            <w:pPr>
              <w:pStyle w:val="23"/>
              <w:bidi w:val="0"/>
              <w:rPr>
                <w:rFonts w:hint="default"/>
                <w:color w:val="auto"/>
                <w:highlight w:val="none"/>
              </w:rPr>
            </w:pPr>
            <w:r>
              <w:rPr>
                <w:rFonts w:hint="default"/>
                <w:color w:val="auto"/>
                <w:highlight w:val="none"/>
                <w:lang w:val="en-US" w:eastAsia="zh-CN"/>
              </w:rPr>
              <w:t>站址南侧</w:t>
            </w:r>
            <w:r>
              <w:rPr>
                <w:rFonts w:hint="eastAsia"/>
                <w:color w:val="auto"/>
                <w:highlight w:val="none"/>
                <w:lang w:val="en-US" w:eastAsia="zh-CN"/>
              </w:rPr>
              <w:t>（△2）</w:t>
            </w:r>
          </w:p>
        </w:tc>
        <w:tc>
          <w:tcPr>
            <w:tcW w:w="1350" w:type="dxa"/>
            <w:tcBorders>
              <w:tl2br w:val="nil"/>
              <w:tr2bl w:val="nil"/>
            </w:tcBorders>
            <w:noWrap w:val="0"/>
            <w:vAlign w:val="top"/>
          </w:tcPr>
          <w:p w14:paraId="0D7079F1">
            <w:pPr>
              <w:pStyle w:val="23"/>
              <w:bidi w:val="0"/>
              <w:rPr>
                <w:rFonts w:hint="default"/>
                <w:color w:val="auto"/>
                <w:highlight w:val="none"/>
                <w:lang w:val="en-US" w:eastAsia="zh-CN"/>
              </w:rPr>
            </w:pPr>
            <w:r>
              <w:rPr>
                <w:rFonts w:hint="eastAsia"/>
                <w:color w:val="auto"/>
                <w:highlight w:val="none"/>
                <w:lang w:val="en-US" w:eastAsia="zh-CN"/>
              </w:rPr>
              <w:t>2.48±0.03</w:t>
            </w:r>
          </w:p>
        </w:tc>
        <w:tc>
          <w:tcPr>
            <w:tcW w:w="1077" w:type="dxa"/>
            <w:tcBorders>
              <w:tl2br w:val="nil"/>
              <w:tr2bl w:val="nil"/>
            </w:tcBorders>
            <w:noWrap w:val="0"/>
            <w:vAlign w:val="top"/>
          </w:tcPr>
          <w:p w14:paraId="4EB2FC7C">
            <w:pPr>
              <w:pStyle w:val="23"/>
              <w:bidi w:val="0"/>
              <w:rPr>
                <w:rFonts w:hint="default"/>
                <w:color w:val="auto"/>
                <w:highlight w:val="none"/>
              </w:rPr>
            </w:pPr>
            <w:r>
              <w:rPr>
                <w:rFonts w:hint="default"/>
                <w:color w:val="auto"/>
                <w:highlight w:val="none"/>
              </w:rPr>
              <w:t>4000</w:t>
            </w:r>
          </w:p>
        </w:tc>
        <w:tc>
          <w:tcPr>
            <w:tcW w:w="1415" w:type="dxa"/>
            <w:tcBorders>
              <w:tl2br w:val="nil"/>
              <w:tr2bl w:val="nil"/>
            </w:tcBorders>
            <w:noWrap w:val="0"/>
            <w:vAlign w:val="top"/>
          </w:tcPr>
          <w:p w14:paraId="3C583F38">
            <w:pPr>
              <w:pStyle w:val="23"/>
              <w:bidi w:val="0"/>
              <w:rPr>
                <w:rFonts w:hint="default"/>
                <w:color w:val="auto"/>
                <w:highlight w:val="none"/>
                <w:lang w:val="en-US" w:eastAsia="zh-CN"/>
              </w:rPr>
            </w:pPr>
            <w:r>
              <w:rPr>
                <w:rFonts w:hint="eastAsia"/>
                <w:color w:val="auto"/>
                <w:highlight w:val="none"/>
                <w:lang w:val="en-US" w:eastAsia="zh-CN"/>
              </w:rPr>
              <w:t>0.315±0.006</w:t>
            </w:r>
          </w:p>
        </w:tc>
        <w:tc>
          <w:tcPr>
            <w:tcW w:w="1206" w:type="dxa"/>
            <w:tcBorders>
              <w:tl2br w:val="nil"/>
              <w:tr2bl w:val="nil"/>
            </w:tcBorders>
            <w:noWrap w:val="0"/>
            <w:vAlign w:val="top"/>
          </w:tcPr>
          <w:p w14:paraId="436C7B61">
            <w:pPr>
              <w:pStyle w:val="23"/>
              <w:bidi w:val="0"/>
              <w:rPr>
                <w:rFonts w:hint="default"/>
                <w:color w:val="auto"/>
                <w:highlight w:val="none"/>
              </w:rPr>
            </w:pPr>
            <w:r>
              <w:rPr>
                <w:rFonts w:hint="default"/>
                <w:color w:val="auto"/>
                <w:highlight w:val="none"/>
              </w:rPr>
              <w:t>100</w:t>
            </w:r>
          </w:p>
        </w:tc>
      </w:tr>
      <w:tr w14:paraId="5F946F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611" w:type="dxa"/>
            <w:tcBorders>
              <w:tl2br w:val="nil"/>
              <w:tr2bl w:val="nil"/>
            </w:tcBorders>
            <w:noWrap w:val="0"/>
            <w:vAlign w:val="top"/>
          </w:tcPr>
          <w:p w14:paraId="23760DEF">
            <w:pPr>
              <w:pStyle w:val="23"/>
              <w:bidi w:val="0"/>
              <w:rPr>
                <w:rFonts w:hint="default"/>
                <w:color w:val="auto"/>
                <w:highlight w:val="none"/>
              </w:rPr>
            </w:pPr>
            <w:r>
              <w:rPr>
                <w:rFonts w:hint="default"/>
                <w:color w:val="auto"/>
                <w:highlight w:val="none"/>
              </w:rPr>
              <w:t>3</w:t>
            </w:r>
          </w:p>
        </w:tc>
        <w:tc>
          <w:tcPr>
            <w:tcW w:w="2368" w:type="dxa"/>
            <w:tcBorders>
              <w:tl2br w:val="nil"/>
              <w:tr2bl w:val="nil"/>
            </w:tcBorders>
            <w:noWrap w:val="0"/>
            <w:vAlign w:val="top"/>
          </w:tcPr>
          <w:p w14:paraId="2DC0CD8F">
            <w:pPr>
              <w:pStyle w:val="23"/>
              <w:bidi w:val="0"/>
              <w:rPr>
                <w:rFonts w:hint="default"/>
                <w:color w:val="auto"/>
                <w:highlight w:val="none"/>
              </w:rPr>
            </w:pPr>
            <w:r>
              <w:rPr>
                <w:rFonts w:hint="default"/>
                <w:color w:val="auto"/>
                <w:highlight w:val="none"/>
                <w:lang w:val="en-US" w:eastAsia="zh-CN"/>
              </w:rPr>
              <w:t>站址西侧</w:t>
            </w:r>
            <w:r>
              <w:rPr>
                <w:rFonts w:hint="eastAsia"/>
                <w:color w:val="auto"/>
                <w:highlight w:val="none"/>
                <w:lang w:val="en-US" w:eastAsia="zh-CN"/>
              </w:rPr>
              <w:t>（△3）</w:t>
            </w:r>
          </w:p>
        </w:tc>
        <w:tc>
          <w:tcPr>
            <w:tcW w:w="1350" w:type="dxa"/>
            <w:tcBorders>
              <w:tl2br w:val="nil"/>
              <w:tr2bl w:val="nil"/>
            </w:tcBorders>
            <w:noWrap w:val="0"/>
            <w:vAlign w:val="top"/>
          </w:tcPr>
          <w:p w14:paraId="2C9251F0">
            <w:pPr>
              <w:pStyle w:val="23"/>
              <w:bidi w:val="0"/>
              <w:rPr>
                <w:rFonts w:hint="default"/>
                <w:color w:val="auto"/>
                <w:highlight w:val="none"/>
                <w:lang w:val="en-US" w:eastAsia="zh-CN"/>
              </w:rPr>
            </w:pPr>
            <w:r>
              <w:rPr>
                <w:rFonts w:hint="eastAsia"/>
                <w:color w:val="auto"/>
                <w:highlight w:val="none"/>
                <w:lang w:val="en-US" w:eastAsia="zh-CN"/>
              </w:rPr>
              <w:t>252.1±0.4</w:t>
            </w:r>
          </w:p>
        </w:tc>
        <w:tc>
          <w:tcPr>
            <w:tcW w:w="1077" w:type="dxa"/>
            <w:tcBorders>
              <w:tl2br w:val="nil"/>
              <w:tr2bl w:val="nil"/>
            </w:tcBorders>
            <w:noWrap w:val="0"/>
            <w:vAlign w:val="top"/>
          </w:tcPr>
          <w:p w14:paraId="543D9C9A">
            <w:pPr>
              <w:pStyle w:val="23"/>
              <w:bidi w:val="0"/>
              <w:rPr>
                <w:rFonts w:hint="default"/>
                <w:color w:val="auto"/>
                <w:highlight w:val="none"/>
              </w:rPr>
            </w:pPr>
            <w:r>
              <w:rPr>
                <w:rFonts w:hint="default"/>
                <w:color w:val="auto"/>
                <w:highlight w:val="none"/>
              </w:rPr>
              <w:t>4000</w:t>
            </w:r>
          </w:p>
        </w:tc>
        <w:tc>
          <w:tcPr>
            <w:tcW w:w="1415" w:type="dxa"/>
            <w:tcBorders>
              <w:tl2br w:val="nil"/>
              <w:tr2bl w:val="nil"/>
            </w:tcBorders>
            <w:noWrap w:val="0"/>
            <w:vAlign w:val="top"/>
          </w:tcPr>
          <w:p w14:paraId="01C1A800">
            <w:pPr>
              <w:pStyle w:val="23"/>
              <w:bidi w:val="0"/>
              <w:rPr>
                <w:rFonts w:hint="default"/>
                <w:color w:val="auto"/>
                <w:highlight w:val="none"/>
                <w:lang w:val="en-US" w:eastAsia="zh-CN"/>
              </w:rPr>
            </w:pPr>
            <w:r>
              <w:rPr>
                <w:rFonts w:hint="eastAsia"/>
                <w:color w:val="auto"/>
                <w:highlight w:val="none"/>
                <w:lang w:val="en-US" w:eastAsia="zh-CN"/>
              </w:rPr>
              <w:t>0.367±0.006</w:t>
            </w:r>
          </w:p>
        </w:tc>
        <w:tc>
          <w:tcPr>
            <w:tcW w:w="1206" w:type="dxa"/>
            <w:tcBorders>
              <w:tl2br w:val="nil"/>
              <w:tr2bl w:val="nil"/>
            </w:tcBorders>
            <w:noWrap w:val="0"/>
            <w:vAlign w:val="top"/>
          </w:tcPr>
          <w:p w14:paraId="7127A1AB">
            <w:pPr>
              <w:pStyle w:val="23"/>
              <w:bidi w:val="0"/>
              <w:rPr>
                <w:rFonts w:hint="default"/>
                <w:color w:val="auto"/>
                <w:highlight w:val="none"/>
              </w:rPr>
            </w:pPr>
            <w:r>
              <w:rPr>
                <w:rFonts w:hint="default"/>
                <w:color w:val="auto"/>
                <w:highlight w:val="none"/>
              </w:rPr>
              <w:t>100</w:t>
            </w:r>
          </w:p>
        </w:tc>
      </w:tr>
      <w:tr w14:paraId="7EA874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611" w:type="dxa"/>
            <w:tcBorders>
              <w:tl2br w:val="nil"/>
              <w:tr2bl w:val="nil"/>
            </w:tcBorders>
            <w:noWrap w:val="0"/>
            <w:vAlign w:val="top"/>
          </w:tcPr>
          <w:p w14:paraId="6DB3AD89">
            <w:pPr>
              <w:pStyle w:val="23"/>
              <w:bidi w:val="0"/>
              <w:rPr>
                <w:rFonts w:hint="default"/>
                <w:color w:val="auto"/>
                <w:highlight w:val="none"/>
              </w:rPr>
            </w:pPr>
            <w:r>
              <w:rPr>
                <w:rFonts w:hint="default"/>
                <w:color w:val="auto"/>
                <w:highlight w:val="none"/>
              </w:rPr>
              <w:t>4</w:t>
            </w:r>
          </w:p>
        </w:tc>
        <w:tc>
          <w:tcPr>
            <w:tcW w:w="2368" w:type="dxa"/>
            <w:tcBorders>
              <w:tl2br w:val="nil"/>
              <w:tr2bl w:val="nil"/>
            </w:tcBorders>
            <w:noWrap w:val="0"/>
            <w:vAlign w:val="top"/>
          </w:tcPr>
          <w:p w14:paraId="3FC7C526">
            <w:pPr>
              <w:pStyle w:val="23"/>
              <w:bidi w:val="0"/>
              <w:rPr>
                <w:rFonts w:hint="default"/>
                <w:color w:val="auto"/>
                <w:highlight w:val="none"/>
              </w:rPr>
            </w:pPr>
            <w:r>
              <w:rPr>
                <w:rFonts w:hint="default"/>
                <w:color w:val="auto"/>
                <w:highlight w:val="none"/>
                <w:lang w:val="en-US" w:eastAsia="zh-CN"/>
              </w:rPr>
              <w:t>站址北侧</w:t>
            </w:r>
            <w:r>
              <w:rPr>
                <w:rFonts w:hint="eastAsia"/>
                <w:color w:val="auto"/>
                <w:highlight w:val="none"/>
                <w:lang w:val="en-US" w:eastAsia="zh-CN"/>
              </w:rPr>
              <w:t>（△4）</w:t>
            </w:r>
          </w:p>
        </w:tc>
        <w:tc>
          <w:tcPr>
            <w:tcW w:w="1350" w:type="dxa"/>
            <w:tcBorders>
              <w:tl2br w:val="nil"/>
              <w:tr2bl w:val="nil"/>
            </w:tcBorders>
            <w:noWrap w:val="0"/>
            <w:vAlign w:val="top"/>
          </w:tcPr>
          <w:p w14:paraId="136FC11D">
            <w:pPr>
              <w:pStyle w:val="23"/>
              <w:bidi w:val="0"/>
              <w:rPr>
                <w:rFonts w:hint="default"/>
                <w:color w:val="auto"/>
                <w:highlight w:val="none"/>
                <w:lang w:val="en-US" w:eastAsia="zh-CN"/>
              </w:rPr>
            </w:pPr>
            <w:r>
              <w:rPr>
                <w:rFonts w:hint="eastAsia"/>
                <w:color w:val="auto"/>
                <w:highlight w:val="none"/>
                <w:lang w:val="en-US" w:eastAsia="zh-CN"/>
              </w:rPr>
              <w:t>2.23±0.01</w:t>
            </w:r>
          </w:p>
        </w:tc>
        <w:tc>
          <w:tcPr>
            <w:tcW w:w="1077" w:type="dxa"/>
            <w:tcBorders>
              <w:tl2br w:val="nil"/>
              <w:tr2bl w:val="nil"/>
            </w:tcBorders>
            <w:noWrap w:val="0"/>
            <w:vAlign w:val="top"/>
          </w:tcPr>
          <w:p w14:paraId="2BB9586E">
            <w:pPr>
              <w:pStyle w:val="23"/>
              <w:bidi w:val="0"/>
              <w:rPr>
                <w:rFonts w:hint="default"/>
                <w:color w:val="auto"/>
                <w:highlight w:val="none"/>
              </w:rPr>
            </w:pPr>
            <w:r>
              <w:rPr>
                <w:rFonts w:hint="default"/>
                <w:color w:val="auto"/>
                <w:highlight w:val="none"/>
              </w:rPr>
              <w:t>4000</w:t>
            </w:r>
          </w:p>
        </w:tc>
        <w:tc>
          <w:tcPr>
            <w:tcW w:w="1415" w:type="dxa"/>
            <w:tcBorders>
              <w:tl2br w:val="nil"/>
              <w:tr2bl w:val="nil"/>
            </w:tcBorders>
            <w:noWrap w:val="0"/>
            <w:vAlign w:val="top"/>
          </w:tcPr>
          <w:p w14:paraId="1059F983">
            <w:pPr>
              <w:pStyle w:val="23"/>
              <w:bidi w:val="0"/>
              <w:rPr>
                <w:rFonts w:hint="default"/>
                <w:color w:val="auto"/>
                <w:highlight w:val="none"/>
                <w:lang w:val="en-US" w:eastAsia="zh-CN"/>
              </w:rPr>
            </w:pPr>
            <w:r>
              <w:rPr>
                <w:rFonts w:hint="eastAsia"/>
                <w:color w:val="auto"/>
                <w:highlight w:val="none"/>
                <w:lang w:val="en-US" w:eastAsia="zh-CN"/>
              </w:rPr>
              <w:t>0.291±0.008</w:t>
            </w:r>
          </w:p>
        </w:tc>
        <w:tc>
          <w:tcPr>
            <w:tcW w:w="1206" w:type="dxa"/>
            <w:tcBorders>
              <w:tl2br w:val="nil"/>
              <w:tr2bl w:val="nil"/>
            </w:tcBorders>
            <w:noWrap w:val="0"/>
            <w:vAlign w:val="top"/>
          </w:tcPr>
          <w:p w14:paraId="2700131F">
            <w:pPr>
              <w:pStyle w:val="23"/>
              <w:bidi w:val="0"/>
              <w:rPr>
                <w:rFonts w:hint="default"/>
                <w:color w:val="auto"/>
                <w:highlight w:val="none"/>
              </w:rPr>
            </w:pPr>
            <w:r>
              <w:rPr>
                <w:rFonts w:hint="default"/>
                <w:color w:val="auto"/>
                <w:highlight w:val="none"/>
              </w:rPr>
              <w:t>100</w:t>
            </w:r>
          </w:p>
        </w:tc>
      </w:tr>
      <w:tr w14:paraId="73F5AF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611" w:type="dxa"/>
            <w:tcBorders>
              <w:tl2br w:val="nil"/>
              <w:tr2bl w:val="nil"/>
            </w:tcBorders>
            <w:noWrap w:val="0"/>
            <w:vAlign w:val="top"/>
          </w:tcPr>
          <w:p w14:paraId="4CC4C905">
            <w:pPr>
              <w:pStyle w:val="23"/>
              <w:bidi w:val="0"/>
              <w:rPr>
                <w:rFonts w:hint="eastAsia"/>
                <w:color w:val="auto"/>
                <w:highlight w:val="none"/>
                <w:lang w:val="en-US" w:eastAsia="zh-CN"/>
              </w:rPr>
            </w:pPr>
            <w:r>
              <w:rPr>
                <w:rFonts w:hint="eastAsia"/>
                <w:color w:val="auto"/>
                <w:highlight w:val="none"/>
                <w:lang w:val="en-US" w:eastAsia="zh-CN"/>
              </w:rPr>
              <w:t>5</w:t>
            </w:r>
          </w:p>
        </w:tc>
        <w:tc>
          <w:tcPr>
            <w:tcW w:w="2368" w:type="dxa"/>
            <w:tcBorders>
              <w:tl2br w:val="nil"/>
              <w:tr2bl w:val="nil"/>
            </w:tcBorders>
            <w:noWrap w:val="0"/>
            <w:vAlign w:val="top"/>
          </w:tcPr>
          <w:p w14:paraId="5A05C2E9">
            <w:pPr>
              <w:pStyle w:val="23"/>
              <w:bidi w:val="0"/>
              <w:rPr>
                <w:rFonts w:hint="default"/>
                <w:color w:val="auto"/>
                <w:highlight w:val="none"/>
                <w:lang w:val="en-US" w:eastAsia="zh-CN"/>
              </w:rPr>
            </w:pPr>
            <w:r>
              <w:rPr>
                <w:rFonts w:hint="eastAsia"/>
                <w:color w:val="auto"/>
                <w:highlight w:val="none"/>
                <w:lang w:val="en-US" w:eastAsia="zh-CN"/>
              </w:rPr>
              <w:t>站址南侧围墙外5m</w:t>
            </w:r>
          </w:p>
        </w:tc>
        <w:tc>
          <w:tcPr>
            <w:tcW w:w="1350" w:type="dxa"/>
            <w:tcBorders>
              <w:tl2br w:val="nil"/>
              <w:tr2bl w:val="nil"/>
            </w:tcBorders>
            <w:noWrap w:val="0"/>
            <w:vAlign w:val="top"/>
          </w:tcPr>
          <w:p w14:paraId="33E0DB57">
            <w:pPr>
              <w:pStyle w:val="23"/>
              <w:bidi w:val="0"/>
              <w:rPr>
                <w:rFonts w:hint="default"/>
                <w:color w:val="auto"/>
                <w:highlight w:val="none"/>
                <w:lang w:val="en-US" w:eastAsia="zh-CN"/>
              </w:rPr>
            </w:pPr>
            <w:r>
              <w:rPr>
                <w:rFonts w:hint="eastAsia"/>
                <w:color w:val="auto"/>
                <w:highlight w:val="none"/>
                <w:lang w:val="en-US" w:eastAsia="zh-CN"/>
              </w:rPr>
              <w:t>1.60±0.02</w:t>
            </w:r>
          </w:p>
        </w:tc>
        <w:tc>
          <w:tcPr>
            <w:tcW w:w="1077" w:type="dxa"/>
            <w:tcBorders>
              <w:tl2br w:val="nil"/>
              <w:tr2bl w:val="nil"/>
            </w:tcBorders>
            <w:noWrap w:val="0"/>
            <w:vAlign w:val="center"/>
          </w:tcPr>
          <w:p w14:paraId="36D5342D">
            <w:pPr>
              <w:pStyle w:val="23"/>
              <w:bidi w:val="0"/>
              <w:rPr>
                <w:rFonts w:hint="default"/>
                <w:color w:val="auto"/>
                <w:highlight w:val="none"/>
                <w:lang w:val="en-US" w:eastAsia="zh-CN"/>
              </w:rPr>
            </w:pPr>
            <w:r>
              <w:rPr>
                <w:rFonts w:hint="default"/>
                <w:color w:val="auto"/>
                <w:highlight w:val="none"/>
              </w:rPr>
              <w:t>4000</w:t>
            </w:r>
          </w:p>
        </w:tc>
        <w:tc>
          <w:tcPr>
            <w:tcW w:w="1415" w:type="dxa"/>
            <w:tcBorders>
              <w:tl2br w:val="nil"/>
              <w:tr2bl w:val="nil"/>
            </w:tcBorders>
            <w:noWrap w:val="0"/>
            <w:vAlign w:val="top"/>
          </w:tcPr>
          <w:p w14:paraId="0A00202A">
            <w:pPr>
              <w:pStyle w:val="23"/>
              <w:bidi w:val="0"/>
              <w:rPr>
                <w:rFonts w:hint="eastAsia"/>
                <w:color w:val="auto"/>
                <w:highlight w:val="none"/>
                <w:lang w:val="en-US" w:eastAsia="zh-CN"/>
              </w:rPr>
            </w:pPr>
            <w:r>
              <w:rPr>
                <w:rFonts w:hint="eastAsia"/>
                <w:color w:val="auto"/>
                <w:highlight w:val="none"/>
                <w:lang w:val="en-US" w:eastAsia="zh-CN"/>
              </w:rPr>
              <w:t>0.297±0.002</w:t>
            </w:r>
          </w:p>
        </w:tc>
        <w:tc>
          <w:tcPr>
            <w:tcW w:w="1206" w:type="dxa"/>
            <w:tcBorders>
              <w:tl2br w:val="nil"/>
              <w:tr2bl w:val="nil"/>
            </w:tcBorders>
            <w:noWrap w:val="0"/>
            <w:vAlign w:val="top"/>
          </w:tcPr>
          <w:p w14:paraId="0AA1152E">
            <w:pPr>
              <w:pStyle w:val="23"/>
              <w:bidi w:val="0"/>
              <w:rPr>
                <w:rFonts w:hint="default"/>
                <w:color w:val="auto"/>
                <w:highlight w:val="none"/>
                <w:lang w:val="en-US" w:eastAsia="zh-CN"/>
              </w:rPr>
            </w:pPr>
            <w:r>
              <w:rPr>
                <w:rFonts w:hint="default"/>
                <w:color w:val="auto"/>
                <w:highlight w:val="none"/>
              </w:rPr>
              <w:t>100</w:t>
            </w:r>
          </w:p>
        </w:tc>
      </w:tr>
      <w:tr w14:paraId="09974B0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611" w:type="dxa"/>
            <w:tcBorders>
              <w:tl2br w:val="nil"/>
              <w:tr2bl w:val="nil"/>
            </w:tcBorders>
            <w:noWrap w:val="0"/>
            <w:vAlign w:val="top"/>
          </w:tcPr>
          <w:p w14:paraId="2DEB49A9">
            <w:pPr>
              <w:pStyle w:val="23"/>
              <w:bidi w:val="0"/>
              <w:rPr>
                <w:rFonts w:hint="eastAsia"/>
                <w:color w:val="auto"/>
                <w:highlight w:val="none"/>
                <w:lang w:val="en-US" w:eastAsia="zh-CN"/>
              </w:rPr>
            </w:pPr>
            <w:r>
              <w:rPr>
                <w:rFonts w:hint="eastAsia"/>
                <w:color w:val="auto"/>
                <w:highlight w:val="none"/>
                <w:lang w:val="en-US" w:eastAsia="zh-CN"/>
              </w:rPr>
              <w:t>6</w:t>
            </w:r>
          </w:p>
        </w:tc>
        <w:tc>
          <w:tcPr>
            <w:tcW w:w="2368" w:type="dxa"/>
            <w:tcBorders>
              <w:tl2br w:val="nil"/>
              <w:tr2bl w:val="nil"/>
            </w:tcBorders>
            <w:noWrap w:val="0"/>
            <w:vAlign w:val="top"/>
          </w:tcPr>
          <w:p w14:paraId="48A1FB82">
            <w:pPr>
              <w:pStyle w:val="23"/>
              <w:bidi w:val="0"/>
              <w:rPr>
                <w:rFonts w:hint="default"/>
                <w:color w:val="auto"/>
                <w:highlight w:val="none"/>
                <w:lang w:val="en-US" w:eastAsia="zh-CN"/>
              </w:rPr>
            </w:pPr>
            <w:r>
              <w:rPr>
                <w:rFonts w:hint="eastAsia"/>
                <w:color w:val="auto"/>
                <w:highlight w:val="none"/>
                <w:lang w:val="en-US" w:eastAsia="zh-CN"/>
              </w:rPr>
              <w:t>站址南侧围墙外10m</w:t>
            </w:r>
          </w:p>
        </w:tc>
        <w:tc>
          <w:tcPr>
            <w:tcW w:w="1350" w:type="dxa"/>
            <w:tcBorders>
              <w:tl2br w:val="nil"/>
              <w:tr2bl w:val="nil"/>
            </w:tcBorders>
            <w:noWrap w:val="0"/>
            <w:vAlign w:val="top"/>
          </w:tcPr>
          <w:p w14:paraId="48EBE7A2">
            <w:pPr>
              <w:pStyle w:val="23"/>
              <w:bidi w:val="0"/>
              <w:rPr>
                <w:rFonts w:hint="default"/>
                <w:color w:val="auto"/>
                <w:highlight w:val="none"/>
                <w:lang w:val="en-US" w:eastAsia="zh-CN"/>
              </w:rPr>
            </w:pPr>
            <w:r>
              <w:rPr>
                <w:rFonts w:hint="eastAsia"/>
                <w:color w:val="auto"/>
                <w:highlight w:val="none"/>
                <w:lang w:val="en-US" w:eastAsia="zh-CN"/>
              </w:rPr>
              <w:t>1.49±0.00</w:t>
            </w:r>
          </w:p>
        </w:tc>
        <w:tc>
          <w:tcPr>
            <w:tcW w:w="1077" w:type="dxa"/>
            <w:tcBorders>
              <w:tl2br w:val="nil"/>
              <w:tr2bl w:val="nil"/>
            </w:tcBorders>
            <w:noWrap w:val="0"/>
            <w:vAlign w:val="top"/>
          </w:tcPr>
          <w:p w14:paraId="418108E5">
            <w:pPr>
              <w:pStyle w:val="23"/>
              <w:bidi w:val="0"/>
              <w:rPr>
                <w:rFonts w:hint="default"/>
                <w:color w:val="auto"/>
                <w:highlight w:val="none"/>
                <w:lang w:val="en-US" w:eastAsia="zh-CN"/>
              </w:rPr>
            </w:pPr>
            <w:r>
              <w:rPr>
                <w:rFonts w:hint="default"/>
                <w:color w:val="auto"/>
                <w:highlight w:val="none"/>
              </w:rPr>
              <w:t>4000</w:t>
            </w:r>
          </w:p>
        </w:tc>
        <w:tc>
          <w:tcPr>
            <w:tcW w:w="1415" w:type="dxa"/>
            <w:tcBorders>
              <w:tl2br w:val="nil"/>
              <w:tr2bl w:val="nil"/>
            </w:tcBorders>
            <w:noWrap w:val="0"/>
            <w:vAlign w:val="top"/>
          </w:tcPr>
          <w:p w14:paraId="41627B0F">
            <w:pPr>
              <w:pStyle w:val="23"/>
              <w:bidi w:val="0"/>
              <w:rPr>
                <w:rFonts w:hint="eastAsia"/>
                <w:color w:val="auto"/>
                <w:highlight w:val="none"/>
                <w:lang w:val="en-US" w:eastAsia="zh-CN"/>
              </w:rPr>
            </w:pPr>
            <w:r>
              <w:rPr>
                <w:rFonts w:hint="eastAsia"/>
                <w:color w:val="auto"/>
                <w:highlight w:val="none"/>
                <w:lang w:val="en-US" w:eastAsia="zh-CN"/>
              </w:rPr>
              <w:t>0.290±0.002</w:t>
            </w:r>
          </w:p>
        </w:tc>
        <w:tc>
          <w:tcPr>
            <w:tcW w:w="1206" w:type="dxa"/>
            <w:tcBorders>
              <w:tl2br w:val="nil"/>
              <w:tr2bl w:val="nil"/>
            </w:tcBorders>
            <w:noWrap w:val="0"/>
            <w:vAlign w:val="top"/>
          </w:tcPr>
          <w:p w14:paraId="0713A7F9">
            <w:pPr>
              <w:pStyle w:val="23"/>
              <w:bidi w:val="0"/>
              <w:rPr>
                <w:rFonts w:hint="default"/>
                <w:color w:val="auto"/>
                <w:highlight w:val="none"/>
                <w:lang w:val="en-US" w:eastAsia="zh-CN"/>
              </w:rPr>
            </w:pPr>
            <w:r>
              <w:rPr>
                <w:rFonts w:hint="default"/>
                <w:color w:val="auto"/>
                <w:highlight w:val="none"/>
              </w:rPr>
              <w:t>100</w:t>
            </w:r>
          </w:p>
        </w:tc>
      </w:tr>
      <w:tr w14:paraId="4C9A7B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611" w:type="dxa"/>
            <w:tcBorders>
              <w:tl2br w:val="nil"/>
              <w:tr2bl w:val="nil"/>
            </w:tcBorders>
            <w:noWrap w:val="0"/>
            <w:vAlign w:val="top"/>
          </w:tcPr>
          <w:p w14:paraId="484D25A2">
            <w:pPr>
              <w:pStyle w:val="23"/>
              <w:bidi w:val="0"/>
              <w:rPr>
                <w:rFonts w:hint="eastAsia"/>
                <w:color w:val="auto"/>
                <w:highlight w:val="none"/>
                <w:lang w:val="en-US" w:eastAsia="zh-CN"/>
              </w:rPr>
            </w:pPr>
            <w:r>
              <w:rPr>
                <w:rFonts w:hint="eastAsia"/>
                <w:color w:val="auto"/>
                <w:highlight w:val="none"/>
                <w:lang w:val="en-US" w:eastAsia="zh-CN"/>
              </w:rPr>
              <w:t>7</w:t>
            </w:r>
          </w:p>
        </w:tc>
        <w:tc>
          <w:tcPr>
            <w:tcW w:w="2368" w:type="dxa"/>
            <w:tcBorders>
              <w:tl2br w:val="nil"/>
              <w:tr2bl w:val="nil"/>
            </w:tcBorders>
            <w:noWrap w:val="0"/>
            <w:vAlign w:val="top"/>
          </w:tcPr>
          <w:p w14:paraId="57F7D884">
            <w:pPr>
              <w:pStyle w:val="23"/>
              <w:bidi w:val="0"/>
              <w:rPr>
                <w:rFonts w:hint="default"/>
                <w:color w:val="auto"/>
                <w:highlight w:val="none"/>
                <w:lang w:val="en-US" w:eastAsia="zh-CN"/>
              </w:rPr>
            </w:pPr>
            <w:r>
              <w:rPr>
                <w:rFonts w:hint="eastAsia"/>
                <w:color w:val="auto"/>
                <w:highlight w:val="none"/>
                <w:lang w:val="en-US" w:eastAsia="zh-CN"/>
              </w:rPr>
              <w:t>站址南侧围墙外15m</w:t>
            </w:r>
          </w:p>
        </w:tc>
        <w:tc>
          <w:tcPr>
            <w:tcW w:w="1350" w:type="dxa"/>
            <w:tcBorders>
              <w:tl2br w:val="nil"/>
              <w:tr2bl w:val="nil"/>
            </w:tcBorders>
            <w:noWrap w:val="0"/>
            <w:vAlign w:val="top"/>
          </w:tcPr>
          <w:p w14:paraId="630233C6">
            <w:pPr>
              <w:pStyle w:val="23"/>
              <w:bidi w:val="0"/>
              <w:rPr>
                <w:rFonts w:hint="default"/>
                <w:color w:val="auto"/>
                <w:highlight w:val="none"/>
                <w:lang w:val="en-US" w:eastAsia="zh-CN"/>
              </w:rPr>
            </w:pPr>
            <w:r>
              <w:rPr>
                <w:rFonts w:hint="eastAsia"/>
                <w:color w:val="auto"/>
                <w:highlight w:val="none"/>
                <w:lang w:val="en-US" w:eastAsia="zh-CN"/>
              </w:rPr>
              <w:t>1.32±0.02</w:t>
            </w:r>
          </w:p>
        </w:tc>
        <w:tc>
          <w:tcPr>
            <w:tcW w:w="1077" w:type="dxa"/>
            <w:tcBorders>
              <w:tl2br w:val="nil"/>
              <w:tr2bl w:val="nil"/>
            </w:tcBorders>
            <w:noWrap w:val="0"/>
            <w:vAlign w:val="top"/>
          </w:tcPr>
          <w:p w14:paraId="2F55983C">
            <w:pPr>
              <w:pStyle w:val="23"/>
              <w:bidi w:val="0"/>
              <w:rPr>
                <w:rFonts w:hint="default"/>
                <w:color w:val="auto"/>
                <w:highlight w:val="none"/>
                <w:lang w:val="en-US" w:eastAsia="zh-CN"/>
              </w:rPr>
            </w:pPr>
            <w:r>
              <w:rPr>
                <w:rFonts w:hint="default"/>
                <w:color w:val="auto"/>
                <w:highlight w:val="none"/>
              </w:rPr>
              <w:t>4000</w:t>
            </w:r>
          </w:p>
        </w:tc>
        <w:tc>
          <w:tcPr>
            <w:tcW w:w="1415" w:type="dxa"/>
            <w:tcBorders>
              <w:tl2br w:val="nil"/>
              <w:tr2bl w:val="nil"/>
            </w:tcBorders>
            <w:noWrap w:val="0"/>
            <w:vAlign w:val="top"/>
          </w:tcPr>
          <w:p w14:paraId="6EA5C306">
            <w:pPr>
              <w:pStyle w:val="23"/>
              <w:bidi w:val="0"/>
              <w:rPr>
                <w:rFonts w:hint="eastAsia"/>
                <w:color w:val="auto"/>
                <w:highlight w:val="none"/>
                <w:lang w:val="en-US" w:eastAsia="zh-CN"/>
              </w:rPr>
            </w:pPr>
            <w:r>
              <w:rPr>
                <w:rFonts w:hint="eastAsia"/>
                <w:color w:val="auto"/>
                <w:highlight w:val="none"/>
                <w:lang w:val="en-US" w:eastAsia="zh-CN"/>
              </w:rPr>
              <w:t>0.281±0.001</w:t>
            </w:r>
          </w:p>
        </w:tc>
        <w:tc>
          <w:tcPr>
            <w:tcW w:w="1206" w:type="dxa"/>
            <w:tcBorders>
              <w:tl2br w:val="nil"/>
              <w:tr2bl w:val="nil"/>
            </w:tcBorders>
            <w:noWrap w:val="0"/>
            <w:vAlign w:val="top"/>
          </w:tcPr>
          <w:p w14:paraId="767AE130">
            <w:pPr>
              <w:pStyle w:val="23"/>
              <w:bidi w:val="0"/>
              <w:rPr>
                <w:rFonts w:hint="default"/>
                <w:color w:val="auto"/>
                <w:highlight w:val="none"/>
                <w:lang w:val="en-US" w:eastAsia="zh-CN"/>
              </w:rPr>
            </w:pPr>
            <w:r>
              <w:rPr>
                <w:rFonts w:hint="default"/>
                <w:color w:val="auto"/>
                <w:highlight w:val="none"/>
              </w:rPr>
              <w:t>100</w:t>
            </w:r>
          </w:p>
        </w:tc>
      </w:tr>
      <w:tr w14:paraId="28800B3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611" w:type="dxa"/>
            <w:tcBorders>
              <w:tl2br w:val="nil"/>
              <w:tr2bl w:val="nil"/>
            </w:tcBorders>
            <w:noWrap w:val="0"/>
            <w:vAlign w:val="top"/>
          </w:tcPr>
          <w:p w14:paraId="4678DB7D">
            <w:pPr>
              <w:pStyle w:val="23"/>
              <w:bidi w:val="0"/>
              <w:rPr>
                <w:rFonts w:hint="eastAsia"/>
                <w:color w:val="auto"/>
                <w:highlight w:val="none"/>
                <w:lang w:val="en-US" w:eastAsia="zh-CN"/>
              </w:rPr>
            </w:pPr>
            <w:r>
              <w:rPr>
                <w:rFonts w:hint="eastAsia"/>
                <w:color w:val="auto"/>
                <w:highlight w:val="none"/>
                <w:lang w:val="en-US" w:eastAsia="zh-CN"/>
              </w:rPr>
              <w:t>8</w:t>
            </w:r>
          </w:p>
        </w:tc>
        <w:tc>
          <w:tcPr>
            <w:tcW w:w="2368" w:type="dxa"/>
            <w:tcBorders>
              <w:tl2br w:val="nil"/>
              <w:tr2bl w:val="nil"/>
            </w:tcBorders>
            <w:noWrap w:val="0"/>
            <w:vAlign w:val="top"/>
          </w:tcPr>
          <w:p w14:paraId="58E4890C">
            <w:pPr>
              <w:pStyle w:val="23"/>
              <w:bidi w:val="0"/>
              <w:rPr>
                <w:rFonts w:hint="default"/>
                <w:color w:val="auto"/>
                <w:highlight w:val="none"/>
                <w:lang w:val="en-US" w:eastAsia="zh-CN"/>
              </w:rPr>
            </w:pPr>
            <w:r>
              <w:rPr>
                <w:rFonts w:hint="eastAsia"/>
                <w:color w:val="auto"/>
                <w:highlight w:val="none"/>
                <w:lang w:val="en-US" w:eastAsia="zh-CN"/>
              </w:rPr>
              <w:t>站址南侧围墙外20m</w:t>
            </w:r>
          </w:p>
        </w:tc>
        <w:tc>
          <w:tcPr>
            <w:tcW w:w="1350" w:type="dxa"/>
            <w:tcBorders>
              <w:tl2br w:val="nil"/>
              <w:tr2bl w:val="nil"/>
            </w:tcBorders>
            <w:noWrap w:val="0"/>
            <w:vAlign w:val="top"/>
          </w:tcPr>
          <w:p w14:paraId="429AA51F">
            <w:pPr>
              <w:pStyle w:val="23"/>
              <w:bidi w:val="0"/>
              <w:rPr>
                <w:rFonts w:hint="default"/>
                <w:color w:val="auto"/>
                <w:highlight w:val="none"/>
                <w:lang w:val="en-US" w:eastAsia="zh-CN"/>
              </w:rPr>
            </w:pPr>
            <w:r>
              <w:rPr>
                <w:rFonts w:hint="eastAsia"/>
                <w:color w:val="auto"/>
                <w:highlight w:val="none"/>
                <w:lang w:val="en-US" w:eastAsia="zh-CN"/>
              </w:rPr>
              <w:t>1.18±0.01</w:t>
            </w:r>
          </w:p>
        </w:tc>
        <w:tc>
          <w:tcPr>
            <w:tcW w:w="1077" w:type="dxa"/>
            <w:tcBorders>
              <w:tl2br w:val="nil"/>
              <w:tr2bl w:val="nil"/>
            </w:tcBorders>
            <w:noWrap w:val="0"/>
            <w:vAlign w:val="top"/>
          </w:tcPr>
          <w:p w14:paraId="7339227A">
            <w:pPr>
              <w:pStyle w:val="23"/>
              <w:bidi w:val="0"/>
              <w:rPr>
                <w:rFonts w:hint="default"/>
                <w:color w:val="auto"/>
                <w:highlight w:val="none"/>
                <w:lang w:val="en-US" w:eastAsia="zh-CN"/>
              </w:rPr>
            </w:pPr>
            <w:r>
              <w:rPr>
                <w:rFonts w:hint="default"/>
                <w:color w:val="auto"/>
                <w:highlight w:val="none"/>
              </w:rPr>
              <w:t>4000</w:t>
            </w:r>
          </w:p>
        </w:tc>
        <w:tc>
          <w:tcPr>
            <w:tcW w:w="1415" w:type="dxa"/>
            <w:tcBorders>
              <w:tl2br w:val="nil"/>
              <w:tr2bl w:val="nil"/>
            </w:tcBorders>
            <w:noWrap w:val="0"/>
            <w:vAlign w:val="top"/>
          </w:tcPr>
          <w:p w14:paraId="0E1AC4CD">
            <w:pPr>
              <w:pStyle w:val="23"/>
              <w:bidi w:val="0"/>
              <w:rPr>
                <w:rFonts w:hint="eastAsia"/>
                <w:color w:val="auto"/>
                <w:highlight w:val="none"/>
                <w:lang w:val="en-US" w:eastAsia="zh-CN"/>
              </w:rPr>
            </w:pPr>
            <w:r>
              <w:rPr>
                <w:rFonts w:hint="eastAsia"/>
                <w:color w:val="auto"/>
                <w:highlight w:val="none"/>
                <w:lang w:val="en-US" w:eastAsia="zh-CN"/>
              </w:rPr>
              <w:t>0.282±0.001</w:t>
            </w:r>
          </w:p>
        </w:tc>
        <w:tc>
          <w:tcPr>
            <w:tcW w:w="1206" w:type="dxa"/>
            <w:tcBorders>
              <w:tl2br w:val="nil"/>
              <w:tr2bl w:val="nil"/>
            </w:tcBorders>
            <w:noWrap w:val="0"/>
            <w:vAlign w:val="top"/>
          </w:tcPr>
          <w:p w14:paraId="5BCC40E9">
            <w:pPr>
              <w:pStyle w:val="23"/>
              <w:bidi w:val="0"/>
              <w:rPr>
                <w:rFonts w:hint="default"/>
                <w:color w:val="auto"/>
                <w:highlight w:val="none"/>
                <w:lang w:val="en-US" w:eastAsia="zh-CN"/>
              </w:rPr>
            </w:pPr>
            <w:r>
              <w:rPr>
                <w:rFonts w:hint="default"/>
                <w:color w:val="auto"/>
                <w:highlight w:val="none"/>
              </w:rPr>
              <w:t>100</w:t>
            </w:r>
          </w:p>
        </w:tc>
      </w:tr>
      <w:tr w14:paraId="07570F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611" w:type="dxa"/>
            <w:tcBorders>
              <w:tl2br w:val="nil"/>
              <w:tr2bl w:val="nil"/>
            </w:tcBorders>
            <w:noWrap w:val="0"/>
            <w:vAlign w:val="top"/>
          </w:tcPr>
          <w:p w14:paraId="20F5587F">
            <w:pPr>
              <w:pStyle w:val="23"/>
              <w:bidi w:val="0"/>
              <w:rPr>
                <w:rFonts w:hint="eastAsia"/>
                <w:color w:val="auto"/>
                <w:highlight w:val="none"/>
                <w:lang w:val="en-US" w:eastAsia="zh-CN"/>
              </w:rPr>
            </w:pPr>
            <w:r>
              <w:rPr>
                <w:rFonts w:hint="eastAsia"/>
                <w:color w:val="auto"/>
                <w:highlight w:val="none"/>
                <w:lang w:val="en-US" w:eastAsia="zh-CN"/>
              </w:rPr>
              <w:t>9</w:t>
            </w:r>
          </w:p>
        </w:tc>
        <w:tc>
          <w:tcPr>
            <w:tcW w:w="2368" w:type="dxa"/>
            <w:tcBorders>
              <w:tl2br w:val="nil"/>
              <w:tr2bl w:val="nil"/>
            </w:tcBorders>
            <w:noWrap w:val="0"/>
            <w:vAlign w:val="top"/>
          </w:tcPr>
          <w:p w14:paraId="474F58B2">
            <w:pPr>
              <w:pStyle w:val="23"/>
              <w:bidi w:val="0"/>
              <w:rPr>
                <w:rFonts w:hint="default"/>
                <w:color w:val="auto"/>
                <w:highlight w:val="none"/>
                <w:lang w:val="en-US" w:eastAsia="zh-CN"/>
              </w:rPr>
            </w:pPr>
            <w:r>
              <w:rPr>
                <w:rFonts w:hint="eastAsia"/>
                <w:color w:val="auto"/>
                <w:highlight w:val="none"/>
                <w:lang w:val="en-US" w:eastAsia="zh-CN"/>
              </w:rPr>
              <w:t>站址南侧围墙外25m</w:t>
            </w:r>
          </w:p>
        </w:tc>
        <w:tc>
          <w:tcPr>
            <w:tcW w:w="1350" w:type="dxa"/>
            <w:tcBorders>
              <w:tl2br w:val="nil"/>
              <w:tr2bl w:val="nil"/>
            </w:tcBorders>
            <w:noWrap w:val="0"/>
            <w:vAlign w:val="top"/>
          </w:tcPr>
          <w:p w14:paraId="04308AE0">
            <w:pPr>
              <w:pStyle w:val="23"/>
              <w:bidi w:val="0"/>
              <w:rPr>
                <w:rFonts w:hint="default"/>
                <w:color w:val="auto"/>
                <w:highlight w:val="none"/>
                <w:lang w:val="en-US" w:eastAsia="zh-CN"/>
              </w:rPr>
            </w:pPr>
            <w:r>
              <w:rPr>
                <w:rFonts w:hint="eastAsia"/>
                <w:color w:val="auto"/>
                <w:highlight w:val="none"/>
                <w:lang w:val="en-US" w:eastAsia="zh-CN"/>
              </w:rPr>
              <w:t>1.19±0.01</w:t>
            </w:r>
          </w:p>
        </w:tc>
        <w:tc>
          <w:tcPr>
            <w:tcW w:w="1077" w:type="dxa"/>
            <w:tcBorders>
              <w:tl2br w:val="nil"/>
              <w:tr2bl w:val="nil"/>
            </w:tcBorders>
            <w:noWrap w:val="0"/>
            <w:vAlign w:val="center"/>
          </w:tcPr>
          <w:p w14:paraId="69404BEB">
            <w:pPr>
              <w:pStyle w:val="23"/>
              <w:bidi w:val="0"/>
              <w:rPr>
                <w:rFonts w:hint="default"/>
                <w:color w:val="auto"/>
                <w:highlight w:val="none"/>
                <w:lang w:val="en-US" w:eastAsia="zh-CN"/>
              </w:rPr>
            </w:pPr>
            <w:r>
              <w:rPr>
                <w:rFonts w:hint="default"/>
                <w:color w:val="auto"/>
                <w:highlight w:val="none"/>
              </w:rPr>
              <w:t>4000</w:t>
            </w:r>
          </w:p>
        </w:tc>
        <w:tc>
          <w:tcPr>
            <w:tcW w:w="1415" w:type="dxa"/>
            <w:tcBorders>
              <w:tl2br w:val="nil"/>
              <w:tr2bl w:val="nil"/>
            </w:tcBorders>
            <w:noWrap w:val="0"/>
            <w:vAlign w:val="top"/>
          </w:tcPr>
          <w:p w14:paraId="2A79ADDA">
            <w:pPr>
              <w:pStyle w:val="23"/>
              <w:bidi w:val="0"/>
              <w:rPr>
                <w:rFonts w:hint="default"/>
                <w:color w:val="auto"/>
                <w:highlight w:val="none"/>
                <w:lang w:val="en-US" w:eastAsia="zh-CN"/>
              </w:rPr>
            </w:pPr>
            <w:r>
              <w:rPr>
                <w:rFonts w:hint="eastAsia"/>
                <w:color w:val="auto"/>
                <w:highlight w:val="none"/>
                <w:lang w:val="en-US" w:eastAsia="zh-CN"/>
              </w:rPr>
              <w:t>0.282±0.001</w:t>
            </w:r>
          </w:p>
        </w:tc>
        <w:tc>
          <w:tcPr>
            <w:tcW w:w="1206" w:type="dxa"/>
            <w:tcBorders>
              <w:tl2br w:val="nil"/>
              <w:tr2bl w:val="nil"/>
            </w:tcBorders>
            <w:noWrap w:val="0"/>
            <w:vAlign w:val="top"/>
          </w:tcPr>
          <w:p w14:paraId="08849A8A">
            <w:pPr>
              <w:pStyle w:val="23"/>
              <w:bidi w:val="0"/>
              <w:rPr>
                <w:rFonts w:hint="default"/>
                <w:color w:val="auto"/>
                <w:highlight w:val="none"/>
                <w:lang w:val="en-US" w:eastAsia="zh-CN"/>
              </w:rPr>
            </w:pPr>
            <w:r>
              <w:rPr>
                <w:rFonts w:hint="default"/>
                <w:color w:val="auto"/>
                <w:highlight w:val="none"/>
              </w:rPr>
              <w:t>100</w:t>
            </w:r>
          </w:p>
        </w:tc>
      </w:tr>
      <w:tr w14:paraId="17DED47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611" w:type="dxa"/>
            <w:tcBorders>
              <w:tl2br w:val="nil"/>
              <w:tr2bl w:val="nil"/>
            </w:tcBorders>
            <w:noWrap w:val="0"/>
            <w:vAlign w:val="top"/>
          </w:tcPr>
          <w:p w14:paraId="7CB13C46">
            <w:pPr>
              <w:pStyle w:val="23"/>
              <w:bidi w:val="0"/>
              <w:rPr>
                <w:rFonts w:hint="default"/>
                <w:color w:val="auto"/>
                <w:highlight w:val="none"/>
                <w:lang w:val="en-US" w:eastAsia="zh-CN"/>
              </w:rPr>
            </w:pPr>
            <w:r>
              <w:rPr>
                <w:rFonts w:hint="eastAsia"/>
                <w:color w:val="auto"/>
                <w:highlight w:val="none"/>
                <w:lang w:val="en-US" w:eastAsia="zh-CN"/>
              </w:rPr>
              <w:t>10</w:t>
            </w:r>
          </w:p>
        </w:tc>
        <w:tc>
          <w:tcPr>
            <w:tcW w:w="2368" w:type="dxa"/>
            <w:tcBorders>
              <w:tl2br w:val="nil"/>
              <w:tr2bl w:val="nil"/>
            </w:tcBorders>
            <w:noWrap w:val="0"/>
            <w:vAlign w:val="top"/>
          </w:tcPr>
          <w:p w14:paraId="20B4EFFF">
            <w:pPr>
              <w:pStyle w:val="23"/>
              <w:bidi w:val="0"/>
              <w:rPr>
                <w:rFonts w:hint="default"/>
                <w:color w:val="auto"/>
                <w:highlight w:val="none"/>
                <w:lang w:val="en-US" w:eastAsia="zh-CN"/>
              </w:rPr>
            </w:pPr>
            <w:r>
              <w:rPr>
                <w:rFonts w:hint="eastAsia"/>
                <w:color w:val="auto"/>
                <w:highlight w:val="none"/>
                <w:lang w:val="en-US" w:eastAsia="zh-CN"/>
              </w:rPr>
              <w:t>站址南侧围墙外30m</w:t>
            </w:r>
          </w:p>
        </w:tc>
        <w:tc>
          <w:tcPr>
            <w:tcW w:w="1350" w:type="dxa"/>
            <w:tcBorders>
              <w:tl2br w:val="nil"/>
              <w:tr2bl w:val="nil"/>
            </w:tcBorders>
            <w:noWrap w:val="0"/>
            <w:vAlign w:val="top"/>
          </w:tcPr>
          <w:p w14:paraId="6E49079F">
            <w:pPr>
              <w:pStyle w:val="23"/>
              <w:bidi w:val="0"/>
              <w:rPr>
                <w:rFonts w:hint="default"/>
                <w:color w:val="auto"/>
                <w:highlight w:val="none"/>
                <w:lang w:val="en-US" w:eastAsia="zh-CN"/>
              </w:rPr>
            </w:pPr>
            <w:r>
              <w:rPr>
                <w:rFonts w:hint="eastAsia"/>
                <w:color w:val="auto"/>
                <w:highlight w:val="none"/>
                <w:lang w:val="en-US" w:eastAsia="zh-CN"/>
              </w:rPr>
              <w:t>1.12±0.01</w:t>
            </w:r>
          </w:p>
        </w:tc>
        <w:tc>
          <w:tcPr>
            <w:tcW w:w="1077" w:type="dxa"/>
            <w:tcBorders>
              <w:tl2br w:val="nil"/>
              <w:tr2bl w:val="nil"/>
            </w:tcBorders>
            <w:noWrap w:val="0"/>
            <w:vAlign w:val="top"/>
          </w:tcPr>
          <w:p w14:paraId="752A8AAE">
            <w:pPr>
              <w:pStyle w:val="23"/>
              <w:bidi w:val="0"/>
              <w:rPr>
                <w:rFonts w:hint="default"/>
                <w:color w:val="auto"/>
                <w:highlight w:val="none"/>
                <w:lang w:val="en-US" w:eastAsia="zh-CN"/>
              </w:rPr>
            </w:pPr>
            <w:r>
              <w:rPr>
                <w:rFonts w:hint="default"/>
                <w:color w:val="auto"/>
                <w:highlight w:val="none"/>
              </w:rPr>
              <w:t>4000</w:t>
            </w:r>
          </w:p>
        </w:tc>
        <w:tc>
          <w:tcPr>
            <w:tcW w:w="1415" w:type="dxa"/>
            <w:tcBorders>
              <w:tl2br w:val="nil"/>
              <w:tr2bl w:val="nil"/>
            </w:tcBorders>
            <w:noWrap w:val="0"/>
            <w:vAlign w:val="top"/>
          </w:tcPr>
          <w:p w14:paraId="424873C7">
            <w:pPr>
              <w:pStyle w:val="23"/>
              <w:bidi w:val="0"/>
              <w:rPr>
                <w:rFonts w:hint="default"/>
                <w:color w:val="auto"/>
                <w:highlight w:val="none"/>
                <w:lang w:val="en-US" w:eastAsia="zh-CN"/>
              </w:rPr>
            </w:pPr>
            <w:r>
              <w:rPr>
                <w:rFonts w:hint="eastAsia"/>
                <w:color w:val="auto"/>
                <w:highlight w:val="none"/>
                <w:lang w:val="en-US" w:eastAsia="zh-CN"/>
              </w:rPr>
              <w:t>0.282±0.001</w:t>
            </w:r>
          </w:p>
        </w:tc>
        <w:tc>
          <w:tcPr>
            <w:tcW w:w="1206" w:type="dxa"/>
            <w:tcBorders>
              <w:tl2br w:val="nil"/>
              <w:tr2bl w:val="nil"/>
            </w:tcBorders>
            <w:noWrap w:val="0"/>
            <w:vAlign w:val="top"/>
          </w:tcPr>
          <w:p w14:paraId="5B88F769">
            <w:pPr>
              <w:pStyle w:val="23"/>
              <w:bidi w:val="0"/>
              <w:rPr>
                <w:rFonts w:hint="default"/>
                <w:color w:val="auto"/>
                <w:highlight w:val="none"/>
                <w:lang w:val="en-US" w:eastAsia="zh-CN"/>
              </w:rPr>
            </w:pPr>
            <w:r>
              <w:rPr>
                <w:rFonts w:hint="default"/>
                <w:color w:val="auto"/>
                <w:highlight w:val="none"/>
              </w:rPr>
              <w:t>100</w:t>
            </w:r>
          </w:p>
        </w:tc>
      </w:tr>
      <w:tr w14:paraId="014D5BF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611" w:type="dxa"/>
            <w:tcBorders>
              <w:tl2br w:val="nil"/>
              <w:tr2bl w:val="nil"/>
            </w:tcBorders>
            <w:noWrap w:val="0"/>
            <w:vAlign w:val="top"/>
          </w:tcPr>
          <w:p w14:paraId="46412771">
            <w:pPr>
              <w:pStyle w:val="23"/>
              <w:bidi w:val="0"/>
              <w:rPr>
                <w:rFonts w:hint="default"/>
                <w:color w:val="auto"/>
                <w:highlight w:val="none"/>
                <w:lang w:val="en-US" w:eastAsia="zh-CN"/>
              </w:rPr>
            </w:pPr>
            <w:r>
              <w:rPr>
                <w:rFonts w:hint="eastAsia"/>
                <w:color w:val="auto"/>
                <w:highlight w:val="none"/>
                <w:lang w:val="en-US" w:eastAsia="zh-CN"/>
              </w:rPr>
              <w:t>11</w:t>
            </w:r>
          </w:p>
        </w:tc>
        <w:tc>
          <w:tcPr>
            <w:tcW w:w="2368" w:type="dxa"/>
            <w:tcBorders>
              <w:tl2br w:val="nil"/>
              <w:tr2bl w:val="nil"/>
            </w:tcBorders>
            <w:noWrap w:val="0"/>
            <w:vAlign w:val="top"/>
          </w:tcPr>
          <w:p w14:paraId="52C82300">
            <w:pPr>
              <w:pStyle w:val="23"/>
              <w:bidi w:val="0"/>
              <w:rPr>
                <w:rFonts w:hint="default"/>
                <w:color w:val="auto"/>
                <w:highlight w:val="none"/>
                <w:lang w:val="en-US" w:eastAsia="zh-CN"/>
              </w:rPr>
            </w:pPr>
            <w:r>
              <w:rPr>
                <w:rFonts w:hint="eastAsia"/>
                <w:color w:val="auto"/>
                <w:highlight w:val="none"/>
                <w:lang w:val="en-US" w:eastAsia="zh-CN"/>
              </w:rPr>
              <w:t>站址南侧围墙外35m</w:t>
            </w:r>
          </w:p>
        </w:tc>
        <w:tc>
          <w:tcPr>
            <w:tcW w:w="1350" w:type="dxa"/>
            <w:tcBorders>
              <w:tl2br w:val="nil"/>
              <w:tr2bl w:val="nil"/>
            </w:tcBorders>
            <w:noWrap w:val="0"/>
            <w:vAlign w:val="top"/>
          </w:tcPr>
          <w:p w14:paraId="3F92DB57">
            <w:pPr>
              <w:pStyle w:val="23"/>
              <w:bidi w:val="0"/>
              <w:rPr>
                <w:rFonts w:hint="default"/>
                <w:color w:val="auto"/>
                <w:highlight w:val="none"/>
                <w:lang w:val="en-US" w:eastAsia="zh-CN"/>
              </w:rPr>
            </w:pPr>
            <w:r>
              <w:rPr>
                <w:rFonts w:hint="eastAsia"/>
                <w:color w:val="auto"/>
                <w:highlight w:val="none"/>
                <w:lang w:val="en-US" w:eastAsia="zh-CN"/>
              </w:rPr>
              <w:t>1.08±0.01</w:t>
            </w:r>
          </w:p>
        </w:tc>
        <w:tc>
          <w:tcPr>
            <w:tcW w:w="1077" w:type="dxa"/>
            <w:tcBorders>
              <w:tl2br w:val="nil"/>
              <w:tr2bl w:val="nil"/>
            </w:tcBorders>
            <w:noWrap w:val="0"/>
            <w:vAlign w:val="top"/>
          </w:tcPr>
          <w:p w14:paraId="6E623B4E">
            <w:pPr>
              <w:pStyle w:val="23"/>
              <w:bidi w:val="0"/>
              <w:rPr>
                <w:rFonts w:hint="default"/>
                <w:color w:val="auto"/>
                <w:highlight w:val="none"/>
                <w:lang w:val="en-US" w:eastAsia="zh-CN"/>
              </w:rPr>
            </w:pPr>
            <w:r>
              <w:rPr>
                <w:rFonts w:hint="default"/>
                <w:color w:val="auto"/>
                <w:highlight w:val="none"/>
              </w:rPr>
              <w:t>4000</w:t>
            </w:r>
          </w:p>
        </w:tc>
        <w:tc>
          <w:tcPr>
            <w:tcW w:w="1415" w:type="dxa"/>
            <w:tcBorders>
              <w:tl2br w:val="nil"/>
              <w:tr2bl w:val="nil"/>
            </w:tcBorders>
            <w:noWrap w:val="0"/>
            <w:vAlign w:val="top"/>
          </w:tcPr>
          <w:p w14:paraId="57B58481">
            <w:pPr>
              <w:pStyle w:val="23"/>
              <w:bidi w:val="0"/>
              <w:rPr>
                <w:rFonts w:hint="default"/>
                <w:color w:val="auto"/>
                <w:highlight w:val="none"/>
                <w:lang w:val="en-US" w:eastAsia="zh-CN"/>
              </w:rPr>
            </w:pPr>
            <w:r>
              <w:rPr>
                <w:rFonts w:hint="eastAsia"/>
                <w:color w:val="auto"/>
                <w:highlight w:val="none"/>
                <w:lang w:val="en-US" w:eastAsia="zh-CN"/>
              </w:rPr>
              <w:t>0.286±0.001</w:t>
            </w:r>
          </w:p>
        </w:tc>
        <w:tc>
          <w:tcPr>
            <w:tcW w:w="1206" w:type="dxa"/>
            <w:tcBorders>
              <w:tl2br w:val="nil"/>
              <w:tr2bl w:val="nil"/>
            </w:tcBorders>
            <w:noWrap w:val="0"/>
            <w:vAlign w:val="top"/>
          </w:tcPr>
          <w:p w14:paraId="0BE99423">
            <w:pPr>
              <w:pStyle w:val="23"/>
              <w:bidi w:val="0"/>
              <w:rPr>
                <w:rFonts w:hint="default"/>
                <w:color w:val="auto"/>
                <w:highlight w:val="none"/>
                <w:lang w:val="en-US" w:eastAsia="zh-CN"/>
              </w:rPr>
            </w:pPr>
            <w:r>
              <w:rPr>
                <w:rFonts w:hint="default"/>
                <w:color w:val="auto"/>
                <w:highlight w:val="none"/>
              </w:rPr>
              <w:t>100</w:t>
            </w:r>
          </w:p>
        </w:tc>
      </w:tr>
      <w:tr w14:paraId="47A89F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611" w:type="dxa"/>
            <w:tcBorders>
              <w:tl2br w:val="nil"/>
              <w:tr2bl w:val="nil"/>
            </w:tcBorders>
            <w:noWrap w:val="0"/>
            <w:vAlign w:val="top"/>
          </w:tcPr>
          <w:p w14:paraId="68C7F731">
            <w:pPr>
              <w:pStyle w:val="23"/>
              <w:bidi w:val="0"/>
              <w:rPr>
                <w:rFonts w:hint="default"/>
                <w:color w:val="auto"/>
                <w:highlight w:val="none"/>
                <w:lang w:val="en-US" w:eastAsia="zh-CN"/>
              </w:rPr>
            </w:pPr>
            <w:r>
              <w:rPr>
                <w:rFonts w:hint="eastAsia"/>
                <w:color w:val="auto"/>
                <w:highlight w:val="none"/>
                <w:lang w:val="en-US" w:eastAsia="zh-CN"/>
              </w:rPr>
              <w:t>12</w:t>
            </w:r>
          </w:p>
        </w:tc>
        <w:tc>
          <w:tcPr>
            <w:tcW w:w="2368" w:type="dxa"/>
            <w:tcBorders>
              <w:tl2br w:val="nil"/>
              <w:tr2bl w:val="nil"/>
            </w:tcBorders>
            <w:noWrap w:val="0"/>
            <w:vAlign w:val="top"/>
          </w:tcPr>
          <w:p w14:paraId="5936468B">
            <w:pPr>
              <w:pStyle w:val="23"/>
              <w:bidi w:val="0"/>
              <w:rPr>
                <w:rFonts w:hint="default"/>
                <w:color w:val="auto"/>
                <w:highlight w:val="none"/>
                <w:lang w:val="en-US" w:eastAsia="zh-CN"/>
              </w:rPr>
            </w:pPr>
            <w:r>
              <w:rPr>
                <w:rFonts w:hint="eastAsia"/>
                <w:color w:val="auto"/>
                <w:highlight w:val="none"/>
                <w:lang w:val="en-US" w:eastAsia="zh-CN"/>
              </w:rPr>
              <w:t>站址南侧围墙外40m</w:t>
            </w:r>
          </w:p>
        </w:tc>
        <w:tc>
          <w:tcPr>
            <w:tcW w:w="1350" w:type="dxa"/>
            <w:tcBorders>
              <w:tl2br w:val="nil"/>
              <w:tr2bl w:val="nil"/>
            </w:tcBorders>
            <w:noWrap w:val="0"/>
            <w:vAlign w:val="top"/>
          </w:tcPr>
          <w:p w14:paraId="3900687D">
            <w:pPr>
              <w:pStyle w:val="23"/>
              <w:bidi w:val="0"/>
              <w:rPr>
                <w:rFonts w:hint="default"/>
                <w:color w:val="auto"/>
                <w:highlight w:val="none"/>
                <w:lang w:val="en-US" w:eastAsia="zh-CN"/>
              </w:rPr>
            </w:pPr>
            <w:r>
              <w:rPr>
                <w:rFonts w:hint="eastAsia"/>
                <w:color w:val="auto"/>
                <w:highlight w:val="none"/>
                <w:lang w:val="en-US" w:eastAsia="zh-CN"/>
              </w:rPr>
              <w:t>1.11±0.01</w:t>
            </w:r>
          </w:p>
        </w:tc>
        <w:tc>
          <w:tcPr>
            <w:tcW w:w="1077" w:type="dxa"/>
            <w:tcBorders>
              <w:tl2br w:val="nil"/>
              <w:tr2bl w:val="nil"/>
            </w:tcBorders>
            <w:noWrap w:val="0"/>
            <w:vAlign w:val="top"/>
          </w:tcPr>
          <w:p w14:paraId="31A89E54">
            <w:pPr>
              <w:pStyle w:val="23"/>
              <w:bidi w:val="0"/>
              <w:rPr>
                <w:rFonts w:hint="default"/>
                <w:color w:val="auto"/>
                <w:highlight w:val="none"/>
                <w:lang w:val="en-US" w:eastAsia="zh-CN"/>
              </w:rPr>
            </w:pPr>
            <w:r>
              <w:rPr>
                <w:rFonts w:hint="default"/>
                <w:color w:val="auto"/>
                <w:highlight w:val="none"/>
              </w:rPr>
              <w:t>4000</w:t>
            </w:r>
          </w:p>
        </w:tc>
        <w:tc>
          <w:tcPr>
            <w:tcW w:w="1415" w:type="dxa"/>
            <w:tcBorders>
              <w:tl2br w:val="nil"/>
              <w:tr2bl w:val="nil"/>
            </w:tcBorders>
            <w:noWrap w:val="0"/>
            <w:vAlign w:val="top"/>
          </w:tcPr>
          <w:p w14:paraId="7C226DA2">
            <w:pPr>
              <w:pStyle w:val="23"/>
              <w:bidi w:val="0"/>
              <w:rPr>
                <w:rFonts w:hint="default"/>
                <w:color w:val="auto"/>
                <w:highlight w:val="none"/>
                <w:lang w:val="en-US" w:eastAsia="zh-CN"/>
              </w:rPr>
            </w:pPr>
            <w:r>
              <w:rPr>
                <w:rFonts w:hint="eastAsia"/>
                <w:color w:val="auto"/>
                <w:highlight w:val="none"/>
                <w:lang w:val="en-US" w:eastAsia="zh-CN"/>
              </w:rPr>
              <w:t>0.288±0.001</w:t>
            </w:r>
          </w:p>
        </w:tc>
        <w:tc>
          <w:tcPr>
            <w:tcW w:w="1206" w:type="dxa"/>
            <w:tcBorders>
              <w:tl2br w:val="nil"/>
              <w:tr2bl w:val="nil"/>
            </w:tcBorders>
            <w:noWrap w:val="0"/>
            <w:vAlign w:val="top"/>
          </w:tcPr>
          <w:p w14:paraId="7FAD6C15">
            <w:pPr>
              <w:pStyle w:val="23"/>
              <w:bidi w:val="0"/>
              <w:rPr>
                <w:rFonts w:hint="default"/>
                <w:color w:val="auto"/>
                <w:highlight w:val="none"/>
                <w:lang w:val="en-US" w:eastAsia="zh-CN"/>
              </w:rPr>
            </w:pPr>
            <w:r>
              <w:rPr>
                <w:rFonts w:hint="default"/>
                <w:color w:val="auto"/>
                <w:highlight w:val="none"/>
              </w:rPr>
              <w:t>100</w:t>
            </w:r>
          </w:p>
        </w:tc>
      </w:tr>
      <w:tr w14:paraId="710233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611" w:type="dxa"/>
            <w:tcBorders>
              <w:tl2br w:val="nil"/>
              <w:tr2bl w:val="nil"/>
            </w:tcBorders>
            <w:noWrap w:val="0"/>
            <w:vAlign w:val="top"/>
          </w:tcPr>
          <w:p w14:paraId="4529A4B2">
            <w:pPr>
              <w:pStyle w:val="23"/>
              <w:bidi w:val="0"/>
              <w:rPr>
                <w:rFonts w:hint="default"/>
                <w:color w:val="auto"/>
                <w:highlight w:val="none"/>
                <w:lang w:val="en-US" w:eastAsia="zh-CN"/>
              </w:rPr>
            </w:pPr>
            <w:r>
              <w:rPr>
                <w:rFonts w:hint="eastAsia"/>
                <w:color w:val="auto"/>
                <w:highlight w:val="none"/>
                <w:lang w:val="en-US" w:eastAsia="zh-CN"/>
              </w:rPr>
              <w:t>13</w:t>
            </w:r>
          </w:p>
        </w:tc>
        <w:tc>
          <w:tcPr>
            <w:tcW w:w="2368" w:type="dxa"/>
            <w:tcBorders>
              <w:tl2br w:val="nil"/>
              <w:tr2bl w:val="nil"/>
            </w:tcBorders>
            <w:noWrap w:val="0"/>
            <w:vAlign w:val="top"/>
          </w:tcPr>
          <w:p w14:paraId="1613CD6E">
            <w:pPr>
              <w:pStyle w:val="23"/>
              <w:bidi w:val="0"/>
              <w:rPr>
                <w:rFonts w:hint="eastAsia"/>
                <w:color w:val="auto"/>
                <w:highlight w:val="none"/>
                <w:lang w:val="en-US" w:eastAsia="zh-CN"/>
              </w:rPr>
            </w:pPr>
            <w:r>
              <w:rPr>
                <w:rFonts w:hint="eastAsia"/>
                <w:color w:val="auto"/>
                <w:highlight w:val="none"/>
                <w:lang w:val="en-US" w:eastAsia="zh-CN"/>
              </w:rPr>
              <w:t>站址南侧围墙外45m</w:t>
            </w:r>
          </w:p>
        </w:tc>
        <w:tc>
          <w:tcPr>
            <w:tcW w:w="1350" w:type="dxa"/>
            <w:tcBorders>
              <w:tl2br w:val="nil"/>
              <w:tr2bl w:val="nil"/>
            </w:tcBorders>
            <w:noWrap w:val="0"/>
            <w:vAlign w:val="top"/>
          </w:tcPr>
          <w:p w14:paraId="6C630F94">
            <w:pPr>
              <w:pStyle w:val="23"/>
              <w:bidi w:val="0"/>
              <w:rPr>
                <w:rFonts w:hint="default"/>
                <w:color w:val="auto"/>
                <w:highlight w:val="none"/>
                <w:lang w:val="en-US" w:eastAsia="zh-CN"/>
              </w:rPr>
            </w:pPr>
            <w:r>
              <w:rPr>
                <w:rFonts w:hint="eastAsia"/>
                <w:color w:val="auto"/>
                <w:highlight w:val="none"/>
                <w:lang w:val="en-US" w:eastAsia="zh-CN"/>
              </w:rPr>
              <w:t>1.11±0.01</w:t>
            </w:r>
          </w:p>
        </w:tc>
        <w:tc>
          <w:tcPr>
            <w:tcW w:w="1077" w:type="dxa"/>
            <w:tcBorders>
              <w:tl2br w:val="nil"/>
              <w:tr2bl w:val="nil"/>
            </w:tcBorders>
            <w:noWrap w:val="0"/>
            <w:vAlign w:val="top"/>
          </w:tcPr>
          <w:p w14:paraId="37455130">
            <w:pPr>
              <w:pStyle w:val="23"/>
              <w:bidi w:val="0"/>
              <w:rPr>
                <w:rFonts w:hint="default"/>
                <w:color w:val="auto"/>
                <w:highlight w:val="none"/>
                <w:lang w:val="en-US" w:eastAsia="zh-CN"/>
              </w:rPr>
            </w:pPr>
            <w:r>
              <w:rPr>
                <w:rFonts w:hint="default"/>
                <w:color w:val="auto"/>
                <w:highlight w:val="none"/>
              </w:rPr>
              <w:t>4000</w:t>
            </w:r>
          </w:p>
        </w:tc>
        <w:tc>
          <w:tcPr>
            <w:tcW w:w="1415" w:type="dxa"/>
            <w:tcBorders>
              <w:tl2br w:val="nil"/>
              <w:tr2bl w:val="nil"/>
            </w:tcBorders>
            <w:noWrap w:val="0"/>
            <w:vAlign w:val="top"/>
          </w:tcPr>
          <w:p w14:paraId="7B295857">
            <w:pPr>
              <w:pStyle w:val="23"/>
              <w:bidi w:val="0"/>
              <w:rPr>
                <w:rFonts w:hint="default"/>
                <w:color w:val="auto"/>
                <w:highlight w:val="none"/>
                <w:lang w:val="en-US" w:eastAsia="zh-CN"/>
              </w:rPr>
            </w:pPr>
            <w:r>
              <w:rPr>
                <w:rFonts w:hint="eastAsia"/>
                <w:color w:val="auto"/>
                <w:highlight w:val="none"/>
                <w:lang w:val="en-US" w:eastAsia="zh-CN"/>
              </w:rPr>
              <w:t>0.290±0.001</w:t>
            </w:r>
          </w:p>
        </w:tc>
        <w:tc>
          <w:tcPr>
            <w:tcW w:w="1206" w:type="dxa"/>
            <w:tcBorders>
              <w:tl2br w:val="nil"/>
              <w:tr2bl w:val="nil"/>
            </w:tcBorders>
            <w:noWrap w:val="0"/>
            <w:vAlign w:val="top"/>
          </w:tcPr>
          <w:p w14:paraId="53A43FB0">
            <w:pPr>
              <w:pStyle w:val="23"/>
              <w:bidi w:val="0"/>
              <w:rPr>
                <w:rFonts w:hint="default"/>
                <w:color w:val="auto"/>
                <w:highlight w:val="none"/>
                <w:lang w:val="en-US" w:eastAsia="zh-CN"/>
              </w:rPr>
            </w:pPr>
            <w:r>
              <w:rPr>
                <w:rFonts w:hint="default"/>
                <w:color w:val="auto"/>
                <w:highlight w:val="none"/>
              </w:rPr>
              <w:t>100</w:t>
            </w:r>
          </w:p>
        </w:tc>
      </w:tr>
      <w:tr w14:paraId="32C1B2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611" w:type="dxa"/>
            <w:tcBorders>
              <w:tl2br w:val="nil"/>
              <w:tr2bl w:val="nil"/>
            </w:tcBorders>
            <w:noWrap w:val="0"/>
            <w:vAlign w:val="top"/>
          </w:tcPr>
          <w:p w14:paraId="401E2314">
            <w:pPr>
              <w:pStyle w:val="23"/>
              <w:bidi w:val="0"/>
              <w:rPr>
                <w:rFonts w:hint="default"/>
                <w:color w:val="auto"/>
                <w:highlight w:val="none"/>
                <w:lang w:val="en-US" w:eastAsia="zh-CN"/>
              </w:rPr>
            </w:pPr>
            <w:r>
              <w:rPr>
                <w:rFonts w:hint="eastAsia"/>
                <w:color w:val="auto"/>
                <w:highlight w:val="none"/>
                <w:lang w:val="en-US" w:eastAsia="zh-CN"/>
              </w:rPr>
              <w:t>14</w:t>
            </w:r>
          </w:p>
        </w:tc>
        <w:tc>
          <w:tcPr>
            <w:tcW w:w="2368" w:type="dxa"/>
            <w:tcBorders>
              <w:tl2br w:val="nil"/>
              <w:tr2bl w:val="nil"/>
            </w:tcBorders>
            <w:noWrap w:val="0"/>
            <w:vAlign w:val="top"/>
          </w:tcPr>
          <w:p w14:paraId="064B0045">
            <w:pPr>
              <w:pStyle w:val="23"/>
              <w:bidi w:val="0"/>
              <w:rPr>
                <w:rFonts w:hint="eastAsia"/>
                <w:color w:val="auto"/>
                <w:highlight w:val="none"/>
                <w:lang w:val="en-US" w:eastAsia="zh-CN"/>
              </w:rPr>
            </w:pPr>
            <w:r>
              <w:rPr>
                <w:rFonts w:hint="eastAsia"/>
                <w:color w:val="auto"/>
                <w:highlight w:val="none"/>
                <w:lang w:val="en-US" w:eastAsia="zh-CN"/>
              </w:rPr>
              <w:t>站址南侧围墙外50m</w:t>
            </w:r>
          </w:p>
        </w:tc>
        <w:tc>
          <w:tcPr>
            <w:tcW w:w="1350" w:type="dxa"/>
            <w:tcBorders>
              <w:tl2br w:val="nil"/>
              <w:tr2bl w:val="nil"/>
            </w:tcBorders>
            <w:noWrap w:val="0"/>
            <w:vAlign w:val="top"/>
          </w:tcPr>
          <w:p w14:paraId="7DC9F920">
            <w:pPr>
              <w:pStyle w:val="23"/>
              <w:bidi w:val="0"/>
              <w:rPr>
                <w:rFonts w:hint="default"/>
                <w:color w:val="auto"/>
                <w:highlight w:val="none"/>
                <w:lang w:val="en-US" w:eastAsia="zh-CN"/>
              </w:rPr>
            </w:pPr>
            <w:r>
              <w:rPr>
                <w:rFonts w:hint="eastAsia"/>
                <w:color w:val="auto"/>
                <w:highlight w:val="none"/>
                <w:lang w:val="en-US" w:eastAsia="zh-CN"/>
              </w:rPr>
              <w:t>1.13±0.01</w:t>
            </w:r>
          </w:p>
        </w:tc>
        <w:tc>
          <w:tcPr>
            <w:tcW w:w="1077" w:type="dxa"/>
            <w:tcBorders>
              <w:tl2br w:val="nil"/>
              <w:tr2bl w:val="nil"/>
            </w:tcBorders>
            <w:noWrap w:val="0"/>
            <w:vAlign w:val="top"/>
          </w:tcPr>
          <w:p w14:paraId="018B5B64">
            <w:pPr>
              <w:pStyle w:val="23"/>
              <w:bidi w:val="0"/>
              <w:rPr>
                <w:rFonts w:hint="default"/>
                <w:color w:val="auto"/>
                <w:highlight w:val="none"/>
                <w:lang w:val="en-US" w:eastAsia="zh-CN"/>
              </w:rPr>
            </w:pPr>
            <w:r>
              <w:rPr>
                <w:rFonts w:hint="default"/>
                <w:color w:val="auto"/>
                <w:highlight w:val="none"/>
              </w:rPr>
              <w:t>4000</w:t>
            </w:r>
          </w:p>
        </w:tc>
        <w:tc>
          <w:tcPr>
            <w:tcW w:w="1415" w:type="dxa"/>
            <w:tcBorders>
              <w:tl2br w:val="nil"/>
              <w:tr2bl w:val="nil"/>
            </w:tcBorders>
            <w:noWrap w:val="0"/>
            <w:vAlign w:val="top"/>
          </w:tcPr>
          <w:p w14:paraId="0CC5F9ED">
            <w:pPr>
              <w:pStyle w:val="23"/>
              <w:bidi w:val="0"/>
              <w:rPr>
                <w:rFonts w:hint="default"/>
                <w:color w:val="auto"/>
                <w:highlight w:val="none"/>
                <w:lang w:val="en-US" w:eastAsia="zh-CN"/>
              </w:rPr>
            </w:pPr>
            <w:r>
              <w:rPr>
                <w:rFonts w:hint="eastAsia"/>
                <w:color w:val="auto"/>
                <w:highlight w:val="none"/>
                <w:lang w:val="en-US" w:eastAsia="zh-CN"/>
              </w:rPr>
              <w:t>0.292±0.002</w:t>
            </w:r>
          </w:p>
        </w:tc>
        <w:tc>
          <w:tcPr>
            <w:tcW w:w="1206" w:type="dxa"/>
            <w:tcBorders>
              <w:tl2br w:val="nil"/>
              <w:tr2bl w:val="nil"/>
            </w:tcBorders>
            <w:noWrap w:val="0"/>
            <w:vAlign w:val="top"/>
          </w:tcPr>
          <w:p w14:paraId="48703B6C">
            <w:pPr>
              <w:pStyle w:val="23"/>
              <w:bidi w:val="0"/>
              <w:rPr>
                <w:rFonts w:hint="default"/>
                <w:color w:val="auto"/>
                <w:highlight w:val="none"/>
                <w:lang w:val="en-US" w:eastAsia="zh-CN"/>
              </w:rPr>
            </w:pPr>
            <w:r>
              <w:rPr>
                <w:rFonts w:hint="default"/>
                <w:color w:val="auto"/>
                <w:highlight w:val="none"/>
              </w:rPr>
              <w:t>100</w:t>
            </w:r>
          </w:p>
        </w:tc>
      </w:tr>
    </w:tbl>
    <w:p w14:paraId="50E4A592">
      <w:pPr>
        <w:pStyle w:val="2"/>
        <w:keepNext w:val="0"/>
        <w:keepLines w:val="0"/>
        <w:pageBreakBefore w:val="0"/>
        <w:widowControl w:val="0"/>
        <w:kinsoku/>
        <w:wordWrap/>
        <w:overflowPunct/>
        <w:topLinePunct w:val="0"/>
        <w:autoSpaceDE/>
        <w:autoSpaceDN/>
        <w:bidi w:val="0"/>
        <w:adjustRightInd w:val="0"/>
        <w:snapToGrid w:val="0"/>
        <w:spacing w:before="0" w:after="0" w:line="360" w:lineRule="auto"/>
        <w:ind w:right="0" w:firstLine="480" w:firstLineChars="200"/>
        <w:jc w:val="both"/>
        <w:textAlignment w:val="auto"/>
        <w:rPr>
          <w:rFonts w:hint="default" w:ascii="Times New Roman" w:hAnsi="Times New Roman" w:cs="Times New Roman"/>
          <w:b w:val="0"/>
          <w:bCs w:val="0"/>
          <w:color w:val="auto"/>
          <w:kern w:val="0"/>
          <w:sz w:val="24"/>
          <w:szCs w:val="24"/>
          <w:highlight w:val="none"/>
          <w:lang w:val="en-US" w:eastAsia="zh-CN" w:bidi="ar-SA"/>
        </w:rPr>
      </w:pPr>
      <w:r>
        <w:rPr>
          <w:rFonts w:hint="eastAsia" w:ascii="Times New Roman" w:hAnsi="Times New Roman" w:eastAsia="宋体" w:cs="Times New Roman"/>
          <w:b w:val="0"/>
          <w:bCs w:val="0"/>
          <w:color w:val="auto"/>
          <w:kern w:val="0"/>
          <w:sz w:val="24"/>
          <w:szCs w:val="24"/>
          <w:highlight w:val="none"/>
          <w:lang w:val="en-US" w:eastAsia="zh-CN" w:bidi="ar-SA"/>
        </w:rPr>
        <w:t>现场检测结果可知：现有110kV升压站工频电场强度满足《电磁环境控制限值》（GB8702-2014）中标准限值4000V/m的要求；工频磁感应强度满足《电磁环境控制限值》（</w:t>
      </w:r>
      <w:r>
        <w:rPr>
          <w:rFonts w:hint="default" w:ascii="Times New Roman" w:hAnsi="Times New Roman" w:eastAsia="宋体" w:cs="Times New Roman"/>
          <w:b w:val="0"/>
          <w:bCs w:val="0"/>
          <w:color w:val="auto"/>
          <w:kern w:val="0"/>
          <w:sz w:val="24"/>
          <w:szCs w:val="24"/>
          <w:highlight w:val="none"/>
          <w:lang w:val="en-US" w:eastAsia="zh-CN" w:bidi="ar-SA"/>
        </w:rPr>
        <w:t>GB8702-2014</w:t>
      </w:r>
      <w:r>
        <w:rPr>
          <w:rFonts w:hint="eastAsia" w:ascii="Times New Roman" w:hAnsi="Times New Roman" w:eastAsia="宋体" w:cs="Times New Roman"/>
          <w:b w:val="0"/>
          <w:bCs w:val="0"/>
          <w:color w:val="auto"/>
          <w:kern w:val="0"/>
          <w:sz w:val="24"/>
          <w:szCs w:val="24"/>
          <w:highlight w:val="none"/>
          <w:lang w:val="en-US" w:eastAsia="zh-CN" w:bidi="ar-SA"/>
        </w:rPr>
        <w:t>）中标准限值</w:t>
      </w:r>
      <w:r>
        <w:rPr>
          <w:rFonts w:hint="default" w:ascii="Times New Roman" w:hAnsi="Times New Roman" w:eastAsia="宋体" w:cs="Times New Roman"/>
          <w:b w:val="0"/>
          <w:bCs w:val="0"/>
          <w:color w:val="auto"/>
          <w:kern w:val="0"/>
          <w:sz w:val="24"/>
          <w:szCs w:val="24"/>
          <w:highlight w:val="none"/>
          <w:lang w:val="en-US" w:eastAsia="zh-CN" w:bidi="ar-SA"/>
        </w:rPr>
        <w:t>100μT</w:t>
      </w:r>
      <w:r>
        <w:rPr>
          <w:rFonts w:hint="eastAsia" w:ascii="Times New Roman" w:hAnsi="Times New Roman" w:eastAsia="宋体" w:cs="Times New Roman"/>
          <w:b w:val="0"/>
          <w:bCs w:val="0"/>
          <w:color w:val="auto"/>
          <w:kern w:val="0"/>
          <w:sz w:val="24"/>
          <w:szCs w:val="24"/>
          <w:highlight w:val="none"/>
          <w:lang w:val="en-US" w:eastAsia="zh-CN" w:bidi="ar-SA"/>
        </w:rPr>
        <w:t>的要求。</w:t>
      </w:r>
    </w:p>
    <w:p w14:paraId="65AC7F61">
      <w:pPr>
        <w:bidi w:val="0"/>
        <w:rPr>
          <w:rFonts w:ascii="Times New Roman" w:hAnsi="Times New Roman" w:eastAsia="宋体" w:cs="Times New Roman"/>
          <w:color w:val="auto"/>
          <w:highlight w:val="none"/>
        </w:rPr>
      </w:pPr>
    </w:p>
    <w:p w14:paraId="25AA01AD">
      <w:pPr>
        <w:bidi w:val="0"/>
        <w:rPr>
          <w:rFonts w:ascii="Times New Roman" w:hAnsi="Times New Roman" w:eastAsia="宋体" w:cs="Times New Roman"/>
          <w:color w:val="auto"/>
          <w:highlight w:val="none"/>
        </w:rPr>
      </w:pPr>
    </w:p>
    <w:p w14:paraId="769EE5E4">
      <w:pPr>
        <w:bidi w:val="0"/>
        <w:rPr>
          <w:rFonts w:ascii="Times New Roman" w:hAnsi="Times New Roman" w:eastAsia="宋体" w:cs="Times New Roman"/>
          <w:color w:val="auto"/>
          <w:highlight w:val="none"/>
        </w:rPr>
      </w:pPr>
    </w:p>
    <w:p w14:paraId="7818BE7A">
      <w:pPr>
        <w:bidi w:val="0"/>
        <w:rPr>
          <w:rFonts w:ascii="Times New Roman" w:hAnsi="Times New Roman" w:eastAsia="宋体" w:cs="Times New Roman"/>
          <w:color w:val="auto"/>
          <w:highlight w:val="none"/>
        </w:rPr>
      </w:pPr>
    </w:p>
    <w:p w14:paraId="015866E2">
      <w:pPr>
        <w:bidi w:val="0"/>
        <w:rPr>
          <w:rFonts w:ascii="Times New Roman" w:hAnsi="Times New Roman" w:eastAsia="宋体" w:cs="Times New Roman"/>
          <w:color w:val="auto"/>
          <w:highlight w:val="none"/>
        </w:rPr>
      </w:pPr>
    </w:p>
    <w:p w14:paraId="2488C762">
      <w:pPr>
        <w:bidi w:val="0"/>
        <w:rPr>
          <w:rFonts w:ascii="Times New Roman" w:hAnsi="Times New Roman" w:eastAsia="宋体" w:cs="Times New Roman"/>
          <w:color w:val="auto"/>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5C60AE1D">
      <w:pPr>
        <w:pStyle w:val="3"/>
        <w:rPr>
          <w:rFonts w:hint="default" w:ascii="Times New Roman" w:hAnsi="Times New Roman" w:cs="Times New Roman"/>
          <w:color w:val="auto"/>
          <w:highlight w:val="none"/>
        </w:rPr>
      </w:pPr>
      <w:bookmarkStart w:id="84" w:name="_Toc18540"/>
      <w:r>
        <w:rPr>
          <w:rFonts w:hint="eastAsia" w:ascii="Times New Roman" w:hAnsi="Times New Roman" w:cs="Times New Roman"/>
          <w:color w:val="auto"/>
          <w:highlight w:val="none"/>
          <w:lang w:eastAsia="zh-CN"/>
        </w:rPr>
        <w:t>环境影响预测与评价</w:t>
      </w:r>
      <w:bookmarkEnd w:id="84"/>
    </w:p>
    <w:p w14:paraId="33A0F2EC">
      <w:pPr>
        <w:pStyle w:val="4"/>
        <w:bidi w:val="0"/>
        <w:rPr>
          <w:rFonts w:hint="default" w:ascii="Times New Roman" w:hAnsi="Times New Roman" w:cs="Times New Roman"/>
          <w:color w:val="auto"/>
          <w:highlight w:val="none"/>
        </w:rPr>
      </w:pPr>
      <w:bookmarkStart w:id="85" w:name="_Toc8928"/>
      <w:r>
        <w:rPr>
          <w:rFonts w:hint="eastAsia" w:cs="Times New Roman"/>
          <w:color w:val="auto"/>
          <w:highlight w:val="none"/>
          <w:lang w:eastAsia="zh-CN"/>
        </w:rPr>
        <w:t>施工期环境影响预测与评价</w:t>
      </w:r>
      <w:bookmarkEnd w:id="85"/>
    </w:p>
    <w:p w14:paraId="4CB2D23F">
      <w:pPr>
        <w:pStyle w:val="5"/>
        <w:rPr>
          <w:rFonts w:hint="default" w:ascii="Times New Roman" w:hAnsi="Times New Roman" w:cs="Times New Roman"/>
          <w:color w:val="auto"/>
          <w:highlight w:val="none"/>
          <w:lang w:eastAsia="zh-CN"/>
        </w:rPr>
      </w:pPr>
      <w:r>
        <w:rPr>
          <w:rFonts w:hint="eastAsia" w:ascii="Times New Roman" w:hAnsi="Times New Roman" w:cs="Times New Roman"/>
          <w:color w:val="auto"/>
          <w:highlight w:val="none"/>
          <w:lang w:val="en-US" w:eastAsia="zh-CN"/>
        </w:rPr>
        <w:t>生态环境影响预测与评价</w:t>
      </w:r>
    </w:p>
    <w:p w14:paraId="64766417">
      <w:pPr>
        <w:pStyle w:val="6"/>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对生态系统的影响</w:t>
      </w:r>
    </w:p>
    <w:p w14:paraId="3D48C88F">
      <w:pPr>
        <w:pStyle w:val="30"/>
        <w:bidi w:val="0"/>
        <w:rPr>
          <w:rFonts w:hint="eastAsia"/>
          <w:color w:val="auto"/>
          <w:highlight w:val="none"/>
          <w:lang w:val="en-US" w:eastAsia="zh-CN"/>
        </w:rPr>
      </w:pPr>
      <w:r>
        <w:rPr>
          <w:rFonts w:hint="eastAsia"/>
          <w:color w:val="auto"/>
          <w:highlight w:val="none"/>
          <w:lang w:val="en-US" w:eastAsia="zh-CN"/>
        </w:rPr>
        <w:t>评价区生态系统主要有森林生态系统、灌丛生态系统、农业生态系统，它们具有生境支持、生物多样性维持、美化环境等多种功能。本工程建设会对区域原有生态系统产生不利影响，主要影响因素有工程占地及施工活动等。</w:t>
      </w:r>
    </w:p>
    <w:p w14:paraId="6C651DD3">
      <w:pPr>
        <w:pStyle w:val="30"/>
        <w:bidi w:val="0"/>
        <w:rPr>
          <w:rFonts w:hint="eastAsia"/>
          <w:color w:val="auto"/>
          <w:highlight w:val="none"/>
          <w:lang w:val="en-US" w:eastAsia="zh-CN"/>
        </w:rPr>
      </w:pPr>
      <w:r>
        <w:rPr>
          <w:rFonts w:hint="eastAsia"/>
          <w:color w:val="auto"/>
          <w:highlight w:val="none"/>
          <w:lang w:val="en-US" w:eastAsia="zh-CN"/>
        </w:rPr>
        <w:t>本工程施工占地对评价区森林生态系统影响最大，其次为灌丛/灌草丛生态系统，对农业生态系统、湿地生态系统和城镇/村落生态系统影响微弱。</w:t>
      </w:r>
    </w:p>
    <w:p w14:paraId="6E79C611">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default" w:ascii="Times New Roman" w:hAnsi="Times New Roman" w:cs="Times New Roman"/>
          <w:color w:val="auto"/>
          <w:sz w:val="24"/>
          <w:szCs w:val="24"/>
          <w:highlight w:val="none"/>
        </w:rPr>
      </w:pPr>
      <w:r>
        <w:rPr>
          <w:rFonts w:hint="eastAsia" w:ascii="Times New Roman" w:hAnsi="Times New Roman"/>
          <w:b/>
          <w:bCs/>
          <w:color w:val="auto"/>
          <w:sz w:val="24"/>
          <w:szCs w:val="24"/>
          <w:highlight w:val="none"/>
          <w:u w:val="none"/>
          <w:lang w:val="en-US" w:eastAsia="zh-CN"/>
        </w:rPr>
        <w:t>对森林生态系统的影响</w:t>
      </w:r>
    </w:p>
    <w:p w14:paraId="620AD98F">
      <w:pPr>
        <w:pStyle w:val="30"/>
        <w:rPr>
          <w:rFonts w:hint="default"/>
          <w:color w:val="auto"/>
          <w:highlight w:val="none"/>
          <w:lang w:val="en-US" w:eastAsia="zh-CN"/>
        </w:rPr>
      </w:pPr>
      <w:r>
        <w:rPr>
          <w:rFonts w:hint="default"/>
          <w:color w:val="auto"/>
          <w:highlight w:val="none"/>
          <w:lang w:val="en-US" w:eastAsia="zh-CN"/>
        </w:rPr>
        <w:t>本工程对评价区森林生态系统的不利影响主要有：①施工占地：本工程施工占地将占用森林生态系统面积，使生产者减少，占地范围及附近区域的非生物环境发生改变，使局部区域能量流动和物质循环能力降低；②施工活动：施工活动产生的弃渣、扬尘、废气、生活垃圾等带来的污染，会直接或间接影响附近植物生境及动物的栖息环境，会使得工程区附近森林生态系统中生产者生产能力降低，会导致森林生态系统内原有的一些植物及植被受到破坏，某些动物迁移；③人为干扰：施工过程中，如果管理不善，可能会对周围林地造成破坏，特别是对乔木、灌木的随意破坏，造成林地建群种的损失，群落层次缺失，垂直结构发生改变，进而导致生境变化，林下植物种类变化，森林植被发生逆行演替，群落多样性减小，稳定性降低，对环境的抵抗能力下降，使局部森林生态系统对环境的适应能力下降。</w:t>
      </w:r>
    </w:p>
    <w:p w14:paraId="22D3F1CC">
      <w:pPr>
        <w:pStyle w:val="30"/>
        <w:rPr>
          <w:rFonts w:hint="default"/>
          <w:color w:val="auto"/>
          <w:highlight w:val="none"/>
          <w:lang w:val="en-US" w:eastAsia="zh-CN"/>
        </w:rPr>
      </w:pPr>
      <w:r>
        <w:rPr>
          <w:rFonts w:hint="default"/>
          <w:color w:val="auto"/>
          <w:highlight w:val="none"/>
          <w:lang w:val="en-US" w:eastAsia="zh-CN"/>
        </w:rPr>
        <w:t>根据现场调查，本工程占地区森林生态系统内植被以阔叶林和为主，常见的群系有锥栗林、水竹林、山乌桕林等，常见植物有杉木、马尾松、化香树等，评价区内受工程占地影响的植物及植被在评价区均具有广泛分布，且均为次生性植被，本工程占地对评价区森林生态系统内植物及植被的影响较小。且临时占地在施工结束后将采取一定的植被恢复措施，永久占地破坏的植被将采取异地植树的方式进行生态补偿。虽然工程建设后，植被无法再短期内恢复原貌，本工程对森林生态系统的结构和功能会造成一定的影响，但在采取各种相关措施后，本工程占用林地对森林生态系统的影响会有所减轻，总体来讲，本工程占地对森林生态系统中植被和植物多样性影响较小。</w:t>
      </w:r>
    </w:p>
    <w:p w14:paraId="1110855F">
      <w:pPr>
        <w:pStyle w:val="30"/>
        <w:rPr>
          <w:rFonts w:hint="default"/>
          <w:color w:val="auto"/>
          <w:highlight w:val="none"/>
          <w:lang w:val="en-US" w:eastAsia="zh-CN"/>
        </w:rPr>
      </w:pPr>
      <w:r>
        <w:rPr>
          <w:rFonts w:hint="default"/>
          <w:color w:val="auto"/>
          <w:highlight w:val="none"/>
          <w:lang w:val="en-US" w:eastAsia="zh-CN"/>
        </w:rPr>
        <w:t>风电场施工占地会使区域内的动物栖息地缩减，但由于施工区附近还有大面积类似生境，可以满足动物栖息需求。施工干扰以及运行期风机噪声等会驱使动物向其它地区迁移，导致施工区域附近动物分布的变化，但工程不会造成动物个体死亡，造成动物种群数量降低，更不会使评价区森林生态系统中动物的种类组成和区系发生改变。</w:t>
      </w:r>
    </w:p>
    <w:p w14:paraId="185B342A">
      <w:pPr>
        <w:bidi w:val="0"/>
        <w:rPr>
          <w:rFonts w:ascii="Times New Roman" w:hAnsi="Times New Roman" w:eastAsia="宋体" w:cs="Times New Roman"/>
          <w:color w:val="auto"/>
          <w:highlight w:val="none"/>
        </w:rPr>
      </w:pPr>
      <w:r>
        <w:rPr>
          <w:rFonts w:hint="default"/>
          <w:color w:val="auto"/>
          <w:highlight w:val="none"/>
          <w:lang w:val="en-US" w:eastAsia="zh-CN"/>
        </w:rPr>
        <w:t>综上所述，本工程建设对评价区森林生态系统内动植物的影响较小，对森林生态系统结构及功能的影响较小。</w:t>
      </w:r>
    </w:p>
    <w:p w14:paraId="778A3234">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default" w:ascii="Times New Roman" w:hAnsi="Times New Roman" w:cs="Times New Roman"/>
          <w:color w:val="auto"/>
          <w:sz w:val="24"/>
          <w:szCs w:val="24"/>
          <w:highlight w:val="none"/>
        </w:rPr>
      </w:pPr>
      <w:r>
        <w:rPr>
          <w:rFonts w:hint="eastAsia" w:ascii="Times New Roman" w:hAnsi="Times New Roman"/>
          <w:b/>
          <w:bCs/>
          <w:color w:val="auto"/>
          <w:sz w:val="24"/>
          <w:szCs w:val="24"/>
          <w:highlight w:val="none"/>
          <w:u w:val="none"/>
          <w:lang w:val="en-US" w:eastAsia="zh-CN"/>
        </w:rPr>
        <w:t>对灌丛/灌草丛生态系统的影响</w:t>
      </w:r>
    </w:p>
    <w:p w14:paraId="6A5FD7B1">
      <w:pPr>
        <w:pStyle w:val="30"/>
        <w:pageBreakBefore w:val="0"/>
        <w:widowControl w:val="0"/>
        <w:kinsoku/>
        <w:wordWrap/>
        <w:overflowPunct/>
        <w:topLinePunct w:val="0"/>
        <w:autoSpaceDE/>
        <w:autoSpaceDN/>
        <w:bidi w:val="0"/>
        <w:adjustRightInd w:val="0"/>
        <w:snapToGrid w:val="0"/>
        <w:spacing w:line="360" w:lineRule="auto"/>
        <w:ind w:left="0" w:right="0"/>
        <w:textAlignment w:val="auto"/>
        <w:rPr>
          <w:rFonts w:hint="eastAsia"/>
          <w:b w:val="0"/>
          <w:bCs w:val="0"/>
          <w:color w:val="auto"/>
          <w:highlight w:val="none"/>
          <w:lang w:val="en-US" w:eastAsia="zh-CN"/>
        </w:rPr>
      </w:pPr>
      <w:r>
        <w:rPr>
          <w:rFonts w:hint="eastAsia"/>
          <w:b w:val="0"/>
          <w:bCs w:val="0"/>
          <w:color w:val="auto"/>
          <w:highlight w:val="none"/>
          <w:lang w:val="en-US" w:eastAsia="zh-CN"/>
        </w:rPr>
        <w:t>本工程建设对评价区灌丛和草地生态系统的不利影响主要有：①施工占地：施工占地将对评价区灌丛和草地生态系统产生直接的破坏；②施工活动：施工活动中机械施工碾压、施工人员踩踏、施工活动产生的扬尘、废水、废气、生活垃圾等，会影响灌丛和草地生态系统内动植物生命活动；③水土流失：水土流失亦会对评价区灌丛和草地生态系统产生影响。</w:t>
      </w:r>
    </w:p>
    <w:p w14:paraId="3E17CC58">
      <w:pPr>
        <w:bidi w:val="0"/>
        <w:rPr>
          <w:rFonts w:ascii="Times New Roman" w:hAnsi="Times New Roman" w:eastAsia="宋体" w:cs="Times New Roman"/>
          <w:color w:val="auto"/>
          <w:highlight w:val="none"/>
        </w:rPr>
      </w:pPr>
      <w:r>
        <w:rPr>
          <w:rFonts w:hint="eastAsia"/>
          <w:b w:val="0"/>
          <w:bCs w:val="0"/>
          <w:color w:val="auto"/>
          <w:highlight w:val="none"/>
          <w:lang w:val="en-US" w:eastAsia="zh-CN"/>
        </w:rPr>
        <w:t>本工程占用评价区灌丛和草地生态系统面积小，工程可能引起的水土流失面积较小。根据现场调查，本工程占地区灌丛和草地生态系统内植被包括灌丛和灌草丛，常见的群系有檵木灌丛、山茶灌丛、芒灌草丛等，常见的植物有紫珠、格药柃、短柄枹栎、高粱泡、构棘、千里光、愉悦蓼、兰香草、天葵等。灌丛和草地生态、系统内动物种类较少。评价区灌丛和草地生态系统内受工程占地影响的植被单一，群系结构及种类组成较简单，灌丛和草地生态系统内植物多以多年生草本植物为主，主要为禾草类、蕨类及菊科植物，其生命力强、生长速度快、适应性范围广、竞争力强，种子产量多，萌发率高，因此工程占地、施工活动等对评价区 灌丛和草地生态系统影响较小，且随着施工结束，临时占地区灌丛和草地生态系统将得到恢复，因此，本工程建设对评价区灌丛和草地生态系统的影响较小。</w:t>
      </w:r>
    </w:p>
    <w:p w14:paraId="23D6D6F3">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default" w:ascii="Times New Roman" w:hAnsi="Times New Roman" w:cs="Times New Roman"/>
          <w:color w:val="auto"/>
          <w:sz w:val="24"/>
          <w:szCs w:val="24"/>
          <w:highlight w:val="none"/>
        </w:rPr>
      </w:pPr>
      <w:r>
        <w:rPr>
          <w:rFonts w:hint="eastAsia" w:ascii="Times New Roman" w:hAnsi="Times New Roman"/>
          <w:b/>
          <w:bCs/>
          <w:color w:val="auto"/>
          <w:sz w:val="24"/>
          <w:szCs w:val="24"/>
          <w:highlight w:val="none"/>
          <w:u w:val="none"/>
          <w:lang w:val="en-US" w:eastAsia="zh-CN"/>
        </w:rPr>
        <w:t>对农业生态系统的影响</w:t>
      </w:r>
    </w:p>
    <w:p w14:paraId="2EB962F6">
      <w:pPr>
        <w:pStyle w:val="30"/>
        <w:pageBreakBefore w:val="0"/>
        <w:widowControl w:val="0"/>
        <w:kinsoku/>
        <w:wordWrap/>
        <w:overflowPunct/>
        <w:topLinePunct w:val="0"/>
        <w:autoSpaceDE/>
        <w:autoSpaceDN/>
        <w:bidi w:val="0"/>
        <w:adjustRightInd w:val="0"/>
        <w:snapToGrid w:val="0"/>
        <w:spacing w:line="360" w:lineRule="auto"/>
        <w:ind w:left="0" w:right="0"/>
        <w:textAlignment w:val="auto"/>
        <w:rPr>
          <w:rFonts w:hint="eastAsia"/>
          <w:b w:val="0"/>
          <w:bCs w:val="0"/>
          <w:color w:val="auto"/>
          <w:highlight w:val="none"/>
          <w:lang w:val="en-US" w:eastAsia="zh-CN"/>
        </w:rPr>
      </w:pPr>
      <w:r>
        <w:rPr>
          <w:rFonts w:hint="eastAsia"/>
          <w:b w:val="0"/>
          <w:bCs w:val="0"/>
          <w:color w:val="auto"/>
          <w:highlight w:val="none"/>
          <w:lang w:val="en-US" w:eastAsia="zh-CN"/>
        </w:rPr>
        <w:t>本工程建设对评价区农业生态系统的影响主要有：施工活动：施工活动中机械、人员碾压，施工活动产生的弃渣、废水、固废物等会对评价区农业生态系统产生不利影响。</w:t>
      </w:r>
    </w:p>
    <w:p w14:paraId="0D3E105A">
      <w:pPr>
        <w:pStyle w:val="30"/>
        <w:pageBreakBefore w:val="0"/>
        <w:widowControl w:val="0"/>
        <w:kinsoku/>
        <w:wordWrap/>
        <w:overflowPunct/>
        <w:topLinePunct w:val="0"/>
        <w:autoSpaceDE/>
        <w:autoSpaceDN/>
        <w:bidi w:val="0"/>
        <w:adjustRightInd w:val="0"/>
        <w:snapToGrid w:val="0"/>
        <w:spacing w:line="360" w:lineRule="auto"/>
        <w:ind w:left="0" w:right="0"/>
        <w:textAlignment w:val="auto"/>
        <w:rPr>
          <w:rFonts w:hint="eastAsia"/>
          <w:b w:val="0"/>
          <w:bCs w:val="0"/>
          <w:color w:val="auto"/>
          <w:highlight w:val="none"/>
          <w:lang w:val="en-US" w:eastAsia="zh-CN"/>
        </w:rPr>
      </w:pPr>
      <w:r>
        <w:rPr>
          <w:rFonts w:hint="eastAsia"/>
          <w:b w:val="0"/>
          <w:bCs w:val="0"/>
          <w:color w:val="auto"/>
          <w:highlight w:val="none"/>
          <w:lang w:val="en-US" w:eastAsia="zh-CN"/>
        </w:rPr>
        <w:t>根据工程布置，本工程建设不占用评价区农业生态系统面积，工程可能引起的水土流失面积较小，且受间接影响的农业生态系统多为零散分布的坡地。在相关措施得到落实后，本工程建设对评价区农业生态系统影响较小。</w:t>
      </w:r>
    </w:p>
    <w:p w14:paraId="545A8428">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default" w:ascii="Times New Roman" w:hAnsi="Times New Roman" w:cs="Times New Roman"/>
          <w:color w:val="auto"/>
          <w:sz w:val="24"/>
          <w:szCs w:val="24"/>
          <w:highlight w:val="none"/>
        </w:rPr>
      </w:pPr>
      <w:r>
        <w:rPr>
          <w:rFonts w:hint="eastAsia" w:ascii="Times New Roman" w:hAnsi="Times New Roman"/>
          <w:b/>
          <w:bCs/>
          <w:color w:val="auto"/>
          <w:sz w:val="24"/>
          <w:szCs w:val="24"/>
          <w:highlight w:val="none"/>
          <w:u w:val="none"/>
          <w:lang w:val="en-US" w:eastAsia="zh-CN"/>
        </w:rPr>
        <w:t>对城镇/村落生态系统的影响</w:t>
      </w:r>
    </w:p>
    <w:p w14:paraId="630A95A3">
      <w:pPr>
        <w:bidi w:val="0"/>
        <w:rPr>
          <w:rFonts w:ascii="Times New Roman" w:hAnsi="Times New Roman" w:eastAsia="宋体" w:cs="Times New Roman"/>
          <w:color w:val="auto"/>
          <w:highlight w:val="none"/>
        </w:rPr>
      </w:pPr>
      <w:r>
        <w:rPr>
          <w:rFonts w:hint="eastAsia"/>
          <w:b w:val="0"/>
          <w:bCs w:val="0"/>
          <w:color w:val="auto"/>
          <w:highlight w:val="none"/>
          <w:lang w:val="en-US" w:eastAsia="zh-CN"/>
        </w:rPr>
        <w:t>评价区内的城镇/村落生态系统比较零散，面积较小。根据工程布置，本工程建设不占用评价区城镇/村落生态系统，因此，本工程建设对城镇/村落生态系统无影响。</w:t>
      </w:r>
    </w:p>
    <w:p w14:paraId="431B68EB">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default" w:ascii="Times New Roman" w:hAnsi="Times New Roman" w:cs="Times New Roman"/>
          <w:color w:val="auto"/>
          <w:sz w:val="24"/>
          <w:szCs w:val="24"/>
          <w:highlight w:val="none"/>
        </w:rPr>
      </w:pPr>
      <w:r>
        <w:rPr>
          <w:rFonts w:hint="eastAsia" w:ascii="Times New Roman" w:hAnsi="Times New Roman"/>
          <w:b/>
          <w:bCs/>
          <w:color w:val="auto"/>
          <w:sz w:val="24"/>
          <w:szCs w:val="24"/>
          <w:highlight w:val="none"/>
          <w:u w:val="none"/>
          <w:lang w:val="en-US" w:eastAsia="zh-CN"/>
        </w:rPr>
        <w:t>对湿地生态系统的影响</w:t>
      </w:r>
    </w:p>
    <w:p w14:paraId="60E74149">
      <w:pPr>
        <w:bidi w:val="0"/>
        <w:rPr>
          <w:rFonts w:hint="eastAsia" w:ascii="Times New Roman" w:hAnsi="Times New Roman" w:eastAsia="宋体" w:cs="Times New Roman"/>
          <w:b w:val="0"/>
          <w:bCs w:val="0"/>
          <w:color w:val="auto"/>
          <w:kern w:val="2"/>
          <w:sz w:val="24"/>
          <w:szCs w:val="24"/>
          <w:highlight w:val="none"/>
          <w:lang w:val="en-US" w:eastAsia="zh-CN" w:bidi="ar-SA"/>
        </w:rPr>
      </w:pPr>
      <w:r>
        <w:rPr>
          <w:rFonts w:hint="eastAsia" w:ascii="Times New Roman" w:hAnsi="Times New Roman" w:eastAsia="宋体" w:cs="Times New Roman"/>
          <w:b w:val="0"/>
          <w:bCs w:val="0"/>
          <w:color w:val="auto"/>
          <w:kern w:val="2"/>
          <w:sz w:val="24"/>
          <w:szCs w:val="24"/>
          <w:highlight w:val="none"/>
          <w:lang w:val="en-US" w:eastAsia="zh-CN" w:bidi="ar-SA"/>
        </w:rPr>
        <w:t>评价区湿地生态系统面积较小，根据工程布置，本工程建设不占用湿地生态系统，但工程建设施工，可能有粉尘污染等，本工程建设对评价区湿地生态系统的影响较小。</w:t>
      </w:r>
    </w:p>
    <w:p w14:paraId="45093E8E">
      <w:pPr>
        <w:pStyle w:val="6"/>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对</w:t>
      </w:r>
      <w:r>
        <w:rPr>
          <w:rFonts w:hint="eastAsia"/>
          <w:color w:val="auto"/>
          <w:highlight w:val="none"/>
          <w:lang w:val="en-US" w:eastAsia="zh-CN"/>
        </w:rPr>
        <w:t>陆生植物</w:t>
      </w:r>
      <w:r>
        <w:rPr>
          <w:rFonts w:hint="eastAsia" w:ascii="Times New Roman" w:hAnsi="Times New Roman" w:cs="Times New Roman"/>
          <w:color w:val="auto"/>
          <w:highlight w:val="none"/>
          <w:lang w:eastAsia="zh-CN"/>
        </w:rPr>
        <w:t>的影响</w:t>
      </w:r>
    </w:p>
    <w:p w14:paraId="3A7B68BC">
      <w:pPr>
        <w:bidi w:val="0"/>
        <w:rPr>
          <w:rFonts w:hint="eastAsia" w:ascii="Times New Roman" w:hAnsi="Times New Roman" w:eastAsia="宋体" w:cs="Times New Roman"/>
          <w:b w:val="0"/>
          <w:bCs w:val="0"/>
          <w:color w:val="auto"/>
          <w:kern w:val="2"/>
          <w:sz w:val="24"/>
          <w:szCs w:val="24"/>
          <w:highlight w:val="none"/>
          <w:lang w:val="en-US" w:eastAsia="zh-CN" w:bidi="ar-SA"/>
        </w:rPr>
      </w:pPr>
      <w:r>
        <w:rPr>
          <w:rFonts w:hint="eastAsia" w:ascii="Times New Roman" w:hAnsi="Times New Roman" w:eastAsia="宋体" w:cs="Times New Roman"/>
          <w:b w:val="0"/>
          <w:bCs w:val="0"/>
          <w:color w:val="auto"/>
          <w:kern w:val="2"/>
          <w:sz w:val="24"/>
          <w:szCs w:val="24"/>
          <w:highlight w:val="none"/>
          <w:lang w:val="en-US" w:eastAsia="zh-CN" w:bidi="ar-SA"/>
        </w:rPr>
        <w:t>本工程施工期主要有土石方工程施工等活动，施工期工程对评价区植物及植被的影响因子主要有工程占地、施工活动及施工活动产生的废水、废气、弃渣、固废、扬尘等。</w:t>
      </w:r>
    </w:p>
    <w:p w14:paraId="03BE35C4">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default" w:ascii="Times New Roman" w:hAnsi="Times New Roman" w:cs="Times New Roman"/>
          <w:color w:val="auto"/>
          <w:sz w:val="24"/>
          <w:szCs w:val="24"/>
          <w:highlight w:val="none"/>
        </w:rPr>
      </w:pPr>
      <w:r>
        <w:rPr>
          <w:rFonts w:hint="eastAsia" w:ascii="Times New Roman" w:hAnsi="Times New Roman"/>
          <w:b/>
          <w:bCs/>
          <w:color w:val="auto"/>
          <w:sz w:val="24"/>
          <w:szCs w:val="24"/>
          <w:highlight w:val="none"/>
          <w:u w:val="none"/>
          <w:lang w:val="en-US" w:eastAsia="zh-CN"/>
        </w:rPr>
        <w:t>施工占地对植物及植被的影响</w:t>
      </w:r>
    </w:p>
    <w:p w14:paraId="563405D1">
      <w:pPr>
        <w:pStyle w:val="30"/>
        <w:rPr>
          <w:rFonts w:hint="default"/>
          <w:b/>
          <w:bCs/>
          <w:color w:val="auto"/>
          <w:highlight w:val="none"/>
          <w:lang w:val="en-US" w:eastAsia="zh-CN"/>
        </w:rPr>
      </w:pPr>
      <w:r>
        <w:rPr>
          <w:rFonts w:hint="eastAsia"/>
          <w:b/>
          <w:bCs/>
          <w:color w:val="auto"/>
          <w:highlight w:val="none"/>
          <w:lang w:val="en-US" w:eastAsia="zh-CN"/>
        </w:rPr>
        <w:t>1、永久占地对植物及植被的影响</w:t>
      </w:r>
    </w:p>
    <w:p w14:paraId="0528DAA7">
      <w:pPr>
        <w:pStyle w:val="30"/>
        <w:keepNext w:val="0"/>
        <w:keepLines w:val="0"/>
        <w:pageBreakBefore w:val="0"/>
        <w:widowControl w:val="0"/>
        <w:kinsoku/>
        <w:wordWrap/>
        <w:overflowPunct/>
        <w:topLinePunct w:val="0"/>
        <w:autoSpaceDE/>
        <w:autoSpaceDN/>
        <w:bidi w:val="0"/>
        <w:adjustRightInd w:val="0"/>
        <w:snapToGrid w:val="0"/>
        <w:spacing w:line="360" w:lineRule="auto"/>
        <w:ind w:left="0" w:right="0" w:firstLine="480" w:firstLineChars="200"/>
        <w:textAlignment w:val="auto"/>
        <w:rPr>
          <w:rFonts w:hint="default"/>
          <w:color w:val="auto"/>
          <w:highlight w:val="none"/>
          <w:lang w:val="en-US" w:eastAsia="zh-CN"/>
        </w:rPr>
      </w:pPr>
      <w:r>
        <w:rPr>
          <w:rFonts w:hint="default"/>
          <w:color w:val="auto"/>
          <w:highlight w:val="none"/>
          <w:lang w:val="en-US" w:eastAsia="zh-CN"/>
        </w:rPr>
        <w:t>永久占地对占地区植物及植被的影响是长期的、不可逆的。永久占地区施工将使区域内土地利用类型发生改变，植物个体损失，植被生物量减少。根据工程布置，永久占地区土地利用类型以林地、灌草地为主。根据现场调查，永久占地区上植被以阔叶林、灌丛和灌草丛为主，常见的群系有水竹林、枫香树林、山茶灌丛、芒灌草丛等，常见的植物有杉木、马尾松、毛竹、油桐、金樱子、牡荆、火棘、马银花等，受工程永久占地影响的植物均为常见种，受工程永久占地影响的植被均为常见类型，因此，本工程永久占地对评价区内植物及植被影响较小，仅为个体损失、植被生物量减少</w:t>
      </w:r>
      <w:r>
        <w:rPr>
          <w:rFonts w:hint="eastAsia"/>
          <w:color w:val="auto"/>
          <w:highlight w:val="none"/>
          <w:lang w:val="en-US" w:eastAsia="zh-CN"/>
        </w:rPr>
        <w:t>，</w:t>
      </w:r>
      <w:r>
        <w:rPr>
          <w:rFonts w:hint="default"/>
          <w:color w:val="auto"/>
          <w:highlight w:val="none"/>
          <w:lang w:val="en-US" w:eastAsia="zh-CN"/>
        </w:rPr>
        <w:t>且施工结束后，工程区植被恢复措施会在一定程度上缓解其影响。因此，本工程永久占地对占地区植物种类、植被类型及生物量的影响较小，对评价区土地利用方式影响较小，对评价区农业、林业生产影响较小。</w:t>
      </w:r>
    </w:p>
    <w:p w14:paraId="4F754A14">
      <w:pPr>
        <w:pStyle w:val="30"/>
        <w:keepNext w:val="0"/>
        <w:keepLines w:val="0"/>
        <w:pageBreakBefore w:val="0"/>
        <w:widowControl w:val="0"/>
        <w:kinsoku/>
        <w:wordWrap/>
        <w:overflowPunct/>
        <w:topLinePunct w:val="0"/>
        <w:autoSpaceDE/>
        <w:autoSpaceDN/>
        <w:bidi w:val="0"/>
        <w:adjustRightInd w:val="0"/>
        <w:snapToGrid w:val="0"/>
        <w:spacing w:line="360" w:lineRule="auto"/>
        <w:ind w:left="0" w:right="0" w:firstLine="482" w:firstLineChars="200"/>
        <w:textAlignment w:val="auto"/>
        <w:rPr>
          <w:rFonts w:hint="default"/>
          <w:b/>
          <w:bCs/>
          <w:color w:val="auto"/>
          <w:highlight w:val="none"/>
          <w:lang w:val="en-US" w:eastAsia="zh-CN"/>
        </w:rPr>
      </w:pPr>
      <w:r>
        <w:rPr>
          <w:rFonts w:hint="eastAsia"/>
          <w:b/>
          <w:bCs/>
          <w:color w:val="auto"/>
          <w:highlight w:val="none"/>
          <w:lang w:val="en-US" w:eastAsia="zh-CN"/>
        </w:rPr>
        <w:t>2、临时占地对植物及植被的影响</w:t>
      </w:r>
    </w:p>
    <w:p w14:paraId="7281F28E">
      <w:pPr>
        <w:keepNext w:val="0"/>
        <w:keepLines w:val="0"/>
        <w:pageBreakBefore w:val="0"/>
        <w:widowControl w:val="0"/>
        <w:kinsoku/>
        <w:wordWrap/>
        <w:overflowPunct/>
        <w:topLinePunct w:val="0"/>
        <w:autoSpaceDE/>
        <w:autoSpaceDN/>
        <w:bidi w:val="0"/>
        <w:adjustRightInd w:val="0"/>
        <w:snapToGrid w:val="0"/>
        <w:spacing w:line="360" w:lineRule="auto"/>
        <w:ind w:left="0" w:right="0"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临时占地对占地区植物及植被的影响是暂时的、可恢复的。根据工程布置，本工程临时占地区土地类型以林地、灌草地为主。结合现场调查，本工程临时占地区植被多以针叶林、灌丛、灌草丛为主，常见的群系有杉木林、檵木灌丛、金樱子灌丛、芒灌草丛等，常见的植物有马尾松、水竹、盐肤木、山鸡椒、马棘、小果蔷薇、地榆、乌蕨、三脉紫菀、狗牙根等。受工程临时占地影响的植物均为常见种，受工程临时占地影响的植被均为常见类型，因此本工程临时占地对评价区内植物及植被影响较小，仅为个体损失、植被生物量减少，随着施工结束，临时施工区植物及植被在 适宜条件下可迅速得到恢复，因此，工程临时占地对占地区植物种类、植被类型影响较小。此外，工程施工结束后，对临时占地区土地平整、复耕复垦、植被恢复，可减缓工程临时占地对占地区植物种类、植被类型的影响。</w:t>
      </w:r>
    </w:p>
    <w:p w14:paraId="3E80E64E">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default" w:ascii="Times New Roman" w:hAnsi="Times New Roman" w:cs="Times New Roman"/>
          <w:color w:val="auto"/>
          <w:sz w:val="24"/>
          <w:szCs w:val="24"/>
          <w:highlight w:val="none"/>
        </w:rPr>
      </w:pPr>
      <w:r>
        <w:rPr>
          <w:rFonts w:hint="eastAsia" w:ascii="Times New Roman" w:hAnsi="Times New Roman"/>
          <w:b/>
          <w:bCs/>
          <w:color w:val="auto"/>
          <w:sz w:val="24"/>
          <w:szCs w:val="24"/>
          <w:highlight w:val="none"/>
          <w:u w:val="none"/>
          <w:lang w:val="en-US" w:eastAsia="zh-CN"/>
        </w:rPr>
        <w:t>施工活动对植物及植被的影响</w:t>
      </w:r>
    </w:p>
    <w:p w14:paraId="7707AF24">
      <w:pPr>
        <w:keepNext w:val="0"/>
        <w:keepLines w:val="0"/>
        <w:pageBreakBefore w:val="0"/>
        <w:widowControl w:val="0"/>
        <w:kinsoku/>
        <w:wordWrap/>
        <w:overflowPunct/>
        <w:topLinePunct w:val="0"/>
        <w:autoSpaceDE/>
        <w:autoSpaceDN/>
        <w:bidi w:val="0"/>
        <w:adjustRightInd w:val="0"/>
        <w:snapToGrid w:val="0"/>
        <w:spacing w:line="360" w:lineRule="auto"/>
        <w:ind w:left="0" w:right="0"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施工期，施工活动产生的弃渣、废水、废气及人为干扰等会对区域植物及植被产生不利影响。根据施工活动对植物的影响方式，可分为直接影响及间接影响，直接影响主要为人员活动踩踏、车辆碾压等会使周边植物个体损失，植被生物量减少；间接影响主要是指施工活动产生的废气、废水、弃渣、扬尘等对周边植物的影响。</w:t>
      </w:r>
    </w:p>
    <w:p w14:paraId="21B6B761">
      <w:pPr>
        <w:pStyle w:val="8"/>
        <w:keepNext w:val="0"/>
        <w:keepLines w:val="0"/>
        <w:pageBreakBefore w:val="0"/>
        <w:widowControl w:val="0"/>
        <w:kinsoku/>
        <w:wordWrap/>
        <w:overflowPunct/>
        <w:topLinePunct w:val="0"/>
        <w:autoSpaceDE/>
        <w:autoSpaceDN/>
        <w:bidi w:val="0"/>
        <w:adjustRightInd w:val="0"/>
        <w:snapToGrid w:val="0"/>
        <w:spacing w:beforeLines="0" w:line="360" w:lineRule="auto"/>
        <w:ind w:firstLine="482" w:firstLineChars="200"/>
        <w:textAlignment w:val="auto"/>
        <w:rPr>
          <w:rFonts w:hint="default"/>
          <w:b/>
          <w:bCs/>
          <w:color w:val="auto"/>
          <w:sz w:val="24"/>
          <w:szCs w:val="24"/>
          <w:highlight w:val="none"/>
          <w:lang w:val="en-US" w:eastAsia="zh-CN"/>
        </w:rPr>
      </w:pPr>
      <w:r>
        <w:rPr>
          <w:rFonts w:hint="eastAsia" w:ascii="Times New Roman" w:hAnsi="Times New Roman" w:eastAsia="宋体" w:cs="Times New Roman"/>
          <w:b/>
          <w:bCs/>
          <w:color w:val="auto"/>
          <w:kern w:val="2"/>
          <w:sz w:val="24"/>
          <w:szCs w:val="24"/>
          <w:highlight w:val="none"/>
          <w:lang w:val="en-US" w:eastAsia="zh-CN" w:bidi="ar-SA"/>
        </w:rPr>
        <w:t>1、直接影响</w:t>
      </w:r>
    </w:p>
    <w:p w14:paraId="026C79D4">
      <w:pPr>
        <w:keepNext w:val="0"/>
        <w:keepLines w:val="0"/>
        <w:pageBreakBefore w:val="0"/>
        <w:widowControl w:val="0"/>
        <w:kinsoku/>
        <w:wordWrap/>
        <w:overflowPunct/>
        <w:topLinePunct w:val="0"/>
        <w:autoSpaceDE/>
        <w:autoSpaceDN/>
        <w:bidi w:val="0"/>
        <w:adjustRightInd w:val="0"/>
        <w:snapToGrid w:val="0"/>
        <w:spacing w:line="360" w:lineRule="auto"/>
        <w:ind w:left="0" w:right="0"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施工期，施工人员及机械增多，施工人员砍伐、踩踏及施工机械碾压等会破坏区域内植物及其生境。由于本工程占地面积不大，占地区多集中分布于村落附近及山脊区，占地区人为活动范围相对较小，同时施工期人为干扰等可通过加强宣传教育活动，加强施工监理，在施工前划定施工范围，规范施工人员活动等进行缓解，在相对措施得到落实后，人为干扰对植物及植被的影响较小。</w:t>
      </w:r>
    </w:p>
    <w:p w14:paraId="7720A86E">
      <w:pPr>
        <w:pStyle w:val="8"/>
        <w:keepNext w:val="0"/>
        <w:keepLines w:val="0"/>
        <w:pageBreakBefore w:val="0"/>
        <w:widowControl w:val="0"/>
        <w:kinsoku/>
        <w:wordWrap/>
        <w:overflowPunct/>
        <w:topLinePunct w:val="0"/>
        <w:autoSpaceDE/>
        <w:autoSpaceDN/>
        <w:bidi w:val="0"/>
        <w:adjustRightInd w:val="0"/>
        <w:snapToGrid w:val="0"/>
        <w:spacing w:beforeLines="0" w:line="360" w:lineRule="auto"/>
        <w:ind w:firstLine="482" w:firstLineChars="200"/>
        <w:textAlignment w:val="auto"/>
        <w:rPr>
          <w:rFonts w:hint="default" w:ascii="Times New Roman" w:hAnsi="Times New Roman" w:eastAsia="宋体" w:cs="Times New Roman"/>
          <w:b/>
          <w:bCs/>
          <w:color w:val="auto"/>
          <w:kern w:val="2"/>
          <w:sz w:val="24"/>
          <w:szCs w:val="24"/>
          <w:highlight w:val="none"/>
          <w:lang w:val="en-US" w:eastAsia="zh-CN" w:bidi="ar-SA"/>
        </w:rPr>
      </w:pPr>
      <w:r>
        <w:rPr>
          <w:rFonts w:hint="default" w:ascii="Times New Roman" w:hAnsi="Times New Roman" w:eastAsia="宋体" w:cs="Times New Roman"/>
          <w:b/>
          <w:bCs/>
          <w:color w:val="auto"/>
          <w:kern w:val="2"/>
          <w:sz w:val="24"/>
          <w:szCs w:val="24"/>
          <w:highlight w:val="none"/>
          <w:lang w:val="en-US" w:eastAsia="zh-CN" w:bidi="ar-SA"/>
        </w:rPr>
        <w:t>2</w:t>
      </w:r>
      <w:r>
        <w:rPr>
          <w:rFonts w:hint="eastAsia" w:ascii="Times New Roman" w:hAnsi="Times New Roman" w:eastAsia="宋体" w:cs="Times New Roman"/>
          <w:b/>
          <w:bCs/>
          <w:color w:val="auto"/>
          <w:kern w:val="2"/>
          <w:sz w:val="24"/>
          <w:szCs w:val="24"/>
          <w:highlight w:val="none"/>
          <w:lang w:val="en-US" w:eastAsia="zh-CN" w:bidi="ar-SA"/>
        </w:rPr>
        <w:t>、</w:t>
      </w:r>
      <w:r>
        <w:rPr>
          <w:rFonts w:hint="default" w:ascii="Times New Roman" w:hAnsi="Times New Roman" w:eastAsia="宋体" w:cs="Times New Roman"/>
          <w:b/>
          <w:bCs/>
          <w:color w:val="auto"/>
          <w:kern w:val="2"/>
          <w:sz w:val="24"/>
          <w:szCs w:val="24"/>
          <w:highlight w:val="none"/>
          <w:lang w:val="en-US" w:eastAsia="zh-CN" w:bidi="ar-SA"/>
        </w:rPr>
        <w:t>间接影响</w:t>
      </w:r>
    </w:p>
    <w:p w14:paraId="4A5649D1">
      <w:pPr>
        <w:keepNext w:val="0"/>
        <w:keepLines w:val="0"/>
        <w:pageBreakBefore w:val="0"/>
        <w:widowControl w:val="0"/>
        <w:kinsoku/>
        <w:wordWrap/>
        <w:overflowPunct/>
        <w:topLinePunct w:val="0"/>
        <w:autoSpaceDE/>
        <w:autoSpaceDN/>
        <w:bidi w:val="0"/>
        <w:adjustRightInd w:val="0"/>
        <w:snapToGrid w:val="0"/>
        <w:spacing w:line="360" w:lineRule="auto"/>
        <w:ind w:left="0" w:right="0"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（1）</w:t>
      </w:r>
      <w:r>
        <w:rPr>
          <w:rFonts w:hint="default" w:ascii="Times New Roman" w:hAnsi="Times New Roman" w:eastAsia="宋体" w:cs="Times New Roman"/>
          <w:color w:val="auto"/>
          <w:kern w:val="2"/>
          <w:sz w:val="24"/>
          <w:szCs w:val="24"/>
          <w:highlight w:val="none"/>
          <w:lang w:val="en-US" w:eastAsia="zh-CN" w:bidi="ar-SA"/>
        </w:rPr>
        <w:t>施工期废气主要来源于燃油机械的尾气，其主要污染物为SO</w:t>
      </w:r>
      <w:r>
        <w:rPr>
          <w:rFonts w:hint="default" w:ascii="Times New Roman" w:hAnsi="Times New Roman" w:eastAsia="宋体" w:cs="Times New Roman"/>
          <w:color w:val="auto"/>
          <w:kern w:val="2"/>
          <w:sz w:val="24"/>
          <w:szCs w:val="24"/>
          <w:highlight w:val="none"/>
          <w:vertAlign w:val="subscript"/>
          <w:lang w:val="en-US" w:eastAsia="zh-CN" w:bidi="ar-SA"/>
        </w:rPr>
        <w:t>2</w:t>
      </w:r>
      <w:r>
        <w:rPr>
          <w:rFonts w:hint="default" w:ascii="Times New Roman" w:hAnsi="Times New Roman" w:eastAsia="宋体" w:cs="Times New Roman"/>
          <w:color w:val="auto"/>
          <w:kern w:val="2"/>
          <w:sz w:val="24"/>
          <w:szCs w:val="24"/>
          <w:highlight w:val="none"/>
          <w:lang w:val="en-US" w:eastAsia="zh-CN" w:bidi="ar-SA"/>
        </w:rPr>
        <w:t>、NO</w:t>
      </w:r>
      <w:r>
        <w:rPr>
          <w:rFonts w:hint="default" w:ascii="Times New Roman" w:hAnsi="Times New Roman" w:eastAsia="宋体" w:cs="Times New Roman"/>
          <w:color w:val="auto"/>
          <w:kern w:val="2"/>
          <w:sz w:val="24"/>
          <w:szCs w:val="24"/>
          <w:highlight w:val="none"/>
          <w:vertAlign w:val="subscript"/>
          <w:lang w:val="en-US" w:eastAsia="zh-CN" w:bidi="ar-SA"/>
        </w:rPr>
        <w:t>2</w:t>
      </w:r>
      <w:r>
        <w:rPr>
          <w:rFonts w:hint="default" w:ascii="Times New Roman" w:hAnsi="Times New Roman" w:eastAsia="宋体" w:cs="Times New Roman"/>
          <w:color w:val="auto"/>
          <w:kern w:val="2"/>
          <w:sz w:val="24"/>
          <w:szCs w:val="24"/>
          <w:highlight w:val="none"/>
          <w:lang w:val="en-US" w:eastAsia="zh-CN" w:bidi="ar-SA"/>
        </w:rPr>
        <w:t>、CO等。废气对植物的影响主要是在叶脉间或边缘出现不规则水渍状，导致叶片逐渐坏死，植物光合生产受阻，生长发育变缓。由于本工程建设规模较小，风机区较分散，风机区施工时间较短，施工区燃油机械相对较少，燃油机械的废气排放量相对较低，再加上施工期机械尾气属移动线源排放，因此施工期废气对植物 及植被的影响较小。</w:t>
      </w:r>
    </w:p>
    <w:p w14:paraId="5E1FE806">
      <w:pPr>
        <w:keepNext w:val="0"/>
        <w:keepLines w:val="0"/>
        <w:pageBreakBefore w:val="0"/>
        <w:widowControl w:val="0"/>
        <w:kinsoku/>
        <w:wordWrap/>
        <w:overflowPunct/>
        <w:topLinePunct w:val="0"/>
        <w:autoSpaceDE/>
        <w:autoSpaceDN/>
        <w:bidi w:val="0"/>
        <w:adjustRightInd w:val="0"/>
        <w:snapToGrid w:val="0"/>
        <w:spacing w:line="360" w:lineRule="auto"/>
        <w:ind w:left="0" w:right="0"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（2）</w:t>
      </w:r>
      <w:r>
        <w:rPr>
          <w:rFonts w:hint="default" w:ascii="Times New Roman" w:hAnsi="Times New Roman" w:eastAsia="宋体" w:cs="Times New Roman"/>
          <w:color w:val="auto"/>
          <w:kern w:val="2"/>
          <w:sz w:val="24"/>
          <w:szCs w:val="24"/>
          <w:highlight w:val="none"/>
          <w:lang w:val="en-US" w:eastAsia="zh-CN" w:bidi="ar-SA"/>
        </w:rPr>
        <w:t>施工期废水分为生产废水和生活污水，生产废水主要来源于砂石料冲洗废水和机械检修场含油废水等，生活废水</w:t>
      </w:r>
      <w:r>
        <w:rPr>
          <w:rFonts w:hint="eastAsia" w:ascii="Times New Roman" w:hAnsi="Times New Roman" w:eastAsia="宋体" w:cs="Times New Roman"/>
          <w:color w:val="auto"/>
          <w:kern w:val="2"/>
          <w:sz w:val="24"/>
          <w:szCs w:val="24"/>
          <w:highlight w:val="none"/>
          <w:lang w:val="en-US" w:eastAsia="zh-CN" w:bidi="ar-SA"/>
        </w:rPr>
        <w:t>依托租用民房化粪池处理。</w:t>
      </w:r>
      <w:r>
        <w:rPr>
          <w:rFonts w:hint="default" w:ascii="Times New Roman" w:hAnsi="Times New Roman" w:eastAsia="宋体" w:cs="Times New Roman"/>
          <w:color w:val="auto"/>
          <w:kern w:val="2"/>
          <w:sz w:val="24"/>
          <w:szCs w:val="24"/>
          <w:highlight w:val="none"/>
          <w:lang w:val="en-US" w:eastAsia="zh-CN" w:bidi="ar-SA"/>
        </w:rPr>
        <w:t>废水对植物的影响主要是废水的随意排放会改变土壤理化性质，改变植物生长发育环境，进而影响其正常生命活动。但这种影响</w:t>
      </w:r>
      <w:r>
        <w:rPr>
          <w:rFonts w:hint="eastAsia" w:ascii="Times New Roman" w:hAnsi="Times New Roman" w:eastAsia="宋体" w:cs="Times New Roman"/>
          <w:color w:val="auto"/>
          <w:kern w:val="2"/>
          <w:sz w:val="24"/>
          <w:szCs w:val="24"/>
          <w:highlight w:val="none"/>
          <w:lang w:val="en-US" w:eastAsia="zh-CN" w:bidi="ar-SA"/>
        </w:rPr>
        <w:t>可</w:t>
      </w:r>
      <w:r>
        <w:rPr>
          <w:rFonts w:hint="default" w:ascii="Times New Roman" w:hAnsi="Times New Roman" w:eastAsia="宋体" w:cs="Times New Roman"/>
          <w:color w:val="auto"/>
          <w:kern w:val="2"/>
          <w:sz w:val="24"/>
          <w:szCs w:val="24"/>
          <w:highlight w:val="none"/>
          <w:lang w:val="en-US" w:eastAsia="zh-CN" w:bidi="ar-SA"/>
        </w:rPr>
        <w:t>通过污水处理进行缓解。</w:t>
      </w:r>
    </w:p>
    <w:p w14:paraId="12231277">
      <w:pPr>
        <w:keepNext w:val="0"/>
        <w:keepLines w:val="0"/>
        <w:pageBreakBefore w:val="0"/>
        <w:widowControl w:val="0"/>
        <w:kinsoku/>
        <w:wordWrap/>
        <w:overflowPunct/>
        <w:topLinePunct w:val="0"/>
        <w:autoSpaceDE/>
        <w:autoSpaceDN/>
        <w:bidi w:val="0"/>
        <w:adjustRightInd w:val="0"/>
        <w:snapToGrid w:val="0"/>
        <w:spacing w:line="360" w:lineRule="auto"/>
        <w:ind w:left="0" w:right="0"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（3）</w:t>
      </w:r>
      <w:r>
        <w:rPr>
          <w:rFonts w:hint="default" w:ascii="Times New Roman" w:hAnsi="Times New Roman" w:eastAsia="宋体" w:cs="Times New Roman"/>
          <w:color w:val="auto"/>
          <w:kern w:val="2"/>
          <w:sz w:val="24"/>
          <w:szCs w:val="24"/>
          <w:highlight w:val="none"/>
          <w:lang w:val="en-US" w:eastAsia="zh-CN" w:bidi="ar-SA"/>
        </w:rPr>
        <w:t>弃渣主要来源于基础开挖、施工场地以及施工道路建设等，弃渣的随意堆放不仅会压覆区域内植物及植被，改变区域生境条件，还可能导致局部区域的水土流失。但这种影响可通过对弃渣等进行统一调配与处理等措施进行缓解。</w:t>
      </w:r>
    </w:p>
    <w:p w14:paraId="6F5F0524">
      <w:pPr>
        <w:bidi w:val="0"/>
        <w:rPr>
          <w:rFonts w:hint="eastAsia" w:ascii="Times New Roman" w:hAnsi="Times New Roman" w:eastAsia="宋体" w:cs="Times New Roman"/>
          <w:b w:val="0"/>
          <w:bCs w:val="0"/>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（4）</w:t>
      </w:r>
      <w:r>
        <w:rPr>
          <w:rFonts w:hint="default" w:ascii="Times New Roman" w:hAnsi="Times New Roman" w:eastAsia="宋体" w:cs="Times New Roman"/>
          <w:color w:val="auto"/>
          <w:kern w:val="2"/>
          <w:sz w:val="24"/>
          <w:szCs w:val="24"/>
          <w:highlight w:val="none"/>
          <w:lang w:val="en-US" w:eastAsia="zh-CN" w:bidi="ar-SA"/>
        </w:rPr>
        <w:t>扬尘主要来源于开辟施工便道，土石方调配，建筑物施工，直至工程竣工后场地清理、恢复等诸多工程，其中以运输车辆引起的二次扬尘影响时间最长，对周围植物及植被影响最严重。扬尘粗颗粒随风飘落到附近地面或植物叶、茎、花表面，会使其生命活动受到一定影响。由于评价区处亚热带季风气候区，区域内空气湿度相对较大，扬尘扩散范围有限，再加上施工期如能采取洒水抑尘等措施，可有效减轻扬尘对周围植物及植被的影响。</w:t>
      </w:r>
    </w:p>
    <w:p w14:paraId="787D21F5">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default" w:ascii="Times New Roman" w:hAnsi="Times New Roman" w:cs="Times New Roman"/>
          <w:color w:val="auto"/>
          <w:sz w:val="24"/>
          <w:szCs w:val="24"/>
          <w:highlight w:val="none"/>
        </w:rPr>
      </w:pPr>
      <w:r>
        <w:rPr>
          <w:rFonts w:hint="eastAsia" w:ascii="Times New Roman" w:hAnsi="Times New Roman"/>
          <w:b/>
          <w:bCs/>
          <w:color w:val="auto"/>
          <w:sz w:val="24"/>
          <w:szCs w:val="24"/>
          <w:highlight w:val="none"/>
          <w:u w:val="none"/>
          <w:lang w:val="en-US" w:eastAsia="zh-CN"/>
        </w:rPr>
        <w:t>人为干扰对植物及植被的影响</w:t>
      </w:r>
    </w:p>
    <w:p w14:paraId="16CED162">
      <w:pPr>
        <w:keepNext w:val="0"/>
        <w:keepLines w:val="0"/>
        <w:pageBreakBefore w:val="0"/>
        <w:widowControl w:val="0"/>
        <w:kinsoku/>
        <w:wordWrap/>
        <w:overflowPunct/>
        <w:topLinePunct w:val="0"/>
        <w:autoSpaceDE/>
        <w:autoSpaceDN/>
        <w:bidi w:val="0"/>
        <w:adjustRightInd w:val="0"/>
        <w:snapToGrid w:val="0"/>
        <w:spacing w:line="360" w:lineRule="auto"/>
        <w:ind w:left="0" w:right="0"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本工程人为干扰对植物及植被的影响因素主要有人为砍伐、践踏、刻画、运输作业等。人为干扰对植物及植被的影响主要影响有：①施工期工程区人员增多，施工人员砍伐会破坏区域内植物及其生境，会影响群落结构及种类组成；②施工期施工人员践踏、施工机械碾压会对植物地上部分造成机械性伤害，从而影响植物的生长发育，同时践踏等造成的土壤结构变化会间接影响区域内植物的生长发育；③施工期施工人员刻画植物等会影响其物质运输，伤口暴露后易导致病虫害，进而会影响其生长发育；④施工期运输作业传播种子，可能导致评价区杂草横行破坏原区域内植物及其生境。</w:t>
      </w:r>
    </w:p>
    <w:p w14:paraId="385B51A7">
      <w:pPr>
        <w:keepNext w:val="0"/>
        <w:keepLines w:val="0"/>
        <w:pageBreakBefore w:val="0"/>
        <w:widowControl w:val="0"/>
        <w:kinsoku/>
        <w:wordWrap/>
        <w:overflowPunct/>
        <w:topLinePunct w:val="0"/>
        <w:autoSpaceDE/>
        <w:autoSpaceDN/>
        <w:bidi w:val="0"/>
        <w:adjustRightInd w:val="0"/>
        <w:snapToGrid w:val="0"/>
        <w:spacing w:line="360" w:lineRule="auto"/>
        <w:ind w:left="0" w:right="0"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由于本工程类型较小，施工人员不多，施工区植物多以抗逆性强的种类为主，施工期人为干扰对植物及植被的影响较小，同时施工期人为干扰等可通过加强宣传教育活动，加强施工监理，在施工前划定施工范围，规范施工人员活动等进行缓解，在相对措施得到落实后，人为干扰对植物及植被的影响较小。</w:t>
      </w:r>
    </w:p>
    <w:p w14:paraId="0301A7A9">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default" w:ascii="Times New Roman" w:hAnsi="Times New Roman" w:cs="Times New Roman"/>
          <w:color w:val="auto"/>
          <w:sz w:val="24"/>
          <w:szCs w:val="24"/>
          <w:highlight w:val="none"/>
        </w:rPr>
      </w:pPr>
      <w:r>
        <w:rPr>
          <w:rFonts w:hint="eastAsia" w:ascii="Times New Roman" w:hAnsi="Times New Roman"/>
          <w:b/>
          <w:bCs/>
          <w:color w:val="auto"/>
          <w:sz w:val="24"/>
          <w:szCs w:val="24"/>
          <w:highlight w:val="none"/>
          <w:u w:val="none"/>
          <w:lang w:val="en-US" w:eastAsia="zh-CN"/>
        </w:rPr>
        <w:t>水土流失对植物及植被的影响</w:t>
      </w:r>
    </w:p>
    <w:p w14:paraId="0FDD6656">
      <w:pPr>
        <w:bidi w:val="0"/>
        <w:rPr>
          <w:rFonts w:hint="eastAsia"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施工期占地区开挖、施工场地平整、施工道路建设等扰动地表，造成大面积的土壤裸露，受雨水冲击时易造成水土流失，将对植物及其生境造成不利影响。同时，水土流失易导致土壤中的有机质也不断流失，从而破坏了土壤的结构，增加植被复垦工作的难度。但本工程在可研阶段考虑到了水土流失问题，在切实落实水土保持措施的前提下，本工程水土流失对区域植物及植被的影响在可接受的范围内。</w:t>
      </w:r>
    </w:p>
    <w:p w14:paraId="16A63F15">
      <w:pPr>
        <w:pStyle w:val="6"/>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对</w:t>
      </w:r>
      <w:r>
        <w:rPr>
          <w:rFonts w:hint="eastAsia"/>
          <w:color w:val="auto"/>
          <w:highlight w:val="none"/>
          <w:lang w:val="en-US" w:eastAsia="zh-CN"/>
        </w:rPr>
        <w:t>陆生动物</w:t>
      </w:r>
      <w:r>
        <w:rPr>
          <w:rFonts w:hint="eastAsia" w:ascii="Times New Roman" w:hAnsi="Times New Roman" w:cs="Times New Roman"/>
          <w:color w:val="auto"/>
          <w:highlight w:val="none"/>
          <w:lang w:eastAsia="zh-CN"/>
        </w:rPr>
        <w:t>的影响</w:t>
      </w:r>
    </w:p>
    <w:p w14:paraId="3C60723F">
      <w:pPr>
        <w:bidi w:val="0"/>
        <w:rPr>
          <w:rFonts w:hint="eastAsia"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snapToGrid/>
          <w:color w:val="auto"/>
          <w:kern w:val="2"/>
          <w:sz w:val="24"/>
          <w:szCs w:val="24"/>
          <w:highlight w:val="none"/>
          <w:lang w:val="en-US" w:eastAsia="zh-CN" w:bidi="ar-SA"/>
        </w:rPr>
        <w:t>施工期对陆生动物的影响主要包括施工道路、风机的占地对其生境的占用和破坏；施工噪音、施工人员活动以及夜间光照等对动物栖息、觅食、求偶繁殖等行为的影响；施工产生的废水、弃渣、建筑材料堆积等均会在不同程度上对动物及其生境产生一定影响。</w:t>
      </w:r>
    </w:p>
    <w:p w14:paraId="5A3E0BA3">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default" w:ascii="Times New Roman" w:hAnsi="Times New Roman" w:cs="Times New Roman"/>
          <w:color w:val="auto"/>
          <w:sz w:val="24"/>
          <w:szCs w:val="24"/>
          <w:highlight w:val="none"/>
        </w:rPr>
      </w:pPr>
      <w:r>
        <w:rPr>
          <w:rFonts w:hint="eastAsia" w:ascii="Times New Roman" w:hAnsi="Times New Roman"/>
          <w:b/>
          <w:bCs/>
          <w:color w:val="auto"/>
          <w:sz w:val="24"/>
          <w:szCs w:val="24"/>
          <w:highlight w:val="none"/>
          <w:u w:val="none"/>
          <w:lang w:val="en-US" w:eastAsia="zh-CN"/>
        </w:rPr>
        <w:t>施工道路修建对动物的影响</w:t>
      </w:r>
    </w:p>
    <w:p w14:paraId="66FEA8BA">
      <w:pPr>
        <w:pStyle w:val="8"/>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snapToGrid/>
          <w:color w:val="auto"/>
          <w:kern w:val="2"/>
          <w:sz w:val="24"/>
          <w:szCs w:val="24"/>
          <w:highlight w:val="none"/>
          <w:lang w:val="en-US" w:eastAsia="zh-CN" w:bidi="ar-SA"/>
        </w:rPr>
      </w:pPr>
      <w:r>
        <w:rPr>
          <w:rFonts w:hint="default" w:ascii="Times New Roman" w:hAnsi="Times New Roman" w:eastAsia="宋体" w:cs="Times New Roman"/>
          <w:snapToGrid/>
          <w:color w:val="auto"/>
          <w:kern w:val="2"/>
          <w:sz w:val="24"/>
          <w:szCs w:val="24"/>
          <w:highlight w:val="none"/>
          <w:lang w:val="en-US" w:eastAsia="zh-CN" w:bidi="ar-SA"/>
        </w:rPr>
        <w:t>本项目场内道路</w:t>
      </w:r>
      <w:r>
        <w:rPr>
          <w:rFonts w:hint="eastAsia" w:ascii="Times New Roman" w:hAnsi="Times New Roman" w:eastAsia="宋体" w:cs="Times New Roman"/>
          <w:snapToGrid/>
          <w:color w:val="auto"/>
          <w:kern w:val="2"/>
          <w:sz w:val="24"/>
          <w:szCs w:val="24"/>
          <w:highlight w:val="none"/>
          <w:lang w:val="en-US" w:eastAsia="zh-CN" w:bidi="ar-SA"/>
        </w:rPr>
        <w:t>尽量利用现有道路，新修道路</w:t>
      </w:r>
      <w:r>
        <w:rPr>
          <w:rFonts w:hint="default" w:ascii="Times New Roman" w:hAnsi="Times New Roman" w:eastAsia="宋体" w:cs="Times New Roman"/>
          <w:snapToGrid/>
          <w:color w:val="auto"/>
          <w:kern w:val="2"/>
          <w:sz w:val="24"/>
          <w:szCs w:val="24"/>
          <w:highlight w:val="none"/>
          <w:lang w:val="en-US" w:eastAsia="zh-CN" w:bidi="ar-SA"/>
        </w:rPr>
        <w:t>主要沿山脊及平缓山坡布设，占用土地利用类型主要有林地和灌草地；集电线路中电缆线路沿检修道路布置，其占地类型与道路区基本一致。道路的建设对动物的影响有：生境丧失及生境片段化的影响、对动物活动的阻隔影响。</w:t>
      </w:r>
    </w:p>
    <w:p w14:paraId="07563745">
      <w:pPr>
        <w:pStyle w:val="8"/>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snapToGrid/>
          <w:color w:val="auto"/>
          <w:kern w:val="2"/>
          <w:sz w:val="24"/>
          <w:szCs w:val="24"/>
          <w:highlight w:val="none"/>
          <w:lang w:val="en-US" w:eastAsia="zh-CN" w:bidi="ar-SA"/>
        </w:rPr>
      </w:pPr>
      <w:r>
        <w:rPr>
          <w:rFonts w:hint="default" w:ascii="Times New Roman" w:hAnsi="Times New Roman" w:eastAsia="宋体" w:cs="Times New Roman"/>
          <w:snapToGrid/>
          <w:color w:val="auto"/>
          <w:kern w:val="2"/>
          <w:sz w:val="24"/>
          <w:szCs w:val="24"/>
          <w:highlight w:val="none"/>
          <w:lang w:val="en-US" w:eastAsia="zh-CN" w:bidi="ar-SA"/>
        </w:rPr>
        <w:t>施工道路的占地会导致两栖爬行类生境的丧失和破碎化，两爬类被迫寻找新的生活环境，从而加剧了种内和种间竞争。片段化的生境使得两爬类的觅食范围、活动区域减少，对其栖息、觅食、求偶繁殖等行为活动都有一定的影响。</w:t>
      </w:r>
    </w:p>
    <w:p w14:paraId="0448DB31">
      <w:pPr>
        <w:pStyle w:val="8"/>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snapToGrid/>
          <w:color w:val="auto"/>
          <w:kern w:val="2"/>
          <w:sz w:val="24"/>
          <w:szCs w:val="24"/>
          <w:highlight w:val="none"/>
          <w:lang w:val="en-US" w:eastAsia="zh-CN" w:bidi="ar-SA"/>
        </w:rPr>
      </w:pPr>
      <w:r>
        <w:rPr>
          <w:rFonts w:hint="default" w:ascii="Times New Roman" w:hAnsi="Times New Roman" w:eastAsia="宋体" w:cs="Times New Roman"/>
          <w:snapToGrid/>
          <w:color w:val="auto"/>
          <w:kern w:val="2"/>
          <w:sz w:val="24"/>
          <w:szCs w:val="24"/>
          <w:highlight w:val="none"/>
          <w:lang w:val="en-US" w:eastAsia="zh-CN" w:bidi="ar-SA"/>
        </w:rPr>
        <w:t>施工道路修建时材料运输车辆的通行，以及公路本身，阻断了道路两边动物的正常交流，对其觅食、交流、求偶繁殖等活动有一定的影响，可能造成其种群数量的下降。但这些影响在施工结束后，通过一定的恢复补偿措施，可以使两边动物类群恢复原有种群数量及密度，且施工道路结构型为泥结碎石路面，施工结束后通行车辆较少，一些草本植被可以自然生长，因此动物生境丧失及生境片断化、公路的阻隔作用对两栖类、爬行类和哺乳类的影响不大。</w:t>
      </w:r>
    </w:p>
    <w:p w14:paraId="37A7B2E0">
      <w:pPr>
        <w:pStyle w:val="8"/>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snapToGrid/>
          <w:color w:val="auto"/>
          <w:kern w:val="2"/>
          <w:sz w:val="24"/>
          <w:szCs w:val="24"/>
          <w:highlight w:val="none"/>
          <w:lang w:val="en-US" w:eastAsia="zh-CN" w:bidi="ar-SA"/>
        </w:rPr>
      </w:pPr>
      <w:r>
        <w:rPr>
          <w:rFonts w:hint="default" w:ascii="Times New Roman" w:hAnsi="Times New Roman" w:eastAsia="宋体" w:cs="Times New Roman"/>
          <w:snapToGrid/>
          <w:color w:val="auto"/>
          <w:kern w:val="2"/>
          <w:sz w:val="24"/>
          <w:szCs w:val="24"/>
          <w:highlight w:val="none"/>
          <w:lang w:val="en-US" w:eastAsia="zh-CN" w:bidi="ar-SA"/>
        </w:rPr>
        <w:t>在道路施工过程中，由于地理特殊性，存在爆破施工，爆破产生的噪音会驱赶野生动物，可能使施工区域附近的野生动物受到惊吓，对其觅食活动也将产生一定的影响。</w:t>
      </w:r>
    </w:p>
    <w:p w14:paraId="32678908">
      <w:pPr>
        <w:bidi w:val="0"/>
        <w:rPr>
          <w:rFonts w:ascii="Times New Roman" w:hAnsi="Times New Roman" w:eastAsia="宋体" w:cs="Times New Roman"/>
          <w:color w:val="auto"/>
          <w:highlight w:val="none"/>
        </w:rPr>
      </w:pPr>
      <w:r>
        <w:rPr>
          <w:rFonts w:hint="default" w:ascii="Times New Roman" w:hAnsi="Times New Roman" w:eastAsia="宋体" w:cs="Times New Roman"/>
          <w:snapToGrid/>
          <w:color w:val="auto"/>
          <w:kern w:val="2"/>
          <w:sz w:val="24"/>
          <w:szCs w:val="24"/>
          <w:highlight w:val="none"/>
          <w:lang w:val="en-US" w:eastAsia="zh-CN" w:bidi="ar-SA"/>
        </w:rPr>
        <w:t>施工道路的修建会使得鸟类的部分生境被占用，但鸟类迁移能力较强，且道路周围类似生境较多，鸟类可以迁往更适合其栖息、觅食、求偶繁殖等活动区生境，故施工道路的修建对鸟类的影响不大。</w:t>
      </w:r>
    </w:p>
    <w:p w14:paraId="07D62398">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default" w:ascii="Times New Roman" w:hAnsi="Times New Roman" w:cs="Times New Roman"/>
          <w:color w:val="auto"/>
          <w:sz w:val="24"/>
          <w:szCs w:val="24"/>
          <w:highlight w:val="none"/>
        </w:rPr>
      </w:pPr>
      <w:r>
        <w:rPr>
          <w:rFonts w:hint="eastAsia" w:ascii="Times New Roman" w:hAnsi="Times New Roman"/>
          <w:b/>
          <w:bCs/>
          <w:color w:val="auto"/>
          <w:sz w:val="24"/>
          <w:szCs w:val="24"/>
          <w:highlight w:val="none"/>
          <w:u w:val="none"/>
          <w:lang w:val="en-US" w:eastAsia="zh-CN"/>
        </w:rPr>
        <w:t>工程占地对小型动物生境的影响</w:t>
      </w:r>
    </w:p>
    <w:p w14:paraId="3DBAA3B4">
      <w:pPr>
        <w:bidi w:val="0"/>
        <w:rPr>
          <w:color w:val="auto"/>
          <w:highlight w:val="none"/>
        </w:rPr>
      </w:pPr>
      <w:r>
        <w:rPr>
          <w:rFonts w:hint="default"/>
          <w:color w:val="auto"/>
          <w:highlight w:val="none"/>
          <w:lang w:val="en-US" w:eastAsia="zh-CN"/>
        </w:rPr>
        <w:t>本工程占地区常见的陆生野生动物主要为鸟类和小型哺乳类，其中鸟类以小型鸣禽为主。本项目占地类型主要为林地</w:t>
      </w:r>
      <w:r>
        <w:rPr>
          <w:rFonts w:hint="eastAsia"/>
          <w:color w:val="auto"/>
          <w:highlight w:val="none"/>
          <w:lang w:val="en-US" w:eastAsia="zh-CN"/>
        </w:rPr>
        <w:t>，</w:t>
      </w:r>
      <w:r>
        <w:rPr>
          <w:rFonts w:hint="default"/>
          <w:color w:val="auto"/>
          <w:highlight w:val="none"/>
          <w:lang w:val="en-US" w:eastAsia="zh-CN"/>
        </w:rPr>
        <w:t>占地的影响主要表现为风机及箱变基础等永久占用动物生境，缩小野生动物的栖息空间，限制部分陆生动物的活动区域、觅食范围等，从而对陆生动物的生存产生一定的影响。但这种影响会随着施工结束而逐渐消失，占地区域会重新吸引一些常见种类，进而降低陆生动物的生存压力。</w:t>
      </w:r>
    </w:p>
    <w:p w14:paraId="596F4E7F">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default" w:ascii="Times New Roman" w:hAnsi="Times New Roman" w:cs="Times New Roman"/>
          <w:color w:val="auto"/>
          <w:sz w:val="24"/>
          <w:szCs w:val="24"/>
          <w:highlight w:val="none"/>
        </w:rPr>
      </w:pPr>
      <w:r>
        <w:rPr>
          <w:rFonts w:hint="eastAsia" w:ascii="Times New Roman" w:hAnsi="Times New Roman"/>
          <w:b/>
          <w:bCs/>
          <w:color w:val="auto"/>
          <w:sz w:val="24"/>
          <w:szCs w:val="24"/>
          <w:highlight w:val="none"/>
          <w:u w:val="none"/>
          <w:lang w:val="en-US" w:eastAsia="zh-CN"/>
        </w:rPr>
        <w:t>人为干扰对动物的影响</w:t>
      </w:r>
    </w:p>
    <w:p w14:paraId="1F279CA6">
      <w:pPr>
        <w:rPr>
          <w:rFonts w:ascii="Times New Roman" w:hAnsi="Times New Roman" w:eastAsia="宋体" w:cs="Times New Roman"/>
          <w:color w:val="auto"/>
          <w:highlight w:val="none"/>
        </w:rPr>
      </w:pPr>
      <w:r>
        <w:rPr>
          <w:rFonts w:hint="eastAsia" w:ascii="Times New Roman" w:hAnsi="Times New Roman" w:eastAsia="宋体" w:cs="Times New Roman"/>
          <w:snapToGrid/>
          <w:color w:val="auto"/>
          <w:kern w:val="2"/>
          <w:sz w:val="24"/>
          <w:szCs w:val="24"/>
          <w:highlight w:val="none"/>
          <w:lang w:val="en-US" w:eastAsia="zh-CN" w:bidi="ar-SA"/>
        </w:rPr>
        <w:t>工程施工期间，施工人员可能对一些有经济价值、观赏价值和食用价值的动物等进行捕杀，如鸟纲鸡形目、雀形目鸟类；爬行纲蛇类；两栖纲蛙类；兽纲兔形目兔类等的部分物种，导致其种群数量减少。对于这种干扰，必须通过严格的惩罚制度以及明令禁止的方式进行约束，从而避免工程施工对野生动物的影响。</w:t>
      </w:r>
    </w:p>
    <w:p w14:paraId="0F2EB3E9">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default" w:ascii="Times New Roman" w:hAnsi="Times New Roman" w:cs="Times New Roman"/>
          <w:color w:val="auto"/>
          <w:sz w:val="24"/>
          <w:szCs w:val="24"/>
          <w:highlight w:val="none"/>
        </w:rPr>
      </w:pPr>
      <w:r>
        <w:rPr>
          <w:rFonts w:hint="eastAsia" w:ascii="Times New Roman" w:hAnsi="Times New Roman"/>
          <w:b/>
          <w:bCs/>
          <w:color w:val="auto"/>
          <w:sz w:val="24"/>
          <w:szCs w:val="24"/>
          <w:highlight w:val="none"/>
          <w:u w:val="none"/>
          <w:lang w:val="en-US" w:eastAsia="zh-CN"/>
        </w:rPr>
        <w:t>噪声对动物的影响</w:t>
      </w:r>
    </w:p>
    <w:p w14:paraId="19B2090B">
      <w:pPr>
        <w:bidi w:val="0"/>
        <w:rPr>
          <w:color w:val="auto"/>
          <w:highlight w:val="none"/>
        </w:rPr>
      </w:pPr>
      <w:r>
        <w:rPr>
          <w:rFonts w:hint="eastAsia"/>
          <w:color w:val="auto"/>
          <w:highlight w:val="none"/>
          <w:lang w:val="en-US" w:eastAsia="zh-CN"/>
        </w:rPr>
        <w:t>在项目建设过程中，由于施工活动会产生一定的噪声，如施工机械发出的声音或施工材料运输过程中发出的噪声、施工过程中的爆破等，可能使施工区域附近的野生动物受到惊吓，对其觅食活动也将产生一定的影响。不过由于动物均具有迁移能力，特别是鸟类和哺乳类的迁移、逃避能力很强，且施工区域附近的生境条件都比较相似，野生动物可暂时由原来的生境转移到远离施工区域的相似生境中生活；且由于工程施工时间短、风机设置点分散，这些不利影响将会随工程的结束而逐渐消失。</w:t>
      </w:r>
    </w:p>
    <w:p w14:paraId="262D7197">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default" w:ascii="Times New Roman" w:hAnsi="Times New Roman" w:cs="Times New Roman"/>
          <w:color w:val="auto"/>
          <w:sz w:val="24"/>
          <w:szCs w:val="24"/>
          <w:highlight w:val="none"/>
        </w:rPr>
      </w:pPr>
      <w:r>
        <w:rPr>
          <w:rFonts w:hint="eastAsia" w:ascii="Times New Roman" w:hAnsi="Times New Roman"/>
          <w:b/>
          <w:bCs/>
          <w:color w:val="auto"/>
          <w:sz w:val="24"/>
          <w:szCs w:val="24"/>
          <w:highlight w:val="none"/>
          <w:u w:val="none"/>
          <w:lang w:val="en-US" w:eastAsia="zh-CN"/>
        </w:rPr>
        <w:t>施工污染对动物的影响</w:t>
      </w:r>
    </w:p>
    <w:p w14:paraId="3F66234E">
      <w:pPr>
        <w:rPr>
          <w:rFonts w:ascii="Times New Roman" w:hAnsi="Times New Roman" w:eastAsia="宋体" w:cs="Times New Roman"/>
          <w:color w:val="auto"/>
          <w:highlight w:val="none"/>
        </w:rPr>
      </w:pPr>
      <w:r>
        <w:rPr>
          <w:rFonts w:hint="eastAsia" w:ascii="Times New Roman" w:hAnsi="Times New Roman" w:eastAsia="宋体" w:cs="Times New Roman"/>
          <w:snapToGrid/>
          <w:color w:val="auto"/>
          <w:kern w:val="2"/>
          <w:sz w:val="24"/>
          <w:szCs w:val="24"/>
          <w:highlight w:val="none"/>
          <w:lang w:val="en-US" w:eastAsia="zh-CN" w:bidi="ar-SA"/>
        </w:rPr>
        <w:t>施工期间，施工人员会产生一定的生活垃圾和生活污水。生活垃圾的随意丢弃、生活污水的随意排放会劣化动物的生境，使得原有生境变得不再适合其生存，但这种影响可以通过垃圾分类回收、污水集中处理等合理的措施加以避免或消减，且随着施工的结束而消失。</w:t>
      </w:r>
    </w:p>
    <w:p w14:paraId="15659EEB">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default" w:ascii="Times New Roman" w:hAnsi="Times New Roman" w:cs="Times New Roman"/>
          <w:color w:val="auto"/>
          <w:sz w:val="24"/>
          <w:szCs w:val="24"/>
          <w:highlight w:val="none"/>
        </w:rPr>
      </w:pPr>
      <w:r>
        <w:rPr>
          <w:rFonts w:hint="eastAsia" w:ascii="Times New Roman" w:hAnsi="Times New Roman"/>
          <w:b/>
          <w:bCs/>
          <w:color w:val="auto"/>
          <w:sz w:val="24"/>
          <w:szCs w:val="24"/>
          <w:highlight w:val="none"/>
          <w:u w:val="none"/>
          <w:lang w:val="en-US" w:eastAsia="zh-CN"/>
        </w:rPr>
        <w:t>施工对迁徙鸟类的影响</w:t>
      </w:r>
    </w:p>
    <w:p w14:paraId="10A83071">
      <w:pPr>
        <w:pStyle w:val="8"/>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snapToGrid/>
          <w:color w:val="auto"/>
          <w:kern w:val="2"/>
          <w:sz w:val="24"/>
          <w:szCs w:val="24"/>
          <w:highlight w:val="none"/>
          <w:lang w:val="en-US" w:eastAsia="zh-CN" w:bidi="ar-SA"/>
        </w:rPr>
      </w:pPr>
      <w:r>
        <w:rPr>
          <w:rFonts w:hint="eastAsia" w:ascii="Times New Roman" w:hAnsi="Times New Roman" w:eastAsia="宋体" w:cs="Times New Roman"/>
          <w:snapToGrid/>
          <w:color w:val="auto"/>
          <w:kern w:val="2"/>
          <w:sz w:val="24"/>
          <w:szCs w:val="24"/>
          <w:highlight w:val="none"/>
          <w:lang w:val="en-US" w:eastAsia="zh-CN" w:bidi="ar-SA"/>
        </w:rPr>
        <w:t>工程施工噪声、人为活动等会影响鸟类迁徙过程中在评价区域的栖息、觅食行为以及停留时间，如施工爆破和人为活动等使迁徙候鸟受到惊吓，迫使准备在项目区附近停歇的鸟类缩短停留时间；此外，夜间灯光也会吸引迁徙鸟类靠近，从而导致鸟类迁徙过程中的伤亡风险增加。这些影响可通过合理安排和分配各片区的施工时间；以及禁止夜间施工、严格控制夜间光源等措施加以避免和减缓。</w:t>
      </w:r>
    </w:p>
    <w:p w14:paraId="2AE4F627">
      <w:pPr>
        <w:bidi w:val="0"/>
        <w:rPr>
          <w:color w:val="auto"/>
          <w:highlight w:val="none"/>
        </w:rPr>
      </w:pPr>
      <w:r>
        <w:rPr>
          <w:rFonts w:hint="eastAsia"/>
          <w:color w:val="auto"/>
          <w:highlight w:val="none"/>
          <w:lang w:val="en-US" w:eastAsia="zh-CN"/>
        </w:rPr>
        <w:t>以上分析表明，虽然本项目在施工期会对野生动物产生一定的影响，但这些影响可通过生态恢复、规章制度的制定以及施工期限的约束等措施将其降至最低，并缩短其影响时间。故施工期对动物的影响将随着施工的结束和临时占地区域内植被的恢复而缓解，乃至消失。</w:t>
      </w:r>
    </w:p>
    <w:p w14:paraId="2CCD47D3">
      <w:pPr>
        <w:pStyle w:val="6"/>
        <w:rPr>
          <w:rFonts w:hint="default" w:ascii="Times New Roman" w:hAnsi="Times New Roman" w:cs="Times New Roman"/>
          <w:color w:val="auto"/>
          <w:highlight w:val="none"/>
        </w:rPr>
      </w:pPr>
      <w:r>
        <w:rPr>
          <w:rFonts w:hint="eastAsia" w:ascii="Times New Roman" w:hAnsi="Times New Roman" w:cs="Times New Roman"/>
          <w:color w:val="auto"/>
          <w:highlight w:val="none"/>
          <w:lang w:eastAsia="zh-CN"/>
        </w:rPr>
        <w:t>对</w:t>
      </w:r>
      <w:r>
        <w:rPr>
          <w:rFonts w:hint="eastAsia"/>
          <w:color w:val="auto"/>
          <w:highlight w:val="none"/>
          <w:lang w:val="en-US" w:eastAsia="zh-CN"/>
        </w:rPr>
        <w:t>重点保护野生动物</w:t>
      </w:r>
      <w:r>
        <w:rPr>
          <w:rFonts w:hint="eastAsia" w:ascii="Times New Roman" w:hAnsi="Times New Roman" w:cs="Times New Roman"/>
          <w:color w:val="auto"/>
          <w:highlight w:val="none"/>
          <w:lang w:eastAsia="zh-CN"/>
        </w:rPr>
        <w:t>的影响</w:t>
      </w:r>
    </w:p>
    <w:p w14:paraId="4F220F00">
      <w:pPr>
        <w:rPr>
          <w:rFonts w:ascii="Times New Roman" w:hAnsi="Times New Roman" w:eastAsia="宋体" w:cs="Times New Roman"/>
          <w:color w:val="auto"/>
          <w:highlight w:val="none"/>
        </w:rPr>
      </w:pPr>
      <w:r>
        <w:rPr>
          <w:rFonts w:hint="eastAsia" w:ascii="Times New Roman" w:hAnsi="Times New Roman" w:eastAsia="宋体" w:cs="Times New Roman"/>
          <w:snapToGrid/>
          <w:color w:val="auto"/>
          <w:kern w:val="2"/>
          <w:sz w:val="24"/>
          <w:szCs w:val="24"/>
          <w:highlight w:val="none"/>
          <w:lang w:val="en-US" w:eastAsia="zh-CN" w:bidi="ar-SA"/>
        </w:rPr>
        <w:t>评价范围内的陆生脊椎动物中，未记录到国家Ⅰ级重点保护野生动物分布，共记录到国家Ⅱ级重点保护野生动物9种，湖南省重点保护动物86种。工程施工对其影响主要是噪声影响和占地影响，施工噪声干扰会驱赶它们远离施工区，使其寻找新的活动觅食场所；工程占地也会导致野生动物的栖息地和活动范围减小或者割裂。由于工程影响区附近的生境类似，这些野生动物很容易在其他区域寻找到新的活动场所，因此工程对其影响较小。</w:t>
      </w:r>
    </w:p>
    <w:p w14:paraId="7B5810D6">
      <w:pPr>
        <w:pStyle w:val="5"/>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地表水环境影响预测与评价</w:t>
      </w:r>
    </w:p>
    <w:p w14:paraId="300FA9A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本项目建设对水环境的影响主要包括：建筑材料堆放对水体的影响；</w:t>
      </w:r>
      <w:r>
        <w:rPr>
          <w:rFonts w:hint="eastAsia" w:ascii="Times New Roman" w:hAnsi="Times New Roman" w:cs="Times New Roman"/>
          <w:bCs/>
          <w:color w:val="auto"/>
          <w:sz w:val="24"/>
          <w:szCs w:val="24"/>
          <w:highlight w:val="none"/>
          <w:lang w:val="en-US" w:eastAsia="zh-CN"/>
        </w:rPr>
        <w:t>道路边坡冲刷对地表水的影响</w:t>
      </w:r>
      <w:r>
        <w:rPr>
          <w:rFonts w:hint="default" w:ascii="Times New Roman" w:hAnsi="Times New Roman" w:cs="Times New Roman"/>
          <w:bCs/>
          <w:color w:val="auto"/>
          <w:sz w:val="24"/>
          <w:szCs w:val="24"/>
          <w:highlight w:val="none"/>
          <w:lang w:val="en-US" w:eastAsia="zh-CN"/>
        </w:rPr>
        <w:t>；施工生活污水排放对水体的影响等。</w:t>
      </w:r>
    </w:p>
    <w:p w14:paraId="704903DB">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cs="Times New Roman"/>
          <w:b/>
          <w:bCs w:val="0"/>
          <w:color w:val="auto"/>
          <w:sz w:val="24"/>
          <w:szCs w:val="24"/>
          <w:highlight w:val="none"/>
          <w:lang w:val="en-US" w:eastAsia="zh-CN"/>
        </w:rPr>
      </w:pPr>
      <w:r>
        <w:rPr>
          <w:rFonts w:hint="default" w:ascii="Times New Roman" w:hAnsi="Times New Roman" w:cs="Times New Roman"/>
          <w:b/>
          <w:bCs w:val="0"/>
          <w:color w:val="auto"/>
          <w:sz w:val="24"/>
          <w:szCs w:val="24"/>
          <w:highlight w:val="none"/>
          <w:lang w:val="en-US" w:eastAsia="zh-CN"/>
        </w:rPr>
        <w:t>（1）</w:t>
      </w:r>
      <w:r>
        <w:rPr>
          <w:rFonts w:hint="eastAsia" w:ascii="Times New Roman" w:hAnsi="Times New Roman" w:cs="Times New Roman"/>
          <w:b/>
          <w:bCs w:val="0"/>
          <w:color w:val="auto"/>
          <w:sz w:val="24"/>
          <w:szCs w:val="24"/>
          <w:highlight w:val="none"/>
          <w:lang w:val="en-US" w:eastAsia="zh-CN"/>
        </w:rPr>
        <w:t>施工废水</w:t>
      </w:r>
    </w:p>
    <w:p w14:paraId="776270C9">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cs="Times New Roman"/>
          <w:b/>
          <w:bCs w:val="0"/>
          <w:color w:val="auto"/>
          <w:sz w:val="24"/>
          <w:szCs w:val="24"/>
          <w:highlight w:val="none"/>
          <w:lang w:val="en-US" w:eastAsia="zh-CN"/>
        </w:rPr>
      </w:pPr>
      <w:r>
        <w:rPr>
          <w:rFonts w:hint="eastAsia" w:ascii="Times New Roman" w:hAnsi="Times New Roman" w:cs="Times New Roman"/>
          <w:b/>
          <w:bCs w:val="0"/>
          <w:color w:val="auto"/>
          <w:sz w:val="24"/>
          <w:szCs w:val="24"/>
          <w:highlight w:val="none"/>
          <w:lang w:val="en-US" w:eastAsia="zh-CN"/>
        </w:rPr>
        <w:t>①施工生产区建筑材料堆放冲刷废水影响分析</w:t>
      </w:r>
    </w:p>
    <w:p w14:paraId="3172067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各施工生产区建筑材料堆放场雨季由于雨水冲刷产生废水，主要污染因子为SS，经场地周边</w:t>
      </w:r>
      <w:r>
        <w:rPr>
          <w:rFonts w:hint="eastAsia" w:ascii="Times New Roman" w:hAnsi="Times New Roman" w:cs="Times New Roman"/>
          <w:bCs/>
          <w:color w:val="auto"/>
          <w:sz w:val="24"/>
          <w:szCs w:val="24"/>
          <w:highlight w:val="none"/>
          <w:lang w:val="en-US" w:eastAsia="zh-CN"/>
        </w:rPr>
        <w:t>临时排水沟</w:t>
      </w:r>
      <w:r>
        <w:rPr>
          <w:rFonts w:hint="default" w:ascii="Times New Roman" w:hAnsi="Times New Roman" w:cs="Times New Roman"/>
          <w:bCs/>
          <w:color w:val="auto"/>
          <w:sz w:val="24"/>
          <w:szCs w:val="24"/>
          <w:highlight w:val="none"/>
          <w:lang w:val="en-US" w:eastAsia="zh-CN"/>
        </w:rPr>
        <w:t>导入</w:t>
      </w:r>
      <w:r>
        <w:rPr>
          <w:rFonts w:hint="eastAsia" w:ascii="Times New Roman" w:hAnsi="Times New Roman" w:cs="Times New Roman"/>
          <w:bCs/>
          <w:color w:val="auto"/>
          <w:sz w:val="24"/>
          <w:szCs w:val="24"/>
          <w:highlight w:val="none"/>
          <w:lang w:val="en-US" w:eastAsia="zh-CN"/>
        </w:rPr>
        <w:t>沉砂池沉淀</w:t>
      </w:r>
      <w:r>
        <w:rPr>
          <w:rFonts w:hint="default" w:ascii="Times New Roman" w:hAnsi="Times New Roman" w:cs="Times New Roman"/>
          <w:bCs/>
          <w:color w:val="auto"/>
          <w:sz w:val="24"/>
          <w:szCs w:val="24"/>
          <w:highlight w:val="none"/>
          <w:lang w:val="en-US" w:eastAsia="zh-CN"/>
        </w:rPr>
        <w:t>处理后</w:t>
      </w:r>
      <w:r>
        <w:rPr>
          <w:rFonts w:hint="eastAsia" w:ascii="Times New Roman" w:hAnsi="Times New Roman" w:cs="Times New Roman"/>
          <w:bCs/>
          <w:color w:val="auto"/>
          <w:sz w:val="24"/>
          <w:szCs w:val="24"/>
          <w:highlight w:val="none"/>
          <w:lang w:val="en-US" w:eastAsia="zh-CN"/>
        </w:rPr>
        <w:t>回用于施工生产区洒水降尘</w:t>
      </w:r>
      <w:r>
        <w:rPr>
          <w:rFonts w:hint="default" w:ascii="Times New Roman" w:hAnsi="Times New Roman" w:cs="Times New Roman"/>
          <w:bCs/>
          <w:color w:val="auto"/>
          <w:sz w:val="24"/>
          <w:szCs w:val="24"/>
          <w:highlight w:val="none"/>
          <w:lang w:val="en-US" w:eastAsia="zh-CN"/>
        </w:rPr>
        <w:t>，不外排地表水体，施工期施工废水对地表水环境影响较小。</w:t>
      </w:r>
    </w:p>
    <w:p w14:paraId="6EA0B652">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cs="Times New Roman"/>
          <w:b/>
          <w:bCs w:val="0"/>
          <w:color w:val="auto"/>
          <w:sz w:val="24"/>
          <w:szCs w:val="24"/>
          <w:highlight w:val="none"/>
          <w:lang w:val="en-US" w:eastAsia="zh-CN"/>
        </w:rPr>
      </w:pPr>
      <w:r>
        <w:rPr>
          <w:rFonts w:hint="eastAsia" w:ascii="Times New Roman" w:hAnsi="Times New Roman" w:cs="Times New Roman"/>
          <w:b/>
          <w:bCs w:val="0"/>
          <w:color w:val="auto"/>
          <w:sz w:val="24"/>
          <w:szCs w:val="24"/>
          <w:highlight w:val="none"/>
          <w:lang w:val="en-US" w:eastAsia="zh-CN"/>
        </w:rPr>
        <w:t>②道路边坡冲刷废水影响分析</w:t>
      </w:r>
    </w:p>
    <w:p w14:paraId="5A8D2BE0">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本项目场内道路的开挖填筑将造成较大面积的地表裸露，雨季时雨水冲刷泥土，泥土随雨水进入地表水体，将会导致附近地表水体中悬浮物浓度升高，若进入小型沟渠中还可能会由于泥沙淤积堵塞沟渠。道路施工从2023年10月初开始，至2024年4月底全部结束，在旱季施工，通过加强防护，可减少降雨对土壤的冲蚀</w:t>
      </w:r>
      <w:r>
        <w:rPr>
          <w:rFonts w:hint="eastAsia" w:ascii="Times New Roman" w:hAnsi="Times New Roman" w:cs="Times New Roman"/>
          <w:bCs/>
          <w:color w:val="auto"/>
          <w:sz w:val="24"/>
          <w:szCs w:val="24"/>
          <w:highlight w:val="none"/>
          <w:lang w:val="en-US" w:eastAsia="zh-CN"/>
        </w:rPr>
        <w:t>，从源头上减少废水产生量</w:t>
      </w:r>
      <w:r>
        <w:rPr>
          <w:rFonts w:hint="default" w:ascii="Times New Roman" w:hAnsi="Times New Roman" w:cs="Times New Roman"/>
          <w:bCs/>
          <w:color w:val="auto"/>
          <w:sz w:val="24"/>
          <w:szCs w:val="24"/>
          <w:highlight w:val="none"/>
          <w:lang w:val="en-US" w:eastAsia="zh-CN"/>
        </w:rPr>
        <w:t>。</w:t>
      </w:r>
      <w:r>
        <w:rPr>
          <w:rFonts w:hint="eastAsia" w:ascii="Times New Roman" w:hAnsi="Times New Roman" w:cs="Times New Roman"/>
          <w:bCs/>
          <w:color w:val="auto"/>
          <w:sz w:val="24"/>
          <w:szCs w:val="24"/>
          <w:highlight w:val="none"/>
          <w:lang w:val="en-US" w:eastAsia="zh-CN"/>
        </w:rPr>
        <w:t>在施工期通过设置临时挡护，防止边坡冲刷，控制施工作业带范围，在道路两边位置开挖临时排水沟，并设置临时沉砂池，废水经沉淀处理后回用于场内洒水抑尘，不外排地表水体，施工期施工废水对地表水环境影响较小。</w:t>
      </w:r>
    </w:p>
    <w:p w14:paraId="27427916">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cs="Times New Roman"/>
          <w:b/>
          <w:bCs w:val="0"/>
          <w:color w:val="auto"/>
          <w:sz w:val="24"/>
          <w:szCs w:val="24"/>
          <w:highlight w:val="none"/>
          <w:lang w:val="en-US" w:eastAsia="zh-CN"/>
        </w:rPr>
      </w:pPr>
      <w:r>
        <w:rPr>
          <w:rFonts w:hint="eastAsia" w:ascii="Times New Roman" w:hAnsi="Times New Roman" w:cs="Times New Roman"/>
          <w:b/>
          <w:bCs w:val="0"/>
          <w:color w:val="auto"/>
          <w:sz w:val="24"/>
          <w:szCs w:val="24"/>
          <w:highlight w:val="none"/>
          <w:lang w:val="en-US" w:eastAsia="zh-CN"/>
        </w:rPr>
        <w:t>③施工废水对周边饮用水源影响分析</w:t>
      </w:r>
    </w:p>
    <w:p w14:paraId="3ED46A47">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cs="Times New Roman"/>
          <w:b w:val="0"/>
          <w:bCs/>
          <w:color w:val="auto"/>
          <w:sz w:val="24"/>
          <w:szCs w:val="24"/>
          <w:highlight w:val="none"/>
          <w:lang w:val="en-US" w:eastAsia="zh-CN"/>
        </w:rPr>
      </w:pPr>
      <w:r>
        <w:rPr>
          <w:rFonts w:hint="eastAsia" w:cs="Times New Roman"/>
          <w:b w:val="0"/>
          <w:bCs/>
          <w:color w:val="auto"/>
          <w:sz w:val="24"/>
          <w:szCs w:val="24"/>
          <w:highlight w:val="none"/>
          <w:lang w:val="en-US" w:eastAsia="zh-CN"/>
        </w:rPr>
        <w:t>本项目工程内容与周边饮用水源的水力联系梳理如下：</w:t>
      </w:r>
    </w:p>
    <w:p w14:paraId="410615BC">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center"/>
        <w:textAlignment w:val="auto"/>
        <w:rPr>
          <w:rFonts w:hint="eastAsia" w:cs="Times New Roman"/>
          <w:b/>
          <w:bCs w:val="0"/>
          <w:color w:val="auto"/>
          <w:sz w:val="24"/>
          <w:szCs w:val="24"/>
          <w:highlight w:val="none"/>
          <w:lang w:val="en-US" w:eastAsia="zh-CN"/>
        </w:rPr>
      </w:pPr>
    </w:p>
    <w:p w14:paraId="3DE21E3B">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center"/>
        <w:textAlignment w:val="auto"/>
        <w:rPr>
          <w:rFonts w:hint="eastAsia" w:cs="Times New Roman"/>
          <w:b/>
          <w:bCs w:val="0"/>
          <w:color w:val="auto"/>
          <w:sz w:val="24"/>
          <w:szCs w:val="24"/>
          <w:highlight w:val="none"/>
          <w:lang w:val="en-US" w:eastAsia="zh-CN"/>
        </w:rPr>
      </w:pPr>
    </w:p>
    <w:p w14:paraId="328293C1">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jc w:val="center"/>
        <w:textAlignment w:val="auto"/>
        <w:rPr>
          <w:rFonts w:hint="default" w:ascii="Times New Roman" w:hAnsi="Times New Roman" w:cs="Times New Roman"/>
          <w:b/>
          <w:bCs w:val="0"/>
          <w:color w:val="auto"/>
          <w:sz w:val="24"/>
          <w:szCs w:val="24"/>
          <w:highlight w:val="none"/>
          <w:lang w:val="en-US" w:eastAsia="zh-CN"/>
        </w:rPr>
      </w:pPr>
      <w:r>
        <w:rPr>
          <w:rFonts w:hint="eastAsia" w:cs="Times New Roman"/>
          <w:b/>
          <w:bCs w:val="0"/>
          <w:color w:val="auto"/>
          <w:sz w:val="24"/>
          <w:szCs w:val="24"/>
          <w:highlight w:val="none"/>
          <w:lang w:val="en-US" w:eastAsia="zh-CN"/>
        </w:rPr>
        <w:t>表6.1.2-1  本项目工程内容与周边饮用水源的水力联系一览表</w:t>
      </w:r>
    </w:p>
    <w:tbl>
      <w:tblPr>
        <w:tblStyle w:val="20"/>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30"/>
        <w:gridCol w:w="1640"/>
        <w:gridCol w:w="1776"/>
        <w:gridCol w:w="3156"/>
        <w:gridCol w:w="1120"/>
      </w:tblGrid>
      <w:tr w14:paraId="606BB3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0" w:type="dxa"/>
            <w:tcBorders>
              <w:tl2br w:val="nil"/>
              <w:tr2bl w:val="nil"/>
            </w:tcBorders>
            <w:vAlign w:val="center"/>
          </w:tcPr>
          <w:p w14:paraId="25C3D82A">
            <w:pPr>
              <w:pStyle w:val="45"/>
              <w:rPr>
                <w:rFonts w:hint="eastAsia"/>
                <w:lang w:val="en-US" w:eastAsia="zh-CN"/>
              </w:rPr>
            </w:pPr>
            <w:r>
              <w:rPr>
                <w:rFonts w:hint="eastAsia"/>
                <w:lang w:val="en-US" w:eastAsia="zh-CN"/>
              </w:rPr>
              <w:t>序号</w:t>
            </w:r>
          </w:p>
        </w:tc>
        <w:tc>
          <w:tcPr>
            <w:tcW w:w="1640" w:type="dxa"/>
            <w:tcBorders>
              <w:tl2br w:val="nil"/>
              <w:tr2bl w:val="nil"/>
            </w:tcBorders>
            <w:vAlign w:val="center"/>
          </w:tcPr>
          <w:p w14:paraId="7B58CB57">
            <w:pPr>
              <w:pStyle w:val="45"/>
              <w:rPr>
                <w:rFonts w:hint="eastAsia"/>
                <w:lang w:val="en-US" w:eastAsia="zh-CN"/>
              </w:rPr>
            </w:pPr>
            <w:r>
              <w:rPr>
                <w:rFonts w:hint="eastAsia"/>
                <w:lang w:val="en-US" w:eastAsia="zh-CN"/>
              </w:rPr>
              <w:t>水源地名称</w:t>
            </w:r>
          </w:p>
        </w:tc>
        <w:tc>
          <w:tcPr>
            <w:tcW w:w="1776" w:type="dxa"/>
            <w:tcBorders>
              <w:tl2br w:val="nil"/>
              <w:tr2bl w:val="nil"/>
            </w:tcBorders>
            <w:vAlign w:val="center"/>
          </w:tcPr>
          <w:p w14:paraId="499B0DF9">
            <w:pPr>
              <w:pStyle w:val="45"/>
              <w:rPr>
                <w:rFonts w:hint="eastAsia"/>
                <w:lang w:val="en-US" w:eastAsia="zh-CN"/>
              </w:rPr>
            </w:pPr>
            <w:r>
              <w:rPr>
                <w:rFonts w:hint="eastAsia"/>
                <w:lang w:val="en-US" w:eastAsia="zh-CN"/>
              </w:rPr>
              <w:t>工程内容</w:t>
            </w:r>
          </w:p>
        </w:tc>
        <w:tc>
          <w:tcPr>
            <w:tcW w:w="3156" w:type="dxa"/>
            <w:tcBorders>
              <w:tl2br w:val="nil"/>
              <w:tr2bl w:val="nil"/>
            </w:tcBorders>
            <w:vAlign w:val="center"/>
          </w:tcPr>
          <w:p w14:paraId="0C92B4D6">
            <w:pPr>
              <w:pStyle w:val="45"/>
              <w:rPr>
                <w:rFonts w:hint="eastAsia"/>
                <w:lang w:val="en-US" w:eastAsia="zh-CN"/>
              </w:rPr>
            </w:pPr>
            <w:r>
              <w:rPr>
                <w:rFonts w:hint="eastAsia"/>
                <w:lang w:val="en-US" w:eastAsia="zh-CN"/>
              </w:rPr>
              <w:t>与饮用水源位置关系</w:t>
            </w:r>
          </w:p>
        </w:tc>
        <w:tc>
          <w:tcPr>
            <w:tcW w:w="1120" w:type="dxa"/>
            <w:tcBorders>
              <w:tl2br w:val="nil"/>
              <w:tr2bl w:val="nil"/>
            </w:tcBorders>
            <w:vAlign w:val="center"/>
          </w:tcPr>
          <w:p w14:paraId="0C209D84">
            <w:pPr>
              <w:pStyle w:val="45"/>
              <w:rPr>
                <w:rFonts w:hint="eastAsia"/>
                <w:lang w:val="en-US" w:eastAsia="zh-CN"/>
              </w:rPr>
            </w:pPr>
            <w:r>
              <w:rPr>
                <w:rFonts w:hint="eastAsia"/>
                <w:lang w:val="en-US" w:eastAsia="zh-CN"/>
              </w:rPr>
              <w:t>是否有水力联系</w:t>
            </w:r>
          </w:p>
        </w:tc>
      </w:tr>
      <w:tr w14:paraId="7D828F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0" w:type="dxa"/>
            <w:vMerge w:val="restart"/>
            <w:tcBorders>
              <w:tl2br w:val="nil"/>
              <w:tr2bl w:val="nil"/>
            </w:tcBorders>
            <w:vAlign w:val="center"/>
          </w:tcPr>
          <w:p w14:paraId="0F5A92C5">
            <w:pPr>
              <w:pStyle w:val="45"/>
              <w:rPr>
                <w:rFonts w:hint="default"/>
                <w:b w:val="0"/>
                <w:bCs/>
                <w:lang w:val="en-US" w:eastAsia="zh-CN"/>
              </w:rPr>
            </w:pPr>
            <w:r>
              <w:rPr>
                <w:rFonts w:hint="eastAsia"/>
                <w:b w:val="0"/>
                <w:bCs/>
                <w:lang w:val="en-US" w:eastAsia="zh-CN"/>
              </w:rPr>
              <w:t>1</w:t>
            </w:r>
          </w:p>
        </w:tc>
        <w:tc>
          <w:tcPr>
            <w:tcW w:w="1640" w:type="dxa"/>
            <w:vMerge w:val="restart"/>
            <w:tcBorders>
              <w:tl2br w:val="nil"/>
              <w:tr2bl w:val="nil"/>
            </w:tcBorders>
            <w:vAlign w:val="center"/>
          </w:tcPr>
          <w:p w14:paraId="76A2A973">
            <w:pPr>
              <w:pStyle w:val="45"/>
              <w:rPr>
                <w:rFonts w:hint="eastAsia"/>
                <w:b w:val="0"/>
                <w:bCs/>
                <w:lang w:val="en-US" w:eastAsia="zh-CN"/>
              </w:rPr>
            </w:pPr>
            <w:r>
              <w:rPr>
                <w:rFonts w:hint="eastAsia"/>
                <w:b w:val="0"/>
                <w:bCs/>
                <w:lang w:val="en-US" w:eastAsia="zh-CN"/>
              </w:rPr>
              <w:t>祁东县黄土铺镇炳溪冲水库饮用水水源保护区</w:t>
            </w:r>
          </w:p>
        </w:tc>
        <w:tc>
          <w:tcPr>
            <w:tcW w:w="1776" w:type="dxa"/>
            <w:tcBorders>
              <w:tl2br w:val="nil"/>
              <w:tr2bl w:val="nil"/>
            </w:tcBorders>
            <w:vAlign w:val="center"/>
          </w:tcPr>
          <w:p w14:paraId="4D0A655E">
            <w:pPr>
              <w:pStyle w:val="45"/>
              <w:rPr>
                <w:rFonts w:hint="default"/>
                <w:b w:val="0"/>
                <w:bCs/>
                <w:lang w:val="en-US" w:eastAsia="zh-CN"/>
              </w:rPr>
            </w:pPr>
            <w:r>
              <w:rPr>
                <w:rFonts w:hint="eastAsia"/>
                <w:b w:val="0"/>
                <w:bCs/>
                <w:lang w:val="en-US" w:eastAsia="zh-CN"/>
              </w:rPr>
              <w:t>1#机位、11#机位、12#机位</w:t>
            </w:r>
          </w:p>
        </w:tc>
        <w:tc>
          <w:tcPr>
            <w:tcW w:w="3156" w:type="dxa"/>
            <w:tcBorders>
              <w:tl2br w:val="nil"/>
              <w:tr2bl w:val="nil"/>
            </w:tcBorders>
            <w:vAlign w:val="center"/>
          </w:tcPr>
          <w:p w14:paraId="21F1C6DF">
            <w:pPr>
              <w:pStyle w:val="45"/>
              <w:jc w:val="left"/>
              <w:rPr>
                <w:rFonts w:hint="eastAsia"/>
                <w:b w:val="0"/>
                <w:bCs/>
                <w:lang w:val="en-US" w:eastAsia="zh-CN"/>
              </w:rPr>
            </w:pPr>
            <w:r>
              <w:rPr>
                <w:rFonts w:hint="eastAsia"/>
                <w:b w:val="0"/>
                <w:bCs/>
                <w:lang w:val="en-US" w:eastAsia="zh-CN"/>
              </w:rPr>
              <w:t>1#机位距饮用水源二级保护区陆域边界（山脊线）70m；</w:t>
            </w:r>
          </w:p>
          <w:p w14:paraId="524443A7">
            <w:pPr>
              <w:pStyle w:val="45"/>
              <w:jc w:val="left"/>
              <w:rPr>
                <w:rFonts w:hint="eastAsia"/>
                <w:b w:val="0"/>
                <w:bCs/>
                <w:lang w:val="en-US" w:eastAsia="zh-CN"/>
              </w:rPr>
            </w:pPr>
            <w:r>
              <w:rPr>
                <w:rFonts w:hint="eastAsia"/>
                <w:b w:val="0"/>
                <w:bCs/>
                <w:lang w:val="en-US" w:eastAsia="zh-CN"/>
              </w:rPr>
              <w:t>11#机位距饮用水源二级保护区陆域边界（山脊线）44m；</w:t>
            </w:r>
          </w:p>
          <w:p w14:paraId="27CEE794">
            <w:pPr>
              <w:pStyle w:val="45"/>
              <w:jc w:val="left"/>
              <w:rPr>
                <w:rFonts w:hint="default"/>
                <w:b w:val="0"/>
                <w:bCs/>
                <w:lang w:val="en-US" w:eastAsia="zh-CN"/>
              </w:rPr>
            </w:pPr>
            <w:r>
              <w:rPr>
                <w:rFonts w:hint="eastAsia"/>
                <w:b w:val="0"/>
                <w:bCs/>
                <w:lang w:val="en-US" w:eastAsia="zh-CN"/>
              </w:rPr>
              <w:t>12#机位距饮用水源二级保护区陆域边界（山脊线）25m。</w:t>
            </w:r>
          </w:p>
        </w:tc>
        <w:tc>
          <w:tcPr>
            <w:tcW w:w="1120" w:type="dxa"/>
            <w:tcBorders>
              <w:tl2br w:val="nil"/>
              <w:tr2bl w:val="nil"/>
            </w:tcBorders>
            <w:vAlign w:val="center"/>
          </w:tcPr>
          <w:p w14:paraId="4F79597E">
            <w:pPr>
              <w:pStyle w:val="45"/>
              <w:rPr>
                <w:rFonts w:hint="eastAsia"/>
                <w:b w:val="0"/>
                <w:bCs/>
                <w:lang w:val="en-US" w:eastAsia="zh-CN"/>
              </w:rPr>
            </w:pPr>
            <w:r>
              <w:rPr>
                <w:rFonts w:hint="eastAsia"/>
                <w:b w:val="0"/>
                <w:bCs/>
                <w:lang w:val="en-US" w:eastAsia="zh-CN"/>
              </w:rPr>
              <w:t>无</w:t>
            </w:r>
          </w:p>
        </w:tc>
      </w:tr>
      <w:tr w14:paraId="48C32EA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0" w:type="dxa"/>
            <w:vMerge w:val="continue"/>
            <w:tcBorders>
              <w:tl2br w:val="nil"/>
              <w:tr2bl w:val="nil"/>
            </w:tcBorders>
            <w:vAlign w:val="center"/>
          </w:tcPr>
          <w:p w14:paraId="0BA9BAF9">
            <w:pPr>
              <w:pStyle w:val="45"/>
              <w:rPr>
                <w:rFonts w:hint="eastAsia"/>
                <w:b w:val="0"/>
                <w:bCs/>
                <w:lang w:val="en-US" w:eastAsia="zh-CN"/>
              </w:rPr>
            </w:pPr>
          </w:p>
        </w:tc>
        <w:tc>
          <w:tcPr>
            <w:tcW w:w="1640" w:type="dxa"/>
            <w:vMerge w:val="continue"/>
            <w:tcBorders>
              <w:tl2br w:val="nil"/>
              <w:tr2bl w:val="nil"/>
            </w:tcBorders>
            <w:vAlign w:val="center"/>
          </w:tcPr>
          <w:p w14:paraId="6928A6FF">
            <w:pPr>
              <w:pStyle w:val="45"/>
              <w:rPr>
                <w:rFonts w:hint="eastAsia"/>
                <w:b w:val="0"/>
                <w:bCs/>
                <w:lang w:val="en-US" w:eastAsia="zh-CN"/>
              </w:rPr>
            </w:pPr>
          </w:p>
        </w:tc>
        <w:tc>
          <w:tcPr>
            <w:tcW w:w="1776" w:type="dxa"/>
            <w:tcBorders>
              <w:tl2br w:val="nil"/>
              <w:tr2bl w:val="nil"/>
            </w:tcBorders>
            <w:vAlign w:val="center"/>
          </w:tcPr>
          <w:p w14:paraId="06FCC5D5">
            <w:pPr>
              <w:pStyle w:val="45"/>
              <w:rPr>
                <w:rFonts w:hint="eastAsia"/>
                <w:b w:val="0"/>
                <w:bCs/>
                <w:lang w:val="en-US" w:eastAsia="zh-CN"/>
              </w:rPr>
            </w:pPr>
            <w:r>
              <w:rPr>
                <w:rFonts w:hint="eastAsia"/>
                <w:b w:val="0"/>
                <w:bCs/>
                <w:lang w:val="en-US" w:eastAsia="zh-CN"/>
              </w:rPr>
              <w:t>道路、集电线路</w:t>
            </w:r>
          </w:p>
        </w:tc>
        <w:tc>
          <w:tcPr>
            <w:tcW w:w="3156" w:type="dxa"/>
            <w:tcBorders>
              <w:tl2br w:val="nil"/>
              <w:tr2bl w:val="nil"/>
            </w:tcBorders>
            <w:vAlign w:val="center"/>
          </w:tcPr>
          <w:p w14:paraId="0917CCCF">
            <w:pPr>
              <w:pStyle w:val="45"/>
              <w:jc w:val="left"/>
              <w:rPr>
                <w:rFonts w:hint="eastAsia"/>
                <w:b w:val="0"/>
                <w:bCs/>
                <w:lang w:val="en-US" w:eastAsia="zh-CN"/>
              </w:rPr>
            </w:pPr>
            <w:r>
              <w:rPr>
                <w:rFonts w:hint="eastAsia"/>
                <w:b w:val="0"/>
                <w:bCs/>
                <w:lang w:val="en-US" w:eastAsia="zh-CN"/>
              </w:rPr>
              <w:t>1#机位新建道路距离饮用水源二级保护区陆域边界（山脊线）最近距离50m；</w:t>
            </w:r>
          </w:p>
          <w:p w14:paraId="79C5BFDA">
            <w:pPr>
              <w:pStyle w:val="45"/>
              <w:jc w:val="left"/>
              <w:rPr>
                <w:rFonts w:hint="default"/>
                <w:b w:val="0"/>
                <w:bCs/>
                <w:lang w:val="en-US" w:eastAsia="zh-CN"/>
              </w:rPr>
            </w:pPr>
            <w:r>
              <w:rPr>
                <w:rFonts w:hint="eastAsia"/>
                <w:b w:val="0"/>
                <w:bCs/>
                <w:lang w:val="en-US" w:eastAsia="zh-CN"/>
              </w:rPr>
              <w:t>11#、12#机位利用官家嘴风电场已建的现有道路，不新建道路。</w:t>
            </w:r>
          </w:p>
        </w:tc>
        <w:tc>
          <w:tcPr>
            <w:tcW w:w="1120" w:type="dxa"/>
            <w:tcBorders>
              <w:tl2br w:val="nil"/>
              <w:tr2bl w:val="nil"/>
            </w:tcBorders>
            <w:vAlign w:val="center"/>
          </w:tcPr>
          <w:p w14:paraId="48F29EBC">
            <w:pPr>
              <w:pStyle w:val="45"/>
              <w:rPr>
                <w:rFonts w:hint="eastAsia"/>
                <w:b w:val="0"/>
                <w:bCs/>
                <w:lang w:val="en-US" w:eastAsia="zh-CN"/>
              </w:rPr>
            </w:pPr>
            <w:r>
              <w:rPr>
                <w:rFonts w:hint="eastAsia"/>
                <w:b w:val="0"/>
                <w:bCs/>
                <w:lang w:val="en-US" w:eastAsia="zh-CN"/>
              </w:rPr>
              <w:t>无</w:t>
            </w:r>
          </w:p>
        </w:tc>
      </w:tr>
      <w:tr w14:paraId="7203B9E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0" w:type="dxa"/>
            <w:vMerge w:val="restart"/>
            <w:tcBorders>
              <w:tl2br w:val="nil"/>
              <w:tr2bl w:val="nil"/>
            </w:tcBorders>
            <w:vAlign w:val="center"/>
          </w:tcPr>
          <w:p w14:paraId="4AAD25E3">
            <w:pPr>
              <w:pStyle w:val="45"/>
              <w:rPr>
                <w:rFonts w:hint="default"/>
                <w:b w:val="0"/>
                <w:bCs/>
                <w:lang w:val="en-US" w:eastAsia="zh-CN"/>
              </w:rPr>
            </w:pPr>
            <w:r>
              <w:rPr>
                <w:rFonts w:hint="eastAsia"/>
                <w:b w:val="0"/>
                <w:bCs/>
                <w:lang w:val="en-US" w:eastAsia="zh-CN"/>
              </w:rPr>
              <w:t>2</w:t>
            </w:r>
          </w:p>
        </w:tc>
        <w:tc>
          <w:tcPr>
            <w:tcW w:w="1640" w:type="dxa"/>
            <w:vMerge w:val="restart"/>
            <w:tcBorders>
              <w:tl2br w:val="nil"/>
              <w:tr2bl w:val="nil"/>
            </w:tcBorders>
            <w:vAlign w:val="center"/>
          </w:tcPr>
          <w:p w14:paraId="3662B1D3">
            <w:pPr>
              <w:pStyle w:val="45"/>
              <w:rPr>
                <w:rFonts w:hint="eastAsia"/>
                <w:b w:val="0"/>
                <w:bCs/>
                <w:lang w:val="en-US" w:eastAsia="zh-CN"/>
              </w:rPr>
            </w:pPr>
            <w:r>
              <w:rPr>
                <w:rFonts w:hint="eastAsia"/>
                <w:b w:val="0"/>
                <w:bCs/>
                <w:lang w:val="en-US" w:eastAsia="zh-CN"/>
              </w:rPr>
              <w:t>祁东县马杜桥乡星桥村刘家冲水库饮用水水源保护区</w:t>
            </w:r>
          </w:p>
        </w:tc>
        <w:tc>
          <w:tcPr>
            <w:tcW w:w="1776" w:type="dxa"/>
            <w:tcBorders>
              <w:tl2br w:val="nil"/>
              <w:tr2bl w:val="nil"/>
            </w:tcBorders>
            <w:vAlign w:val="center"/>
          </w:tcPr>
          <w:p w14:paraId="146BFC12">
            <w:pPr>
              <w:pStyle w:val="45"/>
              <w:rPr>
                <w:rFonts w:hint="default"/>
                <w:b w:val="0"/>
                <w:bCs/>
                <w:lang w:val="en-US" w:eastAsia="zh-CN"/>
              </w:rPr>
            </w:pPr>
            <w:r>
              <w:rPr>
                <w:rFonts w:hint="eastAsia"/>
                <w:b w:val="0"/>
                <w:bCs/>
                <w:lang w:val="en-US" w:eastAsia="zh-CN"/>
              </w:rPr>
              <w:t>5#机位</w:t>
            </w:r>
          </w:p>
        </w:tc>
        <w:tc>
          <w:tcPr>
            <w:tcW w:w="3156" w:type="dxa"/>
            <w:tcBorders>
              <w:tl2br w:val="nil"/>
              <w:tr2bl w:val="nil"/>
            </w:tcBorders>
            <w:vAlign w:val="center"/>
          </w:tcPr>
          <w:p w14:paraId="6E5D6485">
            <w:pPr>
              <w:pStyle w:val="45"/>
              <w:jc w:val="left"/>
              <w:rPr>
                <w:rFonts w:hint="eastAsia"/>
                <w:b w:val="0"/>
                <w:bCs/>
                <w:lang w:val="en-US" w:eastAsia="zh-CN"/>
              </w:rPr>
            </w:pPr>
            <w:r>
              <w:rPr>
                <w:rFonts w:hint="eastAsia"/>
                <w:b w:val="0"/>
                <w:bCs/>
                <w:lang w:val="en-US" w:eastAsia="zh-CN"/>
              </w:rPr>
              <w:t>5#机位距饮用水源二级保护区陆域边界（山脊线）65m。</w:t>
            </w:r>
          </w:p>
        </w:tc>
        <w:tc>
          <w:tcPr>
            <w:tcW w:w="1120" w:type="dxa"/>
            <w:tcBorders>
              <w:tl2br w:val="nil"/>
              <w:tr2bl w:val="nil"/>
            </w:tcBorders>
            <w:vAlign w:val="center"/>
          </w:tcPr>
          <w:p w14:paraId="22408C1E">
            <w:pPr>
              <w:pStyle w:val="45"/>
              <w:rPr>
                <w:rFonts w:hint="eastAsia"/>
                <w:b w:val="0"/>
                <w:bCs/>
                <w:lang w:val="en-US" w:eastAsia="zh-CN"/>
              </w:rPr>
            </w:pPr>
            <w:r>
              <w:rPr>
                <w:rFonts w:hint="eastAsia"/>
                <w:b w:val="0"/>
                <w:bCs/>
                <w:lang w:val="en-US" w:eastAsia="zh-CN"/>
              </w:rPr>
              <w:t>无</w:t>
            </w:r>
          </w:p>
        </w:tc>
      </w:tr>
      <w:tr w14:paraId="3FD648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0" w:type="dxa"/>
            <w:vMerge w:val="continue"/>
            <w:tcBorders>
              <w:tl2br w:val="nil"/>
              <w:tr2bl w:val="nil"/>
            </w:tcBorders>
            <w:vAlign w:val="center"/>
          </w:tcPr>
          <w:p w14:paraId="36F45035">
            <w:pPr>
              <w:pStyle w:val="45"/>
              <w:rPr>
                <w:rFonts w:hint="eastAsia"/>
                <w:b w:val="0"/>
                <w:bCs/>
                <w:lang w:val="en-US" w:eastAsia="zh-CN"/>
              </w:rPr>
            </w:pPr>
          </w:p>
        </w:tc>
        <w:tc>
          <w:tcPr>
            <w:tcW w:w="1640" w:type="dxa"/>
            <w:vMerge w:val="continue"/>
            <w:tcBorders>
              <w:tl2br w:val="nil"/>
              <w:tr2bl w:val="nil"/>
            </w:tcBorders>
            <w:vAlign w:val="center"/>
          </w:tcPr>
          <w:p w14:paraId="392CB39F">
            <w:pPr>
              <w:pStyle w:val="45"/>
              <w:rPr>
                <w:rFonts w:hint="eastAsia"/>
                <w:b w:val="0"/>
                <w:bCs/>
                <w:lang w:val="en-US" w:eastAsia="zh-CN"/>
              </w:rPr>
            </w:pPr>
          </w:p>
        </w:tc>
        <w:tc>
          <w:tcPr>
            <w:tcW w:w="1776" w:type="dxa"/>
            <w:tcBorders>
              <w:tl2br w:val="nil"/>
              <w:tr2bl w:val="nil"/>
            </w:tcBorders>
            <w:vAlign w:val="center"/>
          </w:tcPr>
          <w:p w14:paraId="1A984B72">
            <w:pPr>
              <w:pStyle w:val="45"/>
              <w:rPr>
                <w:rFonts w:hint="eastAsia"/>
                <w:b w:val="0"/>
                <w:bCs/>
                <w:lang w:val="en-US" w:eastAsia="zh-CN"/>
              </w:rPr>
            </w:pPr>
            <w:r>
              <w:rPr>
                <w:rFonts w:hint="eastAsia"/>
                <w:b w:val="0"/>
                <w:bCs/>
                <w:lang w:val="en-US" w:eastAsia="zh-CN"/>
              </w:rPr>
              <w:t>道路、集电线路</w:t>
            </w:r>
          </w:p>
        </w:tc>
        <w:tc>
          <w:tcPr>
            <w:tcW w:w="3156" w:type="dxa"/>
            <w:tcBorders>
              <w:tl2br w:val="nil"/>
              <w:tr2bl w:val="nil"/>
            </w:tcBorders>
            <w:vAlign w:val="center"/>
          </w:tcPr>
          <w:p w14:paraId="27A2EC70">
            <w:pPr>
              <w:pStyle w:val="45"/>
              <w:jc w:val="left"/>
              <w:rPr>
                <w:rFonts w:hint="eastAsia"/>
                <w:b w:val="0"/>
                <w:bCs/>
                <w:lang w:val="en-US" w:eastAsia="zh-CN"/>
              </w:rPr>
            </w:pPr>
            <w:r>
              <w:rPr>
                <w:rFonts w:hint="eastAsia"/>
                <w:b w:val="0"/>
                <w:bCs/>
                <w:lang w:val="en-US" w:eastAsia="zh-CN"/>
              </w:rPr>
              <w:t>新建道路与饮用水源保护区二级陆域内已建道路相接，道路排水不进入水库库区。</w:t>
            </w:r>
          </w:p>
        </w:tc>
        <w:tc>
          <w:tcPr>
            <w:tcW w:w="1120" w:type="dxa"/>
            <w:tcBorders>
              <w:tl2br w:val="nil"/>
              <w:tr2bl w:val="nil"/>
            </w:tcBorders>
            <w:vAlign w:val="center"/>
          </w:tcPr>
          <w:p w14:paraId="00C460E1">
            <w:pPr>
              <w:pStyle w:val="45"/>
              <w:rPr>
                <w:rFonts w:hint="eastAsia"/>
                <w:b w:val="0"/>
                <w:bCs/>
                <w:lang w:val="en-US" w:eastAsia="zh-CN"/>
              </w:rPr>
            </w:pPr>
            <w:r>
              <w:rPr>
                <w:rFonts w:hint="eastAsia"/>
                <w:b w:val="0"/>
                <w:bCs/>
                <w:lang w:val="en-US" w:eastAsia="zh-CN"/>
              </w:rPr>
              <w:t>无</w:t>
            </w:r>
          </w:p>
        </w:tc>
      </w:tr>
      <w:tr w14:paraId="3673266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0" w:type="dxa"/>
            <w:vMerge w:val="restart"/>
            <w:tcBorders>
              <w:tl2br w:val="nil"/>
              <w:tr2bl w:val="nil"/>
            </w:tcBorders>
            <w:vAlign w:val="center"/>
          </w:tcPr>
          <w:p w14:paraId="694F0BFC">
            <w:pPr>
              <w:pStyle w:val="45"/>
              <w:rPr>
                <w:rFonts w:hint="default"/>
                <w:b w:val="0"/>
                <w:bCs/>
                <w:lang w:val="en-US" w:eastAsia="zh-CN"/>
              </w:rPr>
            </w:pPr>
            <w:r>
              <w:rPr>
                <w:rFonts w:hint="eastAsia"/>
                <w:b w:val="0"/>
                <w:bCs/>
                <w:lang w:val="en-US" w:eastAsia="zh-CN"/>
              </w:rPr>
              <w:t>3</w:t>
            </w:r>
          </w:p>
        </w:tc>
        <w:tc>
          <w:tcPr>
            <w:tcW w:w="1640" w:type="dxa"/>
            <w:vMerge w:val="restart"/>
            <w:tcBorders>
              <w:tl2br w:val="nil"/>
              <w:tr2bl w:val="nil"/>
            </w:tcBorders>
            <w:vAlign w:val="center"/>
          </w:tcPr>
          <w:p w14:paraId="4655C776">
            <w:pPr>
              <w:pStyle w:val="45"/>
              <w:rPr>
                <w:rFonts w:hint="eastAsia"/>
                <w:b w:val="0"/>
                <w:bCs/>
                <w:lang w:val="en-US" w:eastAsia="zh-CN"/>
              </w:rPr>
            </w:pPr>
            <w:r>
              <w:rPr>
                <w:rFonts w:hint="eastAsia"/>
                <w:b w:val="0"/>
                <w:bCs/>
                <w:lang w:val="en-US" w:eastAsia="zh-CN"/>
              </w:rPr>
              <w:t>祁东县马杜桥乡延塘村山溪饮用水水源保护区</w:t>
            </w:r>
          </w:p>
        </w:tc>
        <w:tc>
          <w:tcPr>
            <w:tcW w:w="1776" w:type="dxa"/>
            <w:tcBorders>
              <w:tl2br w:val="nil"/>
              <w:tr2bl w:val="nil"/>
            </w:tcBorders>
            <w:vAlign w:val="center"/>
          </w:tcPr>
          <w:p w14:paraId="6237B008">
            <w:pPr>
              <w:pStyle w:val="45"/>
              <w:rPr>
                <w:rFonts w:hint="default"/>
                <w:b w:val="0"/>
                <w:bCs/>
                <w:lang w:val="en-US" w:eastAsia="zh-CN"/>
              </w:rPr>
            </w:pPr>
            <w:r>
              <w:rPr>
                <w:rFonts w:hint="eastAsia"/>
                <w:b w:val="0"/>
                <w:bCs/>
                <w:lang w:val="en-US" w:eastAsia="zh-CN"/>
              </w:rPr>
              <w:t>13#机位</w:t>
            </w:r>
          </w:p>
        </w:tc>
        <w:tc>
          <w:tcPr>
            <w:tcW w:w="3156" w:type="dxa"/>
            <w:tcBorders>
              <w:tl2br w:val="nil"/>
              <w:tr2bl w:val="nil"/>
            </w:tcBorders>
            <w:vAlign w:val="center"/>
          </w:tcPr>
          <w:p w14:paraId="3E214FEB">
            <w:pPr>
              <w:pStyle w:val="45"/>
              <w:jc w:val="left"/>
              <w:rPr>
                <w:rFonts w:hint="default"/>
                <w:b w:val="0"/>
                <w:bCs/>
                <w:lang w:val="en-US" w:eastAsia="zh-CN"/>
              </w:rPr>
            </w:pPr>
            <w:r>
              <w:rPr>
                <w:rFonts w:hint="eastAsia"/>
                <w:b w:val="0"/>
                <w:bCs/>
                <w:lang w:val="en-US" w:eastAsia="zh-CN"/>
              </w:rPr>
              <w:t>13#机位距饮用水源二级保护区陆域边界73m，其中13#机位距山脊线20m，山脊线距饮用水源二级保护区陆域边界53m。</w:t>
            </w:r>
          </w:p>
        </w:tc>
        <w:tc>
          <w:tcPr>
            <w:tcW w:w="1120" w:type="dxa"/>
            <w:tcBorders>
              <w:tl2br w:val="nil"/>
              <w:tr2bl w:val="nil"/>
            </w:tcBorders>
            <w:vAlign w:val="center"/>
          </w:tcPr>
          <w:p w14:paraId="7467E146">
            <w:pPr>
              <w:pStyle w:val="45"/>
              <w:rPr>
                <w:rFonts w:hint="eastAsia"/>
                <w:b w:val="0"/>
                <w:bCs/>
                <w:lang w:val="en-US" w:eastAsia="zh-CN"/>
              </w:rPr>
            </w:pPr>
            <w:r>
              <w:rPr>
                <w:rFonts w:hint="eastAsia"/>
                <w:b w:val="0"/>
                <w:bCs/>
                <w:lang w:val="en-US" w:eastAsia="zh-CN"/>
              </w:rPr>
              <w:t>无</w:t>
            </w:r>
          </w:p>
        </w:tc>
      </w:tr>
      <w:tr w14:paraId="501BEF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0" w:type="dxa"/>
            <w:vMerge w:val="continue"/>
            <w:tcBorders>
              <w:tl2br w:val="nil"/>
              <w:tr2bl w:val="nil"/>
            </w:tcBorders>
            <w:vAlign w:val="center"/>
          </w:tcPr>
          <w:p w14:paraId="0B51B1F1">
            <w:pPr>
              <w:pStyle w:val="45"/>
              <w:rPr>
                <w:rFonts w:hint="eastAsia"/>
                <w:b w:val="0"/>
                <w:bCs/>
                <w:lang w:val="en-US" w:eastAsia="zh-CN"/>
              </w:rPr>
            </w:pPr>
          </w:p>
        </w:tc>
        <w:tc>
          <w:tcPr>
            <w:tcW w:w="1640" w:type="dxa"/>
            <w:vMerge w:val="continue"/>
            <w:tcBorders>
              <w:tl2br w:val="nil"/>
              <w:tr2bl w:val="nil"/>
            </w:tcBorders>
            <w:vAlign w:val="center"/>
          </w:tcPr>
          <w:p w14:paraId="1EBCC4FB">
            <w:pPr>
              <w:pStyle w:val="45"/>
              <w:rPr>
                <w:rFonts w:hint="eastAsia"/>
                <w:b w:val="0"/>
                <w:bCs/>
                <w:lang w:val="en-US" w:eastAsia="zh-CN"/>
              </w:rPr>
            </w:pPr>
          </w:p>
        </w:tc>
        <w:tc>
          <w:tcPr>
            <w:tcW w:w="1776" w:type="dxa"/>
            <w:tcBorders>
              <w:tl2br w:val="nil"/>
              <w:tr2bl w:val="nil"/>
            </w:tcBorders>
            <w:vAlign w:val="center"/>
          </w:tcPr>
          <w:p w14:paraId="791AEB48">
            <w:pPr>
              <w:pStyle w:val="45"/>
              <w:rPr>
                <w:rFonts w:hint="eastAsia"/>
                <w:b w:val="0"/>
                <w:bCs/>
                <w:lang w:val="en-US" w:eastAsia="zh-CN"/>
              </w:rPr>
            </w:pPr>
            <w:r>
              <w:rPr>
                <w:rFonts w:hint="eastAsia"/>
                <w:b w:val="0"/>
                <w:bCs/>
                <w:lang w:val="en-US" w:eastAsia="zh-CN"/>
              </w:rPr>
              <w:t>道路、集电线路</w:t>
            </w:r>
          </w:p>
        </w:tc>
        <w:tc>
          <w:tcPr>
            <w:tcW w:w="3156" w:type="dxa"/>
            <w:tcBorders>
              <w:tl2br w:val="nil"/>
              <w:tr2bl w:val="nil"/>
            </w:tcBorders>
            <w:vAlign w:val="center"/>
          </w:tcPr>
          <w:p w14:paraId="52810ECB">
            <w:pPr>
              <w:pStyle w:val="45"/>
              <w:jc w:val="left"/>
              <w:rPr>
                <w:rFonts w:hint="default"/>
                <w:b w:val="0"/>
                <w:bCs/>
                <w:lang w:val="en-US" w:eastAsia="zh-CN"/>
              </w:rPr>
            </w:pPr>
            <w:r>
              <w:rPr>
                <w:rFonts w:hint="eastAsia"/>
                <w:b w:val="0"/>
                <w:bCs/>
                <w:lang w:val="en-US" w:eastAsia="zh-CN"/>
              </w:rPr>
              <w:t>新建道路位于饮用水源北侧，与饮用水源二级保护区陆域边界最近距离为20m，与取水口最近距离为95m。</w:t>
            </w:r>
          </w:p>
        </w:tc>
        <w:tc>
          <w:tcPr>
            <w:tcW w:w="1120" w:type="dxa"/>
            <w:tcBorders>
              <w:tl2br w:val="nil"/>
              <w:tr2bl w:val="nil"/>
            </w:tcBorders>
            <w:vAlign w:val="center"/>
          </w:tcPr>
          <w:p w14:paraId="7C71BFDA">
            <w:pPr>
              <w:pStyle w:val="45"/>
              <w:rPr>
                <w:rFonts w:hint="default"/>
                <w:b w:val="0"/>
                <w:bCs/>
                <w:lang w:val="en-US" w:eastAsia="zh-CN"/>
              </w:rPr>
            </w:pPr>
            <w:r>
              <w:rPr>
                <w:rFonts w:hint="eastAsia"/>
                <w:b w:val="0"/>
                <w:bCs/>
                <w:lang w:val="en-US" w:eastAsia="zh-CN"/>
              </w:rPr>
              <w:t>有水力联系的道路长度为710m</w:t>
            </w:r>
          </w:p>
        </w:tc>
      </w:tr>
      <w:tr w14:paraId="4AD3155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0" w:type="dxa"/>
            <w:vMerge w:val="restart"/>
            <w:tcBorders>
              <w:tl2br w:val="nil"/>
              <w:tr2bl w:val="nil"/>
            </w:tcBorders>
            <w:vAlign w:val="center"/>
          </w:tcPr>
          <w:p w14:paraId="5C832837">
            <w:pPr>
              <w:pStyle w:val="45"/>
              <w:rPr>
                <w:rFonts w:hint="default"/>
                <w:b w:val="0"/>
                <w:bCs/>
                <w:lang w:val="en-US" w:eastAsia="zh-CN"/>
              </w:rPr>
            </w:pPr>
            <w:r>
              <w:rPr>
                <w:rFonts w:hint="eastAsia"/>
                <w:b w:val="0"/>
                <w:bCs/>
                <w:lang w:val="en-US" w:eastAsia="zh-CN"/>
              </w:rPr>
              <w:t>4</w:t>
            </w:r>
          </w:p>
        </w:tc>
        <w:tc>
          <w:tcPr>
            <w:tcW w:w="1640" w:type="dxa"/>
            <w:vMerge w:val="restart"/>
            <w:tcBorders>
              <w:tl2br w:val="nil"/>
              <w:tr2bl w:val="nil"/>
            </w:tcBorders>
            <w:vAlign w:val="center"/>
          </w:tcPr>
          <w:p w14:paraId="64DB8F71">
            <w:pPr>
              <w:pStyle w:val="45"/>
              <w:rPr>
                <w:rFonts w:hint="eastAsia"/>
                <w:b w:val="0"/>
                <w:bCs/>
                <w:lang w:val="en-US" w:eastAsia="zh-CN"/>
              </w:rPr>
            </w:pPr>
            <w:r>
              <w:rPr>
                <w:rFonts w:hint="eastAsia"/>
                <w:b w:val="0"/>
                <w:bCs/>
                <w:lang w:val="en-US" w:eastAsia="zh-CN"/>
              </w:rPr>
              <w:t>祁东县马杜桥乡马杜桥村（罗江桥）山溪饮用水饮用水水源保护区</w:t>
            </w:r>
          </w:p>
        </w:tc>
        <w:tc>
          <w:tcPr>
            <w:tcW w:w="1776" w:type="dxa"/>
            <w:tcBorders>
              <w:tl2br w:val="nil"/>
              <w:tr2bl w:val="nil"/>
            </w:tcBorders>
            <w:vAlign w:val="center"/>
          </w:tcPr>
          <w:p w14:paraId="2B3355D2">
            <w:pPr>
              <w:pStyle w:val="45"/>
              <w:rPr>
                <w:rFonts w:hint="default"/>
                <w:b w:val="0"/>
                <w:bCs/>
                <w:lang w:val="en-US" w:eastAsia="zh-CN"/>
              </w:rPr>
            </w:pPr>
            <w:r>
              <w:rPr>
                <w:rFonts w:hint="eastAsia"/>
                <w:b w:val="0"/>
                <w:bCs/>
                <w:lang w:val="en-US" w:eastAsia="zh-CN"/>
              </w:rPr>
              <w:t>14#机位</w:t>
            </w:r>
          </w:p>
        </w:tc>
        <w:tc>
          <w:tcPr>
            <w:tcW w:w="3156" w:type="dxa"/>
            <w:tcBorders>
              <w:tl2br w:val="nil"/>
              <w:tr2bl w:val="nil"/>
            </w:tcBorders>
            <w:vAlign w:val="center"/>
          </w:tcPr>
          <w:p w14:paraId="6127E576">
            <w:pPr>
              <w:pStyle w:val="45"/>
              <w:jc w:val="left"/>
              <w:rPr>
                <w:rFonts w:hint="eastAsia"/>
                <w:b w:val="0"/>
                <w:bCs/>
                <w:lang w:val="en-US" w:eastAsia="zh-CN"/>
              </w:rPr>
            </w:pPr>
            <w:r>
              <w:rPr>
                <w:rFonts w:hint="eastAsia"/>
                <w:b w:val="0"/>
                <w:bCs/>
                <w:lang w:val="en-US" w:eastAsia="zh-CN"/>
              </w:rPr>
              <w:t>14#机位距饮用水源二级保护区陆域边界185m，其中14#机位距山脊线125m，山脊线距饮用水源二级保护区陆域边界60m。</w:t>
            </w:r>
          </w:p>
        </w:tc>
        <w:tc>
          <w:tcPr>
            <w:tcW w:w="1120" w:type="dxa"/>
            <w:tcBorders>
              <w:tl2br w:val="nil"/>
              <w:tr2bl w:val="nil"/>
            </w:tcBorders>
            <w:vAlign w:val="center"/>
          </w:tcPr>
          <w:p w14:paraId="7F46660F">
            <w:pPr>
              <w:pStyle w:val="45"/>
              <w:rPr>
                <w:rFonts w:hint="eastAsia"/>
                <w:b w:val="0"/>
                <w:bCs/>
                <w:lang w:val="en-US" w:eastAsia="zh-CN"/>
              </w:rPr>
            </w:pPr>
            <w:r>
              <w:rPr>
                <w:rFonts w:hint="eastAsia"/>
                <w:b w:val="0"/>
                <w:bCs/>
                <w:lang w:val="en-US" w:eastAsia="zh-CN"/>
              </w:rPr>
              <w:t>无</w:t>
            </w:r>
          </w:p>
        </w:tc>
      </w:tr>
      <w:tr w14:paraId="5F44369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0" w:type="dxa"/>
            <w:vMerge w:val="continue"/>
            <w:tcBorders>
              <w:tl2br w:val="nil"/>
              <w:tr2bl w:val="nil"/>
            </w:tcBorders>
            <w:vAlign w:val="center"/>
          </w:tcPr>
          <w:p w14:paraId="5AD9662E">
            <w:pPr>
              <w:pStyle w:val="45"/>
              <w:rPr>
                <w:rFonts w:hint="eastAsia"/>
                <w:b w:val="0"/>
                <w:bCs/>
                <w:lang w:val="en-US" w:eastAsia="zh-CN"/>
              </w:rPr>
            </w:pPr>
          </w:p>
        </w:tc>
        <w:tc>
          <w:tcPr>
            <w:tcW w:w="1640" w:type="dxa"/>
            <w:vMerge w:val="continue"/>
            <w:tcBorders>
              <w:tl2br w:val="nil"/>
              <w:tr2bl w:val="nil"/>
            </w:tcBorders>
            <w:vAlign w:val="center"/>
          </w:tcPr>
          <w:p w14:paraId="2553B569">
            <w:pPr>
              <w:pStyle w:val="45"/>
              <w:rPr>
                <w:rFonts w:hint="eastAsia"/>
                <w:b w:val="0"/>
                <w:bCs/>
                <w:lang w:val="en-US" w:eastAsia="zh-CN"/>
              </w:rPr>
            </w:pPr>
          </w:p>
        </w:tc>
        <w:tc>
          <w:tcPr>
            <w:tcW w:w="1776" w:type="dxa"/>
            <w:tcBorders>
              <w:tl2br w:val="nil"/>
              <w:tr2bl w:val="nil"/>
            </w:tcBorders>
            <w:vAlign w:val="center"/>
          </w:tcPr>
          <w:p w14:paraId="2F7DA5B6">
            <w:pPr>
              <w:pStyle w:val="45"/>
              <w:rPr>
                <w:rFonts w:hint="eastAsia"/>
                <w:b w:val="0"/>
                <w:bCs/>
                <w:lang w:val="en-US" w:eastAsia="zh-CN"/>
              </w:rPr>
            </w:pPr>
            <w:r>
              <w:rPr>
                <w:rFonts w:hint="eastAsia"/>
                <w:b w:val="0"/>
                <w:bCs/>
                <w:lang w:val="en-US" w:eastAsia="zh-CN"/>
              </w:rPr>
              <w:t>道路、集电线路</w:t>
            </w:r>
          </w:p>
        </w:tc>
        <w:tc>
          <w:tcPr>
            <w:tcW w:w="3156" w:type="dxa"/>
            <w:tcBorders>
              <w:tl2br w:val="nil"/>
              <w:tr2bl w:val="nil"/>
            </w:tcBorders>
            <w:vAlign w:val="center"/>
          </w:tcPr>
          <w:p w14:paraId="3A542467">
            <w:pPr>
              <w:pStyle w:val="45"/>
              <w:jc w:val="left"/>
              <w:rPr>
                <w:rFonts w:hint="default"/>
                <w:b w:val="0"/>
                <w:bCs/>
                <w:lang w:val="en-US" w:eastAsia="zh-CN"/>
              </w:rPr>
            </w:pPr>
            <w:r>
              <w:rPr>
                <w:rFonts w:hint="eastAsia"/>
                <w:b w:val="0"/>
                <w:bCs/>
                <w:lang w:val="en-US" w:eastAsia="zh-CN"/>
              </w:rPr>
              <w:t>道路工程位于饮用水源东侧，与山脊线相距10m。</w:t>
            </w:r>
          </w:p>
        </w:tc>
        <w:tc>
          <w:tcPr>
            <w:tcW w:w="1120" w:type="dxa"/>
            <w:tcBorders>
              <w:tl2br w:val="nil"/>
              <w:tr2bl w:val="nil"/>
            </w:tcBorders>
            <w:vAlign w:val="center"/>
          </w:tcPr>
          <w:p w14:paraId="626ADCAF">
            <w:pPr>
              <w:pStyle w:val="45"/>
              <w:rPr>
                <w:rFonts w:hint="eastAsia"/>
                <w:b w:val="0"/>
                <w:bCs/>
                <w:lang w:val="en-US" w:eastAsia="zh-CN"/>
              </w:rPr>
            </w:pPr>
            <w:r>
              <w:rPr>
                <w:rFonts w:hint="eastAsia"/>
                <w:b w:val="0"/>
                <w:bCs/>
                <w:lang w:val="en-US" w:eastAsia="zh-CN"/>
              </w:rPr>
              <w:t>无</w:t>
            </w:r>
          </w:p>
        </w:tc>
      </w:tr>
      <w:tr w14:paraId="3793965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0" w:type="dxa"/>
            <w:vMerge w:val="restart"/>
            <w:tcBorders>
              <w:tl2br w:val="nil"/>
              <w:tr2bl w:val="nil"/>
            </w:tcBorders>
            <w:vAlign w:val="center"/>
          </w:tcPr>
          <w:p w14:paraId="4C450A5D">
            <w:pPr>
              <w:pStyle w:val="45"/>
              <w:rPr>
                <w:rFonts w:hint="default"/>
                <w:b w:val="0"/>
                <w:bCs/>
                <w:lang w:val="en-US" w:eastAsia="zh-CN"/>
              </w:rPr>
            </w:pPr>
            <w:r>
              <w:rPr>
                <w:rFonts w:hint="eastAsia"/>
                <w:b w:val="0"/>
                <w:bCs/>
                <w:lang w:val="en-US" w:eastAsia="zh-CN"/>
              </w:rPr>
              <w:t>5</w:t>
            </w:r>
          </w:p>
        </w:tc>
        <w:tc>
          <w:tcPr>
            <w:tcW w:w="1640" w:type="dxa"/>
            <w:vMerge w:val="restart"/>
            <w:tcBorders>
              <w:tl2br w:val="nil"/>
              <w:tr2bl w:val="nil"/>
            </w:tcBorders>
            <w:vAlign w:val="center"/>
          </w:tcPr>
          <w:p w14:paraId="646DC139">
            <w:pPr>
              <w:pStyle w:val="45"/>
              <w:rPr>
                <w:rFonts w:hint="eastAsia"/>
                <w:b w:val="0"/>
                <w:bCs/>
                <w:lang w:val="en-US" w:eastAsia="zh-CN"/>
              </w:rPr>
            </w:pPr>
            <w:r>
              <w:rPr>
                <w:rFonts w:hint="eastAsia"/>
                <w:b w:val="0"/>
                <w:bCs/>
                <w:lang w:val="en-US" w:eastAsia="zh-CN"/>
              </w:rPr>
              <w:t>祁东县马杜桥乡山溪水饮用水水源保护区</w:t>
            </w:r>
          </w:p>
        </w:tc>
        <w:tc>
          <w:tcPr>
            <w:tcW w:w="1776" w:type="dxa"/>
            <w:tcBorders>
              <w:tl2br w:val="nil"/>
              <w:tr2bl w:val="nil"/>
            </w:tcBorders>
            <w:vAlign w:val="center"/>
          </w:tcPr>
          <w:p w14:paraId="171DA2BB">
            <w:pPr>
              <w:pStyle w:val="45"/>
              <w:rPr>
                <w:rFonts w:hint="default"/>
                <w:b w:val="0"/>
                <w:bCs/>
                <w:lang w:val="en-US" w:eastAsia="zh-CN"/>
              </w:rPr>
            </w:pPr>
            <w:r>
              <w:rPr>
                <w:rFonts w:hint="eastAsia"/>
                <w:b w:val="0"/>
                <w:bCs/>
                <w:lang w:val="en-US" w:eastAsia="zh-CN"/>
              </w:rPr>
              <w:t>14#机位、15#机位</w:t>
            </w:r>
          </w:p>
        </w:tc>
        <w:tc>
          <w:tcPr>
            <w:tcW w:w="3156" w:type="dxa"/>
            <w:tcBorders>
              <w:tl2br w:val="nil"/>
              <w:tr2bl w:val="nil"/>
            </w:tcBorders>
            <w:vAlign w:val="center"/>
          </w:tcPr>
          <w:p w14:paraId="131B27C8">
            <w:pPr>
              <w:pStyle w:val="45"/>
              <w:jc w:val="left"/>
              <w:rPr>
                <w:rFonts w:hint="default"/>
                <w:b w:val="0"/>
                <w:bCs/>
                <w:lang w:val="en-US" w:eastAsia="zh-CN"/>
              </w:rPr>
            </w:pPr>
            <w:r>
              <w:rPr>
                <w:rFonts w:hint="eastAsia"/>
                <w:b w:val="0"/>
                <w:bCs/>
                <w:lang w:val="en-US" w:eastAsia="zh-CN"/>
              </w:rPr>
              <w:t>14#机位距饮用水源二级保护区陆域边界186m，15#机位距饮用水源二级保护区陆域边界212m。</w:t>
            </w:r>
          </w:p>
        </w:tc>
        <w:tc>
          <w:tcPr>
            <w:tcW w:w="1120" w:type="dxa"/>
            <w:tcBorders>
              <w:tl2br w:val="nil"/>
              <w:tr2bl w:val="nil"/>
            </w:tcBorders>
            <w:vAlign w:val="center"/>
          </w:tcPr>
          <w:p w14:paraId="05E1B70A">
            <w:pPr>
              <w:pStyle w:val="45"/>
              <w:rPr>
                <w:rFonts w:hint="eastAsia"/>
                <w:b w:val="0"/>
                <w:bCs/>
                <w:lang w:val="en-US" w:eastAsia="zh-CN"/>
              </w:rPr>
            </w:pPr>
            <w:r>
              <w:rPr>
                <w:rFonts w:hint="eastAsia"/>
                <w:b w:val="0"/>
                <w:bCs/>
                <w:lang w:val="en-US" w:eastAsia="zh-CN"/>
              </w:rPr>
              <w:t>无</w:t>
            </w:r>
          </w:p>
        </w:tc>
      </w:tr>
      <w:tr w14:paraId="38D340C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30" w:type="dxa"/>
            <w:vMerge w:val="continue"/>
            <w:tcBorders>
              <w:tl2br w:val="nil"/>
              <w:tr2bl w:val="nil"/>
            </w:tcBorders>
            <w:vAlign w:val="center"/>
          </w:tcPr>
          <w:p w14:paraId="581EC05F">
            <w:pPr>
              <w:pStyle w:val="45"/>
              <w:rPr>
                <w:rFonts w:hint="eastAsia"/>
                <w:b w:val="0"/>
                <w:bCs/>
                <w:lang w:val="en-US" w:eastAsia="zh-CN"/>
              </w:rPr>
            </w:pPr>
          </w:p>
        </w:tc>
        <w:tc>
          <w:tcPr>
            <w:tcW w:w="1640" w:type="dxa"/>
            <w:vMerge w:val="continue"/>
            <w:tcBorders>
              <w:tl2br w:val="nil"/>
              <w:tr2bl w:val="nil"/>
            </w:tcBorders>
            <w:vAlign w:val="center"/>
          </w:tcPr>
          <w:p w14:paraId="39D702C2">
            <w:pPr>
              <w:pStyle w:val="45"/>
              <w:rPr>
                <w:rFonts w:hint="eastAsia"/>
                <w:b w:val="0"/>
                <w:bCs/>
                <w:lang w:val="en-US" w:eastAsia="zh-CN"/>
              </w:rPr>
            </w:pPr>
          </w:p>
        </w:tc>
        <w:tc>
          <w:tcPr>
            <w:tcW w:w="1776" w:type="dxa"/>
            <w:tcBorders>
              <w:tl2br w:val="nil"/>
              <w:tr2bl w:val="nil"/>
            </w:tcBorders>
            <w:vAlign w:val="center"/>
          </w:tcPr>
          <w:p w14:paraId="283B59BA">
            <w:pPr>
              <w:pStyle w:val="45"/>
              <w:rPr>
                <w:rFonts w:hint="eastAsia"/>
                <w:b w:val="0"/>
                <w:bCs/>
                <w:lang w:val="en-US" w:eastAsia="zh-CN"/>
              </w:rPr>
            </w:pPr>
            <w:r>
              <w:rPr>
                <w:rFonts w:hint="eastAsia"/>
                <w:b w:val="0"/>
                <w:bCs/>
                <w:lang w:val="en-US" w:eastAsia="zh-CN"/>
              </w:rPr>
              <w:t>道路、集电线路</w:t>
            </w:r>
          </w:p>
        </w:tc>
        <w:tc>
          <w:tcPr>
            <w:tcW w:w="3156" w:type="dxa"/>
            <w:tcBorders>
              <w:tl2br w:val="nil"/>
              <w:tr2bl w:val="nil"/>
            </w:tcBorders>
            <w:vAlign w:val="center"/>
          </w:tcPr>
          <w:p w14:paraId="2B38FFCE">
            <w:pPr>
              <w:pStyle w:val="45"/>
              <w:jc w:val="left"/>
              <w:rPr>
                <w:rFonts w:hint="default"/>
                <w:b w:val="0"/>
                <w:bCs/>
                <w:lang w:val="en-US" w:eastAsia="zh-CN"/>
              </w:rPr>
            </w:pPr>
            <w:r>
              <w:rPr>
                <w:rFonts w:hint="eastAsia"/>
                <w:b w:val="0"/>
                <w:bCs/>
                <w:lang w:val="en-US" w:eastAsia="zh-CN"/>
              </w:rPr>
              <w:t>道路工程三面环绕饮用水源，与饮用水源二级水域最近距离45m，与取水口最近距离1045m。</w:t>
            </w:r>
          </w:p>
        </w:tc>
        <w:tc>
          <w:tcPr>
            <w:tcW w:w="1120" w:type="dxa"/>
            <w:tcBorders>
              <w:tl2br w:val="nil"/>
              <w:tr2bl w:val="nil"/>
            </w:tcBorders>
            <w:vAlign w:val="center"/>
          </w:tcPr>
          <w:p w14:paraId="54C40505">
            <w:pPr>
              <w:pStyle w:val="45"/>
              <w:rPr>
                <w:rFonts w:hint="eastAsia"/>
                <w:b w:val="0"/>
                <w:bCs/>
                <w:lang w:val="en-US" w:eastAsia="zh-CN"/>
              </w:rPr>
            </w:pPr>
            <w:r>
              <w:rPr>
                <w:rFonts w:hint="eastAsia"/>
                <w:b w:val="0"/>
                <w:bCs/>
                <w:lang w:val="en-US" w:eastAsia="zh-CN"/>
              </w:rPr>
              <w:t>有水力联系的道路长度为1125m</w:t>
            </w:r>
          </w:p>
        </w:tc>
      </w:tr>
      <w:tr w14:paraId="301F19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8522" w:type="dxa"/>
            <w:gridSpan w:val="5"/>
            <w:tcBorders>
              <w:tl2br w:val="nil"/>
              <w:tr2bl w:val="nil"/>
            </w:tcBorders>
            <w:vAlign w:val="center"/>
          </w:tcPr>
          <w:p w14:paraId="487BED2E">
            <w:pPr>
              <w:pStyle w:val="45"/>
              <w:jc w:val="both"/>
              <w:rPr>
                <w:rFonts w:hint="default"/>
                <w:b w:val="0"/>
                <w:bCs/>
                <w:lang w:val="en-US" w:eastAsia="zh-CN"/>
              </w:rPr>
            </w:pPr>
            <w:r>
              <w:rPr>
                <w:rFonts w:hint="eastAsia"/>
                <w:b w:val="0"/>
                <w:bCs/>
                <w:lang w:val="en-US" w:eastAsia="zh-CN"/>
              </w:rPr>
              <w:t>备注：以上机位与饮用水源的距离均指基座中心与饮用水源的距离，基座中心至风机平台边界的距离约为10m。</w:t>
            </w:r>
          </w:p>
        </w:tc>
      </w:tr>
    </w:tbl>
    <w:p w14:paraId="1862FD1D">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cs="Times New Roman"/>
          <w:b/>
          <w:bCs w:val="0"/>
          <w:color w:val="auto"/>
          <w:sz w:val="24"/>
          <w:szCs w:val="24"/>
          <w:highlight w:val="none"/>
          <w:lang w:val="en-US" w:eastAsia="zh-CN"/>
        </w:rPr>
      </w:pPr>
      <w:r>
        <w:rPr>
          <w:rFonts w:hint="eastAsia" w:ascii="Times New Roman" w:hAnsi="Times New Roman" w:cs="Times New Roman"/>
          <w:b/>
          <w:bCs w:val="0"/>
          <w:color w:val="auto"/>
          <w:sz w:val="24"/>
          <w:szCs w:val="24"/>
          <w:highlight w:val="none"/>
          <w:lang w:val="en-US" w:eastAsia="zh-CN"/>
        </w:rPr>
        <w:t>A、祁东县黄土铺镇炳溪冲水库饮用水水源保护区</w:t>
      </w:r>
    </w:p>
    <w:p w14:paraId="50C501C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eastAsia" w:ascii="Times New Roman" w:hAnsi="Times New Roman" w:cs="Times New Roman"/>
          <w:bCs/>
          <w:color w:val="auto"/>
          <w:sz w:val="24"/>
          <w:szCs w:val="24"/>
          <w:highlight w:val="none"/>
          <w:lang w:val="en-US" w:eastAsia="zh-CN"/>
        </w:rPr>
        <w:t>本项目1#风机机位、集电线路、道路工程均不在炳溪冲水库饮用水源保护区范围内；1#风机机位平台距离二级保护区陆域最近距离为70m，与取水口相距1.5km，高程差约264.5m，风机距山脊线相对高差约5m。1#风机位及集电线路、道路工程均位于寿岭冲水库汇水范围内，寿岭冲水库无供水功能，工程拟采取表土堆存养护、截排水、覆盖、拦挡、护坡、沉淀、生态恢复等措施减缓水土流失，减少泥沙汇入寿岭冲水库，在严格落实各项水土保持措施后，可有效减少水土流失量，不会对炳溪冲水库饮用水源及寿岭冲水库水质产生明显影响。</w:t>
      </w:r>
    </w:p>
    <w:p w14:paraId="7731C4AE">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cs="Times New Roman"/>
          <w:b/>
          <w:bCs w:val="0"/>
          <w:color w:val="auto"/>
          <w:sz w:val="24"/>
          <w:szCs w:val="24"/>
          <w:highlight w:val="none"/>
          <w:lang w:val="en-US" w:eastAsia="zh-CN"/>
        </w:rPr>
      </w:pPr>
      <w:r>
        <w:rPr>
          <w:rFonts w:hint="eastAsia" w:ascii="Times New Roman" w:hAnsi="Times New Roman" w:cs="Times New Roman"/>
          <w:b/>
          <w:bCs w:val="0"/>
          <w:color w:val="auto"/>
          <w:sz w:val="24"/>
          <w:szCs w:val="24"/>
          <w:highlight w:val="none"/>
          <w:lang w:val="en-US" w:eastAsia="zh-CN"/>
        </w:rPr>
        <w:drawing>
          <wp:inline distT="0" distB="0" distL="114300" distR="114300">
            <wp:extent cx="5269230" cy="3724910"/>
            <wp:effectExtent l="0" t="0" r="3810" b="8890"/>
            <wp:docPr id="20" name="图片 20" descr="1#机位与炳溪冲水库位置关系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机位与炳溪冲水库位置关系图"/>
                    <pic:cNvPicPr>
                      <a:picLocks noChangeAspect="1"/>
                    </pic:cNvPicPr>
                  </pic:nvPicPr>
                  <pic:blipFill>
                    <a:blip r:embed="rId60"/>
                    <a:stretch>
                      <a:fillRect/>
                    </a:stretch>
                  </pic:blipFill>
                  <pic:spPr>
                    <a:xfrm>
                      <a:off x="0" y="0"/>
                      <a:ext cx="5269230" cy="3724910"/>
                    </a:xfrm>
                    <a:prstGeom prst="rect">
                      <a:avLst/>
                    </a:prstGeom>
                  </pic:spPr>
                </pic:pic>
              </a:graphicData>
            </a:graphic>
          </wp:inline>
        </w:drawing>
      </w:r>
    </w:p>
    <w:p w14:paraId="1FA536B2">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eastAsia" w:ascii="Times New Roman" w:hAnsi="Times New Roman" w:cs="Times New Roman"/>
          <w:b/>
          <w:bCs w:val="0"/>
          <w:color w:val="auto"/>
          <w:sz w:val="24"/>
          <w:szCs w:val="24"/>
          <w:highlight w:val="none"/>
          <w:lang w:val="en-US" w:eastAsia="zh-CN"/>
        </w:rPr>
      </w:pPr>
      <w:r>
        <w:rPr>
          <w:rFonts w:hint="eastAsia" w:ascii="Times New Roman" w:hAnsi="Times New Roman" w:cs="Times New Roman"/>
          <w:b/>
          <w:bCs w:val="0"/>
          <w:color w:val="auto"/>
          <w:sz w:val="24"/>
          <w:szCs w:val="24"/>
          <w:highlight w:val="none"/>
          <w:lang w:val="en-US" w:eastAsia="zh-CN"/>
        </w:rPr>
        <w:t>图4.4-1  1#风机机位及场内道路与炳溪冲水库位置关系图</w:t>
      </w:r>
    </w:p>
    <w:p w14:paraId="72A6FA36">
      <w:pPr>
        <w:pStyle w:val="2"/>
        <w:spacing w:before="0" w:after="0" w:line="260" w:lineRule="auto"/>
        <w:ind w:left="0" w:leftChars="0" w:firstLine="0" w:firstLineChars="0"/>
        <w:jc w:val="center"/>
        <w:rPr>
          <w:rFonts w:hint="default"/>
          <w:color w:val="auto"/>
          <w:highlight w:val="none"/>
          <w:lang w:val="en-US" w:eastAsia="zh-CN"/>
        </w:rPr>
      </w:pPr>
      <w:r>
        <w:rPr>
          <w:rFonts w:hint="default"/>
          <w:color w:val="auto"/>
          <w:highlight w:val="none"/>
          <w:lang w:val="en-US" w:eastAsia="zh-CN"/>
        </w:rPr>
        <w:drawing>
          <wp:inline distT="0" distB="0" distL="114300" distR="114300">
            <wp:extent cx="5027930" cy="3768090"/>
            <wp:effectExtent l="0" t="0" r="1270" b="11430"/>
            <wp:docPr id="79" name="图片 8" descr="F:\快乐办公\1、初稿\2-南冲风电场环境影响报告表\06-作图\1#机位与炳溪冲水库位置关系航拍图.jpg1#机位与炳溪冲水库位置关系航拍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8" descr="F:\快乐办公\1、初稿\2-南冲风电场环境影响报告表\06-作图\1#机位与炳溪冲水库位置关系航拍图.jpg1#机位与炳溪冲水库位置关系航拍图"/>
                    <pic:cNvPicPr>
                      <a:picLocks noChangeAspect="1"/>
                    </pic:cNvPicPr>
                  </pic:nvPicPr>
                  <pic:blipFill>
                    <a:blip r:embed="rId61"/>
                    <a:stretch>
                      <a:fillRect/>
                    </a:stretch>
                  </pic:blipFill>
                  <pic:spPr>
                    <a:xfrm>
                      <a:off x="0" y="0"/>
                      <a:ext cx="5027930" cy="3768090"/>
                    </a:xfrm>
                    <a:prstGeom prst="rect">
                      <a:avLst/>
                    </a:prstGeom>
                    <a:noFill/>
                    <a:ln>
                      <a:noFill/>
                    </a:ln>
                  </pic:spPr>
                </pic:pic>
              </a:graphicData>
            </a:graphic>
          </wp:inline>
        </w:drawing>
      </w:r>
    </w:p>
    <w:p w14:paraId="60ACA3AA">
      <w:pPr>
        <w:pStyle w:val="2"/>
        <w:spacing w:before="0" w:after="0" w:line="260" w:lineRule="auto"/>
        <w:ind w:left="0" w:leftChars="0" w:firstLine="0" w:firstLineChars="0"/>
        <w:jc w:val="center"/>
        <w:rPr>
          <w:rFonts w:hint="default"/>
          <w:color w:val="auto"/>
          <w:highlight w:val="none"/>
          <w:lang w:val="en-US" w:eastAsia="zh-CN"/>
        </w:rPr>
      </w:pPr>
      <w:r>
        <w:rPr>
          <w:rFonts w:hint="eastAsia" w:ascii="Times New Roman" w:hAnsi="Times New Roman" w:eastAsia="宋体" w:cs="Times New Roman"/>
          <w:b/>
          <w:bCs w:val="0"/>
          <w:color w:val="auto"/>
          <w:kern w:val="2"/>
          <w:sz w:val="24"/>
          <w:szCs w:val="24"/>
          <w:highlight w:val="none"/>
          <w:lang w:val="en-US" w:eastAsia="zh-CN" w:bidi="ar-SA"/>
        </w:rPr>
        <w:t>图4.4-2  1#风机机位航拍图</w:t>
      </w:r>
    </w:p>
    <w:p w14:paraId="5AA73E0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cs="Times New Roman"/>
          <w:bCs/>
          <w:color w:val="auto"/>
          <w:sz w:val="24"/>
          <w:szCs w:val="24"/>
          <w:highlight w:val="none"/>
          <w:lang w:val="en-US" w:eastAsia="zh-CN"/>
        </w:rPr>
      </w:pPr>
      <w:r>
        <w:rPr>
          <w:rFonts w:hint="eastAsia" w:ascii="Times New Roman" w:hAnsi="Times New Roman" w:cs="Times New Roman"/>
          <w:b w:val="0"/>
          <w:bCs/>
          <w:color w:val="auto"/>
          <w:sz w:val="24"/>
          <w:szCs w:val="24"/>
          <w:highlight w:val="none"/>
          <w:lang w:val="en-US" w:eastAsia="zh-CN"/>
        </w:rPr>
        <w:t>另外，本项目11#、12#机位利用</w:t>
      </w:r>
      <w:r>
        <w:rPr>
          <w:rFonts w:hint="eastAsia" w:cs="Times New Roman"/>
          <w:b w:val="0"/>
          <w:bCs/>
          <w:color w:val="auto"/>
          <w:sz w:val="24"/>
          <w:szCs w:val="24"/>
          <w:highlight w:val="none"/>
          <w:lang w:val="en-US" w:eastAsia="zh-CN"/>
        </w:rPr>
        <w:t>官家嘴</w:t>
      </w:r>
      <w:r>
        <w:rPr>
          <w:rFonts w:hint="eastAsia" w:ascii="Times New Roman" w:hAnsi="Times New Roman" w:cs="Times New Roman"/>
          <w:b w:val="0"/>
          <w:bCs/>
          <w:color w:val="auto"/>
          <w:sz w:val="24"/>
          <w:szCs w:val="24"/>
          <w:highlight w:val="none"/>
          <w:lang w:val="en-US" w:eastAsia="zh-CN"/>
        </w:rPr>
        <w:t>风电场原备用机位，11#、12#机位均位于炳溪冲水库汇水范围之外，目前风机平台</w:t>
      </w:r>
      <w:r>
        <w:rPr>
          <w:rFonts w:hint="eastAsia" w:cs="Times New Roman"/>
          <w:b w:val="0"/>
          <w:bCs/>
          <w:color w:val="auto"/>
          <w:sz w:val="24"/>
          <w:szCs w:val="24"/>
          <w:highlight w:val="none"/>
          <w:lang w:val="en-US" w:eastAsia="zh-CN"/>
        </w:rPr>
        <w:t>土石方平衡</w:t>
      </w:r>
      <w:r>
        <w:rPr>
          <w:rFonts w:hint="eastAsia" w:ascii="Times New Roman" w:hAnsi="Times New Roman" w:cs="Times New Roman"/>
          <w:b w:val="0"/>
          <w:bCs/>
          <w:color w:val="auto"/>
          <w:sz w:val="24"/>
          <w:szCs w:val="24"/>
          <w:highlight w:val="none"/>
          <w:lang w:val="en-US" w:eastAsia="zh-CN"/>
        </w:rPr>
        <w:t>已经完成，项目营运期主要利用</w:t>
      </w:r>
      <w:r>
        <w:rPr>
          <w:rFonts w:hint="eastAsia" w:cs="Times New Roman"/>
          <w:b w:val="0"/>
          <w:bCs/>
          <w:color w:val="auto"/>
          <w:sz w:val="24"/>
          <w:szCs w:val="24"/>
          <w:highlight w:val="none"/>
          <w:lang w:val="en-US" w:eastAsia="zh-CN"/>
        </w:rPr>
        <w:t>官家嘴</w:t>
      </w:r>
      <w:r>
        <w:rPr>
          <w:rFonts w:hint="eastAsia" w:ascii="Times New Roman" w:hAnsi="Times New Roman" w:cs="Times New Roman"/>
          <w:b w:val="0"/>
          <w:bCs/>
          <w:color w:val="auto"/>
          <w:sz w:val="24"/>
          <w:szCs w:val="24"/>
          <w:highlight w:val="none"/>
          <w:lang w:val="en-US" w:eastAsia="zh-CN"/>
        </w:rPr>
        <w:t>风电场现有进场道路将风机叶片、配件等运输至风机平台并进行安装，施工期通过加强运输管理、控制施工作业范围，施工废水不会进入炳溪冲水库饮用水源保护区，施工期不会对炳溪冲水库</w:t>
      </w:r>
      <w:r>
        <w:rPr>
          <w:rFonts w:hint="eastAsia" w:ascii="Times New Roman" w:hAnsi="Times New Roman" w:cs="Times New Roman"/>
          <w:bCs/>
          <w:color w:val="auto"/>
          <w:sz w:val="24"/>
          <w:szCs w:val="24"/>
          <w:highlight w:val="none"/>
          <w:lang w:val="en-US" w:eastAsia="zh-CN"/>
        </w:rPr>
        <w:t>饮用水源产生影响。</w:t>
      </w:r>
    </w:p>
    <w:p w14:paraId="1EFFE175">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cs="Times New Roman"/>
          <w:b/>
          <w:bCs w:val="0"/>
          <w:color w:val="auto"/>
          <w:sz w:val="24"/>
          <w:szCs w:val="24"/>
          <w:highlight w:val="none"/>
          <w:lang w:val="en-US" w:eastAsia="zh-CN"/>
        </w:rPr>
      </w:pPr>
      <w:r>
        <w:rPr>
          <w:rFonts w:hint="eastAsia" w:ascii="Times New Roman" w:hAnsi="Times New Roman" w:cs="Times New Roman"/>
          <w:b/>
          <w:bCs w:val="0"/>
          <w:color w:val="auto"/>
          <w:sz w:val="24"/>
          <w:szCs w:val="24"/>
          <w:highlight w:val="none"/>
          <w:lang w:val="en-US" w:eastAsia="zh-CN"/>
        </w:rPr>
        <w:t>B、祁东县马杜桥乡星桥村刘家冲水库饮用水水源保护区</w:t>
      </w:r>
    </w:p>
    <w:p w14:paraId="2B4962F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eastAsia" w:ascii="Times New Roman" w:hAnsi="Times New Roman" w:cs="Times New Roman"/>
          <w:bCs/>
          <w:color w:val="auto"/>
          <w:sz w:val="24"/>
          <w:szCs w:val="24"/>
          <w:highlight w:val="none"/>
          <w:lang w:val="en-US" w:eastAsia="zh-CN"/>
        </w:rPr>
        <w:t>本项目5#风机机位及道路工程均位于刘家冲水库第一重山脊线背水侧，与刘家冲水库有山脊线相隔，相对高差（风机距山脊线）6m，5#风机施工平台边界距二级保护区陆域最近65m</w:t>
      </w:r>
      <w:r>
        <w:rPr>
          <w:rFonts w:hint="eastAsia" w:cs="Times New Roman"/>
          <w:bCs/>
          <w:color w:val="auto"/>
          <w:sz w:val="24"/>
          <w:szCs w:val="24"/>
          <w:highlight w:val="none"/>
          <w:lang w:val="en-US" w:eastAsia="zh-CN"/>
        </w:rPr>
        <w:t>，与取水口相距547m</w:t>
      </w:r>
      <w:r>
        <w:rPr>
          <w:rFonts w:hint="eastAsia" w:ascii="Times New Roman" w:hAnsi="Times New Roman" w:cs="Times New Roman"/>
          <w:bCs/>
          <w:color w:val="auto"/>
          <w:sz w:val="24"/>
          <w:szCs w:val="24"/>
          <w:highlight w:val="none"/>
          <w:lang w:val="en-US" w:eastAsia="zh-CN"/>
        </w:rPr>
        <w:t>，不在刘家冲水库饮用水源保护区范围内；工程拟采取表土堆存养护、截排水、覆盖、拦挡、护坡、沉淀、生态恢复等措施减缓水土流失，泥沙禁止汇入刘家冲水库，在严格落实各项水土保持措施后，可有效减少水土流失量，不会对刘家冲水库饮用水源产生影响。</w:t>
      </w:r>
    </w:p>
    <w:p w14:paraId="2A3308C2">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drawing>
          <wp:inline distT="0" distB="0" distL="114300" distR="114300">
            <wp:extent cx="4297045" cy="5029200"/>
            <wp:effectExtent l="0" t="0" r="635" b="0"/>
            <wp:docPr id="21" name="图片 21" descr="5#机位与刘家冲水库位置关系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5#机位与刘家冲水库位置关系图"/>
                    <pic:cNvPicPr>
                      <a:picLocks noChangeAspect="1"/>
                    </pic:cNvPicPr>
                  </pic:nvPicPr>
                  <pic:blipFill>
                    <a:blip r:embed="rId62"/>
                    <a:stretch>
                      <a:fillRect/>
                    </a:stretch>
                  </pic:blipFill>
                  <pic:spPr>
                    <a:xfrm>
                      <a:off x="0" y="0"/>
                      <a:ext cx="4297045" cy="5029200"/>
                    </a:xfrm>
                    <a:prstGeom prst="rect">
                      <a:avLst/>
                    </a:prstGeom>
                  </pic:spPr>
                </pic:pic>
              </a:graphicData>
            </a:graphic>
          </wp:inline>
        </w:drawing>
      </w:r>
    </w:p>
    <w:p w14:paraId="66E7DD00">
      <w:pPr>
        <w:keepNext w:val="0"/>
        <w:keepLines w:val="0"/>
        <w:pageBreakBefore w:val="0"/>
        <w:widowControl w:val="0"/>
        <w:kinsoku/>
        <w:wordWrap/>
        <w:overflowPunct/>
        <w:topLinePunct w:val="0"/>
        <w:autoSpaceDE/>
        <w:autoSpaceDN/>
        <w:bidi w:val="0"/>
        <w:adjustRightInd w:val="0"/>
        <w:snapToGrid w:val="0"/>
        <w:spacing w:line="240" w:lineRule="auto"/>
        <w:ind w:left="0" w:leftChars="0" w:firstLine="0" w:firstLineChars="0"/>
        <w:jc w:val="center"/>
        <w:textAlignment w:val="auto"/>
        <w:rPr>
          <w:rFonts w:hint="default" w:ascii="Times New Roman" w:hAnsi="Times New Roman" w:cs="Times New Roman"/>
          <w:bCs/>
          <w:color w:val="auto"/>
          <w:sz w:val="24"/>
          <w:szCs w:val="24"/>
          <w:highlight w:val="none"/>
          <w:lang w:val="en-US" w:eastAsia="zh-CN"/>
        </w:rPr>
      </w:pPr>
      <w:r>
        <w:rPr>
          <w:rFonts w:hint="eastAsia" w:ascii="Times New Roman" w:hAnsi="Times New Roman" w:cs="Times New Roman"/>
          <w:b/>
          <w:bCs w:val="0"/>
          <w:color w:val="auto"/>
          <w:sz w:val="24"/>
          <w:szCs w:val="24"/>
          <w:highlight w:val="none"/>
          <w:lang w:val="en-US" w:eastAsia="zh-CN"/>
        </w:rPr>
        <w:t>图4.4-3  5#风机机位及道路与刘家冲水库位置关系图</w:t>
      </w:r>
    </w:p>
    <w:p w14:paraId="5921C8E8">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drawing>
          <wp:inline distT="0" distB="0" distL="114300" distR="114300">
            <wp:extent cx="5154930" cy="3865880"/>
            <wp:effectExtent l="0" t="0" r="7620" b="1270"/>
            <wp:docPr id="82" name="图片 11" descr="F:\快乐办公\1、初稿\2-南冲风电场环境影响报告表\06-作图\5#机位与刘家冲水库位置关系航拍图.jpg5#机位与刘家冲水库位置关系航拍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1" descr="F:\快乐办公\1、初稿\2-南冲风电场环境影响报告表\06-作图\5#机位与刘家冲水库位置关系航拍图.jpg5#机位与刘家冲水库位置关系航拍图"/>
                    <pic:cNvPicPr>
                      <a:picLocks noChangeAspect="1"/>
                    </pic:cNvPicPr>
                  </pic:nvPicPr>
                  <pic:blipFill>
                    <a:blip r:embed="rId63"/>
                    <a:stretch>
                      <a:fillRect/>
                    </a:stretch>
                  </pic:blipFill>
                  <pic:spPr>
                    <a:xfrm>
                      <a:off x="0" y="0"/>
                      <a:ext cx="5154930" cy="3865880"/>
                    </a:xfrm>
                    <a:prstGeom prst="rect">
                      <a:avLst/>
                    </a:prstGeom>
                    <a:noFill/>
                    <a:ln>
                      <a:noFill/>
                    </a:ln>
                  </pic:spPr>
                </pic:pic>
              </a:graphicData>
            </a:graphic>
          </wp:inline>
        </w:drawing>
      </w:r>
    </w:p>
    <w:p w14:paraId="6E3C6146">
      <w:pPr>
        <w:pStyle w:val="2"/>
        <w:jc w:val="center"/>
        <w:rPr>
          <w:rFonts w:hint="default"/>
          <w:color w:val="auto"/>
          <w:highlight w:val="none"/>
          <w:lang w:val="en-US" w:eastAsia="zh-CN"/>
        </w:rPr>
      </w:pPr>
      <w:r>
        <w:rPr>
          <w:rFonts w:hint="eastAsia" w:ascii="Times New Roman" w:hAnsi="Times New Roman" w:cs="Times New Roman"/>
          <w:b/>
          <w:bCs w:val="0"/>
          <w:color w:val="auto"/>
          <w:sz w:val="24"/>
          <w:szCs w:val="24"/>
          <w:highlight w:val="none"/>
          <w:lang w:val="en-US" w:eastAsia="zh-CN"/>
        </w:rPr>
        <w:t>图4.4-4  5#风机机位航拍图</w:t>
      </w:r>
    </w:p>
    <w:p w14:paraId="73901EB8">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Times New Roman" w:hAnsi="Times New Roman" w:cs="Times New Roman"/>
          <w:b/>
          <w:bCs w:val="0"/>
          <w:color w:val="auto"/>
          <w:sz w:val="24"/>
          <w:szCs w:val="24"/>
          <w:highlight w:val="none"/>
          <w:lang w:val="en-US" w:eastAsia="zh-CN"/>
        </w:rPr>
      </w:pPr>
      <w:r>
        <w:rPr>
          <w:rFonts w:hint="eastAsia" w:ascii="Times New Roman" w:hAnsi="Times New Roman" w:cs="Times New Roman"/>
          <w:b/>
          <w:bCs w:val="0"/>
          <w:color w:val="auto"/>
          <w:sz w:val="24"/>
          <w:szCs w:val="24"/>
          <w:highlight w:val="none"/>
          <w:lang w:val="en-US" w:eastAsia="zh-CN"/>
        </w:rPr>
        <w:t>C、祁东县马杜桥乡延塘村山溪饮用水水源保护区、祁东县马杜桥乡马杜桥村（罗江桥）山溪饮用水饮用水水源保护区、祁东县马杜桥乡山溪水饮用水水源保护区</w:t>
      </w:r>
    </w:p>
    <w:p w14:paraId="4BBF748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cs="Times New Roman"/>
          <w:b w:val="0"/>
          <w:bCs/>
          <w:color w:val="auto"/>
          <w:sz w:val="24"/>
          <w:szCs w:val="24"/>
          <w:highlight w:val="none"/>
          <w:lang w:val="en-US" w:eastAsia="zh-CN"/>
        </w:rPr>
      </w:pPr>
      <w:r>
        <w:rPr>
          <w:rFonts w:hint="eastAsia" w:ascii="Times New Roman" w:hAnsi="Times New Roman" w:cs="Times New Roman"/>
          <w:b w:val="0"/>
          <w:bCs/>
          <w:color w:val="auto"/>
          <w:sz w:val="24"/>
          <w:szCs w:val="24"/>
          <w:highlight w:val="none"/>
          <w:lang w:val="en-US" w:eastAsia="zh-CN"/>
        </w:rPr>
        <w:t>本项目13#、14#、15#风机机位附近有3处饮用水水源地，工程设计时绕避了饮用水源地，13#、14#、15#风机机位</w:t>
      </w:r>
      <w:r>
        <w:rPr>
          <w:rFonts w:hint="eastAsia" w:cs="Times New Roman"/>
          <w:b w:val="0"/>
          <w:bCs/>
          <w:color w:val="auto"/>
          <w:sz w:val="24"/>
          <w:szCs w:val="24"/>
          <w:highlight w:val="none"/>
          <w:lang w:val="en-US" w:eastAsia="zh-CN"/>
        </w:rPr>
        <w:t>及14#机位进场道路、集电线路</w:t>
      </w:r>
      <w:r>
        <w:rPr>
          <w:rFonts w:hint="eastAsia" w:ascii="Times New Roman" w:hAnsi="Times New Roman" w:cs="Times New Roman"/>
          <w:b w:val="0"/>
          <w:bCs/>
          <w:color w:val="auto"/>
          <w:sz w:val="24"/>
          <w:szCs w:val="24"/>
          <w:highlight w:val="none"/>
          <w:lang w:val="en-US" w:eastAsia="zh-CN"/>
        </w:rPr>
        <w:t>均不在饮用水源保护区范围内</w:t>
      </w:r>
      <w:r>
        <w:rPr>
          <w:rFonts w:hint="eastAsia" w:cs="Times New Roman"/>
          <w:b w:val="0"/>
          <w:bCs/>
          <w:color w:val="auto"/>
          <w:sz w:val="24"/>
          <w:szCs w:val="24"/>
          <w:highlight w:val="none"/>
          <w:lang w:val="en-US" w:eastAsia="zh-CN"/>
        </w:rPr>
        <w:t>，与饮用水源无水力联系</w:t>
      </w:r>
      <w:r>
        <w:rPr>
          <w:rFonts w:hint="eastAsia" w:ascii="Times New Roman" w:hAnsi="Times New Roman" w:cs="Times New Roman"/>
          <w:b w:val="0"/>
          <w:bCs/>
          <w:color w:val="auto"/>
          <w:sz w:val="24"/>
          <w:szCs w:val="24"/>
          <w:highlight w:val="none"/>
          <w:lang w:val="en-US" w:eastAsia="zh-CN"/>
        </w:rPr>
        <w:t>。</w:t>
      </w:r>
    </w:p>
    <w:p w14:paraId="6A5BA24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b w:val="0"/>
          <w:bCs/>
          <w:lang w:val="en-US" w:eastAsia="zh-CN"/>
        </w:rPr>
      </w:pPr>
      <w:r>
        <w:rPr>
          <w:rFonts w:hint="eastAsia" w:cs="Times New Roman"/>
          <w:b w:val="0"/>
          <w:bCs/>
          <w:color w:val="auto"/>
          <w:sz w:val="24"/>
          <w:szCs w:val="24"/>
          <w:highlight w:val="none"/>
          <w:lang w:val="en-US" w:eastAsia="zh-CN"/>
        </w:rPr>
        <w:t>与饮用水源有水力联系的为13#、15#机位进场道路、集电线路，其中13#机位进场道路与祁东县马杜桥乡延塘村山溪饮用水水源</w:t>
      </w:r>
      <w:r>
        <w:rPr>
          <w:rFonts w:hint="eastAsia"/>
          <w:b w:val="0"/>
          <w:bCs/>
          <w:lang w:val="en-US" w:eastAsia="zh-CN"/>
        </w:rPr>
        <w:t>二级保护区陆域边界最近距离为20m，与取水口最近距离为95m，有水力联系的道路长度为710m；15#机位进场道路三面环绕祁东县马杜桥乡山溪水饮用水水源，与饮用水源二级水域最近距离45m，与取水口最近距离1045m，有水力联系的道路长度为1125m。</w:t>
      </w:r>
    </w:p>
    <w:p w14:paraId="1190083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cs="Times New Roman"/>
          <w:b w:val="0"/>
          <w:bCs/>
          <w:color w:val="auto"/>
          <w:sz w:val="24"/>
          <w:szCs w:val="24"/>
          <w:highlight w:val="none"/>
          <w:lang w:val="en-US" w:eastAsia="zh-CN"/>
        </w:rPr>
      </w:pPr>
      <w:r>
        <w:rPr>
          <w:rFonts w:hint="eastAsia" w:cs="Times New Roman"/>
          <w:bCs/>
          <w:color w:val="auto"/>
          <w:sz w:val="24"/>
          <w:szCs w:val="24"/>
          <w:highlight w:val="none"/>
          <w:lang w:val="en-US" w:eastAsia="zh-CN"/>
        </w:rPr>
        <w:t>工程在靠近饮用水源施工时，禁止雨季施工，并</w:t>
      </w:r>
      <w:r>
        <w:rPr>
          <w:rFonts w:hint="eastAsia" w:ascii="Times New Roman" w:hAnsi="Times New Roman" w:cs="Times New Roman"/>
          <w:bCs/>
          <w:color w:val="auto"/>
          <w:sz w:val="24"/>
          <w:szCs w:val="24"/>
          <w:highlight w:val="none"/>
          <w:lang w:val="en-US" w:eastAsia="zh-CN"/>
        </w:rPr>
        <w:t>采取表土堆存养护、截排水、覆盖、拦挡、护坡、沉淀、生态恢复等措施减缓水土流失，泥沙禁止汇入3处饮用水源保护区，在严格落实各项水土保持措施后，可有效减少水土流失量，</w:t>
      </w:r>
      <w:r>
        <w:rPr>
          <w:rFonts w:hint="eastAsia" w:cs="Times New Roman"/>
          <w:bCs/>
          <w:color w:val="auto"/>
          <w:sz w:val="24"/>
          <w:szCs w:val="24"/>
          <w:highlight w:val="none"/>
          <w:lang w:val="en-US" w:eastAsia="zh-CN"/>
        </w:rPr>
        <w:t>施工期</w:t>
      </w:r>
      <w:r>
        <w:rPr>
          <w:rFonts w:hint="eastAsia" w:ascii="Times New Roman" w:hAnsi="Times New Roman" w:cs="Times New Roman"/>
          <w:bCs/>
          <w:color w:val="auto"/>
          <w:sz w:val="24"/>
          <w:szCs w:val="24"/>
          <w:highlight w:val="none"/>
          <w:lang w:val="en-US" w:eastAsia="zh-CN"/>
        </w:rPr>
        <w:t>对3处饮用水源产生影响</w:t>
      </w:r>
      <w:r>
        <w:rPr>
          <w:rFonts w:hint="eastAsia" w:cs="Times New Roman"/>
          <w:bCs/>
          <w:color w:val="auto"/>
          <w:sz w:val="24"/>
          <w:szCs w:val="24"/>
          <w:highlight w:val="none"/>
          <w:lang w:val="en-US" w:eastAsia="zh-CN"/>
        </w:rPr>
        <w:t>小</w:t>
      </w:r>
      <w:r>
        <w:rPr>
          <w:rFonts w:hint="eastAsia" w:ascii="Times New Roman" w:hAnsi="Times New Roman" w:cs="Times New Roman"/>
          <w:bCs/>
          <w:color w:val="auto"/>
          <w:sz w:val="24"/>
          <w:szCs w:val="24"/>
          <w:highlight w:val="none"/>
          <w:lang w:val="en-US" w:eastAsia="zh-CN"/>
        </w:rPr>
        <w:t>。</w:t>
      </w:r>
    </w:p>
    <w:p w14:paraId="005C23D7">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cs="Times New Roman"/>
          <w:b w:val="0"/>
          <w:bCs/>
          <w:color w:val="auto"/>
          <w:sz w:val="24"/>
          <w:szCs w:val="24"/>
          <w:highlight w:val="none"/>
          <w:lang w:val="en-US" w:eastAsia="zh-CN"/>
        </w:rPr>
      </w:pPr>
      <w:r>
        <w:rPr>
          <w:rFonts w:hint="eastAsia" w:ascii="Times New Roman" w:hAnsi="Times New Roman" w:cs="Times New Roman"/>
          <w:b w:val="0"/>
          <w:bCs/>
          <w:color w:val="auto"/>
          <w:sz w:val="24"/>
          <w:szCs w:val="24"/>
          <w:highlight w:val="none"/>
          <w:lang w:val="en-US" w:eastAsia="zh-CN"/>
        </w:rPr>
        <w:drawing>
          <wp:inline distT="0" distB="0" distL="114300" distR="114300">
            <wp:extent cx="5267960" cy="3343910"/>
            <wp:effectExtent l="0" t="0" r="5080" b="8890"/>
            <wp:docPr id="60" name="图片 60" descr="13#机位与饮用水源位置关系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13#机位与饮用水源位置关系图"/>
                    <pic:cNvPicPr>
                      <a:picLocks noChangeAspect="1"/>
                    </pic:cNvPicPr>
                  </pic:nvPicPr>
                  <pic:blipFill>
                    <a:blip r:embed="rId64"/>
                    <a:stretch>
                      <a:fillRect/>
                    </a:stretch>
                  </pic:blipFill>
                  <pic:spPr>
                    <a:xfrm>
                      <a:off x="0" y="0"/>
                      <a:ext cx="5267960" cy="3343910"/>
                    </a:xfrm>
                    <a:prstGeom prst="rect">
                      <a:avLst/>
                    </a:prstGeom>
                  </pic:spPr>
                </pic:pic>
              </a:graphicData>
            </a:graphic>
          </wp:inline>
        </w:drawing>
      </w:r>
    </w:p>
    <w:p w14:paraId="7D2DB1E8">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cs="Times New Roman"/>
          <w:b/>
          <w:bCs w:val="0"/>
          <w:color w:val="auto"/>
          <w:sz w:val="21"/>
          <w:szCs w:val="21"/>
          <w:highlight w:val="none"/>
          <w:lang w:val="en-US" w:eastAsia="zh-CN"/>
        </w:rPr>
      </w:pPr>
      <w:r>
        <w:rPr>
          <w:rFonts w:hint="eastAsia" w:cs="Times New Roman"/>
          <w:b/>
          <w:bCs w:val="0"/>
          <w:color w:val="auto"/>
          <w:sz w:val="21"/>
          <w:szCs w:val="21"/>
          <w:highlight w:val="none"/>
          <w:lang w:val="en-US" w:eastAsia="zh-CN"/>
        </w:rPr>
        <w:t xml:space="preserve">图4.4-5  </w:t>
      </w:r>
      <w:r>
        <w:rPr>
          <w:rFonts w:hint="eastAsia" w:ascii="Times New Roman" w:hAnsi="Times New Roman" w:cs="Times New Roman"/>
          <w:b/>
          <w:bCs w:val="0"/>
          <w:color w:val="auto"/>
          <w:sz w:val="21"/>
          <w:szCs w:val="21"/>
          <w:highlight w:val="none"/>
          <w:lang w:val="en-US" w:eastAsia="zh-CN"/>
        </w:rPr>
        <w:t>13#机位及进场道路与马杜桥乡延塘村山溪饮用水水源保护区位置关系图</w:t>
      </w:r>
    </w:p>
    <w:p w14:paraId="6606199C">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hint="eastAsia" w:ascii="Times New Roman" w:hAnsi="Times New Roman" w:cs="Times New Roman"/>
          <w:bCs/>
          <w:color w:val="auto"/>
          <w:sz w:val="24"/>
          <w:szCs w:val="24"/>
          <w:highlight w:val="none"/>
          <w:lang w:val="en-US" w:eastAsia="zh-CN"/>
        </w:rPr>
      </w:pPr>
      <w:r>
        <w:rPr>
          <w:rFonts w:hint="eastAsia"/>
          <w:lang w:val="en-US" w:eastAsia="zh-CN"/>
        </w:rPr>
        <w:drawing>
          <wp:inline distT="0" distB="0" distL="114300" distR="114300">
            <wp:extent cx="5269230" cy="3166110"/>
            <wp:effectExtent l="0" t="0" r="3810" b="3810"/>
            <wp:docPr id="61" name="图片 7" descr="15#机位与饮用水源位置关系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7" descr="15#机位与饮用水源位置关系图"/>
                    <pic:cNvPicPr>
                      <a:picLocks noChangeAspect="1"/>
                    </pic:cNvPicPr>
                  </pic:nvPicPr>
                  <pic:blipFill>
                    <a:blip r:embed="rId65"/>
                    <a:stretch>
                      <a:fillRect/>
                    </a:stretch>
                  </pic:blipFill>
                  <pic:spPr>
                    <a:xfrm>
                      <a:off x="0" y="0"/>
                      <a:ext cx="5269230" cy="3166110"/>
                    </a:xfrm>
                    <a:prstGeom prst="rect">
                      <a:avLst/>
                    </a:prstGeom>
                    <a:noFill/>
                    <a:ln>
                      <a:noFill/>
                    </a:ln>
                  </pic:spPr>
                </pic:pic>
              </a:graphicData>
            </a:graphic>
          </wp:inline>
        </w:drawing>
      </w:r>
    </w:p>
    <w:p w14:paraId="0EB645DE">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eastAsia" w:ascii="Times New Roman" w:hAnsi="Times New Roman" w:cs="Times New Roman"/>
          <w:b/>
          <w:bCs w:val="0"/>
          <w:color w:val="auto"/>
          <w:sz w:val="21"/>
          <w:szCs w:val="21"/>
          <w:highlight w:val="none"/>
          <w:lang w:val="en-US" w:eastAsia="zh-CN"/>
        </w:rPr>
      </w:pPr>
      <w:r>
        <w:rPr>
          <w:rFonts w:hint="eastAsia" w:cs="Times New Roman"/>
          <w:b/>
          <w:color w:val="auto"/>
          <w:sz w:val="21"/>
          <w:szCs w:val="21"/>
          <w:highlight w:val="none"/>
          <w:lang w:val="en-US" w:eastAsia="zh-CN"/>
        </w:rPr>
        <w:t xml:space="preserve">图4.4-6  </w:t>
      </w:r>
      <w:r>
        <w:rPr>
          <w:rFonts w:hint="eastAsia" w:ascii="Times New Roman" w:hAnsi="Times New Roman" w:cs="Times New Roman"/>
          <w:b/>
          <w:color w:val="auto"/>
          <w:sz w:val="21"/>
          <w:szCs w:val="21"/>
          <w:highlight w:val="none"/>
          <w:lang w:val="en-US" w:eastAsia="zh-CN"/>
        </w:rPr>
        <w:t>15#机位及进场道路与马杜桥乡山溪饮用水水源保护区位置关系图</w:t>
      </w:r>
    </w:p>
    <w:p w14:paraId="0DD9171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为尽可能减少风电场</w:t>
      </w:r>
      <w:r>
        <w:rPr>
          <w:rFonts w:hint="eastAsia" w:ascii="Times New Roman" w:hAnsi="Times New Roman" w:cs="Times New Roman"/>
          <w:bCs/>
          <w:color w:val="auto"/>
          <w:sz w:val="24"/>
          <w:szCs w:val="24"/>
          <w:highlight w:val="none"/>
          <w:lang w:val="en-US" w:eastAsia="zh-CN"/>
        </w:rPr>
        <w:t>1#、5#、13#、14#、15#</w:t>
      </w:r>
      <w:r>
        <w:rPr>
          <w:rFonts w:hint="eastAsia" w:cs="Times New Roman"/>
          <w:bCs/>
          <w:color w:val="auto"/>
          <w:sz w:val="24"/>
          <w:szCs w:val="24"/>
          <w:highlight w:val="none"/>
          <w:lang w:val="en-US" w:eastAsia="zh-CN"/>
        </w:rPr>
        <w:t>风机</w:t>
      </w:r>
      <w:r>
        <w:rPr>
          <w:rFonts w:hint="default" w:ascii="Times New Roman" w:hAnsi="Times New Roman" w:cs="Times New Roman"/>
          <w:bCs/>
          <w:color w:val="auto"/>
          <w:sz w:val="24"/>
          <w:szCs w:val="24"/>
          <w:highlight w:val="none"/>
          <w:lang w:val="en-US" w:eastAsia="zh-CN"/>
        </w:rPr>
        <w:t>距饮用水源保护区较近风机地表裸露造成的水土流失，本项目将优先对该区域进行植被恢复，并且做到边施工边恢复。</w:t>
      </w:r>
    </w:p>
    <w:p w14:paraId="3253AC7D">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cs="Times New Roman"/>
          <w:b/>
          <w:bCs w:val="0"/>
          <w:color w:val="auto"/>
          <w:sz w:val="24"/>
          <w:szCs w:val="24"/>
          <w:highlight w:val="none"/>
          <w:lang w:val="en-US" w:eastAsia="zh-CN"/>
        </w:rPr>
      </w:pPr>
      <w:r>
        <w:rPr>
          <w:rFonts w:hint="default" w:ascii="Times New Roman" w:hAnsi="Times New Roman" w:cs="Times New Roman"/>
          <w:b/>
          <w:bCs w:val="0"/>
          <w:color w:val="auto"/>
          <w:sz w:val="24"/>
          <w:szCs w:val="24"/>
          <w:highlight w:val="none"/>
          <w:lang w:val="en-US" w:eastAsia="zh-CN"/>
        </w:rPr>
        <w:t>（2）</w:t>
      </w:r>
      <w:r>
        <w:rPr>
          <w:rFonts w:hint="eastAsia" w:ascii="Times New Roman" w:hAnsi="Times New Roman" w:cs="Times New Roman"/>
          <w:b/>
          <w:bCs w:val="0"/>
          <w:color w:val="auto"/>
          <w:sz w:val="24"/>
          <w:szCs w:val="24"/>
          <w:highlight w:val="none"/>
          <w:lang w:val="en-US" w:eastAsia="zh-CN"/>
        </w:rPr>
        <w:t>生活污水</w:t>
      </w:r>
    </w:p>
    <w:p w14:paraId="78F92D5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eastAsia"/>
          <w:bCs/>
          <w:color w:val="auto"/>
          <w:sz w:val="24"/>
          <w:szCs w:val="24"/>
          <w:highlight w:val="none"/>
          <w:u w:val="none" w:color="auto"/>
          <w:lang w:eastAsia="zh-CN"/>
        </w:rPr>
        <w:t>本项目施工期租用山脚下民房，</w:t>
      </w:r>
      <w:r>
        <w:rPr>
          <w:rFonts w:hint="eastAsia" w:ascii="Times New Roman" w:hAnsi="Times New Roman" w:cs="Times New Roman"/>
          <w:bCs/>
          <w:color w:val="auto"/>
          <w:sz w:val="24"/>
          <w:szCs w:val="24"/>
          <w:highlight w:val="none"/>
          <w:lang w:val="en-US" w:eastAsia="zh-CN"/>
        </w:rPr>
        <w:t>生活污水依托租用民房的化粪池处理</w:t>
      </w:r>
      <w:r>
        <w:rPr>
          <w:rFonts w:hint="default" w:ascii="Times New Roman" w:hAnsi="Times New Roman" w:cs="Times New Roman"/>
          <w:bCs/>
          <w:color w:val="auto"/>
          <w:sz w:val="24"/>
          <w:szCs w:val="24"/>
          <w:highlight w:val="none"/>
          <w:lang w:val="en-US" w:eastAsia="zh-CN"/>
        </w:rPr>
        <w:t>，粪污</w:t>
      </w:r>
      <w:r>
        <w:rPr>
          <w:rFonts w:hint="eastAsia" w:ascii="Times New Roman" w:hAnsi="Times New Roman" w:cs="Times New Roman"/>
          <w:bCs/>
          <w:color w:val="auto"/>
          <w:sz w:val="24"/>
          <w:szCs w:val="24"/>
          <w:highlight w:val="none"/>
          <w:lang w:val="en-US" w:eastAsia="zh-CN"/>
        </w:rPr>
        <w:t>处理</w:t>
      </w:r>
      <w:r>
        <w:rPr>
          <w:rFonts w:hint="default" w:ascii="Times New Roman" w:hAnsi="Times New Roman" w:cs="Times New Roman"/>
          <w:bCs/>
          <w:color w:val="auto"/>
          <w:sz w:val="24"/>
          <w:szCs w:val="24"/>
          <w:highlight w:val="none"/>
          <w:lang w:val="en-US" w:eastAsia="zh-CN"/>
        </w:rPr>
        <w:t>后定期清理，用于周边旱地、农田施肥，不外排。其他生活污水污染物含量较低，经沉淀池处理后浇灌周边林地</w:t>
      </w:r>
      <w:r>
        <w:rPr>
          <w:rFonts w:hint="eastAsia" w:ascii="Times New Roman" w:hAnsi="Times New Roman" w:cs="Times New Roman"/>
          <w:bCs/>
          <w:color w:val="auto"/>
          <w:sz w:val="24"/>
          <w:szCs w:val="24"/>
          <w:highlight w:val="none"/>
          <w:lang w:val="en-US" w:eastAsia="zh-CN"/>
        </w:rPr>
        <w:t>，禁止排入周边地表水体</w:t>
      </w:r>
      <w:r>
        <w:rPr>
          <w:rFonts w:hint="default" w:ascii="Times New Roman" w:hAnsi="Times New Roman" w:cs="Times New Roman"/>
          <w:bCs/>
          <w:color w:val="auto"/>
          <w:sz w:val="24"/>
          <w:szCs w:val="24"/>
          <w:highlight w:val="none"/>
          <w:lang w:val="en-US" w:eastAsia="zh-CN"/>
        </w:rPr>
        <w:t>，对环境影响较小。</w:t>
      </w:r>
    </w:p>
    <w:p w14:paraId="6D325E4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综上所述，在严格落实本报告提出的水污染防治措施后，本项目的建设对周边地表水环境影响很小</w:t>
      </w:r>
      <w:r>
        <w:rPr>
          <w:rFonts w:hint="eastAsia" w:ascii="Times New Roman" w:hAnsi="Times New Roman" w:cs="Times New Roman"/>
          <w:bCs/>
          <w:color w:val="auto"/>
          <w:sz w:val="24"/>
          <w:szCs w:val="24"/>
          <w:highlight w:val="none"/>
          <w:lang w:val="en-US" w:eastAsia="zh-CN"/>
        </w:rPr>
        <w:t>。</w:t>
      </w:r>
    </w:p>
    <w:p w14:paraId="788F4242">
      <w:pPr>
        <w:pStyle w:val="5"/>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声环境影响预测与评价</w:t>
      </w:r>
    </w:p>
    <w:p w14:paraId="78007EDE">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cs="Times New Roman"/>
          <w:b/>
          <w:bCs w:val="0"/>
          <w:color w:val="auto"/>
          <w:sz w:val="24"/>
          <w:szCs w:val="24"/>
          <w:highlight w:val="none"/>
          <w:lang w:val="en-US" w:eastAsia="zh-CN"/>
        </w:rPr>
      </w:pPr>
      <w:r>
        <w:rPr>
          <w:rFonts w:hint="eastAsia" w:ascii="Times New Roman" w:hAnsi="Times New Roman" w:cs="Times New Roman"/>
          <w:b/>
          <w:bCs w:val="0"/>
          <w:color w:val="auto"/>
          <w:sz w:val="24"/>
          <w:szCs w:val="24"/>
          <w:highlight w:val="none"/>
          <w:lang w:val="en-US" w:eastAsia="zh-CN"/>
        </w:rPr>
        <w:t>（1）</w:t>
      </w:r>
      <w:r>
        <w:rPr>
          <w:rFonts w:hint="default" w:ascii="Times New Roman" w:hAnsi="Times New Roman" w:cs="Times New Roman"/>
          <w:b/>
          <w:bCs w:val="0"/>
          <w:color w:val="auto"/>
          <w:sz w:val="24"/>
          <w:szCs w:val="24"/>
          <w:highlight w:val="none"/>
          <w:lang w:val="en-US" w:eastAsia="zh-CN"/>
        </w:rPr>
        <w:t>施工机械噪声</w:t>
      </w:r>
    </w:p>
    <w:p w14:paraId="46186317">
      <w:pPr>
        <w:bidi w:val="0"/>
        <w:rPr>
          <w:rFonts w:hint="default"/>
          <w:color w:val="auto"/>
          <w:highlight w:val="none"/>
          <w:lang w:val="en-US" w:eastAsia="zh-CN"/>
        </w:rPr>
      </w:pPr>
      <w:r>
        <w:rPr>
          <w:rFonts w:hint="eastAsia"/>
          <w:color w:val="auto"/>
          <w:highlight w:val="none"/>
          <w:lang w:val="en-US" w:eastAsia="zh-CN"/>
        </w:rPr>
        <w:t>①</w:t>
      </w:r>
      <w:r>
        <w:rPr>
          <w:rFonts w:hint="default"/>
          <w:color w:val="auto"/>
          <w:highlight w:val="none"/>
          <w:lang w:val="en-US" w:eastAsia="zh-CN"/>
        </w:rPr>
        <w:t>风机基础及安装对周边声环境的影响</w:t>
      </w:r>
    </w:p>
    <w:p w14:paraId="15A541AD">
      <w:pPr>
        <w:bidi w:val="0"/>
        <w:rPr>
          <w:rFonts w:hint="default"/>
          <w:color w:val="auto"/>
          <w:highlight w:val="none"/>
          <w:lang w:val="en-US" w:eastAsia="zh-CN"/>
        </w:rPr>
      </w:pPr>
      <w:r>
        <w:rPr>
          <w:rFonts w:hint="default"/>
          <w:color w:val="auto"/>
          <w:highlight w:val="none"/>
          <w:lang w:val="en-US" w:eastAsia="zh-CN"/>
        </w:rPr>
        <w:t>本工程风机基础建设及安装施工作业均安排在昼间，机械设备在作业过程中产生噪声声级约在82～102dB(A)范围内。以噪声源强较大的手风钻为例，手风钻在露天作业时为噪声级约90～102dB(A)。此外，工程施工使用的自卸汽车等运输工具产生的噪声源，属于流动噪声源，其声级范围为75～92dB(A)，比手风钻机噪声要小。</w:t>
      </w:r>
    </w:p>
    <w:p w14:paraId="1A807C98">
      <w:pPr>
        <w:bidi w:val="0"/>
        <w:rPr>
          <w:rFonts w:hint="default"/>
          <w:color w:val="auto"/>
          <w:highlight w:val="none"/>
          <w:lang w:val="en-US" w:eastAsia="zh-CN"/>
        </w:rPr>
      </w:pPr>
      <w:r>
        <w:rPr>
          <w:rFonts w:hint="default"/>
          <w:color w:val="auto"/>
          <w:highlight w:val="none"/>
          <w:lang w:val="en-US" w:eastAsia="zh-CN"/>
        </w:rPr>
        <w:t>施工噪声的衰减计算采用无指向性点声源的几何发散衰减的基本公式：</w:t>
      </w:r>
    </w:p>
    <w:p w14:paraId="7866D243">
      <w:pPr>
        <w:bidi w:val="0"/>
        <w:ind w:left="0" w:leftChars="0" w:firstLine="0" w:firstLineChars="0"/>
        <w:jc w:val="center"/>
        <w:rPr>
          <w:rFonts w:hint="default"/>
          <w:color w:val="auto"/>
          <w:highlight w:val="none"/>
          <w:lang w:val="en-US" w:eastAsia="zh-CN"/>
        </w:rPr>
      </w:pPr>
      <w:r>
        <w:rPr>
          <w:rFonts w:hint="default"/>
          <w:color w:val="auto"/>
          <w:highlight w:val="none"/>
          <w:lang w:val="en-US" w:eastAsia="zh-CN"/>
        </w:rPr>
        <w:t>L(r)=L(r0)-20lg(r/r0)(1)</w:t>
      </w:r>
    </w:p>
    <w:p w14:paraId="2E24EF27">
      <w:pPr>
        <w:bidi w:val="0"/>
        <w:rPr>
          <w:rFonts w:hint="default"/>
          <w:color w:val="auto"/>
          <w:highlight w:val="none"/>
          <w:lang w:val="en-US" w:eastAsia="zh-CN"/>
        </w:rPr>
      </w:pPr>
      <w:r>
        <w:rPr>
          <w:rFonts w:hint="default"/>
          <w:color w:val="auto"/>
          <w:highlight w:val="none"/>
          <w:lang w:val="en-US" w:eastAsia="zh-CN"/>
        </w:rPr>
        <w:t>式中：L(r)：距声源r(m)处的噪声值，dB(A)；</w:t>
      </w:r>
    </w:p>
    <w:p w14:paraId="07DB6179">
      <w:pPr>
        <w:bidi w:val="0"/>
        <w:ind w:firstLine="1200" w:firstLineChars="500"/>
        <w:rPr>
          <w:rFonts w:hint="default"/>
          <w:color w:val="auto"/>
          <w:highlight w:val="none"/>
          <w:lang w:val="en-US" w:eastAsia="zh-CN"/>
        </w:rPr>
      </w:pPr>
      <w:r>
        <w:rPr>
          <w:rFonts w:hint="default"/>
          <w:color w:val="auto"/>
          <w:highlight w:val="none"/>
          <w:lang w:val="en-US" w:eastAsia="zh-CN"/>
        </w:rPr>
        <w:t>L(r0)：距声源r0(m)处的噪声值。</w:t>
      </w:r>
    </w:p>
    <w:p w14:paraId="30C9D5E6">
      <w:pPr>
        <w:bidi w:val="0"/>
        <w:rPr>
          <w:rFonts w:hint="default"/>
          <w:color w:val="auto"/>
          <w:highlight w:val="none"/>
          <w:lang w:val="en-US" w:eastAsia="zh-CN"/>
        </w:rPr>
      </w:pPr>
      <w:r>
        <w:rPr>
          <w:rFonts w:hint="default"/>
          <w:color w:val="auto"/>
          <w:highlight w:val="none"/>
          <w:lang w:val="en-US" w:eastAsia="zh-CN"/>
        </w:rPr>
        <w:t>根据上述公式对手风钻机噪声经公式计算，预测结果见表</w:t>
      </w:r>
      <w:r>
        <w:rPr>
          <w:rFonts w:hint="eastAsia"/>
          <w:color w:val="auto"/>
          <w:highlight w:val="none"/>
          <w:lang w:val="en-US" w:eastAsia="zh-CN"/>
        </w:rPr>
        <w:t>6.1.3-1</w:t>
      </w:r>
      <w:r>
        <w:rPr>
          <w:rFonts w:hint="default"/>
          <w:color w:val="auto"/>
          <w:highlight w:val="none"/>
          <w:lang w:val="en-US" w:eastAsia="zh-CN"/>
        </w:rPr>
        <w:t>。</w:t>
      </w:r>
    </w:p>
    <w:p w14:paraId="756DF59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cs="Times New Roman"/>
          <w:b/>
          <w:bCs w:val="0"/>
          <w:color w:val="auto"/>
          <w:sz w:val="24"/>
          <w:szCs w:val="24"/>
          <w:highlight w:val="none"/>
          <w:lang w:val="en-US" w:eastAsia="zh-CN"/>
        </w:rPr>
      </w:pPr>
      <w:r>
        <w:rPr>
          <w:rFonts w:hint="eastAsia" w:ascii="Times New Roman" w:hAnsi="Times New Roman" w:cs="Times New Roman"/>
          <w:b/>
          <w:bCs w:val="0"/>
          <w:color w:val="auto"/>
          <w:sz w:val="24"/>
          <w:szCs w:val="24"/>
          <w:highlight w:val="none"/>
          <w:lang w:val="en-US" w:eastAsia="zh-CN"/>
        </w:rPr>
        <w:t>表</w:t>
      </w:r>
      <w:r>
        <w:rPr>
          <w:rFonts w:hint="eastAsia" w:cs="Times New Roman"/>
          <w:b/>
          <w:bCs w:val="0"/>
          <w:color w:val="auto"/>
          <w:sz w:val="24"/>
          <w:szCs w:val="24"/>
          <w:highlight w:val="none"/>
          <w:lang w:val="en-US" w:eastAsia="zh-CN"/>
        </w:rPr>
        <w:t>6.1.3</w:t>
      </w:r>
      <w:r>
        <w:rPr>
          <w:rFonts w:hint="eastAsia" w:ascii="Times New Roman" w:hAnsi="Times New Roman" w:cs="Times New Roman"/>
          <w:b/>
          <w:bCs w:val="0"/>
          <w:color w:val="auto"/>
          <w:sz w:val="24"/>
          <w:szCs w:val="24"/>
          <w:highlight w:val="none"/>
          <w:lang w:val="en-US" w:eastAsia="zh-CN"/>
        </w:rPr>
        <w:t>-1  施工机械噪声衰减计算结果</w:t>
      </w:r>
    </w:p>
    <w:tbl>
      <w:tblPr>
        <w:tblStyle w:val="20"/>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31"/>
        <w:gridCol w:w="821"/>
        <w:gridCol w:w="821"/>
        <w:gridCol w:w="821"/>
        <w:gridCol w:w="821"/>
        <w:gridCol w:w="821"/>
        <w:gridCol w:w="821"/>
        <w:gridCol w:w="821"/>
        <w:gridCol w:w="821"/>
        <w:gridCol w:w="822"/>
      </w:tblGrid>
      <w:tr w14:paraId="24FC32B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0" w:type="dxa"/>
            <w:vMerge w:val="restart"/>
            <w:tcBorders>
              <w:tl2br w:val="nil"/>
              <w:tr2bl w:val="nil"/>
            </w:tcBorders>
            <w:noWrap w:val="0"/>
            <w:vAlign w:val="center"/>
          </w:tcPr>
          <w:p w14:paraId="7AC43C48">
            <w:pPr>
              <w:pStyle w:val="45"/>
              <w:bidi w:val="0"/>
              <w:rPr>
                <w:rFonts w:hint="default"/>
                <w:b w:val="0"/>
                <w:bCs/>
                <w:color w:val="auto"/>
                <w:highlight w:val="none"/>
                <w:lang w:val="en-US" w:eastAsia="zh-CN"/>
              </w:rPr>
            </w:pPr>
            <w:r>
              <w:rPr>
                <w:rFonts w:hint="eastAsia"/>
                <w:b w:val="0"/>
                <w:bCs/>
                <w:color w:val="auto"/>
                <w:highlight w:val="none"/>
                <w:lang w:val="en-US" w:eastAsia="zh-CN"/>
              </w:rPr>
              <w:t>施工机械</w:t>
            </w:r>
          </w:p>
        </w:tc>
        <w:tc>
          <w:tcPr>
            <w:tcW w:w="7057" w:type="dxa"/>
            <w:gridSpan w:val="9"/>
            <w:tcBorders>
              <w:tl2br w:val="nil"/>
              <w:tr2bl w:val="nil"/>
            </w:tcBorders>
            <w:noWrap w:val="0"/>
            <w:vAlign w:val="center"/>
          </w:tcPr>
          <w:p w14:paraId="6BF6CDAE">
            <w:pPr>
              <w:pStyle w:val="45"/>
              <w:bidi w:val="0"/>
              <w:rPr>
                <w:rFonts w:hint="default"/>
                <w:b w:val="0"/>
                <w:bCs/>
                <w:color w:val="auto"/>
                <w:highlight w:val="none"/>
                <w:lang w:val="en-US" w:eastAsia="zh-CN"/>
              </w:rPr>
            </w:pPr>
            <w:r>
              <w:rPr>
                <w:rFonts w:hint="eastAsia"/>
                <w:b w:val="0"/>
                <w:bCs/>
                <w:color w:val="auto"/>
                <w:highlight w:val="none"/>
                <w:lang w:val="en-US" w:eastAsia="zh-CN"/>
              </w:rPr>
              <w:t>距声源距离r（m）</w:t>
            </w:r>
          </w:p>
        </w:tc>
      </w:tr>
      <w:tr w14:paraId="50E230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0" w:type="dxa"/>
            <w:vMerge w:val="continue"/>
            <w:tcBorders>
              <w:tl2br w:val="nil"/>
              <w:tr2bl w:val="nil"/>
            </w:tcBorders>
            <w:noWrap w:val="0"/>
            <w:vAlign w:val="center"/>
          </w:tcPr>
          <w:p w14:paraId="7C1C7E6C">
            <w:pPr>
              <w:pStyle w:val="45"/>
              <w:bidi w:val="0"/>
              <w:rPr>
                <w:rFonts w:hint="default"/>
                <w:b w:val="0"/>
                <w:bCs/>
                <w:color w:val="auto"/>
                <w:highlight w:val="none"/>
                <w:lang w:val="en-US" w:eastAsia="zh-CN"/>
              </w:rPr>
            </w:pPr>
          </w:p>
        </w:tc>
        <w:tc>
          <w:tcPr>
            <w:tcW w:w="784" w:type="dxa"/>
            <w:tcBorders>
              <w:tl2br w:val="nil"/>
              <w:tr2bl w:val="nil"/>
            </w:tcBorders>
            <w:noWrap w:val="0"/>
            <w:vAlign w:val="center"/>
          </w:tcPr>
          <w:p w14:paraId="10A071A5">
            <w:pPr>
              <w:pStyle w:val="45"/>
              <w:bidi w:val="0"/>
              <w:rPr>
                <w:rFonts w:hint="default"/>
                <w:b w:val="0"/>
                <w:bCs/>
                <w:color w:val="auto"/>
                <w:highlight w:val="none"/>
                <w:lang w:val="en-US" w:eastAsia="zh-CN"/>
              </w:rPr>
            </w:pPr>
            <w:r>
              <w:rPr>
                <w:rFonts w:hint="eastAsia"/>
                <w:b w:val="0"/>
                <w:bCs/>
                <w:color w:val="auto"/>
                <w:highlight w:val="none"/>
                <w:lang w:val="en-US" w:eastAsia="zh-CN"/>
              </w:rPr>
              <w:t>r0=1m</w:t>
            </w:r>
          </w:p>
        </w:tc>
        <w:tc>
          <w:tcPr>
            <w:tcW w:w="784" w:type="dxa"/>
            <w:tcBorders>
              <w:tl2br w:val="nil"/>
              <w:tr2bl w:val="nil"/>
            </w:tcBorders>
            <w:noWrap w:val="0"/>
            <w:vAlign w:val="center"/>
          </w:tcPr>
          <w:p w14:paraId="58EDE7FA">
            <w:pPr>
              <w:pStyle w:val="45"/>
              <w:bidi w:val="0"/>
              <w:rPr>
                <w:rFonts w:hint="default"/>
                <w:b w:val="0"/>
                <w:bCs/>
                <w:color w:val="auto"/>
                <w:highlight w:val="none"/>
                <w:lang w:val="en-US" w:eastAsia="zh-CN"/>
              </w:rPr>
            </w:pPr>
            <w:r>
              <w:rPr>
                <w:rFonts w:hint="eastAsia"/>
                <w:b w:val="0"/>
                <w:bCs/>
                <w:color w:val="auto"/>
                <w:highlight w:val="none"/>
                <w:lang w:val="en-US" w:eastAsia="zh-CN"/>
              </w:rPr>
              <w:t>50</w:t>
            </w:r>
          </w:p>
        </w:tc>
        <w:tc>
          <w:tcPr>
            <w:tcW w:w="784" w:type="dxa"/>
            <w:tcBorders>
              <w:tl2br w:val="nil"/>
              <w:tr2bl w:val="nil"/>
            </w:tcBorders>
            <w:noWrap w:val="0"/>
            <w:vAlign w:val="center"/>
          </w:tcPr>
          <w:p w14:paraId="0D41D6CC">
            <w:pPr>
              <w:pStyle w:val="45"/>
              <w:bidi w:val="0"/>
              <w:rPr>
                <w:rFonts w:hint="default"/>
                <w:b w:val="0"/>
                <w:bCs/>
                <w:color w:val="auto"/>
                <w:highlight w:val="none"/>
                <w:lang w:val="en-US" w:eastAsia="zh-CN"/>
              </w:rPr>
            </w:pPr>
            <w:r>
              <w:rPr>
                <w:rFonts w:hint="eastAsia"/>
                <w:b w:val="0"/>
                <w:bCs/>
                <w:color w:val="auto"/>
                <w:highlight w:val="none"/>
                <w:lang w:val="en-US" w:eastAsia="zh-CN"/>
              </w:rPr>
              <w:t>100</w:t>
            </w:r>
          </w:p>
        </w:tc>
        <w:tc>
          <w:tcPr>
            <w:tcW w:w="784" w:type="dxa"/>
            <w:tcBorders>
              <w:tl2br w:val="nil"/>
              <w:tr2bl w:val="nil"/>
            </w:tcBorders>
            <w:noWrap w:val="0"/>
            <w:vAlign w:val="center"/>
          </w:tcPr>
          <w:p w14:paraId="35A3C355">
            <w:pPr>
              <w:pStyle w:val="45"/>
              <w:bidi w:val="0"/>
              <w:rPr>
                <w:rFonts w:hint="default"/>
                <w:b w:val="0"/>
                <w:bCs/>
                <w:color w:val="auto"/>
                <w:highlight w:val="none"/>
                <w:lang w:val="en-US" w:eastAsia="zh-CN"/>
              </w:rPr>
            </w:pPr>
            <w:r>
              <w:rPr>
                <w:rFonts w:hint="eastAsia"/>
                <w:b w:val="0"/>
                <w:bCs/>
                <w:color w:val="auto"/>
                <w:highlight w:val="none"/>
                <w:lang w:val="en-US" w:eastAsia="zh-CN"/>
              </w:rPr>
              <w:t>150</w:t>
            </w:r>
          </w:p>
        </w:tc>
        <w:tc>
          <w:tcPr>
            <w:tcW w:w="784" w:type="dxa"/>
            <w:tcBorders>
              <w:tl2br w:val="nil"/>
              <w:tr2bl w:val="nil"/>
            </w:tcBorders>
            <w:noWrap w:val="0"/>
            <w:vAlign w:val="center"/>
          </w:tcPr>
          <w:p w14:paraId="65C70411">
            <w:pPr>
              <w:pStyle w:val="45"/>
              <w:bidi w:val="0"/>
              <w:rPr>
                <w:rFonts w:hint="default"/>
                <w:b w:val="0"/>
                <w:bCs/>
                <w:color w:val="auto"/>
                <w:highlight w:val="none"/>
                <w:lang w:val="en-US" w:eastAsia="zh-CN"/>
              </w:rPr>
            </w:pPr>
            <w:r>
              <w:rPr>
                <w:rFonts w:hint="eastAsia"/>
                <w:b w:val="0"/>
                <w:bCs/>
                <w:color w:val="auto"/>
                <w:highlight w:val="none"/>
                <w:lang w:val="en-US" w:eastAsia="zh-CN"/>
              </w:rPr>
              <w:t>200</w:t>
            </w:r>
          </w:p>
        </w:tc>
        <w:tc>
          <w:tcPr>
            <w:tcW w:w="784" w:type="dxa"/>
            <w:tcBorders>
              <w:tl2br w:val="nil"/>
              <w:tr2bl w:val="nil"/>
            </w:tcBorders>
            <w:noWrap w:val="0"/>
            <w:vAlign w:val="center"/>
          </w:tcPr>
          <w:p w14:paraId="78188ECC">
            <w:pPr>
              <w:pStyle w:val="45"/>
              <w:bidi w:val="0"/>
              <w:rPr>
                <w:rFonts w:hint="default"/>
                <w:b w:val="0"/>
                <w:bCs/>
                <w:color w:val="auto"/>
                <w:highlight w:val="none"/>
                <w:lang w:val="en-US" w:eastAsia="zh-CN"/>
              </w:rPr>
            </w:pPr>
            <w:r>
              <w:rPr>
                <w:rFonts w:hint="eastAsia"/>
                <w:b w:val="0"/>
                <w:bCs/>
                <w:color w:val="auto"/>
                <w:highlight w:val="none"/>
                <w:lang w:val="en-US" w:eastAsia="zh-CN"/>
              </w:rPr>
              <w:t>250</w:t>
            </w:r>
          </w:p>
        </w:tc>
        <w:tc>
          <w:tcPr>
            <w:tcW w:w="784" w:type="dxa"/>
            <w:tcBorders>
              <w:tl2br w:val="nil"/>
              <w:tr2bl w:val="nil"/>
            </w:tcBorders>
            <w:noWrap w:val="0"/>
            <w:vAlign w:val="center"/>
          </w:tcPr>
          <w:p w14:paraId="2FD693ED">
            <w:pPr>
              <w:pStyle w:val="45"/>
              <w:bidi w:val="0"/>
              <w:rPr>
                <w:rFonts w:hint="default"/>
                <w:b w:val="0"/>
                <w:bCs/>
                <w:color w:val="auto"/>
                <w:highlight w:val="none"/>
                <w:lang w:val="en-US" w:eastAsia="zh-CN"/>
              </w:rPr>
            </w:pPr>
            <w:r>
              <w:rPr>
                <w:rFonts w:hint="eastAsia"/>
                <w:b w:val="0"/>
                <w:bCs/>
                <w:color w:val="auto"/>
                <w:highlight w:val="none"/>
                <w:lang w:val="en-US" w:eastAsia="zh-CN"/>
              </w:rPr>
              <w:t>300</w:t>
            </w:r>
          </w:p>
        </w:tc>
        <w:tc>
          <w:tcPr>
            <w:tcW w:w="784" w:type="dxa"/>
            <w:tcBorders>
              <w:tl2br w:val="nil"/>
              <w:tr2bl w:val="nil"/>
            </w:tcBorders>
            <w:noWrap w:val="0"/>
            <w:vAlign w:val="center"/>
          </w:tcPr>
          <w:p w14:paraId="64E895C0">
            <w:pPr>
              <w:pStyle w:val="45"/>
              <w:bidi w:val="0"/>
              <w:rPr>
                <w:rFonts w:hint="default"/>
                <w:b w:val="0"/>
                <w:bCs/>
                <w:color w:val="auto"/>
                <w:highlight w:val="none"/>
                <w:lang w:val="en-US" w:eastAsia="zh-CN"/>
              </w:rPr>
            </w:pPr>
            <w:r>
              <w:rPr>
                <w:rFonts w:hint="eastAsia"/>
                <w:b w:val="0"/>
                <w:bCs/>
                <w:color w:val="auto"/>
                <w:highlight w:val="none"/>
                <w:lang w:val="en-US" w:eastAsia="zh-CN"/>
              </w:rPr>
              <w:t>350</w:t>
            </w:r>
          </w:p>
        </w:tc>
        <w:tc>
          <w:tcPr>
            <w:tcW w:w="785" w:type="dxa"/>
            <w:tcBorders>
              <w:tl2br w:val="nil"/>
              <w:tr2bl w:val="nil"/>
            </w:tcBorders>
            <w:noWrap w:val="0"/>
            <w:vAlign w:val="center"/>
          </w:tcPr>
          <w:p w14:paraId="272F129B">
            <w:pPr>
              <w:pStyle w:val="45"/>
              <w:bidi w:val="0"/>
              <w:rPr>
                <w:rFonts w:hint="default"/>
                <w:b w:val="0"/>
                <w:bCs/>
                <w:color w:val="auto"/>
                <w:highlight w:val="none"/>
                <w:lang w:val="en-US" w:eastAsia="zh-CN"/>
              </w:rPr>
            </w:pPr>
            <w:r>
              <w:rPr>
                <w:rFonts w:hint="eastAsia"/>
                <w:b w:val="0"/>
                <w:bCs/>
                <w:color w:val="auto"/>
                <w:highlight w:val="none"/>
                <w:lang w:val="en-US" w:eastAsia="zh-CN"/>
              </w:rPr>
              <w:t>400</w:t>
            </w:r>
          </w:p>
        </w:tc>
      </w:tr>
      <w:tr w14:paraId="1953CB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0" w:type="dxa"/>
            <w:tcBorders>
              <w:tl2br w:val="nil"/>
              <w:tr2bl w:val="nil"/>
            </w:tcBorders>
            <w:noWrap w:val="0"/>
            <w:vAlign w:val="center"/>
          </w:tcPr>
          <w:p w14:paraId="7039A31E">
            <w:pPr>
              <w:pStyle w:val="45"/>
              <w:bidi w:val="0"/>
              <w:rPr>
                <w:rFonts w:hint="default"/>
                <w:b w:val="0"/>
                <w:bCs/>
                <w:color w:val="auto"/>
                <w:highlight w:val="none"/>
                <w:lang w:val="en-US" w:eastAsia="zh-CN"/>
              </w:rPr>
            </w:pPr>
            <w:r>
              <w:rPr>
                <w:rFonts w:hint="eastAsia"/>
                <w:b w:val="0"/>
                <w:bCs/>
                <w:color w:val="auto"/>
                <w:highlight w:val="none"/>
                <w:lang w:val="en-US" w:eastAsia="zh-CN"/>
              </w:rPr>
              <w:t>手风钻机dB（A）</w:t>
            </w:r>
          </w:p>
        </w:tc>
        <w:tc>
          <w:tcPr>
            <w:tcW w:w="784" w:type="dxa"/>
            <w:tcBorders>
              <w:tl2br w:val="nil"/>
              <w:tr2bl w:val="nil"/>
            </w:tcBorders>
            <w:noWrap w:val="0"/>
            <w:vAlign w:val="center"/>
          </w:tcPr>
          <w:p w14:paraId="67DC2E5A">
            <w:pPr>
              <w:pStyle w:val="45"/>
              <w:bidi w:val="0"/>
              <w:rPr>
                <w:rFonts w:hint="default"/>
                <w:b w:val="0"/>
                <w:bCs/>
                <w:color w:val="auto"/>
                <w:highlight w:val="none"/>
                <w:lang w:val="en-US" w:eastAsia="zh-CN"/>
              </w:rPr>
            </w:pPr>
            <w:r>
              <w:rPr>
                <w:rFonts w:hint="eastAsia"/>
                <w:b w:val="0"/>
                <w:bCs/>
                <w:color w:val="auto"/>
                <w:highlight w:val="none"/>
                <w:lang w:val="en-US" w:eastAsia="zh-CN"/>
              </w:rPr>
              <w:t>102</w:t>
            </w:r>
          </w:p>
        </w:tc>
        <w:tc>
          <w:tcPr>
            <w:tcW w:w="784" w:type="dxa"/>
            <w:tcBorders>
              <w:tl2br w:val="nil"/>
              <w:tr2bl w:val="nil"/>
            </w:tcBorders>
            <w:noWrap w:val="0"/>
            <w:vAlign w:val="center"/>
          </w:tcPr>
          <w:p w14:paraId="2C4A1023">
            <w:pPr>
              <w:pStyle w:val="45"/>
              <w:bidi w:val="0"/>
              <w:rPr>
                <w:rFonts w:hint="default"/>
                <w:b w:val="0"/>
                <w:bCs/>
                <w:color w:val="auto"/>
                <w:highlight w:val="none"/>
                <w:lang w:val="en-US" w:eastAsia="zh-CN"/>
              </w:rPr>
            </w:pPr>
            <w:r>
              <w:rPr>
                <w:rFonts w:hint="eastAsia"/>
                <w:b w:val="0"/>
                <w:bCs/>
                <w:color w:val="auto"/>
                <w:highlight w:val="none"/>
                <w:lang w:val="en-US" w:eastAsia="zh-CN"/>
              </w:rPr>
              <w:t>68</w:t>
            </w:r>
          </w:p>
        </w:tc>
        <w:tc>
          <w:tcPr>
            <w:tcW w:w="784" w:type="dxa"/>
            <w:tcBorders>
              <w:tl2br w:val="nil"/>
              <w:tr2bl w:val="nil"/>
            </w:tcBorders>
            <w:noWrap w:val="0"/>
            <w:vAlign w:val="center"/>
          </w:tcPr>
          <w:p w14:paraId="3EB9F2A6">
            <w:pPr>
              <w:pStyle w:val="45"/>
              <w:bidi w:val="0"/>
              <w:rPr>
                <w:rFonts w:hint="default"/>
                <w:b w:val="0"/>
                <w:bCs/>
                <w:color w:val="auto"/>
                <w:highlight w:val="none"/>
                <w:lang w:val="en-US" w:eastAsia="zh-CN"/>
              </w:rPr>
            </w:pPr>
            <w:r>
              <w:rPr>
                <w:rFonts w:hint="eastAsia"/>
                <w:b w:val="0"/>
                <w:bCs/>
                <w:color w:val="auto"/>
                <w:highlight w:val="none"/>
                <w:lang w:val="en-US" w:eastAsia="zh-CN"/>
              </w:rPr>
              <w:t>62</w:t>
            </w:r>
          </w:p>
        </w:tc>
        <w:tc>
          <w:tcPr>
            <w:tcW w:w="784" w:type="dxa"/>
            <w:tcBorders>
              <w:tl2br w:val="nil"/>
              <w:tr2bl w:val="nil"/>
            </w:tcBorders>
            <w:noWrap w:val="0"/>
            <w:vAlign w:val="center"/>
          </w:tcPr>
          <w:p w14:paraId="786AFE37">
            <w:pPr>
              <w:pStyle w:val="45"/>
              <w:bidi w:val="0"/>
              <w:rPr>
                <w:rFonts w:hint="default"/>
                <w:b w:val="0"/>
                <w:bCs/>
                <w:color w:val="auto"/>
                <w:highlight w:val="none"/>
                <w:lang w:val="en-US" w:eastAsia="zh-CN"/>
              </w:rPr>
            </w:pPr>
            <w:r>
              <w:rPr>
                <w:rFonts w:hint="eastAsia"/>
                <w:b w:val="0"/>
                <w:bCs/>
                <w:color w:val="auto"/>
                <w:highlight w:val="none"/>
                <w:lang w:val="en-US" w:eastAsia="zh-CN"/>
              </w:rPr>
              <w:t>58</w:t>
            </w:r>
          </w:p>
        </w:tc>
        <w:tc>
          <w:tcPr>
            <w:tcW w:w="784" w:type="dxa"/>
            <w:tcBorders>
              <w:tl2br w:val="nil"/>
              <w:tr2bl w:val="nil"/>
            </w:tcBorders>
            <w:noWrap w:val="0"/>
            <w:vAlign w:val="center"/>
          </w:tcPr>
          <w:p w14:paraId="68CF0A49">
            <w:pPr>
              <w:pStyle w:val="45"/>
              <w:bidi w:val="0"/>
              <w:rPr>
                <w:rFonts w:hint="default"/>
                <w:b w:val="0"/>
                <w:bCs/>
                <w:color w:val="auto"/>
                <w:highlight w:val="none"/>
                <w:lang w:val="en-US" w:eastAsia="zh-CN"/>
              </w:rPr>
            </w:pPr>
            <w:r>
              <w:rPr>
                <w:rFonts w:hint="eastAsia"/>
                <w:b w:val="0"/>
                <w:bCs/>
                <w:color w:val="auto"/>
                <w:highlight w:val="none"/>
                <w:lang w:val="en-US" w:eastAsia="zh-CN"/>
              </w:rPr>
              <w:t>56</w:t>
            </w:r>
          </w:p>
        </w:tc>
        <w:tc>
          <w:tcPr>
            <w:tcW w:w="784" w:type="dxa"/>
            <w:tcBorders>
              <w:tl2br w:val="nil"/>
              <w:tr2bl w:val="nil"/>
            </w:tcBorders>
            <w:noWrap w:val="0"/>
            <w:vAlign w:val="center"/>
          </w:tcPr>
          <w:p w14:paraId="7470AC35">
            <w:pPr>
              <w:pStyle w:val="45"/>
              <w:bidi w:val="0"/>
              <w:rPr>
                <w:rFonts w:hint="default"/>
                <w:b w:val="0"/>
                <w:bCs/>
                <w:color w:val="auto"/>
                <w:highlight w:val="none"/>
                <w:lang w:val="en-US" w:eastAsia="zh-CN"/>
              </w:rPr>
            </w:pPr>
            <w:r>
              <w:rPr>
                <w:rFonts w:hint="eastAsia"/>
                <w:b w:val="0"/>
                <w:bCs/>
                <w:color w:val="auto"/>
                <w:highlight w:val="none"/>
                <w:lang w:val="en-US" w:eastAsia="zh-CN"/>
              </w:rPr>
              <w:t>54</w:t>
            </w:r>
          </w:p>
        </w:tc>
        <w:tc>
          <w:tcPr>
            <w:tcW w:w="784" w:type="dxa"/>
            <w:tcBorders>
              <w:tl2br w:val="nil"/>
              <w:tr2bl w:val="nil"/>
            </w:tcBorders>
            <w:noWrap w:val="0"/>
            <w:vAlign w:val="center"/>
          </w:tcPr>
          <w:p w14:paraId="7A10F2F1">
            <w:pPr>
              <w:pStyle w:val="45"/>
              <w:bidi w:val="0"/>
              <w:rPr>
                <w:rFonts w:hint="default"/>
                <w:b w:val="0"/>
                <w:bCs/>
                <w:color w:val="auto"/>
                <w:highlight w:val="none"/>
                <w:lang w:val="en-US" w:eastAsia="zh-CN"/>
              </w:rPr>
            </w:pPr>
            <w:r>
              <w:rPr>
                <w:rFonts w:hint="eastAsia"/>
                <w:b w:val="0"/>
                <w:bCs/>
                <w:color w:val="auto"/>
                <w:highlight w:val="none"/>
                <w:lang w:val="en-US" w:eastAsia="zh-CN"/>
              </w:rPr>
              <w:t>52</w:t>
            </w:r>
          </w:p>
        </w:tc>
        <w:tc>
          <w:tcPr>
            <w:tcW w:w="784" w:type="dxa"/>
            <w:tcBorders>
              <w:tl2br w:val="nil"/>
              <w:tr2bl w:val="nil"/>
            </w:tcBorders>
            <w:noWrap w:val="0"/>
            <w:vAlign w:val="center"/>
          </w:tcPr>
          <w:p w14:paraId="3F9D8BC7">
            <w:pPr>
              <w:pStyle w:val="45"/>
              <w:bidi w:val="0"/>
              <w:rPr>
                <w:rFonts w:hint="default"/>
                <w:b w:val="0"/>
                <w:bCs/>
                <w:color w:val="auto"/>
                <w:highlight w:val="none"/>
                <w:lang w:val="en-US" w:eastAsia="zh-CN"/>
              </w:rPr>
            </w:pPr>
            <w:r>
              <w:rPr>
                <w:rFonts w:hint="eastAsia"/>
                <w:b w:val="0"/>
                <w:bCs/>
                <w:color w:val="auto"/>
                <w:highlight w:val="none"/>
                <w:lang w:val="en-US" w:eastAsia="zh-CN"/>
              </w:rPr>
              <w:t>51</w:t>
            </w:r>
          </w:p>
        </w:tc>
        <w:tc>
          <w:tcPr>
            <w:tcW w:w="785" w:type="dxa"/>
            <w:tcBorders>
              <w:tl2br w:val="nil"/>
              <w:tr2bl w:val="nil"/>
            </w:tcBorders>
            <w:noWrap w:val="0"/>
            <w:vAlign w:val="center"/>
          </w:tcPr>
          <w:p w14:paraId="04107990">
            <w:pPr>
              <w:pStyle w:val="45"/>
              <w:bidi w:val="0"/>
              <w:rPr>
                <w:rFonts w:hint="default"/>
                <w:b w:val="0"/>
                <w:bCs/>
                <w:color w:val="auto"/>
                <w:highlight w:val="none"/>
                <w:lang w:val="en-US" w:eastAsia="zh-CN"/>
              </w:rPr>
            </w:pPr>
            <w:r>
              <w:rPr>
                <w:rFonts w:hint="eastAsia"/>
                <w:b w:val="0"/>
                <w:bCs/>
                <w:color w:val="auto"/>
                <w:highlight w:val="none"/>
                <w:lang w:val="en-US" w:eastAsia="zh-CN"/>
              </w:rPr>
              <w:t>50</w:t>
            </w:r>
          </w:p>
        </w:tc>
      </w:tr>
    </w:tbl>
    <w:p w14:paraId="7FE69472">
      <w:pPr>
        <w:bidi w:val="0"/>
        <w:rPr>
          <w:rFonts w:hint="default"/>
          <w:color w:val="auto"/>
          <w:highlight w:val="none"/>
          <w:lang w:val="en-US" w:eastAsia="zh-CN"/>
        </w:rPr>
      </w:pPr>
      <w:r>
        <w:rPr>
          <w:rFonts w:hint="default"/>
          <w:color w:val="auto"/>
          <w:highlight w:val="none"/>
          <w:lang w:val="en-US" w:eastAsia="zh-CN"/>
        </w:rPr>
        <w:t>经计算得知，距声源57m处，噪声即降到70dB(A)以下，施工场界的噪声可以满足《建筑施工场界环境噪声排放标准》(GB12523-2011)昼间70dB(A)的要求；距声源150m处，噪声即降到60dB(A)以下，即可满足(GB3096-2008)《声环境质量标准》2类标准昼间60dB(A)的要求。</w:t>
      </w:r>
    </w:p>
    <w:p w14:paraId="27E32858">
      <w:pPr>
        <w:bidi w:val="0"/>
        <w:rPr>
          <w:rFonts w:hint="default"/>
          <w:color w:val="auto"/>
          <w:highlight w:val="none"/>
          <w:lang w:val="en-US" w:eastAsia="zh-CN"/>
        </w:rPr>
      </w:pPr>
      <w:r>
        <w:rPr>
          <w:rFonts w:hint="default"/>
          <w:color w:val="auto"/>
          <w:highlight w:val="none"/>
          <w:lang w:val="en-US" w:eastAsia="zh-CN"/>
        </w:rPr>
        <w:t>本工程周边居民点水平距离风机施工场地均在</w:t>
      </w:r>
      <w:r>
        <w:rPr>
          <w:rFonts w:hint="eastAsia"/>
          <w:color w:val="auto"/>
          <w:highlight w:val="none"/>
          <w:lang w:val="en-US" w:eastAsia="zh-CN"/>
        </w:rPr>
        <w:t>3</w:t>
      </w:r>
      <w:r>
        <w:rPr>
          <w:rFonts w:hint="default"/>
          <w:color w:val="auto"/>
          <w:highlight w:val="none"/>
          <w:lang w:val="en-US" w:eastAsia="zh-CN"/>
        </w:rPr>
        <w:t>00m以上，且居民点均位于山脚下，有</w:t>
      </w:r>
      <w:r>
        <w:rPr>
          <w:rFonts w:hint="eastAsia"/>
          <w:color w:val="auto"/>
          <w:highlight w:val="none"/>
          <w:lang w:val="en-US" w:eastAsia="zh-CN"/>
        </w:rPr>
        <w:t>高差且有</w:t>
      </w:r>
      <w:r>
        <w:rPr>
          <w:rFonts w:hint="default"/>
          <w:color w:val="auto"/>
          <w:highlight w:val="none"/>
          <w:lang w:val="en-US" w:eastAsia="zh-CN"/>
        </w:rPr>
        <w:t>树木遮挡，其声环境质量基本不受施工噪声影响，该工程风机施工作业均安排在昼间，</w:t>
      </w:r>
      <w:r>
        <w:rPr>
          <w:rFonts w:hint="eastAsia"/>
          <w:color w:val="auto"/>
          <w:highlight w:val="none"/>
          <w:lang w:val="en-US" w:eastAsia="zh-CN"/>
        </w:rPr>
        <w:t>居民点声环境</w:t>
      </w:r>
      <w:r>
        <w:rPr>
          <w:rFonts w:hint="default"/>
          <w:color w:val="auto"/>
          <w:highlight w:val="none"/>
          <w:lang w:val="en-US" w:eastAsia="zh-CN"/>
        </w:rPr>
        <w:t>可满足GB3096-2008《声环境质量标准》2类标准要求。因此，本工程风机基础及安装对周边声环境保护目标影响较小。</w:t>
      </w:r>
    </w:p>
    <w:p w14:paraId="552A0EA6">
      <w:pPr>
        <w:bidi w:val="0"/>
        <w:rPr>
          <w:rFonts w:hint="default"/>
          <w:color w:val="auto"/>
          <w:highlight w:val="none"/>
          <w:lang w:val="en-US" w:eastAsia="zh-CN"/>
        </w:rPr>
      </w:pPr>
      <w:r>
        <w:rPr>
          <w:rFonts w:hint="default"/>
          <w:color w:val="auto"/>
          <w:highlight w:val="none"/>
          <w:lang w:val="en-US" w:eastAsia="zh-CN"/>
        </w:rPr>
        <w:t>②升压站施工对周边声环境的影响</w:t>
      </w:r>
    </w:p>
    <w:p w14:paraId="1FDD11CF">
      <w:pPr>
        <w:bidi w:val="0"/>
        <w:rPr>
          <w:rFonts w:hint="default"/>
          <w:color w:val="auto"/>
          <w:highlight w:val="none"/>
          <w:lang w:val="en-US" w:eastAsia="zh-CN"/>
        </w:rPr>
      </w:pPr>
      <w:r>
        <w:rPr>
          <w:rFonts w:hint="default"/>
          <w:color w:val="auto"/>
          <w:highlight w:val="none"/>
          <w:lang w:val="en-US" w:eastAsia="zh-CN"/>
        </w:rPr>
        <w:t>距离本项目升压站最近的居民点为</w:t>
      </w:r>
      <w:r>
        <w:rPr>
          <w:rFonts w:hint="eastAsia"/>
          <w:color w:val="auto"/>
          <w:highlight w:val="none"/>
          <w:lang w:val="en-US" w:eastAsia="zh-CN"/>
        </w:rPr>
        <w:t>观音亭</w:t>
      </w:r>
      <w:r>
        <w:rPr>
          <w:rFonts w:hint="default"/>
          <w:color w:val="auto"/>
          <w:highlight w:val="none"/>
          <w:lang w:val="en-US" w:eastAsia="zh-CN"/>
        </w:rPr>
        <w:t>居民点，最近距离约</w:t>
      </w:r>
      <w:r>
        <w:rPr>
          <w:rFonts w:hint="eastAsia"/>
          <w:color w:val="auto"/>
          <w:highlight w:val="none"/>
          <w:lang w:val="en-US" w:eastAsia="zh-CN"/>
        </w:rPr>
        <w:t>565</w:t>
      </w:r>
      <w:r>
        <w:rPr>
          <w:rFonts w:hint="default"/>
          <w:color w:val="auto"/>
          <w:highlight w:val="none"/>
          <w:lang w:val="en-US" w:eastAsia="zh-CN"/>
        </w:rPr>
        <w:t>m，且有山体阻隔。</w:t>
      </w:r>
      <w:r>
        <w:rPr>
          <w:rFonts w:hint="eastAsia"/>
          <w:color w:val="auto"/>
          <w:highlight w:val="none"/>
          <w:lang w:val="en-US" w:eastAsia="zh-CN"/>
        </w:rPr>
        <w:t>本项目升压站扩建无需土建施工，仅进行设备安装，</w:t>
      </w:r>
      <w:r>
        <w:rPr>
          <w:rFonts w:hint="default"/>
          <w:color w:val="auto"/>
          <w:highlight w:val="none"/>
          <w:lang w:val="en-US" w:eastAsia="zh-CN"/>
        </w:rPr>
        <w:t>由于距离较远，且有山体阻隔，升压站施工对周边声环境保护目标影响较小。</w:t>
      </w:r>
    </w:p>
    <w:p w14:paraId="2A60FA76">
      <w:pPr>
        <w:bidi w:val="0"/>
        <w:rPr>
          <w:rFonts w:hint="default"/>
          <w:color w:val="auto"/>
          <w:highlight w:val="none"/>
          <w:lang w:val="en-US" w:eastAsia="zh-CN"/>
        </w:rPr>
      </w:pPr>
      <w:r>
        <w:rPr>
          <w:rFonts w:hint="eastAsia"/>
          <w:color w:val="auto"/>
          <w:highlight w:val="none"/>
          <w:lang w:val="en-US" w:eastAsia="zh-CN"/>
        </w:rPr>
        <w:t>③</w:t>
      </w:r>
      <w:r>
        <w:rPr>
          <w:rFonts w:hint="default"/>
          <w:color w:val="auto"/>
          <w:highlight w:val="none"/>
          <w:lang w:val="en-US" w:eastAsia="zh-CN"/>
        </w:rPr>
        <w:t>道路施工对周边居民声环境的影响</w:t>
      </w:r>
    </w:p>
    <w:p w14:paraId="0C79AF08">
      <w:pPr>
        <w:bidi w:val="0"/>
        <w:rPr>
          <w:rFonts w:hint="default"/>
          <w:color w:val="auto"/>
          <w:highlight w:val="none"/>
          <w:lang w:val="en-US" w:eastAsia="zh-CN"/>
        </w:rPr>
      </w:pPr>
      <w:r>
        <w:rPr>
          <w:rFonts w:hint="default"/>
          <w:color w:val="auto"/>
          <w:highlight w:val="none"/>
          <w:lang w:val="en-US" w:eastAsia="zh-CN"/>
        </w:rPr>
        <w:t>由于项目场内道路部分为现有道路改建，主要涉及祁东县黄土铺镇双溪、四马堂等村，马杜桥乡星桥、白源、延塘、石门山等村，改造道路施工过程中挖掘机、推土机、手风钻机和自卸汽车的运行产生噪声对两侧居民声环境存在一定不利影响。但道路施工作业均安排在昼间，尤其临近居民点附近的道路改造施工时间非常短，施工期的噪声影响随工程建设结束而消失，对周边居民影响不大。</w:t>
      </w:r>
    </w:p>
    <w:p w14:paraId="66E60418">
      <w:pPr>
        <w:bidi w:val="0"/>
        <w:rPr>
          <w:rFonts w:hint="default"/>
          <w:color w:val="auto"/>
          <w:highlight w:val="none"/>
          <w:lang w:val="en-US" w:eastAsia="zh-CN"/>
        </w:rPr>
      </w:pPr>
      <w:r>
        <w:rPr>
          <w:rFonts w:hint="default"/>
          <w:color w:val="auto"/>
          <w:highlight w:val="none"/>
          <w:lang w:val="en-US" w:eastAsia="zh-CN"/>
        </w:rPr>
        <w:t>此外，道路修建时可能采用爆破工艺，石方爆破产生的噪声为瞬时性强声源，噪声影响范围较大，但爆破时段很短，爆炸完后，噪声即消失，居民点受其影响程度有限。本工程场内道路远离居民区，且爆破均在昼间进行，对周围评价范围内居民夜间休息无影响。道路爆破施工时，应优化施工工艺，减小施工爆破噪声；爆破作业须在上午8:30~11:30、下午2:30~6:30进行；并尽量知会受影响的居民，做好防范措施。</w:t>
      </w:r>
    </w:p>
    <w:p w14:paraId="1B4A45A3">
      <w:pPr>
        <w:bidi w:val="0"/>
        <w:rPr>
          <w:rFonts w:hint="default"/>
          <w:color w:val="auto"/>
          <w:highlight w:val="none"/>
          <w:lang w:val="en-US" w:eastAsia="zh-CN"/>
        </w:rPr>
      </w:pPr>
      <w:r>
        <w:rPr>
          <w:rFonts w:hint="default"/>
          <w:color w:val="auto"/>
          <w:highlight w:val="none"/>
          <w:lang w:val="en-US" w:eastAsia="zh-CN"/>
        </w:rPr>
        <w:t>因此，道路施工周边声环境保护目标影响较小。</w:t>
      </w:r>
    </w:p>
    <w:p w14:paraId="6F2E00B5">
      <w:pPr>
        <w:bidi w:val="0"/>
        <w:rPr>
          <w:rFonts w:hint="default"/>
          <w:color w:val="auto"/>
          <w:highlight w:val="none"/>
          <w:lang w:val="en-US" w:eastAsia="zh-CN"/>
        </w:rPr>
      </w:pPr>
      <w:r>
        <w:rPr>
          <w:rFonts w:hint="eastAsia"/>
          <w:color w:val="auto"/>
          <w:highlight w:val="none"/>
          <w:lang w:val="en-US" w:eastAsia="zh-CN"/>
        </w:rPr>
        <w:t>（2）</w:t>
      </w:r>
      <w:r>
        <w:rPr>
          <w:rFonts w:hint="default"/>
          <w:color w:val="auto"/>
          <w:highlight w:val="none"/>
          <w:lang w:val="en-US" w:eastAsia="zh-CN"/>
        </w:rPr>
        <w:t>施工期交通运输噪声</w:t>
      </w:r>
    </w:p>
    <w:p w14:paraId="7CB0DF72">
      <w:pPr>
        <w:bidi w:val="0"/>
        <w:rPr>
          <w:rFonts w:hint="default"/>
          <w:color w:val="auto"/>
          <w:highlight w:val="none"/>
          <w:lang w:val="en-US" w:eastAsia="zh-CN"/>
        </w:rPr>
      </w:pPr>
      <w:r>
        <w:rPr>
          <w:rFonts w:hint="default"/>
          <w:color w:val="auto"/>
          <w:highlight w:val="none"/>
          <w:lang w:val="en-US" w:eastAsia="zh-CN"/>
        </w:rPr>
        <w:t>本工程利用现有</w:t>
      </w:r>
      <w:r>
        <w:rPr>
          <w:rFonts w:hint="eastAsia"/>
          <w:color w:val="auto"/>
          <w:highlight w:val="none"/>
          <w:lang w:val="en-US" w:eastAsia="zh-CN"/>
        </w:rPr>
        <w:t>道路</w:t>
      </w:r>
      <w:r>
        <w:rPr>
          <w:rFonts w:hint="default"/>
          <w:color w:val="auto"/>
          <w:highlight w:val="none"/>
          <w:lang w:val="en-US" w:eastAsia="zh-CN"/>
        </w:rPr>
        <w:t>作为进场道路</w:t>
      </w:r>
      <w:r>
        <w:rPr>
          <w:rFonts w:hint="eastAsia"/>
          <w:color w:val="auto"/>
          <w:highlight w:val="none"/>
          <w:lang w:val="en-US" w:eastAsia="zh-CN"/>
        </w:rPr>
        <w:t>，场内改造道路中心线200m范围内无居民分布，新建道路中心线200m范围内仅分布1处居民点——祁东县马杜桥乡老屋塘村居民点，约8户，其中</w:t>
      </w:r>
      <w:r>
        <w:rPr>
          <w:rFonts w:hint="default"/>
          <w:color w:val="auto"/>
          <w:highlight w:val="none"/>
          <w:lang w:val="en-US" w:eastAsia="zh-CN"/>
        </w:rPr>
        <w:t>35m范围内首排居民</w:t>
      </w:r>
      <w:r>
        <w:rPr>
          <w:rFonts w:hint="eastAsia"/>
          <w:color w:val="auto"/>
          <w:highlight w:val="none"/>
          <w:lang w:val="en-US" w:eastAsia="zh-CN"/>
        </w:rPr>
        <w:t>4</w:t>
      </w:r>
      <w:r>
        <w:rPr>
          <w:rFonts w:hint="default"/>
          <w:color w:val="auto"/>
          <w:highlight w:val="none"/>
          <w:lang w:val="en-US" w:eastAsia="zh-CN"/>
        </w:rPr>
        <w:t>户，施工期车辆运输及通行将对道路两侧居民声环境造成一定影响。</w:t>
      </w:r>
    </w:p>
    <w:p w14:paraId="2B1A4130">
      <w:pPr>
        <w:bidi w:val="0"/>
        <w:rPr>
          <w:rFonts w:hint="default"/>
          <w:color w:val="auto"/>
          <w:highlight w:val="none"/>
          <w:lang w:val="en-US" w:eastAsia="zh-CN"/>
        </w:rPr>
      </w:pPr>
      <w:r>
        <w:rPr>
          <w:rFonts w:hint="default"/>
          <w:color w:val="auto"/>
          <w:highlight w:val="none"/>
          <w:lang w:val="en-US" w:eastAsia="zh-CN"/>
        </w:rPr>
        <w:t>本项目施工期车流量增加不大，每天约增加12台车次，且运输作业均安排在昼间进行。车辆一般载重较重，在居民聚集区行驶时速度一般低于20km/h。</w:t>
      </w:r>
    </w:p>
    <w:p w14:paraId="12BDE007">
      <w:pPr>
        <w:bidi w:val="0"/>
        <w:rPr>
          <w:rFonts w:hint="default"/>
          <w:color w:val="auto"/>
          <w:highlight w:val="none"/>
          <w:lang w:val="en-US" w:eastAsia="zh-CN"/>
        </w:rPr>
      </w:pPr>
      <w:r>
        <w:rPr>
          <w:rFonts w:hint="default"/>
          <w:color w:val="auto"/>
          <w:highlight w:val="none"/>
          <w:lang w:val="en-US" w:eastAsia="zh-CN"/>
        </w:rPr>
        <w:t>由于行驶速度低，可将运输车辆视为点声源，预测大型载重车运输过程冲，不同距离下对声环境的影响。</w:t>
      </w:r>
    </w:p>
    <w:p w14:paraId="4A1F616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b/>
          <w:bCs w:val="0"/>
          <w:color w:val="auto"/>
          <w:sz w:val="24"/>
          <w:szCs w:val="24"/>
          <w:highlight w:val="none"/>
          <w:lang w:val="en-US" w:eastAsia="zh-CN"/>
        </w:rPr>
      </w:pPr>
      <w:r>
        <w:rPr>
          <w:rFonts w:hint="eastAsia" w:ascii="Times New Roman" w:hAnsi="Times New Roman" w:cs="Times New Roman"/>
          <w:b/>
          <w:bCs w:val="0"/>
          <w:color w:val="auto"/>
          <w:sz w:val="24"/>
          <w:szCs w:val="24"/>
          <w:highlight w:val="none"/>
          <w:lang w:val="en-US" w:eastAsia="zh-CN"/>
        </w:rPr>
        <w:t>表</w:t>
      </w:r>
      <w:r>
        <w:rPr>
          <w:rFonts w:hint="eastAsia" w:cs="Times New Roman"/>
          <w:b/>
          <w:bCs w:val="0"/>
          <w:color w:val="auto"/>
          <w:sz w:val="24"/>
          <w:szCs w:val="24"/>
          <w:highlight w:val="none"/>
          <w:lang w:val="en-US" w:eastAsia="zh-CN"/>
        </w:rPr>
        <w:t>6.1.3</w:t>
      </w:r>
      <w:r>
        <w:rPr>
          <w:rFonts w:hint="eastAsia" w:ascii="Times New Roman" w:hAnsi="Times New Roman" w:cs="Times New Roman"/>
          <w:b/>
          <w:bCs w:val="0"/>
          <w:color w:val="auto"/>
          <w:sz w:val="24"/>
          <w:szCs w:val="24"/>
          <w:highlight w:val="none"/>
          <w:lang w:val="en-US" w:eastAsia="zh-CN"/>
        </w:rPr>
        <w:t>-2  施工运输车辆噪声随距离衰减计算结果</w:t>
      </w:r>
    </w:p>
    <w:tbl>
      <w:tblPr>
        <w:tblStyle w:val="20"/>
        <w:tblW w:w="8147"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25"/>
        <w:gridCol w:w="852"/>
        <w:gridCol w:w="852"/>
        <w:gridCol w:w="852"/>
        <w:gridCol w:w="852"/>
        <w:gridCol w:w="852"/>
        <w:gridCol w:w="852"/>
        <w:gridCol w:w="852"/>
        <w:gridCol w:w="858"/>
      </w:tblGrid>
      <w:tr w14:paraId="237A4E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25" w:type="dxa"/>
            <w:tcBorders>
              <w:tl2br w:val="nil"/>
              <w:tr2bl w:val="nil"/>
            </w:tcBorders>
            <w:noWrap w:val="0"/>
            <w:vAlign w:val="center"/>
          </w:tcPr>
          <w:p w14:paraId="410CCA70">
            <w:pPr>
              <w:pStyle w:val="45"/>
              <w:bidi w:val="0"/>
              <w:rPr>
                <w:rFonts w:hint="default"/>
                <w:b w:val="0"/>
                <w:bCs/>
                <w:color w:val="auto"/>
                <w:highlight w:val="none"/>
                <w:lang w:val="en-US" w:eastAsia="zh-CN"/>
              </w:rPr>
            </w:pPr>
            <w:r>
              <w:rPr>
                <w:rFonts w:hint="eastAsia"/>
                <w:b w:val="0"/>
                <w:bCs/>
                <w:color w:val="auto"/>
                <w:highlight w:val="none"/>
                <w:lang w:val="en-US" w:eastAsia="zh-CN"/>
              </w:rPr>
              <w:t>距离（m）</w:t>
            </w:r>
          </w:p>
        </w:tc>
        <w:tc>
          <w:tcPr>
            <w:tcW w:w="852" w:type="dxa"/>
            <w:tcBorders>
              <w:tl2br w:val="nil"/>
              <w:tr2bl w:val="nil"/>
            </w:tcBorders>
            <w:noWrap w:val="0"/>
            <w:vAlign w:val="center"/>
          </w:tcPr>
          <w:p w14:paraId="5D5B6F23">
            <w:pPr>
              <w:pStyle w:val="45"/>
              <w:bidi w:val="0"/>
              <w:rPr>
                <w:rFonts w:hint="default"/>
                <w:b w:val="0"/>
                <w:bCs/>
                <w:color w:val="auto"/>
                <w:highlight w:val="none"/>
                <w:lang w:val="en-US" w:eastAsia="zh-CN"/>
              </w:rPr>
            </w:pPr>
            <w:r>
              <w:rPr>
                <w:rFonts w:hint="eastAsia"/>
                <w:b w:val="0"/>
                <w:bCs/>
                <w:color w:val="auto"/>
                <w:highlight w:val="none"/>
                <w:lang w:val="en-US" w:eastAsia="zh-CN"/>
              </w:rPr>
              <w:t>2.5</w:t>
            </w:r>
          </w:p>
        </w:tc>
        <w:tc>
          <w:tcPr>
            <w:tcW w:w="852" w:type="dxa"/>
            <w:tcBorders>
              <w:tl2br w:val="nil"/>
              <w:tr2bl w:val="nil"/>
            </w:tcBorders>
            <w:noWrap w:val="0"/>
            <w:vAlign w:val="center"/>
          </w:tcPr>
          <w:p w14:paraId="73205183">
            <w:pPr>
              <w:pStyle w:val="45"/>
              <w:bidi w:val="0"/>
              <w:rPr>
                <w:rFonts w:hint="default"/>
                <w:b w:val="0"/>
                <w:bCs/>
                <w:color w:val="auto"/>
                <w:highlight w:val="none"/>
                <w:lang w:val="en-US" w:eastAsia="zh-CN"/>
              </w:rPr>
            </w:pPr>
            <w:r>
              <w:rPr>
                <w:rFonts w:hint="eastAsia"/>
                <w:b w:val="0"/>
                <w:bCs/>
                <w:color w:val="auto"/>
                <w:highlight w:val="none"/>
                <w:lang w:val="en-US" w:eastAsia="zh-CN"/>
              </w:rPr>
              <w:t>7.5</w:t>
            </w:r>
          </w:p>
        </w:tc>
        <w:tc>
          <w:tcPr>
            <w:tcW w:w="852" w:type="dxa"/>
            <w:tcBorders>
              <w:tl2br w:val="nil"/>
              <w:tr2bl w:val="nil"/>
            </w:tcBorders>
            <w:noWrap w:val="0"/>
            <w:vAlign w:val="center"/>
          </w:tcPr>
          <w:p w14:paraId="46DFCEB0">
            <w:pPr>
              <w:pStyle w:val="45"/>
              <w:bidi w:val="0"/>
              <w:rPr>
                <w:rFonts w:hint="default"/>
                <w:b w:val="0"/>
                <w:bCs/>
                <w:color w:val="auto"/>
                <w:highlight w:val="none"/>
                <w:lang w:val="en-US" w:eastAsia="zh-CN"/>
              </w:rPr>
            </w:pPr>
            <w:r>
              <w:rPr>
                <w:rFonts w:hint="eastAsia"/>
                <w:b w:val="0"/>
                <w:bCs/>
                <w:color w:val="auto"/>
                <w:highlight w:val="none"/>
                <w:lang w:val="en-US" w:eastAsia="zh-CN"/>
              </w:rPr>
              <w:t>10</w:t>
            </w:r>
          </w:p>
        </w:tc>
        <w:tc>
          <w:tcPr>
            <w:tcW w:w="852" w:type="dxa"/>
            <w:tcBorders>
              <w:tl2br w:val="nil"/>
              <w:tr2bl w:val="nil"/>
            </w:tcBorders>
            <w:noWrap w:val="0"/>
            <w:vAlign w:val="center"/>
          </w:tcPr>
          <w:p w14:paraId="4C0B7B27">
            <w:pPr>
              <w:pStyle w:val="45"/>
              <w:bidi w:val="0"/>
              <w:rPr>
                <w:rFonts w:hint="default"/>
                <w:b w:val="0"/>
                <w:bCs/>
                <w:color w:val="auto"/>
                <w:highlight w:val="none"/>
                <w:lang w:val="en-US" w:eastAsia="zh-CN"/>
              </w:rPr>
            </w:pPr>
            <w:r>
              <w:rPr>
                <w:rFonts w:hint="eastAsia"/>
                <w:b w:val="0"/>
                <w:bCs/>
                <w:color w:val="auto"/>
                <w:highlight w:val="none"/>
                <w:lang w:val="en-US" w:eastAsia="zh-CN"/>
              </w:rPr>
              <w:t>20</w:t>
            </w:r>
          </w:p>
        </w:tc>
        <w:tc>
          <w:tcPr>
            <w:tcW w:w="852" w:type="dxa"/>
            <w:tcBorders>
              <w:tl2br w:val="nil"/>
              <w:tr2bl w:val="nil"/>
            </w:tcBorders>
            <w:noWrap w:val="0"/>
            <w:vAlign w:val="center"/>
          </w:tcPr>
          <w:p w14:paraId="25F63867">
            <w:pPr>
              <w:pStyle w:val="45"/>
              <w:bidi w:val="0"/>
              <w:rPr>
                <w:rFonts w:hint="default"/>
                <w:b w:val="0"/>
                <w:bCs/>
                <w:color w:val="auto"/>
                <w:highlight w:val="none"/>
                <w:lang w:val="en-US" w:eastAsia="zh-CN"/>
              </w:rPr>
            </w:pPr>
            <w:r>
              <w:rPr>
                <w:rFonts w:hint="eastAsia"/>
                <w:b w:val="0"/>
                <w:bCs/>
                <w:color w:val="auto"/>
                <w:highlight w:val="none"/>
                <w:lang w:val="en-US" w:eastAsia="zh-CN"/>
              </w:rPr>
              <w:t>30</w:t>
            </w:r>
          </w:p>
        </w:tc>
        <w:tc>
          <w:tcPr>
            <w:tcW w:w="852" w:type="dxa"/>
            <w:tcBorders>
              <w:tl2br w:val="nil"/>
              <w:tr2bl w:val="nil"/>
            </w:tcBorders>
            <w:noWrap w:val="0"/>
            <w:vAlign w:val="center"/>
          </w:tcPr>
          <w:p w14:paraId="5A9B2A5D">
            <w:pPr>
              <w:pStyle w:val="45"/>
              <w:bidi w:val="0"/>
              <w:rPr>
                <w:rFonts w:hint="default"/>
                <w:b w:val="0"/>
                <w:bCs/>
                <w:color w:val="auto"/>
                <w:highlight w:val="none"/>
                <w:lang w:val="en-US" w:eastAsia="zh-CN"/>
              </w:rPr>
            </w:pPr>
            <w:r>
              <w:rPr>
                <w:rFonts w:hint="eastAsia"/>
                <w:b w:val="0"/>
                <w:bCs/>
                <w:color w:val="auto"/>
                <w:highlight w:val="none"/>
                <w:lang w:val="en-US" w:eastAsia="zh-CN"/>
              </w:rPr>
              <w:t>40</w:t>
            </w:r>
          </w:p>
        </w:tc>
        <w:tc>
          <w:tcPr>
            <w:tcW w:w="852" w:type="dxa"/>
            <w:tcBorders>
              <w:tl2br w:val="nil"/>
              <w:tr2bl w:val="nil"/>
            </w:tcBorders>
            <w:noWrap w:val="0"/>
            <w:vAlign w:val="center"/>
          </w:tcPr>
          <w:p w14:paraId="02B628BC">
            <w:pPr>
              <w:pStyle w:val="45"/>
              <w:bidi w:val="0"/>
              <w:rPr>
                <w:rFonts w:hint="default"/>
                <w:b w:val="0"/>
                <w:bCs/>
                <w:color w:val="auto"/>
                <w:highlight w:val="none"/>
                <w:lang w:val="en-US" w:eastAsia="zh-CN"/>
              </w:rPr>
            </w:pPr>
            <w:r>
              <w:rPr>
                <w:rFonts w:hint="eastAsia"/>
                <w:b w:val="0"/>
                <w:bCs/>
                <w:color w:val="auto"/>
                <w:highlight w:val="none"/>
                <w:lang w:val="en-US" w:eastAsia="zh-CN"/>
              </w:rPr>
              <w:t>50</w:t>
            </w:r>
          </w:p>
        </w:tc>
        <w:tc>
          <w:tcPr>
            <w:tcW w:w="858" w:type="dxa"/>
            <w:tcBorders>
              <w:tl2br w:val="nil"/>
              <w:tr2bl w:val="nil"/>
            </w:tcBorders>
            <w:noWrap w:val="0"/>
            <w:vAlign w:val="center"/>
          </w:tcPr>
          <w:p w14:paraId="2E78F520">
            <w:pPr>
              <w:pStyle w:val="45"/>
              <w:bidi w:val="0"/>
              <w:rPr>
                <w:rFonts w:hint="default"/>
                <w:b w:val="0"/>
                <w:bCs/>
                <w:color w:val="auto"/>
                <w:highlight w:val="none"/>
                <w:lang w:val="en-US" w:eastAsia="zh-CN"/>
              </w:rPr>
            </w:pPr>
            <w:r>
              <w:rPr>
                <w:rFonts w:hint="eastAsia"/>
                <w:b w:val="0"/>
                <w:bCs/>
                <w:color w:val="auto"/>
                <w:highlight w:val="none"/>
                <w:lang w:val="en-US" w:eastAsia="zh-CN"/>
              </w:rPr>
              <w:t>75</w:t>
            </w:r>
          </w:p>
        </w:tc>
      </w:tr>
      <w:tr w14:paraId="3DD8693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25" w:type="dxa"/>
            <w:tcBorders>
              <w:tl2br w:val="nil"/>
              <w:tr2bl w:val="nil"/>
            </w:tcBorders>
            <w:noWrap w:val="0"/>
            <w:vAlign w:val="center"/>
          </w:tcPr>
          <w:p w14:paraId="2F2A7F6F">
            <w:pPr>
              <w:pStyle w:val="45"/>
              <w:bidi w:val="0"/>
              <w:rPr>
                <w:rFonts w:hint="default"/>
                <w:b w:val="0"/>
                <w:bCs/>
                <w:color w:val="auto"/>
                <w:highlight w:val="none"/>
                <w:lang w:val="en-US" w:eastAsia="zh-CN"/>
              </w:rPr>
            </w:pPr>
            <w:r>
              <w:rPr>
                <w:rFonts w:hint="eastAsia"/>
                <w:b w:val="0"/>
                <w:bCs/>
                <w:color w:val="auto"/>
                <w:highlight w:val="none"/>
                <w:lang w:val="en-US" w:eastAsia="zh-CN"/>
              </w:rPr>
              <w:t>噪声dB（A）</w:t>
            </w:r>
          </w:p>
        </w:tc>
        <w:tc>
          <w:tcPr>
            <w:tcW w:w="852" w:type="dxa"/>
            <w:tcBorders>
              <w:tl2br w:val="nil"/>
              <w:tr2bl w:val="nil"/>
            </w:tcBorders>
            <w:noWrap w:val="0"/>
            <w:vAlign w:val="center"/>
          </w:tcPr>
          <w:p w14:paraId="2D55C2AC">
            <w:pPr>
              <w:pStyle w:val="45"/>
              <w:bidi w:val="0"/>
              <w:rPr>
                <w:rFonts w:hint="default"/>
                <w:b w:val="0"/>
                <w:bCs/>
                <w:color w:val="auto"/>
                <w:highlight w:val="none"/>
                <w:lang w:val="en-US" w:eastAsia="zh-CN"/>
              </w:rPr>
            </w:pPr>
            <w:r>
              <w:rPr>
                <w:rFonts w:hint="eastAsia"/>
                <w:b w:val="0"/>
                <w:bCs/>
                <w:color w:val="auto"/>
                <w:highlight w:val="none"/>
                <w:lang w:val="en-US" w:eastAsia="zh-CN"/>
              </w:rPr>
              <w:t>89.54</w:t>
            </w:r>
          </w:p>
        </w:tc>
        <w:tc>
          <w:tcPr>
            <w:tcW w:w="852" w:type="dxa"/>
            <w:tcBorders>
              <w:tl2br w:val="nil"/>
              <w:tr2bl w:val="nil"/>
            </w:tcBorders>
            <w:noWrap w:val="0"/>
            <w:vAlign w:val="center"/>
          </w:tcPr>
          <w:p w14:paraId="743262DE">
            <w:pPr>
              <w:pStyle w:val="45"/>
              <w:bidi w:val="0"/>
              <w:rPr>
                <w:rFonts w:hint="default"/>
                <w:b w:val="0"/>
                <w:bCs/>
                <w:color w:val="auto"/>
                <w:highlight w:val="none"/>
                <w:lang w:val="en-US" w:eastAsia="zh-CN"/>
              </w:rPr>
            </w:pPr>
            <w:r>
              <w:rPr>
                <w:rFonts w:hint="eastAsia"/>
                <w:b w:val="0"/>
                <w:bCs/>
                <w:color w:val="auto"/>
                <w:highlight w:val="none"/>
                <w:lang w:val="en-US" w:eastAsia="zh-CN"/>
              </w:rPr>
              <w:t>80</w:t>
            </w:r>
          </w:p>
        </w:tc>
        <w:tc>
          <w:tcPr>
            <w:tcW w:w="852" w:type="dxa"/>
            <w:tcBorders>
              <w:tl2br w:val="nil"/>
              <w:tr2bl w:val="nil"/>
            </w:tcBorders>
            <w:noWrap w:val="0"/>
            <w:vAlign w:val="center"/>
          </w:tcPr>
          <w:p w14:paraId="7306E655">
            <w:pPr>
              <w:pStyle w:val="45"/>
              <w:bidi w:val="0"/>
              <w:rPr>
                <w:rFonts w:hint="default"/>
                <w:b w:val="0"/>
                <w:bCs/>
                <w:color w:val="auto"/>
                <w:highlight w:val="none"/>
                <w:lang w:val="en-US" w:eastAsia="zh-CN"/>
              </w:rPr>
            </w:pPr>
            <w:r>
              <w:rPr>
                <w:rFonts w:hint="eastAsia"/>
                <w:b w:val="0"/>
                <w:bCs/>
                <w:color w:val="auto"/>
                <w:highlight w:val="none"/>
                <w:lang w:val="en-US" w:eastAsia="zh-CN"/>
              </w:rPr>
              <w:t>77.5</w:t>
            </w:r>
          </w:p>
        </w:tc>
        <w:tc>
          <w:tcPr>
            <w:tcW w:w="852" w:type="dxa"/>
            <w:tcBorders>
              <w:tl2br w:val="nil"/>
              <w:tr2bl w:val="nil"/>
            </w:tcBorders>
            <w:noWrap w:val="0"/>
            <w:vAlign w:val="center"/>
          </w:tcPr>
          <w:p w14:paraId="46B7F7FB">
            <w:pPr>
              <w:pStyle w:val="45"/>
              <w:bidi w:val="0"/>
              <w:rPr>
                <w:rFonts w:hint="default"/>
                <w:b w:val="0"/>
                <w:bCs/>
                <w:color w:val="auto"/>
                <w:highlight w:val="none"/>
                <w:lang w:val="en-US" w:eastAsia="zh-CN"/>
              </w:rPr>
            </w:pPr>
            <w:r>
              <w:rPr>
                <w:rFonts w:hint="eastAsia"/>
                <w:b w:val="0"/>
                <w:bCs/>
                <w:color w:val="auto"/>
                <w:highlight w:val="none"/>
                <w:lang w:val="en-US" w:eastAsia="zh-CN"/>
              </w:rPr>
              <w:t>71.48</w:t>
            </w:r>
          </w:p>
        </w:tc>
        <w:tc>
          <w:tcPr>
            <w:tcW w:w="852" w:type="dxa"/>
            <w:tcBorders>
              <w:tl2br w:val="nil"/>
              <w:tr2bl w:val="nil"/>
            </w:tcBorders>
            <w:noWrap w:val="0"/>
            <w:vAlign w:val="center"/>
          </w:tcPr>
          <w:p w14:paraId="180A193B">
            <w:pPr>
              <w:pStyle w:val="45"/>
              <w:bidi w:val="0"/>
              <w:rPr>
                <w:rFonts w:hint="default"/>
                <w:b w:val="0"/>
                <w:bCs/>
                <w:color w:val="auto"/>
                <w:highlight w:val="none"/>
                <w:lang w:val="en-US" w:eastAsia="zh-CN"/>
              </w:rPr>
            </w:pPr>
            <w:r>
              <w:rPr>
                <w:rFonts w:hint="eastAsia"/>
                <w:b w:val="0"/>
                <w:bCs/>
                <w:color w:val="auto"/>
                <w:highlight w:val="none"/>
                <w:lang w:val="en-US" w:eastAsia="zh-CN"/>
              </w:rPr>
              <w:t>67.96</w:t>
            </w:r>
          </w:p>
        </w:tc>
        <w:tc>
          <w:tcPr>
            <w:tcW w:w="852" w:type="dxa"/>
            <w:tcBorders>
              <w:tl2br w:val="nil"/>
              <w:tr2bl w:val="nil"/>
            </w:tcBorders>
            <w:noWrap w:val="0"/>
            <w:vAlign w:val="center"/>
          </w:tcPr>
          <w:p w14:paraId="175198E8">
            <w:pPr>
              <w:pStyle w:val="45"/>
              <w:bidi w:val="0"/>
              <w:rPr>
                <w:rFonts w:hint="default"/>
                <w:b w:val="0"/>
                <w:bCs/>
                <w:color w:val="auto"/>
                <w:highlight w:val="none"/>
                <w:lang w:val="en-US" w:eastAsia="zh-CN"/>
              </w:rPr>
            </w:pPr>
            <w:r>
              <w:rPr>
                <w:rFonts w:hint="eastAsia"/>
                <w:b w:val="0"/>
                <w:bCs/>
                <w:color w:val="auto"/>
                <w:highlight w:val="none"/>
                <w:lang w:val="en-US" w:eastAsia="zh-CN"/>
              </w:rPr>
              <w:t>65.46</w:t>
            </w:r>
          </w:p>
        </w:tc>
        <w:tc>
          <w:tcPr>
            <w:tcW w:w="852" w:type="dxa"/>
            <w:tcBorders>
              <w:tl2br w:val="nil"/>
              <w:tr2bl w:val="nil"/>
            </w:tcBorders>
            <w:noWrap w:val="0"/>
            <w:vAlign w:val="center"/>
          </w:tcPr>
          <w:p w14:paraId="46F8D03B">
            <w:pPr>
              <w:pStyle w:val="45"/>
              <w:bidi w:val="0"/>
              <w:rPr>
                <w:rFonts w:hint="default"/>
                <w:b w:val="0"/>
                <w:bCs/>
                <w:color w:val="auto"/>
                <w:highlight w:val="none"/>
                <w:lang w:val="en-US" w:eastAsia="zh-CN"/>
              </w:rPr>
            </w:pPr>
            <w:r>
              <w:rPr>
                <w:rFonts w:hint="eastAsia"/>
                <w:b w:val="0"/>
                <w:bCs/>
                <w:color w:val="auto"/>
                <w:highlight w:val="none"/>
                <w:lang w:val="en-US" w:eastAsia="zh-CN"/>
              </w:rPr>
              <w:t>63.53</w:t>
            </w:r>
          </w:p>
        </w:tc>
        <w:tc>
          <w:tcPr>
            <w:tcW w:w="858" w:type="dxa"/>
            <w:tcBorders>
              <w:tl2br w:val="nil"/>
              <w:tr2bl w:val="nil"/>
            </w:tcBorders>
            <w:noWrap w:val="0"/>
            <w:vAlign w:val="center"/>
          </w:tcPr>
          <w:p w14:paraId="0BCAF399">
            <w:pPr>
              <w:pStyle w:val="45"/>
              <w:bidi w:val="0"/>
              <w:rPr>
                <w:rFonts w:hint="default"/>
                <w:b w:val="0"/>
                <w:bCs/>
                <w:color w:val="auto"/>
                <w:highlight w:val="none"/>
                <w:lang w:val="en-US" w:eastAsia="zh-CN"/>
              </w:rPr>
            </w:pPr>
            <w:r>
              <w:rPr>
                <w:rFonts w:hint="eastAsia"/>
                <w:b w:val="0"/>
                <w:bCs/>
                <w:color w:val="auto"/>
                <w:highlight w:val="none"/>
                <w:lang w:val="en-US" w:eastAsia="zh-CN"/>
              </w:rPr>
              <w:t>60.00</w:t>
            </w:r>
          </w:p>
        </w:tc>
      </w:tr>
    </w:tbl>
    <w:p w14:paraId="256C37C3">
      <w:pPr>
        <w:bidi w:val="0"/>
        <w:rPr>
          <w:rFonts w:hint="default"/>
          <w:color w:val="auto"/>
          <w:highlight w:val="none"/>
          <w:lang w:val="en-US" w:eastAsia="zh-CN"/>
        </w:rPr>
      </w:pPr>
      <w:r>
        <w:rPr>
          <w:rFonts w:hint="default"/>
          <w:color w:val="auto"/>
          <w:highlight w:val="none"/>
          <w:lang w:val="en-US" w:eastAsia="zh-CN"/>
        </w:rPr>
        <w:t>由上表预测结果可知，大型载重车辆昼间运输过程中，运输道路沿中心线两侧35m范围内的首排居民噪声均出现超标现象。因此，施工期车辆运输瞬时噪声对沿线居民影响较大。</w:t>
      </w:r>
    </w:p>
    <w:p w14:paraId="1A5E349A">
      <w:pPr>
        <w:bidi w:val="0"/>
        <w:rPr>
          <w:rFonts w:hint="default"/>
          <w:color w:val="auto"/>
          <w:highlight w:val="none"/>
          <w:lang w:val="en-US" w:eastAsia="zh-CN"/>
        </w:rPr>
      </w:pPr>
      <w:r>
        <w:rPr>
          <w:rFonts w:hint="default"/>
          <w:color w:val="auto"/>
          <w:highlight w:val="none"/>
          <w:lang w:val="en-US" w:eastAsia="zh-CN"/>
        </w:rPr>
        <w:t>施工单位应合理安排运输作业时间，途经距离居民点较近的路段时，尽量安排在上午8:30～11:30、下午2:30～6:30进行，严禁夜间运输，车辆行驶速度控制在20km/h以内；建设单位还应对</w:t>
      </w:r>
      <w:r>
        <w:rPr>
          <w:rFonts w:hint="eastAsia"/>
          <w:color w:val="auto"/>
          <w:highlight w:val="none"/>
          <w:lang w:val="en-US" w:eastAsia="zh-CN"/>
        </w:rPr>
        <w:t>黄土铺镇双溪村及马杜桥乡石门山村</w:t>
      </w:r>
      <w:r>
        <w:rPr>
          <w:rFonts w:hint="default"/>
          <w:color w:val="auto"/>
          <w:highlight w:val="none"/>
          <w:lang w:val="en-US" w:eastAsia="zh-CN"/>
        </w:rPr>
        <w:t>居民居住的路段进行跟踪监测，在本项目施工期，超标范围内所有有居民居住的路段均纳入施工期跟踪监测范围，并应作为施工期监理的重要内容；在噪声超标地区应设置减速标识和禁鸣标志，同时企业应预留环保资金。本项目建设期为期一年，随着施工期结束，项目对运输道路沿线居民声环境影响随即结束，在落实环评提出的运输噪声控制措施基础上，对运输沿线声环境影响可以接受。</w:t>
      </w:r>
    </w:p>
    <w:p w14:paraId="7AC8709C">
      <w:pPr>
        <w:bidi w:val="0"/>
        <w:rPr>
          <w:rFonts w:ascii="Times New Roman" w:hAnsi="Times New Roman" w:eastAsia="宋体" w:cs="Times New Roman"/>
          <w:color w:val="auto"/>
          <w:highlight w:val="none"/>
        </w:rPr>
      </w:pPr>
    </w:p>
    <w:p w14:paraId="5D577AB3">
      <w:pPr>
        <w:pStyle w:val="5"/>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大气环境影响预测与评价</w:t>
      </w:r>
    </w:p>
    <w:p w14:paraId="3DBDB1F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本项目废气主要来源为施工扬尘、施工机械运行产生的无组织排放废气，其中以施工扬尘对空气环境质量的影响最大。</w:t>
      </w:r>
    </w:p>
    <w:p w14:paraId="481545E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工程施工时，在运输车辆行驶、施工垃圾的清理及堆放、人来车往、装卸材料等均可能产生扬尘。一般情况下，扬尘产生量在有风旱季晴天多于无风和雨季，动态施工多于静态作业。</w:t>
      </w:r>
    </w:p>
    <w:p w14:paraId="4C29AAF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类比同类项目分析，本项目施工过程中的施工扬尘将是大气污染因子中对周边敏感点大气环境影响最大的一项。因此，本次环评将主要对施工扬尘对项目周边环境产生的影响进行分析评价。</w:t>
      </w:r>
    </w:p>
    <w:p w14:paraId="6985CA57">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cs="Times New Roman"/>
          <w:b/>
          <w:bCs w:val="0"/>
          <w:color w:val="auto"/>
          <w:sz w:val="24"/>
          <w:szCs w:val="24"/>
          <w:highlight w:val="none"/>
          <w:lang w:val="en-US" w:eastAsia="zh-CN"/>
        </w:rPr>
      </w:pPr>
      <w:r>
        <w:rPr>
          <w:rFonts w:hint="eastAsia" w:ascii="Times New Roman" w:hAnsi="Times New Roman" w:cs="Times New Roman"/>
          <w:b/>
          <w:bCs w:val="0"/>
          <w:color w:val="auto"/>
          <w:sz w:val="24"/>
          <w:szCs w:val="24"/>
          <w:highlight w:val="none"/>
          <w:lang w:val="en-US" w:eastAsia="zh-CN"/>
        </w:rPr>
        <w:t>（1）施工扬尘影响分析</w:t>
      </w:r>
    </w:p>
    <w:p w14:paraId="673718B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施工期粉尘产生于施工开挖、交通运输等。施工开挖属间歇性污染，交通运输属流动性污染。施工扬尘产生量主要取决于风速及地表干湿状况。工程场区风速大，大气扩散条件好，有利于废气粉尘的扩散，但是多风气象也增加了场地尘土飞扬频次。若在春季施工，风速较大，地面干燥，扬尘量将增大，对风电场周围特别是下风向区域的空气环境产生污染。而夏季施工，因风速较小，加之此季降水较多，地表较潮湿，不易产生扬尘，对区域空气环境质量的影响也相对较小。</w:t>
      </w:r>
    </w:p>
    <w:p w14:paraId="559D25C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根据北京环境科学研究院对建筑工程施工工地的扬尘测定结果，在风速为2.4m/s时，建筑施工扬尘的影响范围为其下风向150m之内，被影响地区的TSP浓度日平均值为0.491mg/m</w:t>
      </w:r>
      <w:r>
        <w:rPr>
          <w:rFonts w:hint="default" w:ascii="Times New Roman" w:hAnsi="Times New Roman" w:cs="Times New Roman"/>
          <w:bCs/>
          <w:color w:val="auto"/>
          <w:sz w:val="24"/>
          <w:szCs w:val="24"/>
          <w:highlight w:val="none"/>
          <w:vertAlign w:val="superscript"/>
          <w:lang w:val="en-US" w:eastAsia="zh-CN"/>
        </w:rPr>
        <w:t>3</w:t>
      </w:r>
      <w:r>
        <w:rPr>
          <w:rFonts w:hint="default" w:ascii="Times New Roman" w:hAnsi="Times New Roman" w:cs="Times New Roman"/>
          <w:bCs/>
          <w:color w:val="auto"/>
          <w:sz w:val="24"/>
          <w:szCs w:val="24"/>
          <w:highlight w:val="none"/>
          <w:lang w:val="en-US" w:eastAsia="zh-CN"/>
        </w:rPr>
        <w:t>，为上风向对照点的1.5倍，相当于环境空气二级标准的1.6倍。在干燥和风速较大的天气情况下，施工现场近地面粉尘浓度超过环境空气二级标准中日平均值0.3mg/m</w:t>
      </w:r>
      <w:r>
        <w:rPr>
          <w:rFonts w:hint="default" w:ascii="Times New Roman" w:hAnsi="Times New Roman" w:cs="Times New Roman"/>
          <w:bCs/>
          <w:color w:val="auto"/>
          <w:sz w:val="24"/>
          <w:szCs w:val="24"/>
          <w:highlight w:val="none"/>
          <w:vertAlign w:val="superscript"/>
          <w:lang w:val="en-US" w:eastAsia="zh-CN"/>
        </w:rPr>
        <w:t>3</w:t>
      </w:r>
      <w:r>
        <w:rPr>
          <w:rFonts w:hint="default" w:ascii="Times New Roman" w:hAnsi="Times New Roman" w:cs="Times New Roman"/>
          <w:bCs/>
          <w:color w:val="auto"/>
          <w:sz w:val="24"/>
          <w:szCs w:val="24"/>
          <w:highlight w:val="none"/>
          <w:lang w:val="en-US" w:eastAsia="zh-CN"/>
        </w:rPr>
        <w:t>的1～40倍。工程所在地场区内</w:t>
      </w:r>
      <w:r>
        <w:rPr>
          <w:rFonts w:hint="eastAsia" w:ascii="Times New Roman" w:hAnsi="Times New Roman" w:cs="Times New Roman"/>
          <w:bCs/>
          <w:color w:val="auto"/>
          <w:sz w:val="24"/>
          <w:szCs w:val="24"/>
          <w:highlight w:val="none"/>
          <w:lang w:val="en-US" w:eastAsia="zh-CN"/>
        </w:rPr>
        <w:t>80</w:t>
      </w:r>
      <w:r>
        <w:rPr>
          <w:rFonts w:hint="default" w:ascii="Times New Roman" w:hAnsi="Times New Roman" w:cs="Times New Roman"/>
          <w:bCs/>
          <w:color w:val="auto"/>
          <w:sz w:val="24"/>
          <w:szCs w:val="24"/>
          <w:highlight w:val="none"/>
          <w:lang w:val="en-US" w:eastAsia="zh-CN"/>
        </w:rPr>
        <w:t>m高度平均风速为</w:t>
      </w:r>
      <w:r>
        <w:rPr>
          <w:rFonts w:hint="eastAsia" w:ascii="Times New Roman" w:hAnsi="Times New Roman" w:cs="Times New Roman"/>
          <w:bCs/>
          <w:color w:val="auto"/>
          <w:sz w:val="24"/>
          <w:szCs w:val="24"/>
          <w:highlight w:val="none"/>
          <w:lang w:val="en-US" w:eastAsia="zh-CN"/>
        </w:rPr>
        <w:t>3.86~6.12</w:t>
      </w:r>
      <w:r>
        <w:rPr>
          <w:rFonts w:hint="default" w:ascii="Times New Roman" w:hAnsi="Times New Roman" w:cs="Times New Roman"/>
          <w:bCs/>
          <w:color w:val="auto"/>
          <w:sz w:val="24"/>
          <w:szCs w:val="24"/>
          <w:highlight w:val="none"/>
          <w:lang w:val="en-US" w:eastAsia="zh-CN"/>
        </w:rPr>
        <w:t>m/s，风速较大，有利于扬尘的扩散。此外，区内植被覆盖率较高，扬尘经长距离自然沉降和沿途茂密植被的阻滞及施工场地洒水降尘等措施后，工程对场区环境空气影响较小。</w:t>
      </w:r>
    </w:p>
    <w:p w14:paraId="1A5D8543">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cs="Times New Roman"/>
          <w:b/>
          <w:bCs w:val="0"/>
          <w:color w:val="auto"/>
          <w:sz w:val="24"/>
          <w:szCs w:val="24"/>
          <w:highlight w:val="none"/>
          <w:lang w:val="en-US" w:eastAsia="zh-CN"/>
        </w:rPr>
      </w:pPr>
      <w:r>
        <w:rPr>
          <w:rFonts w:hint="eastAsia" w:ascii="Times New Roman" w:hAnsi="Times New Roman" w:cs="Times New Roman"/>
          <w:b/>
          <w:bCs w:val="0"/>
          <w:color w:val="auto"/>
          <w:sz w:val="24"/>
          <w:szCs w:val="24"/>
          <w:highlight w:val="none"/>
          <w:lang w:val="en-US" w:eastAsia="zh-CN"/>
        </w:rPr>
        <w:t>（2）道路施工扬尘影响分析</w:t>
      </w:r>
    </w:p>
    <w:p w14:paraId="5E469AA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施工期间交通运输将产生扬尘，汽车产生的道路扬尘量与车速、车型、车流量、风速、道路表面积尘量、尘土湿度等因素有关。根据</w:t>
      </w:r>
      <w:r>
        <w:rPr>
          <w:rFonts w:hint="eastAsia" w:cs="Times New Roman"/>
          <w:bCs/>
          <w:color w:val="auto"/>
          <w:sz w:val="24"/>
          <w:szCs w:val="24"/>
          <w:highlight w:val="none"/>
          <w:lang w:val="en-US" w:eastAsia="zh-CN"/>
        </w:rPr>
        <w:t>交通运输部</w:t>
      </w:r>
      <w:r>
        <w:rPr>
          <w:rFonts w:hint="default" w:ascii="Times New Roman" w:hAnsi="Times New Roman" w:cs="Times New Roman"/>
          <w:bCs/>
          <w:color w:val="auto"/>
          <w:sz w:val="24"/>
          <w:szCs w:val="24"/>
          <w:highlight w:val="none"/>
          <w:lang w:val="en-US" w:eastAsia="zh-CN"/>
        </w:rPr>
        <w:t>公路研究所对施工现场车辆扬尘监测结果，下风向150m处的扬尘瞬时浓度可达到3.49mg/m</w:t>
      </w:r>
      <w:r>
        <w:rPr>
          <w:rFonts w:hint="default" w:ascii="Times New Roman" w:hAnsi="Times New Roman" w:cs="Times New Roman"/>
          <w:bCs/>
          <w:color w:val="auto"/>
          <w:sz w:val="24"/>
          <w:szCs w:val="24"/>
          <w:highlight w:val="none"/>
          <w:vertAlign w:val="superscript"/>
          <w:lang w:val="en-US" w:eastAsia="zh-CN"/>
        </w:rPr>
        <w:t>3</w:t>
      </w:r>
      <w:r>
        <w:rPr>
          <w:rFonts w:hint="default" w:ascii="Times New Roman" w:hAnsi="Times New Roman" w:cs="Times New Roman"/>
          <w:bCs/>
          <w:color w:val="auto"/>
          <w:sz w:val="24"/>
          <w:szCs w:val="24"/>
          <w:highlight w:val="none"/>
          <w:lang w:val="en-US" w:eastAsia="zh-CN"/>
        </w:rPr>
        <w:t>。此外物料拉运或堆放过程中，因遮盖不严密而产生粉尘污染。施工期扬尘影响是暂时的，随着施工的完成，水土保持和生态恢复工程的实施，这些影响也将消失，不会对周围环境产生较大的影响。</w:t>
      </w:r>
    </w:p>
    <w:p w14:paraId="6871469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根据同类工程类比资料，施工场地、施工道路在自然风作用下产生的扬尘所影响的范围在100m以内，如果在施工期间对车辆行驶的路面实施洒水抑尘，每天洒水4～5次，可使扬尘减少70%左右。施工场地洒水抑尘的试验结果见表</w:t>
      </w:r>
      <w:r>
        <w:rPr>
          <w:rFonts w:hint="eastAsia" w:cs="Times New Roman"/>
          <w:bCs/>
          <w:color w:val="auto"/>
          <w:sz w:val="24"/>
          <w:szCs w:val="24"/>
          <w:highlight w:val="none"/>
          <w:lang w:val="en-US" w:eastAsia="zh-CN"/>
        </w:rPr>
        <w:t>6.1.4</w:t>
      </w:r>
      <w:r>
        <w:rPr>
          <w:rFonts w:hint="eastAsia" w:ascii="Times New Roman" w:hAnsi="Times New Roman" w:cs="Times New Roman"/>
          <w:bCs/>
          <w:color w:val="auto"/>
          <w:sz w:val="24"/>
          <w:szCs w:val="24"/>
          <w:highlight w:val="none"/>
          <w:lang w:val="en-US" w:eastAsia="zh-CN"/>
        </w:rPr>
        <w:t>-</w:t>
      </w:r>
      <w:r>
        <w:rPr>
          <w:rFonts w:hint="eastAsia" w:cs="Times New Roman"/>
          <w:bCs/>
          <w:color w:val="auto"/>
          <w:sz w:val="24"/>
          <w:szCs w:val="24"/>
          <w:highlight w:val="none"/>
          <w:lang w:val="en-US" w:eastAsia="zh-CN"/>
        </w:rPr>
        <w:t>1</w:t>
      </w:r>
      <w:r>
        <w:rPr>
          <w:rFonts w:hint="eastAsia" w:ascii="Times New Roman" w:hAnsi="Times New Roman" w:cs="Times New Roman"/>
          <w:bCs/>
          <w:color w:val="auto"/>
          <w:sz w:val="24"/>
          <w:szCs w:val="24"/>
          <w:highlight w:val="none"/>
          <w:lang w:val="en-US" w:eastAsia="zh-CN"/>
        </w:rPr>
        <w:t>。</w:t>
      </w:r>
    </w:p>
    <w:p w14:paraId="57D6231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w:hAnsi="Times New Roman" w:cs="Times New Roman"/>
          <w:b/>
          <w:bCs w:val="0"/>
          <w:color w:val="auto"/>
          <w:sz w:val="24"/>
          <w:szCs w:val="24"/>
          <w:highlight w:val="none"/>
          <w:lang w:val="en-US" w:eastAsia="zh-CN"/>
        </w:rPr>
      </w:pPr>
      <w:r>
        <w:rPr>
          <w:rFonts w:hint="eastAsia" w:ascii="Times New Roman" w:hAnsi="Times New Roman" w:cs="Times New Roman"/>
          <w:b/>
          <w:bCs w:val="0"/>
          <w:color w:val="auto"/>
          <w:sz w:val="24"/>
          <w:szCs w:val="24"/>
          <w:highlight w:val="none"/>
          <w:lang w:val="en-US" w:eastAsia="zh-CN"/>
        </w:rPr>
        <w:t>表</w:t>
      </w:r>
      <w:r>
        <w:rPr>
          <w:rFonts w:hint="eastAsia" w:cs="Times New Roman"/>
          <w:b/>
          <w:bCs w:val="0"/>
          <w:color w:val="auto"/>
          <w:sz w:val="24"/>
          <w:szCs w:val="24"/>
          <w:highlight w:val="none"/>
          <w:lang w:val="en-US" w:eastAsia="zh-CN"/>
        </w:rPr>
        <w:t>6.1.4-1</w:t>
      </w:r>
      <w:r>
        <w:rPr>
          <w:rFonts w:hint="eastAsia" w:ascii="Times New Roman" w:hAnsi="Times New Roman" w:cs="Times New Roman"/>
          <w:b/>
          <w:bCs w:val="0"/>
          <w:color w:val="auto"/>
          <w:sz w:val="24"/>
          <w:szCs w:val="24"/>
          <w:highlight w:val="none"/>
          <w:lang w:val="en-US" w:eastAsia="zh-CN"/>
        </w:rPr>
        <w:t xml:space="preserve">  施工场地洒水抑尘试验结果表</w:t>
      </w:r>
    </w:p>
    <w:tbl>
      <w:tblPr>
        <w:tblStyle w:val="20"/>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418"/>
        <w:gridCol w:w="1420"/>
        <w:gridCol w:w="1421"/>
        <w:gridCol w:w="1421"/>
        <w:gridCol w:w="1421"/>
        <w:gridCol w:w="1421"/>
      </w:tblGrid>
      <w:tr w14:paraId="39E9A1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15" w:type="dxa"/>
            <w:gridSpan w:val="2"/>
            <w:tcBorders>
              <w:tl2br w:val="nil"/>
              <w:tr2bl w:val="nil"/>
            </w:tcBorders>
            <w:noWrap w:val="0"/>
            <w:vAlign w:val="center"/>
          </w:tcPr>
          <w:p w14:paraId="01A5A599">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距离（m）</w:t>
            </w:r>
          </w:p>
        </w:tc>
        <w:tc>
          <w:tcPr>
            <w:tcW w:w="1358" w:type="dxa"/>
            <w:tcBorders>
              <w:tl2br w:val="nil"/>
              <w:tr2bl w:val="nil"/>
            </w:tcBorders>
            <w:noWrap w:val="0"/>
            <w:vAlign w:val="center"/>
          </w:tcPr>
          <w:p w14:paraId="2FEC46C6">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5</w:t>
            </w:r>
          </w:p>
        </w:tc>
        <w:tc>
          <w:tcPr>
            <w:tcW w:w="1358" w:type="dxa"/>
            <w:tcBorders>
              <w:tl2br w:val="nil"/>
              <w:tr2bl w:val="nil"/>
            </w:tcBorders>
            <w:noWrap w:val="0"/>
            <w:vAlign w:val="center"/>
          </w:tcPr>
          <w:p w14:paraId="5C68B600">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20</w:t>
            </w:r>
          </w:p>
        </w:tc>
        <w:tc>
          <w:tcPr>
            <w:tcW w:w="1358" w:type="dxa"/>
            <w:tcBorders>
              <w:tl2br w:val="nil"/>
              <w:tr2bl w:val="nil"/>
            </w:tcBorders>
            <w:noWrap w:val="0"/>
            <w:vAlign w:val="center"/>
          </w:tcPr>
          <w:p w14:paraId="1A6DA3E4">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50</w:t>
            </w:r>
          </w:p>
        </w:tc>
        <w:tc>
          <w:tcPr>
            <w:tcW w:w="1358" w:type="dxa"/>
            <w:tcBorders>
              <w:tl2br w:val="nil"/>
              <w:tr2bl w:val="nil"/>
            </w:tcBorders>
            <w:noWrap w:val="0"/>
            <w:vAlign w:val="center"/>
          </w:tcPr>
          <w:p w14:paraId="1ECBAB99">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100</w:t>
            </w:r>
          </w:p>
        </w:tc>
      </w:tr>
      <w:tr w14:paraId="6A76A15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57" w:type="dxa"/>
            <w:vMerge w:val="restart"/>
            <w:tcBorders>
              <w:tl2br w:val="nil"/>
              <w:tr2bl w:val="nil"/>
            </w:tcBorders>
            <w:noWrap w:val="0"/>
            <w:vAlign w:val="center"/>
          </w:tcPr>
          <w:p w14:paraId="77B79570">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TSP小时平均浓度（mg/Nm</w:t>
            </w:r>
            <w:r>
              <w:rPr>
                <w:rFonts w:hint="eastAsia"/>
                <w:b w:val="0"/>
                <w:bCs/>
                <w:color w:val="auto"/>
                <w:sz w:val="21"/>
                <w:szCs w:val="21"/>
                <w:highlight w:val="none"/>
                <w:vertAlign w:val="superscript"/>
                <w:lang w:val="en-US" w:eastAsia="zh-CN"/>
              </w:rPr>
              <w:t>3</w:t>
            </w:r>
            <w:r>
              <w:rPr>
                <w:rFonts w:hint="eastAsia"/>
                <w:b w:val="0"/>
                <w:bCs/>
                <w:color w:val="auto"/>
                <w:sz w:val="21"/>
                <w:szCs w:val="21"/>
                <w:highlight w:val="none"/>
                <w:lang w:val="en-US" w:eastAsia="zh-CN"/>
              </w:rPr>
              <w:t>）</w:t>
            </w:r>
          </w:p>
        </w:tc>
        <w:tc>
          <w:tcPr>
            <w:tcW w:w="1358" w:type="dxa"/>
            <w:tcBorders>
              <w:tl2br w:val="nil"/>
              <w:tr2bl w:val="nil"/>
            </w:tcBorders>
            <w:noWrap w:val="0"/>
            <w:vAlign w:val="center"/>
          </w:tcPr>
          <w:p w14:paraId="1C053F02">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不洒水</w:t>
            </w:r>
          </w:p>
        </w:tc>
        <w:tc>
          <w:tcPr>
            <w:tcW w:w="1358" w:type="dxa"/>
            <w:tcBorders>
              <w:tl2br w:val="nil"/>
              <w:tr2bl w:val="nil"/>
            </w:tcBorders>
            <w:noWrap w:val="0"/>
            <w:vAlign w:val="center"/>
          </w:tcPr>
          <w:p w14:paraId="75FBDA74">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10.14</w:t>
            </w:r>
          </w:p>
        </w:tc>
        <w:tc>
          <w:tcPr>
            <w:tcW w:w="1358" w:type="dxa"/>
            <w:tcBorders>
              <w:tl2br w:val="nil"/>
              <w:tr2bl w:val="nil"/>
            </w:tcBorders>
            <w:noWrap w:val="0"/>
            <w:vAlign w:val="center"/>
          </w:tcPr>
          <w:p w14:paraId="6BD80FC0">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2.89</w:t>
            </w:r>
          </w:p>
        </w:tc>
        <w:tc>
          <w:tcPr>
            <w:tcW w:w="1358" w:type="dxa"/>
            <w:tcBorders>
              <w:tl2br w:val="nil"/>
              <w:tr2bl w:val="nil"/>
            </w:tcBorders>
            <w:noWrap w:val="0"/>
            <w:vAlign w:val="center"/>
          </w:tcPr>
          <w:p w14:paraId="16D938B5">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1.15</w:t>
            </w:r>
          </w:p>
        </w:tc>
        <w:tc>
          <w:tcPr>
            <w:tcW w:w="1358" w:type="dxa"/>
            <w:tcBorders>
              <w:tl2br w:val="nil"/>
              <w:tr2bl w:val="nil"/>
            </w:tcBorders>
            <w:noWrap w:val="0"/>
            <w:vAlign w:val="center"/>
          </w:tcPr>
          <w:p w14:paraId="7C8E8B00">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0.86</w:t>
            </w:r>
          </w:p>
        </w:tc>
      </w:tr>
      <w:tr w14:paraId="318E21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357" w:type="dxa"/>
            <w:vMerge w:val="continue"/>
            <w:tcBorders>
              <w:tl2br w:val="nil"/>
              <w:tr2bl w:val="nil"/>
            </w:tcBorders>
            <w:noWrap w:val="0"/>
            <w:vAlign w:val="center"/>
          </w:tcPr>
          <w:p w14:paraId="3EB838D9">
            <w:pPr>
              <w:pStyle w:val="45"/>
              <w:bidi w:val="0"/>
              <w:rPr>
                <w:rFonts w:hint="default"/>
                <w:b w:val="0"/>
                <w:bCs/>
                <w:color w:val="auto"/>
                <w:sz w:val="21"/>
                <w:szCs w:val="21"/>
                <w:highlight w:val="none"/>
                <w:lang w:val="en-US" w:eastAsia="zh-CN"/>
              </w:rPr>
            </w:pPr>
          </w:p>
        </w:tc>
        <w:tc>
          <w:tcPr>
            <w:tcW w:w="1358" w:type="dxa"/>
            <w:tcBorders>
              <w:tl2br w:val="nil"/>
              <w:tr2bl w:val="nil"/>
            </w:tcBorders>
            <w:noWrap w:val="0"/>
            <w:vAlign w:val="center"/>
          </w:tcPr>
          <w:p w14:paraId="1F537D4A">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洒水</w:t>
            </w:r>
          </w:p>
        </w:tc>
        <w:tc>
          <w:tcPr>
            <w:tcW w:w="1358" w:type="dxa"/>
            <w:tcBorders>
              <w:tl2br w:val="nil"/>
              <w:tr2bl w:val="nil"/>
            </w:tcBorders>
            <w:noWrap w:val="0"/>
            <w:vAlign w:val="center"/>
          </w:tcPr>
          <w:p w14:paraId="15ED279F">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2.01</w:t>
            </w:r>
          </w:p>
        </w:tc>
        <w:tc>
          <w:tcPr>
            <w:tcW w:w="1358" w:type="dxa"/>
            <w:tcBorders>
              <w:tl2br w:val="nil"/>
              <w:tr2bl w:val="nil"/>
            </w:tcBorders>
            <w:noWrap w:val="0"/>
            <w:vAlign w:val="center"/>
          </w:tcPr>
          <w:p w14:paraId="738D0BCD">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1.40</w:t>
            </w:r>
          </w:p>
        </w:tc>
        <w:tc>
          <w:tcPr>
            <w:tcW w:w="1358" w:type="dxa"/>
            <w:tcBorders>
              <w:tl2br w:val="nil"/>
              <w:tr2bl w:val="nil"/>
            </w:tcBorders>
            <w:noWrap w:val="0"/>
            <w:vAlign w:val="center"/>
          </w:tcPr>
          <w:p w14:paraId="37E89791">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0.67</w:t>
            </w:r>
          </w:p>
        </w:tc>
        <w:tc>
          <w:tcPr>
            <w:tcW w:w="1358" w:type="dxa"/>
            <w:tcBorders>
              <w:tl2br w:val="nil"/>
              <w:tr2bl w:val="nil"/>
            </w:tcBorders>
            <w:noWrap w:val="0"/>
            <w:vAlign w:val="center"/>
          </w:tcPr>
          <w:p w14:paraId="19E66795">
            <w:pPr>
              <w:pStyle w:val="45"/>
              <w:bidi w:val="0"/>
              <w:rPr>
                <w:rFonts w:hint="default"/>
                <w:b w:val="0"/>
                <w:bCs/>
                <w:color w:val="auto"/>
                <w:sz w:val="21"/>
                <w:szCs w:val="21"/>
                <w:highlight w:val="none"/>
                <w:lang w:val="en-US" w:eastAsia="zh-CN"/>
              </w:rPr>
            </w:pPr>
            <w:r>
              <w:rPr>
                <w:rFonts w:hint="eastAsia"/>
                <w:b w:val="0"/>
                <w:bCs/>
                <w:color w:val="auto"/>
                <w:sz w:val="21"/>
                <w:szCs w:val="21"/>
                <w:highlight w:val="none"/>
                <w:lang w:val="en-US" w:eastAsia="zh-CN"/>
              </w:rPr>
              <w:t>0.60</w:t>
            </w:r>
          </w:p>
        </w:tc>
      </w:tr>
    </w:tbl>
    <w:p w14:paraId="0DC4838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结果表明实施每天洒水4～5次进行抑尘，可有效控制施工扬尘，将TSP污染距离缩小到50m范围。施工扬尘的另一种情况是建材的露天堆放，因此，</w:t>
      </w:r>
      <w:r>
        <w:rPr>
          <w:rFonts w:hint="eastAsia" w:ascii="Times New Roman" w:hAnsi="Times New Roman" w:cs="Times New Roman"/>
          <w:bCs/>
          <w:color w:val="auto"/>
          <w:sz w:val="24"/>
          <w:szCs w:val="24"/>
          <w:highlight w:val="none"/>
          <w:lang w:val="en-US" w:eastAsia="zh-CN"/>
        </w:rPr>
        <w:t>施工期</w:t>
      </w:r>
      <w:r>
        <w:rPr>
          <w:rFonts w:hint="default" w:ascii="Times New Roman" w:hAnsi="Times New Roman" w:cs="Times New Roman"/>
          <w:bCs/>
          <w:color w:val="auto"/>
          <w:sz w:val="24"/>
          <w:szCs w:val="24"/>
          <w:highlight w:val="none"/>
          <w:lang w:val="en-US" w:eastAsia="zh-CN"/>
        </w:rPr>
        <w:t>减少建材的露天堆放是抑制这类扬尘的有效手段。此外，在建材运输、装卸、使用等过程中做好文明施工、文明管理，尽量避免或减少扬尘的产生，防止区域环境空气中粉尘污染。</w:t>
      </w:r>
    </w:p>
    <w:p w14:paraId="71E5A712">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本工程风机机组施工区、场内新建道路周围没有居民居住，进场</w:t>
      </w:r>
      <w:r>
        <w:rPr>
          <w:rFonts w:hint="eastAsia" w:ascii="Times New Roman" w:hAnsi="Times New Roman" w:cs="Times New Roman"/>
          <w:bCs/>
          <w:color w:val="auto"/>
          <w:sz w:val="24"/>
          <w:szCs w:val="24"/>
          <w:highlight w:val="none"/>
          <w:lang w:val="en-US" w:eastAsia="zh-CN"/>
        </w:rPr>
        <w:t>改建</w:t>
      </w:r>
      <w:r>
        <w:rPr>
          <w:rFonts w:hint="default" w:ascii="Times New Roman" w:hAnsi="Times New Roman" w:cs="Times New Roman"/>
          <w:bCs/>
          <w:color w:val="auto"/>
          <w:sz w:val="24"/>
          <w:szCs w:val="24"/>
          <w:highlight w:val="none"/>
          <w:lang w:val="en-US" w:eastAsia="zh-CN"/>
        </w:rPr>
        <w:t>道路评价范围内有</w:t>
      </w:r>
      <w:r>
        <w:rPr>
          <w:rFonts w:hint="eastAsia" w:ascii="Times New Roman" w:hAnsi="Times New Roman" w:cs="Times New Roman"/>
          <w:bCs/>
          <w:color w:val="auto"/>
          <w:sz w:val="24"/>
          <w:szCs w:val="24"/>
          <w:highlight w:val="none"/>
          <w:lang w:val="en-US" w:eastAsia="zh-CN"/>
        </w:rPr>
        <w:t>老屋塘</w:t>
      </w:r>
      <w:r>
        <w:rPr>
          <w:rFonts w:hint="default" w:ascii="Times New Roman" w:hAnsi="Times New Roman" w:cs="Times New Roman"/>
          <w:bCs/>
          <w:color w:val="auto"/>
          <w:sz w:val="24"/>
          <w:szCs w:val="24"/>
          <w:highlight w:val="none"/>
          <w:lang w:val="en-US" w:eastAsia="zh-CN"/>
        </w:rPr>
        <w:t>村居民点分布。通过以上分析评价，只要在施工期做好施工管理、洒水降尘等措施，就能有效减免</w:t>
      </w:r>
      <w:r>
        <w:rPr>
          <w:rFonts w:hint="eastAsia" w:ascii="Times New Roman" w:hAnsi="Times New Roman" w:cs="Times New Roman"/>
          <w:bCs/>
          <w:color w:val="auto"/>
          <w:sz w:val="24"/>
          <w:szCs w:val="24"/>
          <w:highlight w:val="none"/>
          <w:lang w:val="en-US" w:eastAsia="zh-CN"/>
        </w:rPr>
        <w:t>施工扬尘</w:t>
      </w:r>
      <w:r>
        <w:rPr>
          <w:rFonts w:hint="default" w:ascii="Times New Roman" w:hAnsi="Times New Roman" w:cs="Times New Roman"/>
          <w:bCs/>
          <w:color w:val="auto"/>
          <w:sz w:val="24"/>
          <w:szCs w:val="24"/>
          <w:highlight w:val="none"/>
          <w:lang w:val="en-US" w:eastAsia="zh-CN"/>
        </w:rPr>
        <w:t>对居民点的不利影响。</w:t>
      </w:r>
    </w:p>
    <w:p w14:paraId="04CF7176">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default" w:ascii="Times New Roman" w:hAnsi="Times New Roman" w:cs="Times New Roman"/>
          <w:b/>
          <w:bCs w:val="0"/>
          <w:color w:val="auto"/>
          <w:sz w:val="24"/>
          <w:szCs w:val="24"/>
          <w:highlight w:val="none"/>
          <w:lang w:val="en-US" w:eastAsia="zh-CN"/>
        </w:rPr>
      </w:pPr>
      <w:r>
        <w:rPr>
          <w:rFonts w:hint="eastAsia" w:ascii="Times New Roman" w:hAnsi="Times New Roman" w:cs="Times New Roman"/>
          <w:b/>
          <w:bCs w:val="0"/>
          <w:color w:val="auto"/>
          <w:sz w:val="24"/>
          <w:szCs w:val="24"/>
          <w:highlight w:val="none"/>
          <w:lang w:val="en-US" w:eastAsia="zh-CN"/>
        </w:rPr>
        <w:t>（3）柴油发电机废气影响分析</w:t>
      </w:r>
    </w:p>
    <w:p w14:paraId="326A1B9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施工期采用2台50kW的柴油发电机作为临时供电。根据资料分析，发电机采用0#柴油作为燃料，主要污染物为烟尘、CO</w:t>
      </w:r>
      <w:r>
        <w:rPr>
          <w:rFonts w:hint="default" w:ascii="Times New Roman" w:hAnsi="Times New Roman" w:cs="Times New Roman"/>
          <w:bCs/>
          <w:color w:val="auto"/>
          <w:sz w:val="24"/>
          <w:szCs w:val="24"/>
          <w:highlight w:val="none"/>
          <w:vertAlign w:val="subscript"/>
          <w:lang w:val="en-US" w:eastAsia="zh-CN"/>
        </w:rPr>
        <w:t>2</w:t>
      </w:r>
      <w:r>
        <w:rPr>
          <w:rFonts w:hint="default" w:ascii="Times New Roman" w:hAnsi="Times New Roman" w:cs="Times New Roman"/>
          <w:bCs/>
          <w:color w:val="auto"/>
          <w:sz w:val="24"/>
          <w:szCs w:val="24"/>
          <w:highlight w:val="none"/>
          <w:lang w:val="en-US" w:eastAsia="zh-CN"/>
        </w:rPr>
        <w:t>、CO、HC、NOx、SO</w:t>
      </w:r>
      <w:r>
        <w:rPr>
          <w:rFonts w:hint="default" w:ascii="Times New Roman" w:hAnsi="Times New Roman" w:cs="Times New Roman"/>
          <w:bCs/>
          <w:color w:val="auto"/>
          <w:sz w:val="24"/>
          <w:szCs w:val="24"/>
          <w:highlight w:val="none"/>
          <w:vertAlign w:val="subscript"/>
          <w:lang w:val="en-US" w:eastAsia="zh-CN"/>
        </w:rPr>
        <w:t>2</w:t>
      </w:r>
      <w:r>
        <w:rPr>
          <w:rFonts w:hint="default" w:ascii="Times New Roman" w:hAnsi="Times New Roman" w:cs="Times New Roman"/>
          <w:bCs/>
          <w:color w:val="auto"/>
          <w:sz w:val="24"/>
          <w:szCs w:val="24"/>
          <w:highlight w:val="none"/>
          <w:lang w:val="en-US" w:eastAsia="zh-CN"/>
        </w:rPr>
        <w:t>等。废气产生量较少，并且项目位于山区，空气流动性较强，发电机运行时产生的少量废气对周围环境影响不大。</w:t>
      </w:r>
    </w:p>
    <w:p w14:paraId="78703ACA">
      <w:pPr>
        <w:pStyle w:val="5"/>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施工期水土流失</w:t>
      </w:r>
      <w:r>
        <w:rPr>
          <w:rFonts w:hint="eastAsia" w:ascii="Times New Roman" w:hAnsi="Times New Roman" w:cs="Times New Roman"/>
          <w:color w:val="auto"/>
          <w:highlight w:val="none"/>
          <w:lang w:val="en-US" w:eastAsia="zh-CN"/>
        </w:rPr>
        <w:t>影响预测与评价</w:t>
      </w:r>
    </w:p>
    <w:p w14:paraId="3A084E43">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（1）水土流失成因分析</w:t>
      </w:r>
    </w:p>
    <w:p w14:paraId="39BA4D0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t>本工程为点状和线状相结合的工程，项目建设综合利用自身开挖的土石方资源，主要建设内容为道路工程和机组及箱变的基础工程及临建设施等，因此，本项目的水土流失主要成线状和面状分布，主要表现如下：</w:t>
      </w:r>
    </w:p>
    <w:p w14:paraId="44120F4D">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fldChar w:fldCharType="begin"/>
      </w:r>
      <w:r>
        <w:rPr>
          <w:rFonts w:hint="default" w:ascii="Times New Roman" w:hAnsi="Times New Roman" w:cs="Times New Roman"/>
          <w:bCs/>
          <w:color w:val="auto"/>
          <w:sz w:val="24"/>
          <w:szCs w:val="24"/>
          <w:highlight w:val="none"/>
          <w:lang w:val="en-US" w:eastAsia="zh-CN"/>
        </w:rPr>
        <w:instrText xml:space="preserve"> = 1 \* GB3 </w:instrText>
      </w:r>
      <w:r>
        <w:rPr>
          <w:rFonts w:hint="default" w:ascii="Times New Roman" w:hAnsi="Times New Roman" w:cs="Times New Roman"/>
          <w:bCs/>
          <w:color w:val="auto"/>
          <w:sz w:val="24"/>
          <w:szCs w:val="24"/>
          <w:highlight w:val="none"/>
          <w:lang w:val="en-US" w:eastAsia="zh-CN"/>
        </w:rPr>
        <w:fldChar w:fldCharType="separate"/>
      </w:r>
      <w:r>
        <w:rPr>
          <w:rFonts w:hint="default" w:ascii="Times New Roman" w:hAnsi="Times New Roman" w:cs="Times New Roman"/>
          <w:bCs/>
          <w:color w:val="auto"/>
          <w:sz w:val="24"/>
          <w:szCs w:val="24"/>
          <w:highlight w:val="none"/>
          <w:lang w:val="en-US" w:eastAsia="zh-CN"/>
        </w:rPr>
        <w:t>①</w:t>
      </w:r>
      <w:r>
        <w:rPr>
          <w:rFonts w:hint="default" w:ascii="Times New Roman" w:hAnsi="Times New Roman" w:cs="Times New Roman"/>
          <w:bCs/>
          <w:color w:val="auto"/>
          <w:sz w:val="24"/>
          <w:szCs w:val="24"/>
          <w:highlight w:val="none"/>
          <w:lang w:val="en-US" w:eastAsia="zh-CN"/>
        </w:rPr>
        <w:fldChar w:fldCharType="end"/>
      </w:r>
      <w:r>
        <w:rPr>
          <w:rFonts w:hint="default" w:ascii="Times New Roman" w:hAnsi="Times New Roman" w:cs="Times New Roman"/>
          <w:bCs/>
          <w:color w:val="auto"/>
          <w:sz w:val="24"/>
          <w:szCs w:val="24"/>
          <w:highlight w:val="none"/>
          <w:lang w:val="en-US" w:eastAsia="zh-CN"/>
        </w:rPr>
        <w:t>损坏了项目区具有水土保持功能的林草植被。工程建设改变了原地形地貌，破坏植被，施工区容易受降雨和地表径流冲刷产生水土流失。</w:t>
      </w:r>
    </w:p>
    <w:p w14:paraId="0ADA0E6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olor w:val="auto"/>
          <w:sz w:val="24"/>
          <w:szCs w:val="24"/>
          <w:highlight w:val="none"/>
          <w:lang w:val="en-US" w:eastAsia="zh-CN"/>
        </w:rPr>
      </w:pPr>
      <w:r>
        <w:rPr>
          <w:rFonts w:hint="default" w:ascii="Times New Roman" w:hAnsi="Times New Roman" w:cs="Times New Roman"/>
          <w:bCs/>
          <w:color w:val="auto"/>
          <w:sz w:val="24"/>
          <w:szCs w:val="24"/>
          <w:highlight w:val="none"/>
          <w:lang w:val="en-US" w:eastAsia="zh-CN"/>
        </w:rPr>
        <w:fldChar w:fldCharType="begin"/>
      </w:r>
      <w:r>
        <w:rPr>
          <w:rFonts w:hint="default" w:ascii="Times New Roman" w:hAnsi="Times New Roman" w:cs="Times New Roman"/>
          <w:bCs/>
          <w:color w:val="auto"/>
          <w:sz w:val="24"/>
          <w:szCs w:val="24"/>
          <w:highlight w:val="none"/>
          <w:lang w:val="en-US" w:eastAsia="zh-CN"/>
        </w:rPr>
        <w:instrText xml:space="preserve"> = 2 \* GB3 </w:instrText>
      </w:r>
      <w:r>
        <w:rPr>
          <w:rFonts w:hint="default" w:ascii="Times New Roman" w:hAnsi="Times New Roman" w:cs="Times New Roman"/>
          <w:bCs/>
          <w:color w:val="auto"/>
          <w:sz w:val="24"/>
          <w:szCs w:val="24"/>
          <w:highlight w:val="none"/>
          <w:lang w:val="en-US" w:eastAsia="zh-CN"/>
        </w:rPr>
        <w:fldChar w:fldCharType="separate"/>
      </w:r>
      <w:r>
        <w:rPr>
          <w:rFonts w:hint="default" w:ascii="Times New Roman" w:hAnsi="Times New Roman" w:cs="Times New Roman"/>
          <w:bCs/>
          <w:color w:val="auto"/>
          <w:sz w:val="24"/>
          <w:szCs w:val="24"/>
          <w:highlight w:val="none"/>
          <w:lang w:val="en-US" w:eastAsia="zh-CN"/>
        </w:rPr>
        <w:t>②</w:t>
      </w:r>
      <w:r>
        <w:rPr>
          <w:rFonts w:hint="default" w:ascii="Times New Roman" w:hAnsi="Times New Roman" w:cs="Times New Roman"/>
          <w:bCs/>
          <w:color w:val="auto"/>
          <w:sz w:val="24"/>
          <w:szCs w:val="24"/>
          <w:highlight w:val="none"/>
          <w:lang w:val="en-US" w:eastAsia="zh-CN"/>
        </w:rPr>
        <w:fldChar w:fldCharType="end"/>
      </w:r>
      <w:r>
        <w:rPr>
          <w:rFonts w:hint="default" w:ascii="Times New Roman" w:hAnsi="Times New Roman" w:cs="Times New Roman"/>
          <w:bCs/>
          <w:color w:val="auto"/>
          <w:sz w:val="24"/>
          <w:szCs w:val="24"/>
          <w:highlight w:val="none"/>
          <w:lang w:val="en-US" w:eastAsia="zh-CN"/>
        </w:rPr>
        <w:t>破坏地表土壤结构。工程施工需破坏原有具有水土保持功能的地面，大量的扰动使土壤结构改变，抗蚀力显著降低，在降雨和径流等自然因素影响下极易产生水土流失。</w:t>
      </w:r>
    </w:p>
    <w:p w14:paraId="7BDCEF9C">
      <w:pPr>
        <w:autoSpaceDE w:val="0"/>
        <w:spacing w:line="360" w:lineRule="auto"/>
        <w:ind w:firstLine="480" w:firstLineChars="200"/>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3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③</w:t>
      </w:r>
      <w:r>
        <w:rPr>
          <w:rFonts w:hAnsi="宋体"/>
          <w:color w:val="auto"/>
          <w:sz w:val="24"/>
          <w:highlight w:val="none"/>
        </w:rPr>
        <w:fldChar w:fldCharType="end"/>
      </w:r>
      <w:r>
        <w:rPr>
          <w:rFonts w:hint="eastAsia" w:hAnsi="宋体"/>
          <w:color w:val="auto"/>
          <w:sz w:val="24"/>
          <w:highlight w:val="none"/>
        </w:rPr>
        <w:t>道路工程、风机安装平台的土石方工程量较大，无法全部回填利用。开挖、回填面裸露，基础基坑开挖后需临时堆放回填土方，这些敏感性的区域，极易造成水土流失。</w:t>
      </w:r>
    </w:p>
    <w:p w14:paraId="1E5C53C1">
      <w:pPr>
        <w:autoSpaceDE w:val="0"/>
        <w:spacing w:line="360" w:lineRule="auto"/>
        <w:ind w:firstLine="480" w:firstLineChars="200"/>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4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④</w:t>
      </w:r>
      <w:r>
        <w:rPr>
          <w:rFonts w:hAnsi="宋体"/>
          <w:color w:val="auto"/>
          <w:sz w:val="24"/>
          <w:highlight w:val="none"/>
        </w:rPr>
        <w:fldChar w:fldCharType="end"/>
      </w:r>
      <w:r>
        <w:rPr>
          <w:rFonts w:hint="eastAsia" w:hAnsi="宋体"/>
          <w:color w:val="auto"/>
          <w:sz w:val="24"/>
          <w:highlight w:val="none"/>
        </w:rPr>
        <w:t>施工中形成了易受降雨径流冲刷的边坡。施工过程中的临时堆土和施工产生的裸露边坡，将加剧水土流失进程。</w:t>
      </w:r>
    </w:p>
    <w:p w14:paraId="336481A8">
      <w:pPr>
        <w:autoSpaceDE w:val="0"/>
        <w:spacing w:line="360" w:lineRule="auto"/>
        <w:ind w:firstLine="480" w:firstLineChars="200"/>
        <w:rPr>
          <w:rFonts w:hAnsi="宋体"/>
          <w:color w:val="auto"/>
          <w:sz w:val="24"/>
          <w:highlight w:val="none"/>
        </w:rPr>
      </w:pPr>
      <w:r>
        <w:rPr>
          <w:rFonts w:hint="eastAsia" w:hAnsi="宋体"/>
          <w:color w:val="auto"/>
          <w:sz w:val="24"/>
          <w:highlight w:val="none"/>
        </w:rPr>
        <w:t>（2）工程建设及运行对水土流失的影响</w:t>
      </w:r>
    </w:p>
    <w:p w14:paraId="643FB983">
      <w:pPr>
        <w:autoSpaceDE w:val="0"/>
        <w:spacing w:line="360" w:lineRule="auto"/>
        <w:ind w:firstLine="480" w:firstLineChars="200"/>
        <w:rPr>
          <w:rFonts w:hAnsi="宋体"/>
          <w:color w:val="auto"/>
          <w:sz w:val="24"/>
          <w:highlight w:val="none"/>
        </w:rPr>
      </w:pPr>
      <w:r>
        <w:rPr>
          <w:rFonts w:hint="eastAsia" w:hAnsi="宋体"/>
          <w:color w:val="auto"/>
          <w:sz w:val="24"/>
          <w:highlight w:val="none"/>
        </w:rPr>
        <w:t>本项目的水土流失主要集中在施工期内。本项目风机安装平台、道路的路基开挖与回填等将破坏地表原有的植被和地表土壤结构，使土壤结构松散，抗侵蚀能力减弱；同时会产生一些临时性的堆土，有可能造成新的水土流失。因此，在风电场建设过程中，如不采取有效的水土保持防治措施，将进一步引起新的水土流失，给施工建设期的施工安全带来危害，有可能危害风电场的安全生产。运行期内风电场的水土流失防治措施发挥效益，能有效的控制水土流失，只要没有人为的再破坏，工程运行期水土流失将难以发生。</w:t>
      </w:r>
    </w:p>
    <w:p w14:paraId="4381F032">
      <w:pPr>
        <w:autoSpaceDE w:val="0"/>
        <w:spacing w:line="360" w:lineRule="auto"/>
        <w:ind w:firstLine="480" w:firstLineChars="200"/>
        <w:rPr>
          <w:rFonts w:hAnsi="宋体"/>
          <w:color w:val="auto"/>
          <w:sz w:val="24"/>
          <w:highlight w:val="none"/>
          <w:u w:val="none"/>
        </w:rPr>
      </w:pPr>
      <w:r>
        <w:rPr>
          <w:rFonts w:hint="eastAsia" w:hAnsi="宋体"/>
          <w:color w:val="auto"/>
          <w:sz w:val="24"/>
          <w:highlight w:val="none"/>
          <w:u w:val="none"/>
        </w:rPr>
        <w:t>（3）水土流失预测</w:t>
      </w:r>
    </w:p>
    <w:p w14:paraId="7F61DD3E">
      <w:pPr>
        <w:spacing w:line="360" w:lineRule="auto"/>
        <w:ind w:firstLine="480" w:firstLineChars="200"/>
        <w:rPr>
          <w:rFonts w:hAnsi="宋体"/>
          <w:color w:val="auto"/>
          <w:sz w:val="24"/>
          <w:highlight w:val="none"/>
          <w:u w:val="none"/>
        </w:rPr>
      </w:pPr>
      <w:r>
        <w:rPr>
          <w:rFonts w:hint="eastAsia" w:ascii="Times New Roman" w:hAnsi="Times New Roman" w:cs="Times New Roman"/>
          <w:b w:val="0"/>
          <w:bCs w:val="0"/>
          <w:color w:val="auto"/>
          <w:kern w:val="0"/>
          <w:sz w:val="24"/>
          <w:szCs w:val="24"/>
          <w:highlight w:val="none"/>
          <w:lang w:val="en-US" w:eastAsia="zh-CN"/>
        </w:rPr>
        <w:t>根据《祁东县南冲风电场（大马二期）工程水土保持方案报告书》，</w:t>
      </w:r>
      <w:r>
        <w:rPr>
          <w:rFonts w:hAnsi="宋体"/>
          <w:color w:val="auto"/>
          <w:sz w:val="24"/>
          <w:highlight w:val="none"/>
          <w:u w:val="none"/>
        </w:rPr>
        <w:t>本工程在建设期可能造成水土流失总量为9231.31t，其中新增水土流失总量为</w:t>
      </w:r>
      <w:r>
        <w:rPr>
          <w:rFonts w:hint="eastAsia" w:hAnsi="宋体"/>
          <w:color w:val="auto"/>
          <w:sz w:val="24"/>
          <w:highlight w:val="none"/>
          <w:u w:val="none"/>
          <w:lang w:val="en-US" w:eastAsia="zh-CN"/>
        </w:rPr>
        <w:t>7916.62</w:t>
      </w:r>
      <w:r>
        <w:rPr>
          <w:rFonts w:hAnsi="宋体"/>
          <w:color w:val="auto"/>
          <w:sz w:val="24"/>
          <w:highlight w:val="none"/>
          <w:u w:val="none"/>
        </w:rPr>
        <w:t>t。</w:t>
      </w:r>
    </w:p>
    <w:p w14:paraId="121621E7">
      <w:pPr>
        <w:pStyle w:val="4"/>
        <w:bidi w:val="0"/>
        <w:rPr>
          <w:rFonts w:hint="default" w:ascii="Times New Roman" w:hAnsi="Times New Roman" w:cs="Times New Roman"/>
          <w:color w:val="auto"/>
          <w:highlight w:val="none"/>
        </w:rPr>
      </w:pPr>
      <w:bookmarkStart w:id="86" w:name="_Toc156"/>
      <w:r>
        <w:rPr>
          <w:rFonts w:hint="eastAsia" w:cs="Times New Roman"/>
          <w:color w:val="auto"/>
          <w:highlight w:val="none"/>
          <w:lang w:eastAsia="zh-CN"/>
        </w:rPr>
        <w:t>营运期环境影响预测与评价</w:t>
      </w:r>
      <w:bookmarkEnd w:id="86"/>
    </w:p>
    <w:p w14:paraId="19242E2F">
      <w:pPr>
        <w:pStyle w:val="5"/>
        <w:rPr>
          <w:rFonts w:hint="default" w:ascii="Times New Roman" w:hAnsi="Times New Roman" w:cs="Times New Roman"/>
          <w:color w:val="auto"/>
          <w:highlight w:val="none"/>
          <w:lang w:eastAsia="zh-CN"/>
        </w:rPr>
      </w:pPr>
      <w:r>
        <w:rPr>
          <w:rFonts w:hint="eastAsia" w:ascii="Times New Roman" w:hAnsi="Times New Roman" w:cs="Times New Roman"/>
          <w:color w:val="auto"/>
          <w:highlight w:val="none"/>
          <w:lang w:val="en-US" w:eastAsia="zh-CN"/>
        </w:rPr>
        <w:t>生态环境影响预测与评价</w:t>
      </w:r>
    </w:p>
    <w:p w14:paraId="4391FE23">
      <w:pPr>
        <w:pStyle w:val="6"/>
        <w:rPr>
          <w:rFonts w:hint="default" w:ascii="Times New Roman" w:hAnsi="Times New Roman" w:eastAsia="宋体" w:cs="Times New Roman"/>
          <w:color w:val="auto"/>
          <w:highlight w:val="none"/>
          <w:lang w:eastAsia="zh-CN"/>
        </w:rPr>
      </w:pPr>
      <w:r>
        <w:rPr>
          <w:rFonts w:hint="eastAsia" w:ascii="Times New Roman" w:hAnsi="Times New Roman" w:eastAsia="宋体" w:cs="Times New Roman"/>
          <w:color w:val="auto"/>
          <w:highlight w:val="none"/>
          <w:lang w:val="en-US" w:eastAsia="zh-CN"/>
        </w:rPr>
        <w:t>对陆生植被影响分析</w:t>
      </w:r>
    </w:p>
    <w:p w14:paraId="737FAF3E">
      <w:pPr>
        <w:bidi w:val="0"/>
        <w:rPr>
          <w:rFonts w:hint="eastAsia" w:eastAsia="宋体"/>
          <w:b/>
          <w:bCs/>
          <w:color w:val="auto"/>
          <w:highlight w:val="none"/>
          <w:lang w:eastAsia="zh-CN"/>
        </w:rPr>
      </w:pPr>
      <w:r>
        <w:rPr>
          <w:rFonts w:hint="eastAsia"/>
          <w:b/>
          <w:bCs/>
          <w:color w:val="auto"/>
          <w:highlight w:val="none"/>
          <w:lang w:val="en-US" w:eastAsia="zh-CN"/>
        </w:rPr>
        <w:t>1、</w:t>
      </w:r>
      <w:r>
        <w:rPr>
          <w:rFonts w:hint="eastAsia"/>
          <w:b/>
          <w:bCs/>
          <w:color w:val="auto"/>
          <w:highlight w:val="none"/>
          <w:lang w:eastAsia="zh-CN"/>
        </w:rPr>
        <w:t>对陆生植被的影响</w:t>
      </w:r>
    </w:p>
    <w:p w14:paraId="3D75E80E">
      <w:pPr>
        <w:bidi w:val="0"/>
        <w:rPr>
          <w:color w:val="auto"/>
          <w:highlight w:val="none"/>
        </w:rPr>
      </w:pPr>
      <w:r>
        <w:rPr>
          <w:rFonts w:hint="eastAsia"/>
          <w:color w:val="auto"/>
          <w:highlight w:val="none"/>
        </w:rPr>
        <w:t>风电场投入运营后，永久占地内的植被完全被破坏，取而代之的是风机和杆塔的基础等建筑用地类型，但可以通过异地栽种乔、灌木和种植草坪等绿化方式减少由此造成的植被损失。临时占地区域被占用的植被将随着施工的结束而得到恢复，其影响将逐步消失。但在运营期，风电机检修时，可能产生少量废水，如管理不善，对电机周围的植物有一定影响，但影响较小。总体来说，风电场运行期间，对</w:t>
      </w:r>
      <w:r>
        <w:rPr>
          <w:rFonts w:hint="eastAsia"/>
          <w:color w:val="auto"/>
          <w:highlight w:val="none"/>
          <w:lang w:eastAsia="zh-CN"/>
        </w:rPr>
        <w:t>植被</w:t>
      </w:r>
      <w:r>
        <w:rPr>
          <w:rFonts w:hint="eastAsia"/>
          <w:color w:val="auto"/>
          <w:highlight w:val="none"/>
        </w:rPr>
        <w:t>的影响较小。</w:t>
      </w:r>
    </w:p>
    <w:p w14:paraId="712F06EB">
      <w:pPr>
        <w:bidi w:val="0"/>
        <w:rPr>
          <w:rFonts w:hint="eastAsia" w:eastAsia="宋体"/>
          <w:b/>
          <w:bCs/>
          <w:color w:val="auto"/>
          <w:highlight w:val="none"/>
          <w:lang w:val="en-US" w:eastAsia="zh-CN"/>
        </w:rPr>
      </w:pPr>
      <w:r>
        <w:rPr>
          <w:rFonts w:hint="eastAsia"/>
          <w:b/>
          <w:bCs/>
          <w:color w:val="auto"/>
          <w:highlight w:val="none"/>
          <w:lang w:val="en-US" w:eastAsia="zh-CN"/>
        </w:rPr>
        <w:t>2、外来入侵种的影响</w:t>
      </w:r>
    </w:p>
    <w:p w14:paraId="68E5C0BA">
      <w:pPr>
        <w:pageBreakBefore w:val="0"/>
        <w:widowControl w:val="0"/>
        <w:kinsoku/>
        <w:wordWrap/>
        <w:overflowPunct/>
        <w:topLinePunct w:val="0"/>
        <w:autoSpaceDE/>
        <w:autoSpaceDN/>
        <w:bidi w:val="0"/>
        <w:adjustRightInd w:val="0"/>
        <w:snapToGrid w:val="0"/>
        <w:spacing w:line="360" w:lineRule="auto"/>
        <w:ind w:left="0" w:firstLine="480" w:firstLineChars="200"/>
        <w:textAlignment w:val="auto"/>
        <w:rPr>
          <w:rFonts w:hint="default" w:ascii="Times New Roman" w:hAnsi="Times New Roman" w:eastAsia="宋体" w:cs="Times New Roman"/>
          <w:snapToGrid/>
          <w:color w:val="auto"/>
          <w:kern w:val="2"/>
          <w:sz w:val="24"/>
          <w:szCs w:val="24"/>
          <w:highlight w:val="none"/>
          <w:lang w:val="en-US" w:eastAsia="zh-CN" w:bidi="ar-SA"/>
        </w:rPr>
      </w:pPr>
      <w:r>
        <w:rPr>
          <w:rFonts w:hint="default" w:ascii="Times New Roman" w:hAnsi="Times New Roman" w:eastAsia="宋体" w:cs="Times New Roman"/>
          <w:snapToGrid/>
          <w:color w:val="auto"/>
          <w:kern w:val="2"/>
          <w:sz w:val="24"/>
          <w:szCs w:val="24"/>
          <w:highlight w:val="none"/>
          <w:lang w:val="en-US" w:eastAsia="zh-CN" w:bidi="ar-SA"/>
        </w:rPr>
        <w:t>通过现场调查，评价区外来入侵物种主要有小蓬草、一年蓬等，多零散分布。 评价区风能资源充足，再加上施工期频繁的人为活动，易引起外来入侵物种的大 面积扩散，施工过程中如不注意对其进行控制，可能导致其大规模入侵并迅速占 领生态位，对本地种的生存造成危害。</w:t>
      </w:r>
    </w:p>
    <w:p w14:paraId="60C5D395">
      <w:pPr>
        <w:bidi w:val="0"/>
        <w:rPr>
          <w:rFonts w:hint="eastAsia" w:eastAsia="宋体"/>
          <w:b/>
          <w:bCs/>
          <w:color w:val="auto"/>
          <w:highlight w:val="none"/>
          <w:lang w:val="en-US" w:eastAsia="zh-CN"/>
        </w:rPr>
      </w:pPr>
      <w:r>
        <w:rPr>
          <w:rFonts w:hint="eastAsia"/>
          <w:b/>
          <w:bCs/>
          <w:color w:val="auto"/>
          <w:highlight w:val="none"/>
          <w:lang w:val="en-US" w:eastAsia="zh-CN"/>
        </w:rPr>
        <w:t>3、对保护林地的影响</w:t>
      </w:r>
    </w:p>
    <w:p w14:paraId="10429A07">
      <w:pPr>
        <w:bidi w:val="0"/>
        <w:rPr>
          <w:color w:val="auto"/>
          <w:highlight w:val="none"/>
        </w:rPr>
      </w:pPr>
      <w:r>
        <w:rPr>
          <w:rFonts w:hint="default" w:ascii="Times New Roman" w:hAnsi="Times New Roman" w:eastAsia="宋体" w:cs="Times New Roman"/>
          <w:snapToGrid/>
          <w:color w:val="auto"/>
          <w:kern w:val="2"/>
          <w:sz w:val="24"/>
          <w:szCs w:val="24"/>
          <w:highlight w:val="none"/>
          <w:lang w:val="en-US" w:eastAsia="zh-CN" w:bidi="ar-SA"/>
        </w:rPr>
        <w:t>本工程建设对评价区生态公益林的影响因素主要有工程占地、施工砍伐等。 根据工程布置，本工程</w:t>
      </w:r>
      <w:r>
        <w:rPr>
          <w:rFonts w:hint="eastAsia" w:ascii="Times New Roman" w:hAnsi="Times New Roman" w:eastAsia="宋体" w:cs="Times New Roman"/>
          <w:snapToGrid/>
          <w:color w:val="auto"/>
          <w:kern w:val="2"/>
          <w:sz w:val="24"/>
          <w:szCs w:val="24"/>
          <w:highlight w:val="none"/>
          <w:lang w:val="en-US" w:eastAsia="zh-CN" w:bidi="ar-SA"/>
        </w:rPr>
        <w:t>不</w:t>
      </w:r>
      <w:r>
        <w:rPr>
          <w:rFonts w:hint="default" w:ascii="Times New Roman" w:hAnsi="Times New Roman" w:eastAsia="宋体" w:cs="Times New Roman"/>
          <w:snapToGrid/>
          <w:color w:val="auto"/>
          <w:kern w:val="2"/>
          <w:sz w:val="24"/>
          <w:szCs w:val="24"/>
          <w:highlight w:val="none"/>
          <w:lang w:val="en-US" w:eastAsia="zh-CN" w:bidi="ar-SA"/>
        </w:rPr>
        <w:t>占用</w:t>
      </w:r>
      <w:r>
        <w:rPr>
          <w:rFonts w:hint="eastAsia" w:ascii="Times New Roman" w:hAnsi="Times New Roman" w:eastAsia="宋体" w:cs="Times New Roman"/>
          <w:snapToGrid/>
          <w:color w:val="auto"/>
          <w:kern w:val="2"/>
          <w:sz w:val="24"/>
          <w:szCs w:val="24"/>
          <w:highlight w:val="none"/>
          <w:lang w:val="en-US" w:eastAsia="zh-CN" w:bidi="ar-SA"/>
        </w:rPr>
        <w:t>保护林地及</w:t>
      </w:r>
      <w:r>
        <w:rPr>
          <w:rFonts w:hint="default" w:ascii="Times New Roman" w:hAnsi="Times New Roman" w:eastAsia="宋体" w:cs="Times New Roman"/>
          <w:snapToGrid/>
          <w:color w:val="auto"/>
          <w:kern w:val="2"/>
          <w:sz w:val="24"/>
          <w:szCs w:val="24"/>
          <w:highlight w:val="none"/>
          <w:lang w:val="en-US" w:eastAsia="zh-CN" w:bidi="ar-SA"/>
        </w:rPr>
        <w:t>公益林。施工期施工人员的随意践踏、施工产生的粉尘覆盖在植物叶片影响植物的光合作用，施工污水渗入土壤破坏土壤的理化性质等</w:t>
      </w:r>
      <w:r>
        <w:rPr>
          <w:rFonts w:hint="eastAsia" w:ascii="Times New Roman" w:hAnsi="Times New Roman" w:eastAsia="宋体" w:cs="Times New Roman"/>
          <w:snapToGrid/>
          <w:color w:val="auto"/>
          <w:kern w:val="2"/>
          <w:sz w:val="24"/>
          <w:szCs w:val="24"/>
          <w:highlight w:val="none"/>
          <w:lang w:val="en-US" w:eastAsia="zh-CN" w:bidi="ar-SA"/>
        </w:rPr>
        <w:t>会会保护林地及公益林造成影响</w:t>
      </w:r>
      <w:r>
        <w:rPr>
          <w:rFonts w:hint="default" w:ascii="Times New Roman" w:hAnsi="Times New Roman" w:eastAsia="宋体" w:cs="Times New Roman"/>
          <w:snapToGrid/>
          <w:color w:val="auto"/>
          <w:kern w:val="2"/>
          <w:sz w:val="24"/>
          <w:szCs w:val="24"/>
          <w:highlight w:val="none"/>
          <w:lang w:val="en-US" w:eastAsia="zh-CN" w:bidi="ar-SA"/>
        </w:rPr>
        <w:t>；运行期工程对</w:t>
      </w:r>
      <w:r>
        <w:rPr>
          <w:rFonts w:hint="eastAsia" w:ascii="Times New Roman" w:hAnsi="Times New Roman" w:eastAsia="宋体" w:cs="Times New Roman"/>
          <w:snapToGrid/>
          <w:color w:val="auto"/>
          <w:kern w:val="2"/>
          <w:sz w:val="24"/>
          <w:szCs w:val="24"/>
          <w:highlight w:val="none"/>
          <w:lang w:val="en-US" w:eastAsia="zh-CN" w:bidi="ar-SA"/>
        </w:rPr>
        <w:t>保护林地、</w:t>
      </w:r>
      <w:r>
        <w:rPr>
          <w:rFonts w:hint="default" w:ascii="Times New Roman" w:hAnsi="Times New Roman" w:eastAsia="宋体" w:cs="Times New Roman"/>
          <w:snapToGrid/>
          <w:color w:val="auto"/>
          <w:kern w:val="2"/>
          <w:sz w:val="24"/>
          <w:szCs w:val="24"/>
          <w:highlight w:val="none"/>
          <w:lang w:val="en-US" w:eastAsia="zh-CN" w:bidi="ar-SA"/>
        </w:rPr>
        <w:t>公益林基本无影响。</w:t>
      </w:r>
    </w:p>
    <w:p w14:paraId="39F92F2E">
      <w:pPr>
        <w:pStyle w:val="6"/>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对陆生动物的影响</w:t>
      </w:r>
    </w:p>
    <w:p w14:paraId="0E4B811A">
      <w:pPr>
        <w:bidi w:val="0"/>
        <w:rPr>
          <w:rFonts w:hint="eastAsia" w:ascii="Times New Roman" w:hAnsi="Times New Roman" w:eastAsia="宋体" w:cs="Times New Roman"/>
          <w:snapToGrid/>
          <w:color w:val="auto"/>
          <w:kern w:val="2"/>
          <w:sz w:val="24"/>
          <w:szCs w:val="24"/>
          <w:highlight w:val="none"/>
          <w:lang w:val="en-US" w:eastAsia="zh-CN" w:bidi="ar-SA"/>
        </w:rPr>
      </w:pPr>
      <w:r>
        <w:rPr>
          <w:rFonts w:hint="eastAsia" w:ascii="Times New Roman" w:hAnsi="Times New Roman" w:eastAsia="宋体" w:cs="Times New Roman"/>
          <w:snapToGrid/>
          <w:color w:val="auto"/>
          <w:kern w:val="2"/>
          <w:sz w:val="24"/>
          <w:szCs w:val="24"/>
          <w:highlight w:val="none"/>
          <w:lang w:val="en-US" w:eastAsia="zh-CN" w:bidi="ar-SA"/>
        </w:rPr>
        <w:t>工程在运行期对陆生动物的影响主要是风机、集电线路、升压站带来的影响，其中鸟类受其影响最大。</w:t>
      </w:r>
    </w:p>
    <w:p w14:paraId="2657FD79">
      <w:pPr>
        <w:keepNext w:val="0"/>
        <w:keepLines w:val="0"/>
        <w:pageBreakBefore w:val="0"/>
        <w:widowControl w:val="0"/>
        <w:numPr>
          <w:ilvl w:val="0"/>
          <w:numId w:val="10"/>
        </w:numPr>
        <w:kinsoku/>
        <w:wordWrap/>
        <w:overflowPunct/>
        <w:topLinePunct w:val="0"/>
        <w:autoSpaceDE/>
        <w:autoSpaceDN/>
        <w:bidi w:val="0"/>
        <w:adjustRightInd w:val="0"/>
        <w:snapToGrid w:val="0"/>
        <w:ind w:firstLine="482" w:firstLineChars="200"/>
        <w:textAlignment w:val="auto"/>
        <w:rPr>
          <w:rFonts w:hint="eastAsia"/>
          <w:b/>
          <w:bCs/>
          <w:color w:val="auto"/>
          <w:highlight w:val="none"/>
          <w:lang w:eastAsia="zh-CN"/>
        </w:rPr>
      </w:pPr>
      <w:r>
        <w:rPr>
          <w:rFonts w:hint="eastAsia"/>
          <w:b/>
          <w:bCs/>
          <w:color w:val="auto"/>
          <w:highlight w:val="none"/>
          <w:lang w:eastAsia="zh-CN"/>
        </w:rPr>
        <w:t>风机对动物的影响</w:t>
      </w:r>
    </w:p>
    <w:p w14:paraId="0D5A1CAD">
      <w:pPr>
        <w:keepNext w:val="0"/>
        <w:keepLines w:val="0"/>
        <w:pageBreakBefore w:val="0"/>
        <w:widowControl w:val="0"/>
        <w:numPr>
          <w:ilvl w:val="0"/>
          <w:numId w:val="0"/>
        </w:numPr>
        <w:kinsoku/>
        <w:wordWrap/>
        <w:overflowPunct/>
        <w:topLinePunct w:val="0"/>
        <w:autoSpaceDE/>
        <w:autoSpaceDN/>
        <w:bidi w:val="0"/>
        <w:adjustRightInd w:val="0"/>
        <w:snapToGrid w:val="0"/>
        <w:ind w:firstLine="480" w:firstLineChars="200"/>
        <w:textAlignment w:val="auto"/>
        <w:rPr>
          <w:rFonts w:hint="eastAsia"/>
          <w:color w:val="auto"/>
          <w:highlight w:val="none"/>
          <w:lang w:val="en-US" w:eastAsia="zh-CN"/>
        </w:rPr>
      </w:pPr>
      <w:r>
        <w:rPr>
          <w:rFonts w:hint="eastAsia"/>
          <w:color w:val="auto"/>
          <w:highlight w:val="none"/>
          <w:lang w:val="en-US" w:eastAsia="zh-CN"/>
        </w:rPr>
        <w:t>（1）对鸟类栖息、觅食的影响</w:t>
      </w:r>
    </w:p>
    <w:p w14:paraId="5A704928">
      <w:pPr>
        <w:keepNext w:val="0"/>
        <w:keepLines w:val="0"/>
        <w:pageBreakBefore w:val="0"/>
        <w:widowControl w:val="0"/>
        <w:numPr>
          <w:ilvl w:val="0"/>
          <w:numId w:val="0"/>
        </w:numPr>
        <w:kinsoku/>
        <w:wordWrap/>
        <w:overflowPunct/>
        <w:topLinePunct w:val="0"/>
        <w:autoSpaceDE/>
        <w:autoSpaceDN/>
        <w:bidi w:val="0"/>
        <w:adjustRightInd w:val="0"/>
        <w:snapToGrid w:val="0"/>
        <w:ind w:firstLine="480" w:firstLineChars="200"/>
        <w:textAlignment w:val="auto"/>
        <w:rPr>
          <w:rFonts w:hint="eastAsia"/>
          <w:color w:val="auto"/>
          <w:highlight w:val="none"/>
          <w:lang w:val="en-US" w:eastAsia="zh-CN"/>
        </w:rPr>
      </w:pPr>
      <w:r>
        <w:rPr>
          <w:rFonts w:hint="eastAsia"/>
          <w:color w:val="auto"/>
          <w:highlight w:val="none"/>
          <w:lang w:val="en-US" w:eastAsia="zh-CN"/>
        </w:rPr>
        <w:t>风机对评价区域栖息、觅食鸟类的影响主要包括两个方面。一方面是风机运 行时叶片运动、噪音等对鸟类的干扰影响；另一方面是鸟类可能与风机发生碰撞。风力发电场对鸟类产生的最严重影响是——鸟类飞行时不能避让正在旋转的风 机叶片而致死或致伤，这种影响主要表现在风机转速和恶劣天气与鸟类撞击的关系上。有研究说明，鸟类撞击风机造成死亡与风机的运转速度呈一定的相关关系，一般变速的风机对鸟类的影响较大(Percival，2003) 。此外，有研究表明，恶劣天气条件下 (如雾或雨天) 能见度低，增加了鸟类撞击的可能性。很强的逆风也会 使鸟类降低飞行高度，从而也会增加相撞的几率。</w:t>
      </w:r>
    </w:p>
    <w:p w14:paraId="0A6BBD19">
      <w:pPr>
        <w:keepNext w:val="0"/>
        <w:keepLines w:val="0"/>
        <w:pageBreakBefore w:val="0"/>
        <w:widowControl w:val="0"/>
        <w:numPr>
          <w:ilvl w:val="0"/>
          <w:numId w:val="0"/>
        </w:numPr>
        <w:kinsoku/>
        <w:wordWrap/>
        <w:overflowPunct/>
        <w:topLinePunct w:val="0"/>
        <w:autoSpaceDE/>
        <w:autoSpaceDN/>
        <w:bidi w:val="0"/>
        <w:adjustRightInd w:val="0"/>
        <w:snapToGrid w:val="0"/>
        <w:ind w:firstLine="480" w:firstLineChars="200"/>
        <w:textAlignment w:val="auto"/>
        <w:rPr>
          <w:rFonts w:hint="eastAsia"/>
          <w:color w:val="auto"/>
          <w:highlight w:val="none"/>
          <w:lang w:val="en-US" w:eastAsia="zh-CN"/>
        </w:rPr>
      </w:pPr>
      <w:r>
        <w:rPr>
          <w:rFonts w:hint="eastAsia"/>
          <w:color w:val="auto"/>
          <w:highlight w:val="none"/>
          <w:lang w:val="en-US" w:eastAsia="zh-CN"/>
        </w:rPr>
        <w:t>（2）对动物栖息和觅食的影响</w:t>
      </w:r>
    </w:p>
    <w:p w14:paraId="087C5A27">
      <w:pPr>
        <w:keepNext w:val="0"/>
        <w:keepLines w:val="0"/>
        <w:pageBreakBefore w:val="0"/>
        <w:widowControl w:val="0"/>
        <w:numPr>
          <w:ilvl w:val="0"/>
          <w:numId w:val="0"/>
        </w:numPr>
        <w:kinsoku/>
        <w:wordWrap/>
        <w:overflowPunct/>
        <w:topLinePunct w:val="0"/>
        <w:autoSpaceDE/>
        <w:autoSpaceDN/>
        <w:bidi w:val="0"/>
        <w:adjustRightInd w:val="0"/>
        <w:snapToGrid w:val="0"/>
        <w:ind w:firstLine="480" w:firstLineChars="200"/>
        <w:textAlignment w:val="auto"/>
        <w:rPr>
          <w:rFonts w:hint="eastAsia"/>
          <w:color w:val="auto"/>
          <w:highlight w:val="none"/>
          <w:lang w:val="en-US" w:eastAsia="zh-CN"/>
        </w:rPr>
      </w:pPr>
      <w:r>
        <w:rPr>
          <w:rFonts w:hint="eastAsia"/>
          <w:color w:val="auto"/>
          <w:highlight w:val="none"/>
          <w:lang w:val="en-US" w:eastAsia="zh-CN"/>
        </w:rPr>
        <w:t>风机在运转过程中会产生叶片扫风噪声和机械运转噪声。对动物将造成一定的驱赶作用，特别是对鸟类有较大影响。由于大多数鸟类对噪声具有较高的敏感性，故在该噪声条件下，大多数鸟类都会选择规避，这将造成动物活动范围的缩减。但动物对长期持续而无害的噪音会产生一定的适应性，因而随着运行时间延长，这种影响会逐渐减小甚至消失。</w:t>
      </w:r>
    </w:p>
    <w:p w14:paraId="1364CD05">
      <w:pPr>
        <w:keepNext w:val="0"/>
        <w:keepLines w:val="0"/>
        <w:pageBreakBefore w:val="0"/>
        <w:widowControl w:val="0"/>
        <w:numPr>
          <w:ilvl w:val="0"/>
          <w:numId w:val="10"/>
        </w:numPr>
        <w:kinsoku/>
        <w:wordWrap/>
        <w:overflowPunct/>
        <w:topLinePunct w:val="0"/>
        <w:autoSpaceDE/>
        <w:autoSpaceDN/>
        <w:bidi w:val="0"/>
        <w:adjustRightInd w:val="0"/>
        <w:snapToGrid w:val="0"/>
        <w:ind w:firstLine="482" w:firstLineChars="200"/>
        <w:textAlignment w:val="auto"/>
        <w:rPr>
          <w:rFonts w:hint="eastAsia"/>
          <w:b/>
          <w:bCs/>
          <w:color w:val="auto"/>
          <w:highlight w:val="none"/>
          <w:lang w:eastAsia="zh-CN"/>
        </w:rPr>
      </w:pPr>
      <w:r>
        <w:rPr>
          <w:rFonts w:hint="eastAsia"/>
          <w:b/>
          <w:bCs/>
          <w:color w:val="auto"/>
          <w:highlight w:val="none"/>
          <w:lang w:eastAsia="zh-CN"/>
        </w:rPr>
        <w:t>集电线路对动物的影响</w:t>
      </w:r>
    </w:p>
    <w:p w14:paraId="594510E5">
      <w:pPr>
        <w:pageBreakBefore w:val="0"/>
        <w:widowControl w:val="0"/>
        <w:kinsoku/>
        <w:wordWrap/>
        <w:overflowPunct/>
        <w:topLinePunct w:val="0"/>
        <w:autoSpaceDE/>
        <w:autoSpaceDN/>
        <w:bidi w:val="0"/>
        <w:adjustRightInd w:val="0"/>
        <w:snapToGrid w:val="0"/>
        <w:spacing w:line="360" w:lineRule="auto"/>
        <w:ind w:left="0" w:right="0" w:firstLine="452"/>
        <w:textAlignment w:val="auto"/>
        <w:rPr>
          <w:rFonts w:hint="eastAsia" w:ascii="Times New Roman" w:hAnsi="Times New Roman" w:eastAsia="宋体" w:cs="Times New Roman"/>
          <w:snapToGrid/>
          <w:color w:val="auto"/>
          <w:kern w:val="2"/>
          <w:sz w:val="24"/>
          <w:szCs w:val="24"/>
          <w:highlight w:val="none"/>
          <w:lang w:val="en-US" w:eastAsia="zh-CN" w:bidi="ar-SA"/>
        </w:rPr>
      </w:pPr>
      <w:r>
        <w:rPr>
          <w:rFonts w:hint="eastAsia" w:ascii="Times New Roman" w:hAnsi="Times New Roman" w:eastAsia="宋体" w:cs="Times New Roman"/>
          <w:snapToGrid/>
          <w:color w:val="auto"/>
          <w:kern w:val="2"/>
          <w:sz w:val="24"/>
          <w:szCs w:val="24"/>
          <w:highlight w:val="none"/>
          <w:lang w:val="en-US" w:eastAsia="zh-CN" w:bidi="ar-SA"/>
        </w:rPr>
        <w:t>本工程集电线路采用35kV电缆直埋方案，其对陆生动物的影响主要是工频 电磁影响及噪声干扰。</w:t>
      </w:r>
    </w:p>
    <w:p w14:paraId="747D4DB3">
      <w:pPr>
        <w:keepNext w:val="0"/>
        <w:keepLines w:val="0"/>
        <w:pageBreakBefore w:val="0"/>
        <w:widowControl w:val="0"/>
        <w:numPr>
          <w:ilvl w:val="0"/>
          <w:numId w:val="0"/>
        </w:numPr>
        <w:kinsoku/>
        <w:wordWrap/>
        <w:overflowPunct/>
        <w:topLinePunct w:val="0"/>
        <w:autoSpaceDE/>
        <w:autoSpaceDN/>
        <w:bidi w:val="0"/>
        <w:adjustRightInd w:val="0"/>
        <w:snapToGrid w:val="0"/>
        <w:ind w:firstLine="480" w:firstLineChars="200"/>
        <w:textAlignment w:val="auto"/>
        <w:rPr>
          <w:rFonts w:hint="eastAsia"/>
          <w:color w:val="auto"/>
          <w:highlight w:val="none"/>
          <w:lang w:eastAsia="zh-CN"/>
        </w:rPr>
      </w:pPr>
      <w:r>
        <w:rPr>
          <w:rFonts w:hint="eastAsia" w:ascii="Times New Roman" w:hAnsi="Times New Roman" w:eastAsia="宋体" w:cs="Times New Roman"/>
          <w:snapToGrid/>
          <w:color w:val="auto"/>
          <w:kern w:val="2"/>
          <w:sz w:val="24"/>
          <w:szCs w:val="24"/>
          <w:highlight w:val="none"/>
          <w:lang w:val="en-US" w:eastAsia="zh-CN" w:bidi="ar-SA"/>
        </w:rPr>
        <w:t>本项目在设计时考虑了防磁、防辐射等要求，直埋电缆开槽底宽0.8m，深1m。由于地下电缆外护套和铠装层对工频电场起到了一定的屏蔽作用，电缆周围的工频电场不大，加之土壤和电缆隧道起到的屏蔽作用，地表上的工频电场与建设前当地工频电场的环境背景相当。同时工频电场和工频磁场属于感应场，感 应场的特点是随着距离的增加，其场强快速衰减，故高压电缆线路产生的工频磁 场经过距离的衰减，对动物影响甚微。所以野生动物所受到的电磁影响较小。</w:t>
      </w:r>
    </w:p>
    <w:p w14:paraId="39BF8692">
      <w:pPr>
        <w:keepNext w:val="0"/>
        <w:keepLines w:val="0"/>
        <w:pageBreakBefore w:val="0"/>
        <w:widowControl w:val="0"/>
        <w:numPr>
          <w:ilvl w:val="0"/>
          <w:numId w:val="10"/>
        </w:numPr>
        <w:kinsoku/>
        <w:wordWrap/>
        <w:overflowPunct/>
        <w:topLinePunct w:val="0"/>
        <w:autoSpaceDE/>
        <w:autoSpaceDN/>
        <w:bidi w:val="0"/>
        <w:adjustRightInd w:val="0"/>
        <w:snapToGrid w:val="0"/>
        <w:ind w:firstLine="482" w:firstLineChars="200"/>
        <w:textAlignment w:val="auto"/>
        <w:rPr>
          <w:rFonts w:hint="eastAsia"/>
          <w:b/>
          <w:bCs/>
          <w:color w:val="auto"/>
          <w:highlight w:val="none"/>
          <w:lang w:eastAsia="zh-CN"/>
        </w:rPr>
      </w:pPr>
      <w:r>
        <w:rPr>
          <w:rFonts w:hint="eastAsia"/>
          <w:b/>
          <w:bCs/>
          <w:color w:val="auto"/>
          <w:highlight w:val="none"/>
          <w:lang w:eastAsia="zh-CN"/>
        </w:rPr>
        <w:t>升压站对动物的影响</w:t>
      </w:r>
    </w:p>
    <w:p w14:paraId="3ECDFF6E">
      <w:pPr>
        <w:keepNext w:val="0"/>
        <w:keepLines w:val="0"/>
        <w:pageBreakBefore w:val="0"/>
        <w:widowControl w:val="0"/>
        <w:numPr>
          <w:ilvl w:val="0"/>
          <w:numId w:val="0"/>
        </w:numPr>
        <w:kinsoku/>
        <w:wordWrap/>
        <w:overflowPunct/>
        <w:topLinePunct w:val="0"/>
        <w:autoSpaceDE/>
        <w:autoSpaceDN/>
        <w:bidi w:val="0"/>
        <w:adjustRightInd w:val="0"/>
        <w:snapToGrid w:val="0"/>
        <w:ind w:firstLine="480" w:firstLineChars="200"/>
        <w:textAlignment w:val="auto"/>
        <w:rPr>
          <w:rFonts w:hint="eastAsia"/>
          <w:color w:val="auto"/>
          <w:highlight w:val="none"/>
          <w:lang w:eastAsia="zh-CN"/>
        </w:rPr>
      </w:pPr>
      <w:r>
        <w:rPr>
          <w:rFonts w:hint="eastAsia" w:ascii="Times New Roman" w:hAnsi="Times New Roman" w:eastAsia="宋体" w:cs="Times New Roman"/>
          <w:snapToGrid/>
          <w:color w:val="auto"/>
          <w:kern w:val="2"/>
          <w:sz w:val="24"/>
          <w:szCs w:val="24"/>
          <w:highlight w:val="none"/>
          <w:lang w:val="en-US" w:eastAsia="zh-CN" w:bidi="ar-SA"/>
        </w:rPr>
        <w:t>运行期升压站对动物的影响除与集电线路类似的电磁影响和噪声影响外，升压站中设置有办公生活区，若不采取合理措施，运行期工作人员正常生产生活产生的生活垃圾及生活污水将污染升压站周围动物生境，使得动物远离该地区，亦或引来大量啮齿类动物的到来，而恶化该区域的生态平衡，但由于工作人员数量不多，这种影响较小，且可以通过合理的保护措施加以消减或避免。</w:t>
      </w:r>
    </w:p>
    <w:p w14:paraId="63FFD6C2">
      <w:pPr>
        <w:keepNext w:val="0"/>
        <w:keepLines w:val="0"/>
        <w:pageBreakBefore w:val="0"/>
        <w:widowControl w:val="0"/>
        <w:numPr>
          <w:ilvl w:val="0"/>
          <w:numId w:val="10"/>
        </w:numPr>
        <w:kinsoku/>
        <w:wordWrap/>
        <w:overflowPunct/>
        <w:topLinePunct w:val="0"/>
        <w:autoSpaceDE/>
        <w:autoSpaceDN/>
        <w:bidi w:val="0"/>
        <w:adjustRightInd w:val="0"/>
        <w:snapToGrid w:val="0"/>
        <w:ind w:firstLine="482" w:firstLineChars="200"/>
        <w:textAlignment w:val="auto"/>
        <w:rPr>
          <w:rFonts w:hint="eastAsia"/>
          <w:b/>
          <w:bCs/>
          <w:color w:val="auto"/>
          <w:highlight w:val="none"/>
          <w:lang w:eastAsia="zh-CN"/>
        </w:rPr>
      </w:pPr>
      <w:r>
        <w:rPr>
          <w:rFonts w:hint="eastAsia"/>
          <w:b/>
          <w:bCs/>
          <w:color w:val="auto"/>
          <w:highlight w:val="none"/>
          <w:lang w:eastAsia="zh-CN"/>
        </w:rPr>
        <w:t>道路对动物的影响</w:t>
      </w:r>
    </w:p>
    <w:p w14:paraId="3637F886">
      <w:pPr>
        <w:keepNext w:val="0"/>
        <w:keepLines w:val="0"/>
        <w:pageBreakBefore w:val="0"/>
        <w:widowControl w:val="0"/>
        <w:numPr>
          <w:ilvl w:val="0"/>
          <w:numId w:val="0"/>
        </w:numPr>
        <w:kinsoku/>
        <w:wordWrap/>
        <w:overflowPunct/>
        <w:topLinePunct w:val="0"/>
        <w:autoSpaceDE/>
        <w:autoSpaceDN/>
        <w:bidi w:val="0"/>
        <w:adjustRightInd w:val="0"/>
        <w:snapToGrid w:val="0"/>
        <w:ind w:firstLine="480" w:firstLineChars="200"/>
        <w:textAlignment w:val="auto"/>
        <w:rPr>
          <w:rFonts w:hint="eastAsia"/>
          <w:color w:val="auto"/>
          <w:highlight w:val="none"/>
          <w:lang w:eastAsia="zh-CN"/>
        </w:rPr>
      </w:pPr>
      <w:r>
        <w:rPr>
          <w:rFonts w:hint="eastAsia" w:ascii="Times New Roman" w:hAnsi="Times New Roman" w:eastAsia="宋体" w:cs="Times New Roman"/>
          <w:snapToGrid/>
          <w:color w:val="auto"/>
          <w:kern w:val="2"/>
          <w:sz w:val="24"/>
          <w:szCs w:val="24"/>
          <w:highlight w:val="none"/>
          <w:lang w:val="en-US" w:eastAsia="zh-CN" w:bidi="ar-SA"/>
        </w:rPr>
        <w:t>施工、检修道路对评价区内动物的影响主要在于栖息地的破碎使动物的活动 范围受到限制，且提高了动物在新建道路上穿行时的死亡概率，但这种影响主要是对迁移能力较差的动物如两栖类、爬行类的影响相对较大。由于运行期间对道路主要为检修功能，道路上车流量有限，故对动物的影响也很小。综上所述， 道路对动物的阻隔作用影响较小，导致动物穿行死亡的频率较小。</w:t>
      </w:r>
    </w:p>
    <w:p w14:paraId="69CBF88D">
      <w:pPr>
        <w:pStyle w:val="6"/>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对重点保护野生动物的影响</w:t>
      </w:r>
    </w:p>
    <w:p w14:paraId="0100DF54">
      <w:pPr>
        <w:keepNext w:val="0"/>
        <w:keepLines w:val="0"/>
        <w:pageBreakBefore w:val="0"/>
        <w:widowControl w:val="0"/>
        <w:numPr>
          <w:ilvl w:val="0"/>
          <w:numId w:val="0"/>
        </w:numPr>
        <w:kinsoku/>
        <w:wordWrap/>
        <w:overflowPunct/>
        <w:topLinePunct w:val="0"/>
        <w:autoSpaceDE/>
        <w:autoSpaceDN/>
        <w:bidi w:val="0"/>
        <w:adjustRightInd w:val="0"/>
        <w:snapToGrid w:val="0"/>
        <w:ind w:firstLine="480" w:firstLineChars="200"/>
        <w:textAlignment w:val="auto"/>
        <w:rPr>
          <w:rFonts w:hint="eastAsia"/>
          <w:color w:val="auto"/>
          <w:highlight w:val="none"/>
          <w:lang w:eastAsia="zh-CN"/>
        </w:rPr>
      </w:pPr>
      <w:r>
        <w:rPr>
          <w:rFonts w:hint="eastAsia" w:ascii="Times New Roman" w:hAnsi="Times New Roman" w:eastAsia="宋体" w:cs="Times New Roman"/>
          <w:snapToGrid/>
          <w:color w:val="auto"/>
          <w:kern w:val="2"/>
          <w:sz w:val="24"/>
          <w:szCs w:val="24"/>
          <w:highlight w:val="none"/>
          <w:lang w:val="en-US" w:eastAsia="zh-CN" w:bidi="ar-SA"/>
        </w:rPr>
        <w:t>评价范围内的陆生脊椎动物中，未记录到国家 Ⅰ级重点保护野生动物分布， 共记录到国家Ⅱ级重点保护野生动物 9 种，湖南省重点保护动物 86 种。工程施工对其影响主要是噪声影响和占地影响，施工噪声干扰会驱赶它们远离施工区，使其寻找新的活动觅食场所；工程占地也会导致野生动物的栖息地和活动范围减小或者割裂。由于工程影响区附近的生境类似，这些野生动物很容易在其他区域寻找到新的活动场所，因此工程对其影响较小。</w:t>
      </w:r>
    </w:p>
    <w:p w14:paraId="655B5649">
      <w:pPr>
        <w:keepNext w:val="0"/>
        <w:keepLines w:val="0"/>
        <w:pageBreakBefore w:val="0"/>
        <w:widowControl w:val="0"/>
        <w:numPr>
          <w:ilvl w:val="0"/>
          <w:numId w:val="0"/>
        </w:numPr>
        <w:kinsoku/>
        <w:wordWrap/>
        <w:overflowPunct/>
        <w:topLinePunct w:val="0"/>
        <w:autoSpaceDE/>
        <w:autoSpaceDN/>
        <w:bidi w:val="0"/>
        <w:adjustRightInd w:val="0"/>
        <w:snapToGrid w:val="0"/>
        <w:ind w:firstLine="482" w:firstLineChars="200"/>
        <w:textAlignment w:val="auto"/>
        <w:rPr>
          <w:rFonts w:hint="default"/>
          <w:b/>
          <w:bCs/>
          <w:color w:val="auto"/>
          <w:highlight w:val="none"/>
          <w:lang w:val="en-US" w:eastAsia="zh-CN"/>
        </w:rPr>
      </w:pPr>
      <w:r>
        <w:rPr>
          <w:rFonts w:hint="eastAsia"/>
          <w:b/>
          <w:bCs/>
          <w:color w:val="auto"/>
          <w:highlight w:val="none"/>
          <w:lang w:val="en-US" w:eastAsia="zh-CN"/>
        </w:rPr>
        <w:t>1、对国家重点保护野生动物的影响</w:t>
      </w:r>
    </w:p>
    <w:p w14:paraId="5122DCC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snapToGrid/>
          <w:color w:val="auto"/>
          <w:kern w:val="2"/>
          <w:sz w:val="24"/>
          <w:szCs w:val="24"/>
          <w:highlight w:val="none"/>
          <w:lang w:val="en-US" w:eastAsia="zh-CN" w:bidi="ar-SA"/>
        </w:rPr>
      </w:pPr>
      <w:r>
        <w:rPr>
          <w:rFonts w:hint="eastAsia" w:ascii="Times New Roman" w:hAnsi="Times New Roman" w:eastAsia="宋体" w:cs="Times New Roman"/>
          <w:snapToGrid/>
          <w:color w:val="auto"/>
          <w:kern w:val="2"/>
          <w:sz w:val="24"/>
          <w:szCs w:val="24"/>
          <w:highlight w:val="none"/>
          <w:lang w:val="en-US" w:eastAsia="zh-CN" w:bidi="ar-SA"/>
        </w:rPr>
        <w:t>评价范围内陆生脊椎动物中，未记录到国家Ⅰ级重点保护野生动物分布，共记录国家Ⅱ级重点保护野生动物9种：虎纹蛙、红隼、松雀鹰、普通鵟、蛇雕、领角鸮、斑头鸺鹠、小鸦鹃和画眉。</w:t>
      </w:r>
    </w:p>
    <w:p w14:paraId="6E96B12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snapToGrid/>
          <w:color w:val="auto"/>
          <w:kern w:val="2"/>
          <w:sz w:val="24"/>
          <w:szCs w:val="24"/>
          <w:highlight w:val="none"/>
          <w:lang w:val="en-US" w:eastAsia="zh-CN" w:bidi="ar-SA"/>
        </w:rPr>
      </w:pPr>
      <w:r>
        <w:rPr>
          <w:rFonts w:hint="eastAsia" w:ascii="Times New Roman" w:hAnsi="Times New Roman" w:eastAsia="宋体" w:cs="Times New Roman"/>
          <w:snapToGrid/>
          <w:color w:val="auto"/>
          <w:kern w:val="2"/>
          <w:sz w:val="24"/>
          <w:szCs w:val="24"/>
          <w:highlight w:val="none"/>
          <w:lang w:val="en-US" w:eastAsia="zh-CN" w:bidi="ar-SA"/>
        </w:rPr>
        <w:t>上述国家Ⅱ级重点保护动物除虎纹蛙外，均属猛禽，善飞翔，领域范围广。其中普通鵟、松雀鹰为冬候鸟；这2种猛禽仅在某一时间段出现在评价区，因此对其影响也仅限于这些时段施工的情况下。运行期间风机对其觅食和迁徙有一定影响。由于猛禽一般在白天迁徙，且迁徙时飞行高 度远高于风机高度，因此在迁徙过程中撞到风机的几率极小。其它猛禽均为留鸟，因场址附近鼠类分布较少，猛禽难以在此处觅得食源，故出现在风机周围的几率较小，因而风机运行对其影响也较小。工程施工对其影响主要是噪声影响，施工噪声干扰会使它们远离施工区。</w:t>
      </w:r>
    </w:p>
    <w:p w14:paraId="1C407C29">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snapToGrid/>
          <w:color w:val="auto"/>
          <w:kern w:val="2"/>
          <w:sz w:val="24"/>
          <w:szCs w:val="24"/>
          <w:highlight w:val="none"/>
          <w:lang w:val="en-US" w:eastAsia="zh-CN" w:bidi="ar-SA"/>
        </w:rPr>
      </w:pPr>
      <w:r>
        <w:rPr>
          <w:rFonts w:hint="eastAsia" w:ascii="Times New Roman" w:hAnsi="Times New Roman" w:eastAsia="宋体" w:cs="Times New Roman"/>
          <w:snapToGrid/>
          <w:color w:val="auto"/>
          <w:kern w:val="2"/>
          <w:sz w:val="24"/>
          <w:szCs w:val="24"/>
          <w:highlight w:val="none"/>
          <w:lang w:val="en-US" w:eastAsia="zh-CN" w:bidi="ar-SA"/>
        </w:rPr>
        <w:t>评价区内虎纹蛙主要分布在低山地带靠近水体的草丛、稻田以及水坑等生境，受到的主要影响为进场道路建设和材料运输车辆的影响，这类影响主要发生在施工期，影响范围和时段有限，运行期工程对虎纹蛙基本无影响。</w:t>
      </w:r>
    </w:p>
    <w:p w14:paraId="60F5D838">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cs="Times New Roman" w:eastAsiaTheme="minorEastAsia"/>
          <w:b/>
          <w:bCs/>
          <w:color w:val="auto"/>
          <w:sz w:val="24"/>
          <w:szCs w:val="24"/>
          <w:highlight w:val="none"/>
        </w:rPr>
      </w:pPr>
      <w:r>
        <w:rPr>
          <w:rFonts w:hint="default" w:ascii="Times New Roman" w:hAnsi="Times New Roman" w:cs="Times New Roman" w:eastAsiaTheme="minorEastAsia"/>
          <w:b/>
          <w:bCs/>
          <w:color w:val="auto"/>
          <w:spacing w:val="11"/>
          <w:sz w:val="24"/>
          <w:szCs w:val="24"/>
          <w:highlight w:val="none"/>
        </w:rPr>
        <w:t>表</w:t>
      </w:r>
      <w:r>
        <w:rPr>
          <w:rFonts w:hint="eastAsia" w:cs="Times New Roman" w:eastAsiaTheme="minorEastAsia"/>
          <w:b/>
          <w:bCs/>
          <w:color w:val="auto"/>
          <w:spacing w:val="6"/>
          <w:sz w:val="24"/>
          <w:szCs w:val="24"/>
          <w:highlight w:val="none"/>
          <w:lang w:val="en-US" w:eastAsia="zh-CN"/>
        </w:rPr>
        <w:t>6.2.1</w:t>
      </w:r>
      <w:r>
        <w:rPr>
          <w:rFonts w:hint="default" w:ascii="Times New Roman" w:hAnsi="Times New Roman" w:cs="Times New Roman" w:eastAsiaTheme="minorEastAsia"/>
          <w:b/>
          <w:bCs/>
          <w:color w:val="auto"/>
          <w:spacing w:val="6"/>
          <w:sz w:val="24"/>
          <w:szCs w:val="24"/>
          <w:highlight w:val="none"/>
        </w:rPr>
        <w:t>-</w:t>
      </w:r>
      <w:r>
        <w:rPr>
          <w:rFonts w:hint="default" w:ascii="Times New Roman" w:hAnsi="Times New Roman" w:cs="Times New Roman" w:eastAsiaTheme="minorEastAsia"/>
          <w:b/>
          <w:bCs/>
          <w:color w:val="auto"/>
          <w:spacing w:val="6"/>
          <w:sz w:val="24"/>
          <w:szCs w:val="24"/>
          <w:highlight w:val="none"/>
          <w:lang w:val="en-US" w:eastAsia="zh-CN"/>
        </w:rPr>
        <w:t>2</w:t>
      </w:r>
      <w:r>
        <w:rPr>
          <w:rFonts w:hint="default" w:ascii="Times New Roman" w:hAnsi="Times New Roman" w:cs="Times New Roman" w:eastAsiaTheme="minorEastAsia"/>
          <w:b/>
          <w:bCs/>
          <w:color w:val="auto"/>
          <w:spacing w:val="6"/>
          <w:sz w:val="24"/>
          <w:szCs w:val="24"/>
          <w:highlight w:val="none"/>
        </w:rPr>
        <w:t xml:space="preserve"> </w:t>
      </w:r>
      <w:r>
        <w:rPr>
          <w:rFonts w:hint="eastAsia" w:ascii="Times New Roman" w:hAnsi="Times New Roman" w:cs="Times New Roman" w:eastAsiaTheme="minorEastAsia"/>
          <w:b/>
          <w:bCs/>
          <w:color w:val="auto"/>
          <w:spacing w:val="6"/>
          <w:sz w:val="24"/>
          <w:szCs w:val="24"/>
          <w:highlight w:val="none"/>
          <w:lang w:val="en-US" w:eastAsia="zh-CN"/>
        </w:rPr>
        <w:t xml:space="preserve"> </w:t>
      </w:r>
      <w:r>
        <w:rPr>
          <w:rFonts w:hint="default" w:ascii="Times New Roman" w:hAnsi="Times New Roman" w:cs="Times New Roman" w:eastAsiaTheme="minorEastAsia"/>
          <w:b/>
          <w:bCs/>
          <w:color w:val="auto"/>
          <w:spacing w:val="6"/>
          <w:sz w:val="24"/>
          <w:szCs w:val="24"/>
          <w:highlight w:val="none"/>
        </w:rPr>
        <w:t>评价区国家重点保护野生动物的影响</w:t>
      </w:r>
    </w:p>
    <w:tbl>
      <w:tblPr>
        <w:tblStyle w:val="38"/>
        <w:tblW w:w="5009"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2531"/>
        <w:gridCol w:w="4843"/>
        <w:gridCol w:w="977"/>
      </w:tblGrid>
      <w:tr w14:paraId="6545405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546" w:type="dxa"/>
            <w:tcBorders>
              <w:tl2br w:val="nil"/>
              <w:tr2bl w:val="nil"/>
            </w:tcBorders>
            <w:noWrap w:val="0"/>
            <w:vAlign w:val="center"/>
          </w:tcPr>
          <w:p w14:paraId="3720A89D">
            <w:pPr>
              <w:pStyle w:val="23"/>
              <w:bidi w:val="0"/>
              <w:rPr>
                <w:rFonts w:hint="default"/>
                <w:color w:val="auto"/>
                <w:highlight w:val="none"/>
              </w:rPr>
            </w:pPr>
            <w:r>
              <w:rPr>
                <w:rFonts w:hint="default"/>
                <w:color w:val="auto"/>
                <w:highlight w:val="none"/>
              </w:rPr>
              <w:t>中文名、拉丁名</w:t>
            </w:r>
          </w:p>
        </w:tc>
        <w:tc>
          <w:tcPr>
            <w:tcW w:w="4873" w:type="dxa"/>
            <w:tcBorders>
              <w:tl2br w:val="nil"/>
              <w:tr2bl w:val="nil"/>
            </w:tcBorders>
            <w:noWrap w:val="0"/>
            <w:vAlign w:val="center"/>
          </w:tcPr>
          <w:p w14:paraId="02D25EEE">
            <w:pPr>
              <w:pStyle w:val="23"/>
              <w:bidi w:val="0"/>
              <w:rPr>
                <w:rFonts w:hint="default"/>
                <w:color w:val="auto"/>
                <w:highlight w:val="none"/>
              </w:rPr>
            </w:pPr>
            <w:r>
              <w:rPr>
                <w:rFonts w:hint="default"/>
                <w:color w:val="auto"/>
                <w:highlight w:val="none"/>
              </w:rPr>
              <w:t>影响方式及程度</w:t>
            </w:r>
          </w:p>
        </w:tc>
        <w:tc>
          <w:tcPr>
            <w:tcW w:w="982" w:type="dxa"/>
            <w:tcBorders>
              <w:tl2br w:val="nil"/>
              <w:tr2bl w:val="nil"/>
            </w:tcBorders>
            <w:noWrap w:val="0"/>
            <w:vAlign w:val="center"/>
          </w:tcPr>
          <w:p w14:paraId="7BA32721">
            <w:pPr>
              <w:pStyle w:val="23"/>
              <w:bidi w:val="0"/>
              <w:rPr>
                <w:rFonts w:hint="default"/>
                <w:color w:val="auto"/>
                <w:highlight w:val="none"/>
              </w:rPr>
            </w:pPr>
            <w:r>
              <w:rPr>
                <w:rFonts w:hint="default"/>
                <w:color w:val="auto"/>
                <w:highlight w:val="none"/>
              </w:rPr>
              <w:t>居留型</w:t>
            </w:r>
          </w:p>
        </w:tc>
      </w:tr>
      <w:tr w14:paraId="62EF2DA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546" w:type="dxa"/>
            <w:tcBorders>
              <w:tl2br w:val="nil"/>
              <w:tr2bl w:val="nil"/>
            </w:tcBorders>
            <w:noWrap w:val="0"/>
            <w:vAlign w:val="center"/>
          </w:tcPr>
          <w:p w14:paraId="33A06A39">
            <w:pPr>
              <w:pStyle w:val="23"/>
              <w:bidi w:val="0"/>
              <w:rPr>
                <w:rFonts w:hint="default"/>
                <w:color w:val="auto"/>
                <w:highlight w:val="none"/>
              </w:rPr>
            </w:pPr>
            <w:r>
              <w:rPr>
                <w:rFonts w:hint="default"/>
                <w:color w:val="auto"/>
                <w:highlight w:val="none"/>
              </w:rPr>
              <w:t>1.虎纹蛙</w:t>
            </w:r>
          </w:p>
          <w:p w14:paraId="1EFB2630">
            <w:pPr>
              <w:pStyle w:val="23"/>
              <w:bidi w:val="0"/>
              <w:rPr>
                <w:rFonts w:hint="default"/>
                <w:color w:val="auto"/>
                <w:highlight w:val="none"/>
              </w:rPr>
            </w:pPr>
            <w:r>
              <w:rPr>
                <w:rFonts w:hint="default"/>
                <w:i/>
                <w:iCs/>
                <w:color w:val="auto"/>
                <w:highlight w:val="none"/>
              </w:rPr>
              <w:t>Hoplobatrachus chinensis</w:t>
            </w:r>
          </w:p>
        </w:tc>
        <w:tc>
          <w:tcPr>
            <w:tcW w:w="4873" w:type="dxa"/>
            <w:tcBorders>
              <w:tl2br w:val="nil"/>
              <w:tr2bl w:val="nil"/>
            </w:tcBorders>
            <w:noWrap w:val="0"/>
            <w:vAlign w:val="center"/>
          </w:tcPr>
          <w:p w14:paraId="2F2EBC74">
            <w:pPr>
              <w:pStyle w:val="23"/>
              <w:bidi w:val="0"/>
              <w:rPr>
                <w:rFonts w:hint="default"/>
                <w:color w:val="auto"/>
                <w:highlight w:val="none"/>
              </w:rPr>
            </w:pPr>
            <w:r>
              <w:rPr>
                <w:rFonts w:hint="default"/>
                <w:color w:val="auto"/>
                <w:highlight w:val="none"/>
              </w:rPr>
              <w:t>进场道路建设和材料运输车辆对其生境的占用和破坏，涉及范围少，影响程度较小，影响时段较短。</w:t>
            </w:r>
          </w:p>
        </w:tc>
        <w:tc>
          <w:tcPr>
            <w:tcW w:w="982" w:type="dxa"/>
            <w:tcBorders>
              <w:tl2br w:val="nil"/>
              <w:tr2bl w:val="nil"/>
            </w:tcBorders>
            <w:noWrap w:val="0"/>
            <w:vAlign w:val="center"/>
          </w:tcPr>
          <w:p w14:paraId="710A2A86">
            <w:pPr>
              <w:pStyle w:val="23"/>
              <w:bidi w:val="0"/>
              <w:rPr>
                <w:rFonts w:hint="default"/>
                <w:color w:val="auto"/>
                <w:highlight w:val="none"/>
              </w:rPr>
            </w:pPr>
            <w:r>
              <w:rPr>
                <w:rFonts w:hint="default"/>
                <w:color w:val="auto"/>
                <w:highlight w:val="none"/>
              </w:rPr>
              <w:t>—</w:t>
            </w:r>
          </w:p>
        </w:tc>
      </w:tr>
      <w:tr w14:paraId="3FC92E0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546" w:type="dxa"/>
            <w:tcBorders>
              <w:tl2br w:val="nil"/>
              <w:tr2bl w:val="nil"/>
            </w:tcBorders>
            <w:noWrap w:val="0"/>
            <w:vAlign w:val="center"/>
          </w:tcPr>
          <w:p w14:paraId="27384F5D">
            <w:pPr>
              <w:pStyle w:val="23"/>
              <w:bidi w:val="0"/>
              <w:rPr>
                <w:rFonts w:hint="default"/>
                <w:color w:val="auto"/>
                <w:highlight w:val="none"/>
              </w:rPr>
            </w:pPr>
            <w:r>
              <w:rPr>
                <w:rFonts w:hint="default"/>
                <w:color w:val="auto"/>
                <w:highlight w:val="none"/>
              </w:rPr>
              <w:t>2.普通鵟</w:t>
            </w:r>
          </w:p>
          <w:p w14:paraId="37940783">
            <w:pPr>
              <w:pStyle w:val="23"/>
              <w:bidi w:val="0"/>
              <w:rPr>
                <w:rFonts w:hint="default"/>
                <w:color w:val="auto"/>
                <w:highlight w:val="none"/>
              </w:rPr>
            </w:pPr>
            <w:r>
              <w:rPr>
                <w:rFonts w:hint="default"/>
                <w:i/>
                <w:iCs/>
                <w:color w:val="auto"/>
                <w:highlight w:val="none"/>
              </w:rPr>
              <w:t>Buteo buteo</w:t>
            </w:r>
          </w:p>
        </w:tc>
        <w:tc>
          <w:tcPr>
            <w:tcW w:w="4873" w:type="dxa"/>
            <w:vMerge w:val="restart"/>
            <w:tcBorders>
              <w:tl2br w:val="nil"/>
              <w:tr2bl w:val="nil"/>
            </w:tcBorders>
            <w:noWrap w:val="0"/>
            <w:vAlign w:val="center"/>
          </w:tcPr>
          <w:p w14:paraId="7BDB8483">
            <w:pPr>
              <w:pStyle w:val="23"/>
              <w:bidi w:val="0"/>
              <w:rPr>
                <w:rFonts w:hint="default"/>
                <w:color w:val="auto"/>
                <w:highlight w:val="none"/>
              </w:rPr>
            </w:pPr>
            <w:r>
              <w:rPr>
                <w:rFonts w:hint="default"/>
                <w:color w:val="auto"/>
                <w:highlight w:val="none"/>
              </w:rPr>
              <w:t>对其活动觅食、迁徙产生一定干扰，影响程度较 小，且干扰时间短。</w:t>
            </w:r>
          </w:p>
        </w:tc>
        <w:tc>
          <w:tcPr>
            <w:tcW w:w="982" w:type="dxa"/>
            <w:vMerge w:val="restart"/>
            <w:tcBorders>
              <w:tl2br w:val="nil"/>
              <w:tr2bl w:val="nil"/>
            </w:tcBorders>
            <w:noWrap w:val="0"/>
            <w:vAlign w:val="center"/>
          </w:tcPr>
          <w:p w14:paraId="48B1C503">
            <w:pPr>
              <w:pStyle w:val="23"/>
              <w:bidi w:val="0"/>
              <w:rPr>
                <w:rFonts w:hint="default"/>
                <w:color w:val="auto"/>
                <w:highlight w:val="none"/>
              </w:rPr>
            </w:pPr>
            <w:r>
              <w:rPr>
                <w:rFonts w:hint="default"/>
                <w:color w:val="auto"/>
                <w:highlight w:val="none"/>
              </w:rPr>
              <w:t>冬候鸟</w:t>
            </w:r>
          </w:p>
        </w:tc>
      </w:tr>
      <w:tr w14:paraId="470476B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546" w:type="dxa"/>
            <w:tcBorders>
              <w:tl2br w:val="nil"/>
              <w:tr2bl w:val="nil"/>
            </w:tcBorders>
            <w:noWrap w:val="0"/>
            <w:vAlign w:val="center"/>
          </w:tcPr>
          <w:p w14:paraId="56428289">
            <w:pPr>
              <w:pStyle w:val="23"/>
              <w:bidi w:val="0"/>
              <w:rPr>
                <w:rFonts w:hint="default"/>
                <w:color w:val="auto"/>
                <w:highlight w:val="none"/>
              </w:rPr>
            </w:pPr>
            <w:r>
              <w:rPr>
                <w:rFonts w:hint="default"/>
                <w:color w:val="auto"/>
                <w:highlight w:val="none"/>
              </w:rPr>
              <w:t>3.</w:t>
            </w:r>
            <w:r>
              <w:rPr>
                <w:rFonts w:hint="eastAsia"/>
                <w:color w:val="auto"/>
                <w:highlight w:val="none"/>
                <w:lang w:eastAsia="zh-CN"/>
              </w:rPr>
              <w:t>松</w:t>
            </w:r>
            <w:r>
              <w:rPr>
                <w:rFonts w:hint="default"/>
                <w:color w:val="auto"/>
                <w:highlight w:val="none"/>
              </w:rPr>
              <w:t>雀鹰</w:t>
            </w:r>
          </w:p>
          <w:p w14:paraId="4EA5C2BF">
            <w:pPr>
              <w:pStyle w:val="23"/>
              <w:bidi w:val="0"/>
              <w:rPr>
                <w:rFonts w:hint="default"/>
                <w:color w:val="auto"/>
                <w:highlight w:val="none"/>
              </w:rPr>
            </w:pPr>
            <w:r>
              <w:rPr>
                <w:rFonts w:hint="default"/>
                <w:i/>
                <w:iCs/>
                <w:color w:val="auto"/>
                <w:highlight w:val="none"/>
              </w:rPr>
              <w:t>Accipiter nisus</w:t>
            </w:r>
          </w:p>
        </w:tc>
        <w:tc>
          <w:tcPr>
            <w:tcW w:w="4873" w:type="dxa"/>
            <w:vMerge w:val="continue"/>
            <w:tcBorders>
              <w:tl2br w:val="nil"/>
              <w:tr2bl w:val="nil"/>
            </w:tcBorders>
            <w:noWrap w:val="0"/>
            <w:vAlign w:val="center"/>
          </w:tcPr>
          <w:p w14:paraId="69AC46AA">
            <w:pPr>
              <w:pStyle w:val="23"/>
              <w:bidi w:val="0"/>
              <w:rPr>
                <w:rFonts w:hint="default"/>
                <w:color w:val="auto"/>
                <w:highlight w:val="none"/>
              </w:rPr>
            </w:pPr>
          </w:p>
        </w:tc>
        <w:tc>
          <w:tcPr>
            <w:tcW w:w="982" w:type="dxa"/>
            <w:vMerge w:val="continue"/>
            <w:tcBorders>
              <w:tl2br w:val="nil"/>
              <w:tr2bl w:val="nil"/>
            </w:tcBorders>
            <w:noWrap w:val="0"/>
            <w:vAlign w:val="center"/>
          </w:tcPr>
          <w:p w14:paraId="64E17CEF">
            <w:pPr>
              <w:pStyle w:val="23"/>
              <w:bidi w:val="0"/>
              <w:rPr>
                <w:rFonts w:hint="default"/>
                <w:color w:val="auto"/>
                <w:highlight w:val="none"/>
              </w:rPr>
            </w:pPr>
          </w:p>
        </w:tc>
      </w:tr>
      <w:tr w14:paraId="1816880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jc w:val="center"/>
        </w:trPr>
        <w:tc>
          <w:tcPr>
            <w:tcW w:w="2546" w:type="dxa"/>
            <w:tcBorders>
              <w:tl2br w:val="nil"/>
              <w:tr2bl w:val="nil"/>
            </w:tcBorders>
            <w:noWrap w:val="0"/>
            <w:vAlign w:val="center"/>
          </w:tcPr>
          <w:p w14:paraId="7069215F">
            <w:pPr>
              <w:pStyle w:val="23"/>
              <w:bidi w:val="0"/>
              <w:rPr>
                <w:rFonts w:hint="default"/>
                <w:color w:val="auto"/>
                <w:highlight w:val="none"/>
              </w:rPr>
            </w:pPr>
            <w:r>
              <w:rPr>
                <w:rFonts w:hint="eastAsia"/>
                <w:color w:val="auto"/>
                <w:highlight w:val="none"/>
                <w:lang w:val="en-US" w:eastAsia="zh-CN"/>
              </w:rPr>
              <w:t>4.</w:t>
            </w:r>
            <w:r>
              <w:rPr>
                <w:rFonts w:hint="default"/>
                <w:color w:val="auto"/>
                <w:highlight w:val="none"/>
              </w:rPr>
              <w:t>红隼</w:t>
            </w:r>
          </w:p>
          <w:p w14:paraId="0BEE3536">
            <w:pPr>
              <w:pStyle w:val="23"/>
              <w:bidi w:val="0"/>
              <w:rPr>
                <w:rFonts w:hint="default"/>
                <w:color w:val="auto"/>
                <w:highlight w:val="none"/>
              </w:rPr>
            </w:pPr>
            <w:r>
              <w:rPr>
                <w:rFonts w:hint="default"/>
                <w:i/>
                <w:iCs/>
                <w:color w:val="auto"/>
                <w:highlight w:val="none"/>
              </w:rPr>
              <w:t>Falco tinnunculus</w:t>
            </w:r>
          </w:p>
        </w:tc>
        <w:tc>
          <w:tcPr>
            <w:tcW w:w="4873" w:type="dxa"/>
            <w:vMerge w:val="restart"/>
            <w:tcBorders>
              <w:tl2br w:val="nil"/>
              <w:tr2bl w:val="nil"/>
            </w:tcBorders>
            <w:noWrap w:val="0"/>
            <w:vAlign w:val="center"/>
          </w:tcPr>
          <w:p w14:paraId="0BEC567F">
            <w:pPr>
              <w:pStyle w:val="23"/>
              <w:bidi w:val="0"/>
              <w:rPr>
                <w:rFonts w:hint="default"/>
                <w:color w:val="auto"/>
                <w:highlight w:val="none"/>
              </w:rPr>
            </w:pPr>
            <w:r>
              <w:rPr>
                <w:rFonts w:hint="default"/>
                <w:color w:val="auto"/>
                <w:highlight w:val="none"/>
              </w:rPr>
              <w:t>施工期和运行期对其栖息活动、觅食等产生一定干扰，影响程度较小。</w:t>
            </w:r>
          </w:p>
        </w:tc>
        <w:tc>
          <w:tcPr>
            <w:tcW w:w="982" w:type="dxa"/>
            <w:tcBorders>
              <w:tl2br w:val="nil"/>
              <w:tr2bl w:val="nil"/>
            </w:tcBorders>
            <w:noWrap w:val="0"/>
            <w:vAlign w:val="center"/>
          </w:tcPr>
          <w:p w14:paraId="218803BF">
            <w:pPr>
              <w:pStyle w:val="23"/>
              <w:bidi w:val="0"/>
              <w:rPr>
                <w:rFonts w:hint="default"/>
                <w:color w:val="auto"/>
                <w:highlight w:val="none"/>
              </w:rPr>
            </w:pPr>
            <w:r>
              <w:rPr>
                <w:rFonts w:hint="default"/>
                <w:color w:val="auto"/>
                <w:highlight w:val="none"/>
              </w:rPr>
              <w:t>留鸟</w:t>
            </w:r>
          </w:p>
        </w:tc>
      </w:tr>
      <w:tr w14:paraId="76BEB43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546" w:type="dxa"/>
            <w:tcBorders>
              <w:tl2br w:val="nil"/>
              <w:tr2bl w:val="nil"/>
            </w:tcBorders>
            <w:noWrap w:val="0"/>
            <w:vAlign w:val="center"/>
          </w:tcPr>
          <w:p w14:paraId="415A7324">
            <w:pPr>
              <w:pStyle w:val="23"/>
              <w:bidi w:val="0"/>
              <w:rPr>
                <w:rFonts w:hint="default"/>
                <w:color w:val="auto"/>
                <w:highlight w:val="none"/>
                <w:lang w:val="en-US" w:eastAsia="zh-CN"/>
              </w:rPr>
            </w:pPr>
            <w:r>
              <w:rPr>
                <w:rFonts w:hint="eastAsia"/>
                <w:color w:val="auto"/>
                <w:highlight w:val="none"/>
                <w:lang w:val="en-US" w:eastAsia="zh-CN"/>
              </w:rPr>
              <w:t>5.</w:t>
            </w:r>
            <w:r>
              <w:rPr>
                <w:rFonts w:hint="default"/>
                <w:color w:val="auto"/>
                <w:highlight w:val="none"/>
              </w:rPr>
              <w:t>蛇雕</w:t>
            </w:r>
          </w:p>
          <w:p w14:paraId="5721D896">
            <w:pPr>
              <w:pStyle w:val="23"/>
              <w:bidi w:val="0"/>
              <w:rPr>
                <w:rFonts w:hint="default"/>
                <w:color w:val="auto"/>
                <w:highlight w:val="none"/>
              </w:rPr>
            </w:pPr>
            <w:r>
              <w:rPr>
                <w:rFonts w:hint="default"/>
                <w:i/>
                <w:iCs/>
                <w:color w:val="auto"/>
                <w:highlight w:val="none"/>
              </w:rPr>
              <w:t>Spilornis cheela</w:t>
            </w:r>
          </w:p>
        </w:tc>
        <w:tc>
          <w:tcPr>
            <w:tcW w:w="4873" w:type="dxa"/>
            <w:vMerge w:val="continue"/>
            <w:tcBorders>
              <w:tl2br w:val="nil"/>
              <w:tr2bl w:val="nil"/>
            </w:tcBorders>
            <w:noWrap w:val="0"/>
            <w:vAlign w:val="center"/>
          </w:tcPr>
          <w:p w14:paraId="5868CE0E">
            <w:pPr>
              <w:pStyle w:val="23"/>
              <w:bidi w:val="0"/>
              <w:rPr>
                <w:rFonts w:hint="default"/>
                <w:color w:val="auto"/>
                <w:highlight w:val="none"/>
              </w:rPr>
            </w:pPr>
          </w:p>
        </w:tc>
        <w:tc>
          <w:tcPr>
            <w:tcW w:w="982" w:type="dxa"/>
            <w:tcBorders>
              <w:tl2br w:val="nil"/>
              <w:tr2bl w:val="nil"/>
            </w:tcBorders>
            <w:noWrap w:val="0"/>
            <w:vAlign w:val="center"/>
          </w:tcPr>
          <w:p w14:paraId="666E1C2A">
            <w:pPr>
              <w:pStyle w:val="23"/>
              <w:bidi w:val="0"/>
              <w:rPr>
                <w:rFonts w:hint="default"/>
                <w:color w:val="auto"/>
                <w:highlight w:val="none"/>
              </w:rPr>
            </w:pPr>
            <w:r>
              <w:rPr>
                <w:rFonts w:hint="default"/>
                <w:color w:val="auto"/>
                <w:highlight w:val="none"/>
              </w:rPr>
              <w:t>留鸟</w:t>
            </w:r>
          </w:p>
        </w:tc>
      </w:tr>
      <w:tr w14:paraId="2602019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546" w:type="dxa"/>
            <w:tcBorders>
              <w:tl2br w:val="nil"/>
              <w:tr2bl w:val="nil"/>
            </w:tcBorders>
            <w:noWrap w:val="0"/>
            <w:vAlign w:val="center"/>
          </w:tcPr>
          <w:p w14:paraId="73FB5E54">
            <w:pPr>
              <w:pStyle w:val="23"/>
              <w:bidi w:val="0"/>
              <w:rPr>
                <w:rFonts w:hint="default"/>
                <w:color w:val="auto"/>
                <w:highlight w:val="none"/>
              </w:rPr>
            </w:pPr>
            <w:r>
              <w:rPr>
                <w:rFonts w:hint="eastAsia"/>
                <w:color w:val="auto"/>
                <w:highlight w:val="none"/>
                <w:lang w:val="en-US" w:eastAsia="zh-CN"/>
              </w:rPr>
              <w:t>6</w:t>
            </w:r>
            <w:r>
              <w:rPr>
                <w:rFonts w:hint="default"/>
                <w:color w:val="auto"/>
                <w:highlight w:val="none"/>
              </w:rPr>
              <w:t>.领角鸮</w:t>
            </w:r>
          </w:p>
          <w:p w14:paraId="6A595AE0">
            <w:pPr>
              <w:pStyle w:val="23"/>
              <w:bidi w:val="0"/>
              <w:rPr>
                <w:rFonts w:hint="default"/>
                <w:color w:val="auto"/>
                <w:highlight w:val="none"/>
              </w:rPr>
            </w:pPr>
            <w:r>
              <w:rPr>
                <w:rFonts w:hint="default"/>
                <w:i/>
                <w:iCs/>
                <w:color w:val="auto"/>
                <w:highlight w:val="none"/>
              </w:rPr>
              <w:t>Otus lettia</w:t>
            </w:r>
          </w:p>
        </w:tc>
        <w:tc>
          <w:tcPr>
            <w:tcW w:w="4873" w:type="dxa"/>
            <w:vMerge w:val="continue"/>
            <w:tcBorders>
              <w:tl2br w:val="nil"/>
              <w:tr2bl w:val="nil"/>
            </w:tcBorders>
            <w:noWrap w:val="0"/>
            <w:vAlign w:val="center"/>
          </w:tcPr>
          <w:p w14:paraId="14CD7AF2">
            <w:pPr>
              <w:pStyle w:val="23"/>
              <w:bidi w:val="0"/>
              <w:rPr>
                <w:rFonts w:hint="default"/>
                <w:color w:val="auto"/>
                <w:highlight w:val="none"/>
              </w:rPr>
            </w:pPr>
          </w:p>
        </w:tc>
        <w:tc>
          <w:tcPr>
            <w:tcW w:w="982" w:type="dxa"/>
            <w:tcBorders>
              <w:tl2br w:val="nil"/>
              <w:tr2bl w:val="nil"/>
            </w:tcBorders>
            <w:noWrap w:val="0"/>
            <w:vAlign w:val="center"/>
          </w:tcPr>
          <w:p w14:paraId="4ED87181">
            <w:pPr>
              <w:pStyle w:val="23"/>
              <w:bidi w:val="0"/>
              <w:rPr>
                <w:rFonts w:hint="default"/>
                <w:color w:val="auto"/>
                <w:highlight w:val="none"/>
              </w:rPr>
            </w:pPr>
            <w:r>
              <w:rPr>
                <w:rFonts w:hint="default"/>
                <w:color w:val="auto"/>
                <w:highlight w:val="none"/>
              </w:rPr>
              <w:t>留鸟</w:t>
            </w:r>
          </w:p>
        </w:tc>
      </w:tr>
      <w:tr w14:paraId="511A3FD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546" w:type="dxa"/>
            <w:tcBorders>
              <w:tl2br w:val="nil"/>
              <w:tr2bl w:val="nil"/>
            </w:tcBorders>
            <w:noWrap w:val="0"/>
            <w:vAlign w:val="center"/>
          </w:tcPr>
          <w:p w14:paraId="4A9250A0">
            <w:pPr>
              <w:pStyle w:val="23"/>
              <w:bidi w:val="0"/>
              <w:rPr>
                <w:rFonts w:hint="default"/>
                <w:color w:val="auto"/>
                <w:highlight w:val="none"/>
              </w:rPr>
            </w:pPr>
            <w:r>
              <w:rPr>
                <w:rFonts w:hint="eastAsia"/>
                <w:color w:val="auto"/>
                <w:highlight w:val="none"/>
                <w:lang w:val="en-US" w:eastAsia="zh-CN"/>
              </w:rPr>
              <w:t>7</w:t>
            </w:r>
            <w:r>
              <w:rPr>
                <w:rFonts w:hint="default"/>
                <w:color w:val="auto"/>
                <w:highlight w:val="none"/>
              </w:rPr>
              <w:t>.斑头鸺鹠</w:t>
            </w:r>
            <w:r>
              <w:rPr>
                <w:rFonts w:hint="default"/>
                <w:i/>
                <w:iCs/>
                <w:color w:val="auto"/>
                <w:highlight w:val="none"/>
              </w:rPr>
              <w:t>Glancidium.cuculoides</w:t>
            </w:r>
          </w:p>
        </w:tc>
        <w:tc>
          <w:tcPr>
            <w:tcW w:w="4873" w:type="dxa"/>
            <w:vMerge w:val="continue"/>
            <w:tcBorders>
              <w:tl2br w:val="nil"/>
              <w:tr2bl w:val="nil"/>
            </w:tcBorders>
            <w:noWrap w:val="0"/>
            <w:vAlign w:val="center"/>
          </w:tcPr>
          <w:p w14:paraId="6AF3E623">
            <w:pPr>
              <w:pStyle w:val="23"/>
              <w:bidi w:val="0"/>
              <w:rPr>
                <w:rFonts w:hint="default"/>
                <w:color w:val="auto"/>
                <w:highlight w:val="none"/>
              </w:rPr>
            </w:pPr>
          </w:p>
        </w:tc>
        <w:tc>
          <w:tcPr>
            <w:tcW w:w="982" w:type="dxa"/>
            <w:tcBorders>
              <w:tl2br w:val="nil"/>
              <w:tr2bl w:val="nil"/>
            </w:tcBorders>
            <w:noWrap w:val="0"/>
            <w:vAlign w:val="center"/>
          </w:tcPr>
          <w:p w14:paraId="4E7019FD">
            <w:pPr>
              <w:pStyle w:val="23"/>
              <w:bidi w:val="0"/>
              <w:rPr>
                <w:rFonts w:hint="default"/>
                <w:color w:val="auto"/>
                <w:highlight w:val="none"/>
              </w:rPr>
            </w:pPr>
            <w:r>
              <w:rPr>
                <w:rFonts w:hint="default"/>
                <w:color w:val="auto"/>
                <w:highlight w:val="none"/>
              </w:rPr>
              <w:t>留鸟</w:t>
            </w:r>
          </w:p>
        </w:tc>
      </w:tr>
      <w:tr w14:paraId="0A6BCD9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546" w:type="dxa"/>
            <w:tcBorders>
              <w:tl2br w:val="nil"/>
              <w:tr2bl w:val="nil"/>
            </w:tcBorders>
            <w:noWrap w:val="0"/>
            <w:vAlign w:val="center"/>
          </w:tcPr>
          <w:p w14:paraId="66F34A32">
            <w:pPr>
              <w:pStyle w:val="23"/>
              <w:bidi w:val="0"/>
              <w:rPr>
                <w:rFonts w:hint="eastAsia"/>
                <w:color w:val="auto"/>
                <w:highlight w:val="none"/>
                <w:lang w:val="en-US" w:eastAsia="zh-CN"/>
              </w:rPr>
            </w:pPr>
            <w:r>
              <w:rPr>
                <w:rFonts w:hint="eastAsia"/>
                <w:color w:val="auto"/>
                <w:highlight w:val="none"/>
                <w:lang w:val="en-US" w:eastAsia="zh-CN"/>
              </w:rPr>
              <w:t>8.小鸦鹃</w:t>
            </w:r>
          </w:p>
          <w:p w14:paraId="5862E5B5">
            <w:pPr>
              <w:pStyle w:val="23"/>
              <w:bidi w:val="0"/>
              <w:rPr>
                <w:rFonts w:hint="default"/>
                <w:color w:val="auto"/>
                <w:highlight w:val="none"/>
              </w:rPr>
            </w:pPr>
            <w:r>
              <w:rPr>
                <w:rFonts w:hint="eastAsia"/>
                <w:i/>
                <w:iCs/>
                <w:color w:val="auto"/>
                <w:highlight w:val="none"/>
                <w:lang w:val="en-US" w:eastAsia="zh-CN"/>
              </w:rPr>
              <w:t>Centropus bengalensis</w:t>
            </w:r>
          </w:p>
        </w:tc>
        <w:tc>
          <w:tcPr>
            <w:tcW w:w="4873" w:type="dxa"/>
            <w:vMerge w:val="continue"/>
            <w:tcBorders>
              <w:tl2br w:val="nil"/>
              <w:tr2bl w:val="nil"/>
            </w:tcBorders>
            <w:noWrap w:val="0"/>
            <w:vAlign w:val="center"/>
          </w:tcPr>
          <w:p w14:paraId="61E3554E">
            <w:pPr>
              <w:pStyle w:val="23"/>
              <w:bidi w:val="0"/>
              <w:rPr>
                <w:rFonts w:hint="default"/>
                <w:color w:val="auto"/>
                <w:highlight w:val="none"/>
              </w:rPr>
            </w:pPr>
          </w:p>
        </w:tc>
        <w:tc>
          <w:tcPr>
            <w:tcW w:w="982" w:type="dxa"/>
            <w:tcBorders>
              <w:tl2br w:val="nil"/>
              <w:tr2bl w:val="nil"/>
            </w:tcBorders>
            <w:noWrap w:val="0"/>
            <w:vAlign w:val="center"/>
          </w:tcPr>
          <w:p w14:paraId="5B4E8E18">
            <w:pPr>
              <w:pStyle w:val="23"/>
              <w:bidi w:val="0"/>
              <w:rPr>
                <w:rFonts w:hint="default"/>
                <w:color w:val="auto"/>
                <w:highlight w:val="none"/>
              </w:rPr>
            </w:pPr>
            <w:r>
              <w:rPr>
                <w:rFonts w:hint="default"/>
                <w:color w:val="auto"/>
                <w:highlight w:val="none"/>
              </w:rPr>
              <w:t>留鸟</w:t>
            </w:r>
          </w:p>
        </w:tc>
      </w:tr>
      <w:tr w14:paraId="7668434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2546" w:type="dxa"/>
            <w:tcBorders>
              <w:tl2br w:val="nil"/>
              <w:tr2bl w:val="nil"/>
            </w:tcBorders>
            <w:noWrap w:val="0"/>
            <w:vAlign w:val="center"/>
          </w:tcPr>
          <w:p w14:paraId="5A748533">
            <w:pPr>
              <w:pStyle w:val="23"/>
              <w:bidi w:val="0"/>
              <w:rPr>
                <w:rFonts w:hint="eastAsia"/>
                <w:color w:val="auto"/>
                <w:highlight w:val="none"/>
                <w:lang w:val="en-US" w:eastAsia="zh-CN"/>
              </w:rPr>
            </w:pPr>
            <w:r>
              <w:rPr>
                <w:rFonts w:hint="eastAsia"/>
                <w:color w:val="auto"/>
                <w:highlight w:val="none"/>
                <w:lang w:val="en-US" w:eastAsia="zh-CN"/>
              </w:rPr>
              <w:t>9.画眉</w:t>
            </w:r>
          </w:p>
          <w:p w14:paraId="46F827FC">
            <w:pPr>
              <w:pStyle w:val="23"/>
              <w:bidi w:val="0"/>
              <w:rPr>
                <w:rFonts w:hint="default"/>
                <w:color w:val="auto"/>
                <w:highlight w:val="none"/>
              </w:rPr>
            </w:pPr>
            <w:r>
              <w:rPr>
                <w:rFonts w:hint="eastAsia"/>
                <w:i/>
                <w:iCs/>
                <w:color w:val="auto"/>
                <w:highlight w:val="none"/>
                <w:lang w:val="en-US" w:eastAsia="zh-CN"/>
              </w:rPr>
              <w:t>Garrulax caniyus</w:t>
            </w:r>
          </w:p>
        </w:tc>
        <w:tc>
          <w:tcPr>
            <w:tcW w:w="4873" w:type="dxa"/>
            <w:vMerge w:val="continue"/>
            <w:tcBorders>
              <w:tl2br w:val="nil"/>
              <w:tr2bl w:val="nil"/>
            </w:tcBorders>
            <w:noWrap w:val="0"/>
            <w:vAlign w:val="center"/>
          </w:tcPr>
          <w:p w14:paraId="6A0121FB">
            <w:pPr>
              <w:pStyle w:val="23"/>
              <w:bidi w:val="0"/>
              <w:rPr>
                <w:rFonts w:hint="default"/>
                <w:color w:val="auto"/>
                <w:highlight w:val="none"/>
              </w:rPr>
            </w:pPr>
          </w:p>
        </w:tc>
        <w:tc>
          <w:tcPr>
            <w:tcW w:w="982" w:type="dxa"/>
            <w:tcBorders>
              <w:tl2br w:val="nil"/>
              <w:tr2bl w:val="nil"/>
            </w:tcBorders>
            <w:noWrap w:val="0"/>
            <w:vAlign w:val="center"/>
          </w:tcPr>
          <w:p w14:paraId="0B510631">
            <w:pPr>
              <w:pStyle w:val="23"/>
              <w:bidi w:val="0"/>
              <w:rPr>
                <w:rFonts w:hint="default"/>
                <w:color w:val="auto"/>
                <w:highlight w:val="none"/>
              </w:rPr>
            </w:pPr>
            <w:r>
              <w:rPr>
                <w:rFonts w:hint="default"/>
                <w:color w:val="auto"/>
                <w:highlight w:val="none"/>
              </w:rPr>
              <w:t>留鸟</w:t>
            </w:r>
          </w:p>
        </w:tc>
      </w:tr>
    </w:tbl>
    <w:p w14:paraId="714D00BA">
      <w:pPr>
        <w:keepNext w:val="0"/>
        <w:keepLines w:val="0"/>
        <w:pageBreakBefore w:val="0"/>
        <w:widowControl w:val="0"/>
        <w:numPr>
          <w:ilvl w:val="0"/>
          <w:numId w:val="0"/>
        </w:numPr>
        <w:kinsoku/>
        <w:wordWrap/>
        <w:overflowPunct/>
        <w:topLinePunct w:val="0"/>
        <w:autoSpaceDE/>
        <w:autoSpaceDN/>
        <w:bidi w:val="0"/>
        <w:adjustRightInd w:val="0"/>
        <w:snapToGrid w:val="0"/>
        <w:ind w:firstLine="482" w:firstLineChars="200"/>
        <w:textAlignment w:val="auto"/>
        <w:rPr>
          <w:rFonts w:hint="default"/>
          <w:b/>
          <w:bCs/>
          <w:color w:val="auto"/>
          <w:highlight w:val="none"/>
          <w:lang w:val="en-US" w:eastAsia="zh-CN"/>
        </w:rPr>
      </w:pPr>
      <w:r>
        <w:rPr>
          <w:rFonts w:hint="eastAsia"/>
          <w:b/>
          <w:bCs/>
          <w:color w:val="auto"/>
          <w:highlight w:val="none"/>
          <w:lang w:val="en-US" w:eastAsia="zh-CN"/>
        </w:rPr>
        <w:t>2、对湖南省重点保护野生动物的影响</w:t>
      </w:r>
    </w:p>
    <w:p w14:paraId="364C7173">
      <w:pPr>
        <w:pStyle w:val="8"/>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工程对省级保护动物的影响详见表</w:t>
      </w:r>
      <w:r>
        <w:rPr>
          <w:rFonts w:hint="eastAsia" w:ascii="Times New Roman" w:hAnsi="Times New Roman" w:cs="Times New Roman"/>
          <w:color w:val="auto"/>
          <w:kern w:val="2"/>
          <w:sz w:val="24"/>
          <w:szCs w:val="24"/>
          <w:highlight w:val="none"/>
          <w:lang w:val="en-US" w:eastAsia="zh-CN" w:bidi="ar-SA"/>
        </w:rPr>
        <w:t>6.2.1</w:t>
      </w:r>
      <w:r>
        <w:rPr>
          <w:rFonts w:hint="eastAsia" w:ascii="Times New Roman" w:hAnsi="Times New Roman" w:eastAsia="宋体" w:cs="Times New Roman"/>
          <w:color w:val="auto"/>
          <w:kern w:val="2"/>
          <w:sz w:val="24"/>
          <w:szCs w:val="24"/>
          <w:highlight w:val="none"/>
          <w:lang w:val="en-US" w:eastAsia="zh-CN" w:bidi="ar-SA"/>
        </w:rPr>
        <w:t>-3。</w:t>
      </w:r>
    </w:p>
    <w:p w14:paraId="70DCCED6">
      <w:pPr>
        <w:keepNext w:val="0"/>
        <w:keepLines w:val="0"/>
        <w:pageBreakBefore w:val="0"/>
        <w:widowControl w:val="0"/>
        <w:kinsoku/>
        <w:wordWrap/>
        <w:overflowPunct/>
        <w:topLinePunct w:val="0"/>
        <w:autoSpaceDE/>
        <w:autoSpaceDN/>
        <w:bidi w:val="0"/>
        <w:adjustRightInd w:val="0"/>
        <w:snapToGrid w:val="0"/>
        <w:spacing w:line="240" w:lineRule="auto"/>
        <w:ind w:left="0" w:firstLine="0" w:firstLineChars="0"/>
        <w:jc w:val="center"/>
        <w:textAlignment w:val="auto"/>
        <w:rPr>
          <w:rFonts w:hint="default" w:ascii="Times New Roman" w:hAnsi="Times New Roman" w:cs="Times New Roman" w:eastAsiaTheme="minorEastAsia"/>
          <w:b/>
          <w:bCs/>
          <w:color w:val="auto"/>
          <w:spacing w:val="11"/>
          <w:sz w:val="24"/>
          <w:szCs w:val="24"/>
          <w:highlight w:val="none"/>
        </w:rPr>
      </w:pPr>
      <w:r>
        <w:rPr>
          <w:rFonts w:hint="default" w:ascii="Times New Roman" w:hAnsi="Times New Roman" w:cs="Times New Roman" w:eastAsiaTheme="minorEastAsia"/>
          <w:b/>
          <w:bCs/>
          <w:color w:val="auto"/>
          <w:spacing w:val="11"/>
          <w:sz w:val="24"/>
          <w:szCs w:val="24"/>
          <w:highlight w:val="none"/>
        </w:rPr>
        <w:t>表</w:t>
      </w:r>
      <w:r>
        <w:rPr>
          <w:rFonts w:hint="eastAsia" w:cs="Times New Roman" w:eastAsiaTheme="minorEastAsia"/>
          <w:b/>
          <w:bCs/>
          <w:color w:val="auto"/>
          <w:spacing w:val="11"/>
          <w:sz w:val="24"/>
          <w:szCs w:val="24"/>
          <w:highlight w:val="none"/>
          <w:lang w:val="en-US" w:eastAsia="zh-CN"/>
        </w:rPr>
        <w:t>6.2.1</w:t>
      </w:r>
      <w:r>
        <w:rPr>
          <w:rFonts w:hint="default" w:ascii="Times New Roman" w:hAnsi="Times New Roman" w:cs="Times New Roman" w:eastAsiaTheme="minorEastAsia"/>
          <w:b/>
          <w:bCs/>
          <w:color w:val="auto"/>
          <w:spacing w:val="11"/>
          <w:sz w:val="24"/>
          <w:szCs w:val="24"/>
          <w:highlight w:val="none"/>
        </w:rPr>
        <w:t>-</w:t>
      </w:r>
      <w:r>
        <w:rPr>
          <w:rFonts w:hint="eastAsia" w:ascii="Times New Roman" w:hAnsi="Times New Roman" w:cs="Times New Roman" w:eastAsiaTheme="minorEastAsia"/>
          <w:b/>
          <w:bCs/>
          <w:color w:val="auto"/>
          <w:spacing w:val="11"/>
          <w:sz w:val="24"/>
          <w:szCs w:val="24"/>
          <w:highlight w:val="none"/>
          <w:lang w:val="en-US" w:eastAsia="zh-CN"/>
        </w:rPr>
        <w:t>3</w:t>
      </w:r>
      <w:r>
        <w:rPr>
          <w:rFonts w:hint="default" w:ascii="Times New Roman" w:hAnsi="Times New Roman" w:cs="Times New Roman" w:eastAsiaTheme="minorEastAsia"/>
          <w:b/>
          <w:bCs/>
          <w:color w:val="auto"/>
          <w:spacing w:val="11"/>
          <w:sz w:val="24"/>
          <w:szCs w:val="24"/>
          <w:highlight w:val="none"/>
        </w:rPr>
        <w:t xml:space="preserve">  评价区省级保护野生动物的影响</w:t>
      </w:r>
    </w:p>
    <w:p w14:paraId="4476A71C">
      <w:pPr>
        <w:spacing w:line="14" w:lineRule="exact"/>
        <w:rPr>
          <w:color w:val="auto"/>
          <w:highlight w:val="none"/>
        </w:rPr>
      </w:pPr>
    </w:p>
    <w:tbl>
      <w:tblPr>
        <w:tblStyle w:val="38"/>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3299"/>
        <w:gridCol w:w="5037"/>
      </w:tblGrid>
      <w:tr w14:paraId="226A437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49D1B4B6">
            <w:pPr>
              <w:pStyle w:val="45"/>
              <w:bidi w:val="0"/>
              <w:jc w:val="center"/>
              <w:rPr>
                <w:rFonts w:hint="default"/>
                <w:b w:val="0"/>
                <w:bCs/>
                <w:color w:val="auto"/>
                <w:highlight w:val="none"/>
              </w:rPr>
            </w:pPr>
            <w:r>
              <w:rPr>
                <w:rFonts w:hint="default"/>
                <w:b w:val="0"/>
                <w:bCs/>
                <w:color w:val="auto"/>
                <w:highlight w:val="none"/>
              </w:rPr>
              <w:t>种名</w:t>
            </w:r>
          </w:p>
        </w:tc>
        <w:tc>
          <w:tcPr>
            <w:tcW w:w="5076" w:type="dxa"/>
            <w:tcBorders>
              <w:tl2br w:val="nil"/>
              <w:tr2bl w:val="nil"/>
            </w:tcBorders>
            <w:noWrap w:val="0"/>
            <w:vAlign w:val="center"/>
          </w:tcPr>
          <w:p w14:paraId="3290ED24">
            <w:pPr>
              <w:pStyle w:val="45"/>
              <w:bidi w:val="0"/>
              <w:jc w:val="center"/>
              <w:rPr>
                <w:rFonts w:hint="default"/>
                <w:b w:val="0"/>
                <w:bCs/>
                <w:color w:val="auto"/>
                <w:highlight w:val="none"/>
              </w:rPr>
            </w:pPr>
            <w:r>
              <w:rPr>
                <w:rFonts w:hint="default"/>
                <w:b w:val="0"/>
                <w:bCs/>
                <w:color w:val="auto"/>
                <w:highlight w:val="none"/>
              </w:rPr>
              <w:t>影响方式及程度</w:t>
            </w:r>
          </w:p>
        </w:tc>
      </w:tr>
      <w:tr w14:paraId="627882C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0F8FD920">
            <w:pPr>
              <w:pStyle w:val="45"/>
              <w:bidi w:val="0"/>
              <w:jc w:val="center"/>
              <w:rPr>
                <w:rFonts w:hint="default"/>
                <w:b w:val="0"/>
                <w:bCs/>
                <w:color w:val="auto"/>
                <w:highlight w:val="none"/>
              </w:rPr>
            </w:pPr>
            <w:r>
              <w:rPr>
                <w:rFonts w:hint="default"/>
                <w:b w:val="0"/>
                <w:bCs/>
                <w:color w:val="auto"/>
                <w:highlight w:val="none"/>
              </w:rPr>
              <w:t>1.中华蟾蜍</w:t>
            </w:r>
          </w:p>
          <w:p w14:paraId="2D8C9E71">
            <w:pPr>
              <w:pStyle w:val="45"/>
              <w:bidi w:val="0"/>
              <w:jc w:val="center"/>
              <w:rPr>
                <w:rFonts w:hint="default"/>
                <w:b w:val="0"/>
                <w:bCs/>
                <w:color w:val="auto"/>
                <w:highlight w:val="none"/>
              </w:rPr>
            </w:pPr>
            <w:r>
              <w:rPr>
                <w:rFonts w:hint="default"/>
                <w:b w:val="0"/>
                <w:bCs/>
                <w:i/>
                <w:iCs/>
                <w:color w:val="auto"/>
                <w:highlight w:val="none"/>
              </w:rPr>
              <w:t>Bufo gargarizans</w:t>
            </w:r>
          </w:p>
        </w:tc>
        <w:tc>
          <w:tcPr>
            <w:tcW w:w="5076" w:type="dxa"/>
            <w:vMerge w:val="restart"/>
            <w:tcBorders>
              <w:tl2br w:val="nil"/>
              <w:tr2bl w:val="nil"/>
            </w:tcBorders>
            <w:noWrap w:val="0"/>
            <w:vAlign w:val="center"/>
          </w:tcPr>
          <w:p w14:paraId="305B2B95">
            <w:pPr>
              <w:pStyle w:val="45"/>
              <w:bidi w:val="0"/>
              <w:jc w:val="center"/>
              <w:rPr>
                <w:rFonts w:hint="default"/>
                <w:b w:val="0"/>
                <w:bCs/>
                <w:color w:val="auto"/>
                <w:highlight w:val="none"/>
              </w:rPr>
            </w:pPr>
            <w:r>
              <w:rPr>
                <w:rFonts w:hint="default"/>
                <w:b w:val="0"/>
                <w:bCs/>
                <w:color w:val="auto"/>
                <w:highlight w:val="none"/>
              </w:rPr>
              <w:t>施工期施工废水和生活污水等污染其生境。冬眠期间若开挖可能造成部分个体死亡。</w:t>
            </w:r>
          </w:p>
          <w:p w14:paraId="4E2B8629">
            <w:pPr>
              <w:pStyle w:val="45"/>
              <w:bidi w:val="0"/>
              <w:jc w:val="center"/>
              <w:rPr>
                <w:rFonts w:hint="default"/>
                <w:b w:val="0"/>
                <w:bCs/>
                <w:color w:val="auto"/>
                <w:highlight w:val="none"/>
              </w:rPr>
            </w:pPr>
            <w:r>
              <w:rPr>
                <w:rFonts w:hint="default"/>
                <w:b w:val="0"/>
                <w:bCs/>
                <w:color w:val="auto"/>
                <w:highlight w:val="none"/>
              </w:rPr>
              <w:t>部分种类有经济价值，可能会遭到施工人员捕杀。</w:t>
            </w:r>
          </w:p>
        </w:tc>
      </w:tr>
      <w:tr w14:paraId="0D295EE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35D0AAFC">
            <w:pPr>
              <w:pStyle w:val="45"/>
              <w:bidi w:val="0"/>
              <w:jc w:val="center"/>
              <w:rPr>
                <w:rFonts w:hint="default"/>
                <w:b w:val="0"/>
                <w:bCs/>
                <w:color w:val="auto"/>
                <w:highlight w:val="none"/>
              </w:rPr>
            </w:pPr>
            <w:r>
              <w:rPr>
                <w:rFonts w:hint="default"/>
                <w:b w:val="0"/>
                <w:bCs/>
                <w:color w:val="auto"/>
                <w:highlight w:val="none"/>
              </w:rPr>
              <w:t>2.沼蛙</w:t>
            </w:r>
          </w:p>
          <w:p w14:paraId="6A40E653">
            <w:pPr>
              <w:pStyle w:val="45"/>
              <w:bidi w:val="0"/>
              <w:jc w:val="center"/>
              <w:rPr>
                <w:rFonts w:hint="default"/>
                <w:b w:val="0"/>
                <w:bCs/>
                <w:color w:val="auto"/>
                <w:highlight w:val="none"/>
              </w:rPr>
            </w:pPr>
            <w:r>
              <w:rPr>
                <w:rFonts w:hint="default"/>
                <w:b w:val="0"/>
                <w:bCs/>
                <w:i/>
                <w:iCs/>
                <w:color w:val="auto"/>
                <w:highlight w:val="none"/>
              </w:rPr>
              <w:t>Boulengerana guentheri</w:t>
            </w:r>
          </w:p>
        </w:tc>
        <w:tc>
          <w:tcPr>
            <w:tcW w:w="5076" w:type="dxa"/>
            <w:vMerge w:val="continue"/>
            <w:tcBorders>
              <w:tl2br w:val="nil"/>
              <w:tr2bl w:val="nil"/>
            </w:tcBorders>
            <w:noWrap w:val="0"/>
            <w:vAlign w:val="center"/>
          </w:tcPr>
          <w:p w14:paraId="446DB20F">
            <w:pPr>
              <w:pStyle w:val="45"/>
              <w:bidi w:val="0"/>
              <w:jc w:val="center"/>
              <w:rPr>
                <w:rFonts w:hint="default"/>
                <w:b w:val="0"/>
                <w:bCs/>
                <w:color w:val="auto"/>
                <w:highlight w:val="none"/>
              </w:rPr>
            </w:pPr>
          </w:p>
        </w:tc>
      </w:tr>
      <w:tr w14:paraId="51C5FDB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405D7D80">
            <w:pPr>
              <w:pStyle w:val="45"/>
              <w:bidi w:val="0"/>
              <w:jc w:val="center"/>
              <w:rPr>
                <w:rFonts w:hint="default"/>
                <w:b w:val="0"/>
                <w:bCs/>
                <w:color w:val="auto"/>
                <w:highlight w:val="none"/>
              </w:rPr>
            </w:pPr>
            <w:r>
              <w:rPr>
                <w:rFonts w:hint="default"/>
                <w:b w:val="0"/>
                <w:bCs/>
                <w:color w:val="auto"/>
                <w:highlight w:val="none"/>
              </w:rPr>
              <w:t>3.黑斑侧褶蛙</w:t>
            </w:r>
          </w:p>
          <w:p w14:paraId="3EAFA34E">
            <w:pPr>
              <w:pStyle w:val="45"/>
              <w:bidi w:val="0"/>
              <w:jc w:val="center"/>
              <w:rPr>
                <w:rFonts w:hint="default"/>
                <w:b w:val="0"/>
                <w:bCs/>
                <w:color w:val="auto"/>
                <w:highlight w:val="none"/>
              </w:rPr>
            </w:pPr>
            <w:r>
              <w:rPr>
                <w:rFonts w:hint="default"/>
                <w:b w:val="0"/>
                <w:bCs/>
                <w:i/>
                <w:iCs/>
                <w:color w:val="auto"/>
                <w:highlight w:val="none"/>
              </w:rPr>
              <w:t>Pelophylax nigromaculatus</w:t>
            </w:r>
          </w:p>
        </w:tc>
        <w:tc>
          <w:tcPr>
            <w:tcW w:w="5076" w:type="dxa"/>
            <w:vMerge w:val="continue"/>
            <w:tcBorders>
              <w:tl2br w:val="nil"/>
              <w:tr2bl w:val="nil"/>
            </w:tcBorders>
            <w:noWrap w:val="0"/>
            <w:vAlign w:val="center"/>
          </w:tcPr>
          <w:p w14:paraId="0A5F7329">
            <w:pPr>
              <w:pStyle w:val="45"/>
              <w:bidi w:val="0"/>
              <w:jc w:val="center"/>
              <w:rPr>
                <w:rFonts w:hint="default"/>
                <w:b w:val="0"/>
                <w:bCs/>
                <w:color w:val="auto"/>
                <w:highlight w:val="none"/>
              </w:rPr>
            </w:pPr>
          </w:p>
        </w:tc>
      </w:tr>
      <w:tr w14:paraId="01F9D31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02E084EE">
            <w:pPr>
              <w:pStyle w:val="45"/>
              <w:bidi w:val="0"/>
              <w:jc w:val="center"/>
              <w:rPr>
                <w:rFonts w:hint="default"/>
                <w:b w:val="0"/>
                <w:bCs/>
                <w:color w:val="auto"/>
                <w:highlight w:val="none"/>
              </w:rPr>
            </w:pPr>
            <w:r>
              <w:rPr>
                <w:rFonts w:hint="default"/>
                <w:b w:val="0"/>
                <w:bCs/>
                <w:color w:val="auto"/>
                <w:highlight w:val="none"/>
              </w:rPr>
              <w:t>4.湖北侧褶蛙</w:t>
            </w:r>
          </w:p>
          <w:p w14:paraId="0C8A1A8D">
            <w:pPr>
              <w:pStyle w:val="45"/>
              <w:bidi w:val="0"/>
              <w:jc w:val="center"/>
              <w:rPr>
                <w:rFonts w:hint="default"/>
                <w:b w:val="0"/>
                <w:bCs/>
                <w:color w:val="auto"/>
                <w:highlight w:val="none"/>
              </w:rPr>
            </w:pPr>
            <w:r>
              <w:rPr>
                <w:rFonts w:hint="default"/>
                <w:b w:val="0"/>
                <w:bCs/>
                <w:i/>
                <w:iCs/>
                <w:color w:val="auto"/>
                <w:highlight w:val="none"/>
              </w:rPr>
              <w:t>Pelophylax hubeiensis</w:t>
            </w:r>
          </w:p>
        </w:tc>
        <w:tc>
          <w:tcPr>
            <w:tcW w:w="5076" w:type="dxa"/>
            <w:vMerge w:val="continue"/>
            <w:tcBorders>
              <w:tl2br w:val="nil"/>
              <w:tr2bl w:val="nil"/>
            </w:tcBorders>
            <w:noWrap w:val="0"/>
            <w:vAlign w:val="center"/>
          </w:tcPr>
          <w:p w14:paraId="25693E80">
            <w:pPr>
              <w:pStyle w:val="45"/>
              <w:bidi w:val="0"/>
              <w:jc w:val="center"/>
              <w:rPr>
                <w:rFonts w:hint="default"/>
                <w:b w:val="0"/>
                <w:bCs/>
                <w:color w:val="auto"/>
                <w:highlight w:val="none"/>
              </w:rPr>
            </w:pPr>
          </w:p>
        </w:tc>
      </w:tr>
      <w:tr w14:paraId="7773731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7F10973D">
            <w:pPr>
              <w:pStyle w:val="45"/>
              <w:bidi w:val="0"/>
              <w:jc w:val="center"/>
              <w:rPr>
                <w:rFonts w:hint="default"/>
                <w:b w:val="0"/>
                <w:bCs/>
                <w:color w:val="auto"/>
                <w:highlight w:val="none"/>
              </w:rPr>
            </w:pPr>
            <w:r>
              <w:rPr>
                <w:rFonts w:hint="default"/>
                <w:b w:val="0"/>
                <w:bCs/>
                <w:color w:val="auto"/>
                <w:highlight w:val="none"/>
              </w:rPr>
              <w:t>5.泽陆蛙</w:t>
            </w:r>
          </w:p>
          <w:p w14:paraId="2B228297">
            <w:pPr>
              <w:pStyle w:val="45"/>
              <w:bidi w:val="0"/>
              <w:jc w:val="center"/>
              <w:rPr>
                <w:rFonts w:hint="default"/>
                <w:b w:val="0"/>
                <w:bCs/>
                <w:color w:val="auto"/>
                <w:highlight w:val="none"/>
              </w:rPr>
            </w:pPr>
            <w:r>
              <w:rPr>
                <w:rFonts w:hint="default"/>
                <w:b w:val="0"/>
                <w:bCs/>
                <w:i/>
                <w:iCs/>
                <w:color w:val="auto"/>
                <w:highlight w:val="none"/>
              </w:rPr>
              <w:t>Fejervarya multistriata</w:t>
            </w:r>
          </w:p>
        </w:tc>
        <w:tc>
          <w:tcPr>
            <w:tcW w:w="5076" w:type="dxa"/>
            <w:vMerge w:val="continue"/>
            <w:tcBorders>
              <w:tl2br w:val="nil"/>
              <w:tr2bl w:val="nil"/>
            </w:tcBorders>
            <w:noWrap w:val="0"/>
            <w:vAlign w:val="center"/>
          </w:tcPr>
          <w:p w14:paraId="4409A7F8">
            <w:pPr>
              <w:pStyle w:val="45"/>
              <w:bidi w:val="0"/>
              <w:jc w:val="center"/>
              <w:rPr>
                <w:rFonts w:hint="default"/>
                <w:b w:val="0"/>
                <w:bCs/>
                <w:color w:val="auto"/>
                <w:highlight w:val="none"/>
              </w:rPr>
            </w:pPr>
          </w:p>
        </w:tc>
      </w:tr>
      <w:tr w14:paraId="044D634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63F9BA0D">
            <w:pPr>
              <w:pStyle w:val="45"/>
              <w:bidi w:val="0"/>
              <w:jc w:val="center"/>
              <w:rPr>
                <w:rFonts w:hint="default"/>
                <w:b w:val="0"/>
                <w:bCs/>
                <w:color w:val="auto"/>
                <w:highlight w:val="none"/>
              </w:rPr>
            </w:pPr>
            <w:r>
              <w:rPr>
                <w:rFonts w:hint="default"/>
                <w:b w:val="0"/>
                <w:bCs/>
                <w:color w:val="auto"/>
                <w:highlight w:val="none"/>
              </w:rPr>
              <w:t>6.棘腹蛙</w:t>
            </w:r>
          </w:p>
          <w:p w14:paraId="6BDA7A97">
            <w:pPr>
              <w:pStyle w:val="45"/>
              <w:bidi w:val="0"/>
              <w:jc w:val="center"/>
              <w:rPr>
                <w:rFonts w:hint="default"/>
                <w:b w:val="0"/>
                <w:bCs/>
                <w:color w:val="auto"/>
                <w:highlight w:val="none"/>
              </w:rPr>
            </w:pPr>
            <w:r>
              <w:rPr>
                <w:rFonts w:hint="default"/>
                <w:b w:val="0"/>
                <w:bCs/>
                <w:i/>
                <w:iCs/>
                <w:color w:val="auto"/>
                <w:highlight w:val="none"/>
              </w:rPr>
              <w:t>Quasipaa boulengeri</w:t>
            </w:r>
          </w:p>
        </w:tc>
        <w:tc>
          <w:tcPr>
            <w:tcW w:w="5076" w:type="dxa"/>
            <w:vMerge w:val="continue"/>
            <w:tcBorders>
              <w:tl2br w:val="nil"/>
              <w:tr2bl w:val="nil"/>
            </w:tcBorders>
            <w:noWrap w:val="0"/>
            <w:vAlign w:val="center"/>
          </w:tcPr>
          <w:p w14:paraId="2E28ADB1">
            <w:pPr>
              <w:pStyle w:val="45"/>
              <w:bidi w:val="0"/>
              <w:jc w:val="center"/>
              <w:rPr>
                <w:rFonts w:hint="default"/>
                <w:b w:val="0"/>
                <w:bCs/>
                <w:color w:val="auto"/>
                <w:highlight w:val="none"/>
              </w:rPr>
            </w:pPr>
          </w:p>
        </w:tc>
      </w:tr>
      <w:tr w14:paraId="4A81A8E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1955CB6D">
            <w:pPr>
              <w:pStyle w:val="45"/>
              <w:bidi w:val="0"/>
              <w:jc w:val="center"/>
              <w:rPr>
                <w:rFonts w:hint="default"/>
                <w:b w:val="0"/>
                <w:bCs/>
                <w:color w:val="auto"/>
                <w:highlight w:val="none"/>
              </w:rPr>
            </w:pPr>
            <w:r>
              <w:rPr>
                <w:rFonts w:hint="default"/>
                <w:b w:val="0"/>
                <w:bCs/>
                <w:color w:val="auto"/>
                <w:highlight w:val="none"/>
              </w:rPr>
              <w:t>7.斑腿泛树蛙</w:t>
            </w:r>
          </w:p>
          <w:p w14:paraId="45A09683">
            <w:pPr>
              <w:pStyle w:val="45"/>
              <w:bidi w:val="0"/>
              <w:jc w:val="center"/>
              <w:rPr>
                <w:rFonts w:hint="default"/>
                <w:b w:val="0"/>
                <w:bCs/>
                <w:color w:val="auto"/>
                <w:highlight w:val="none"/>
              </w:rPr>
            </w:pPr>
            <w:r>
              <w:rPr>
                <w:rFonts w:hint="default"/>
                <w:b w:val="0"/>
                <w:bCs/>
                <w:i/>
                <w:iCs/>
                <w:color w:val="auto"/>
                <w:highlight w:val="none"/>
              </w:rPr>
              <w:t>Polypedates megacephalus</w:t>
            </w:r>
          </w:p>
        </w:tc>
        <w:tc>
          <w:tcPr>
            <w:tcW w:w="5076" w:type="dxa"/>
            <w:vMerge w:val="continue"/>
            <w:tcBorders>
              <w:tl2br w:val="nil"/>
              <w:tr2bl w:val="nil"/>
            </w:tcBorders>
            <w:noWrap w:val="0"/>
            <w:vAlign w:val="center"/>
          </w:tcPr>
          <w:p w14:paraId="722D0153">
            <w:pPr>
              <w:pStyle w:val="45"/>
              <w:bidi w:val="0"/>
              <w:jc w:val="center"/>
              <w:rPr>
                <w:rFonts w:hint="default"/>
                <w:b w:val="0"/>
                <w:bCs/>
                <w:color w:val="auto"/>
                <w:highlight w:val="none"/>
              </w:rPr>
            </w:pPr>
          </w:p>
        </w:tc>
      </w:tr>
      <w:tr w14:paraId="5347141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jc w:val="center"/>
        </w:trPr>
        <w:tc>
          <w:tcPr>
            <w:tcW w:w="3325" w:type="dxa"/>
            <w:tcBorders>
              <w:tl2br w:val="nil"/>
              <w:tr2bl w:val="nil"/>
            </w:tcBorders>
            <w:noWrap w:val="0"/>
            <w:vAlign w:val="center"/>
          </w:tcPr>
          <w:p w14:paraId="721F7207">
            <w:pPr>
              <w:pStyle w:val="45"/>
              <w:bidi w:val="0"/>
              <w:jc w:val="center"/>
              <w:rPr>
                <w:rFonts w:hint="default"/>
                <w:b w:val="0"/>
                <w:bCs/>
                <w:color w:val="auto"/>
                <w:highlight w:val="none"/>
              </w:rPr>
            </w:pPr>
            <w:r>
              <w:rPr>
                <w:rFonts w:hint="default"/>
                <w:b w:val="0"/>
                <w:bCs/>
                <w:color w:val="auto"/>
                <w:highlight w:val="none"/>
              </w:rPr>
              <w:t>8.大树蛙</w:t>
            </w:r>
          </w:p>
          <w:p w14:paraId="0E17523F">
            <w:pPr>
              <w:pStyle w:val="45"/>
              <w:bidi w:val="0"/>
              <w:jc w:val="center"/>
              <w:rPr>
                <w:rFonts w:hint="default"/>
                <w:b w:val="0"/>
                <w:bCs/>
                <w:color w:val="auto"/>
                <w:highlight w:val="none"/>
              </w:rPr>
            </w:pPr>
            <w:r>
              <w:rPr>
                <w:rFonts w:hint="default"/>
                <w:b w:val="0"/>
                <w:bCs/>
                <w:i/>
                <w:iCs/>
                <w:color w:val="auto"/>
                <w:highlight w:val="none"/>
              </w:rPr>
              <w:t>Rhacophorus dennysi</w:t>
            </w:r>
          </w:p>
        </w:tc>
        <w:tc>
          <w:tcPr>
            <w:tcW w:w="5076" w:type="dxa"/>
            <w:vMerge w:val="continue"/>
            <w:tcBorders>
              <w:tl2br w:val="nil"/>
              <w:tr2bl w:val="nil"/>
            </w:tcBorders>
            <w:noWrap w:val="0"/>
            <w:vAlign w:val="center"/>
          </w:tcPr>
          <w:p w14:paraId="44216667">
            <w:pPr>
              <w:pStyle w:val="45"/>
              <w:bidi w:val="0"/>
              <w:jc w:val="center"/>
              <w:rPr>
                <w:rFonts w:hint="default"/>
                <w:b w:val="0"/>
                <w:bCs/>
                <w:color w:val="auto"/>
                <w:highlight w:val="none"/>
              </w:rPr>
            </w:pPr>
          </w:p>
        </w:tc>
      </w:tr>
      <w:tr w14:paraId="1FA7058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3FBD7BD7">
            <w:pPr>
              <w:pStyle w:val="45"/>
              <w:bidi w:val="0"/>
              <w:jc w:val="center"/>
              <w:rPr>
                <w:rFonts w:hint="default"/>
                <w:b w:val="0"/>
                <w:bCs/>
                <w:color w:val="auto"/>
                <w:highlight w:val="none"/>
              </w:rPr>
            </w:pPr>
            <w:r>
              <w:rPr>
                <w:rFonts w:hint="default"/>
                <w:b w:val="0"/>
                <w:bCs/>
                <w:color w:val="auto"/>
                <w:highlight w:val="none"/>
              </w:rPr>
              <w:t>9.饰纹姬蛙</w:t>
            </w:r>
          </w:p>
          <w:p w14:paraId="79153B94">
            <w:pPr>
              <w:pStyle w:val="45"/>
              <w:bidi w:val="0"/>
              <w:jc w:val="center"/>
              <w:rPr>
                <w:rFonts w:hint="default"/>
                <w:b w:val="0"/>
                <w:bCs/>
                <w:color w:val="auto"/>
                <w:highlight w:val="none"/>
              </w:rPr>
            </w:pPr>
            <w:r>
              <w:rPr>
                <w:rFonts w:hint="default"/>
                <w:b w:val="0"/>
                <w:bCs/>
                <w:i/>
                <w:iCs/>
                <w:color w:val="auto"/>
                <w:highlight w:val="none"/>
              </w:rPr>
              <w:t>Microhyla ornata</w:t>
            </w:r>
          </w:p>
        </w:tc>
        <w:tc>
          <w:tcPr>
            <w:tcW w:w="5076" w:type="dxa"/>
            <w:vMerge w:val="restart"/>
            <w:tcBorders>
              <w:tl2br w:val="nil"/>
              <w:tr2bl w:val="nil"/>
            </w:tcBorders>
            <w:noWrap w:val="0"/>
            <w:vAlign w:val="center"/>
          </w:tcPr>
          <w:p w14:paraId="63AED7FD">
            <w:pPr>
              <w:pStyle w:val="45"/>
              <w:bidi w:val="0"/>
              <w:jc w:val="center"/>
              <w:rPr>
                <w:rFonts w:hint="default"/>
                <w:b w:val="0"/>
                <w:bCs/>
                <w:color w:val="auto"/>
                <w:highlight w:val="none"/>
              </w:rPr>
            </w:pPr>
            <w:r>
              <w:rPr>
                <w:rFonts w:hint="default"/>
                <w:b w:val="0"/>
                <w:bCs/>
                <w:color w:val="auto"/>
                <w:highlight w:val="none"/>
              </w:rPr>
              <w:t>施工期噪声及人为活动等干扰迫使其远离施工区域。若在其冬眠期间开挖可能会造成部分个体死亡。</w:t>
            </w:r>
          </w:p>
        </w:tc>
      </w:tr>
      <w:tr w14:paraId="25A5586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21F8BC92">
            <w:pPr>
              <w:pStyle w:val="45"/>
              <w:bidi w:val="0"/>
              <w:jc w:val="center"/>
              <w:rPr>
                <w:rFonts w:hint="default"/>
                <w:b w:val="0"/>
                <w:bCs/>
                <w:color w:val="auto"/>
                <w:highlight w:val="none"/>
              </w:rPr>
            </w:pPr>
            <w:r>
              <w:rPr>
                <w:rFonts w:hint="default"/>
                <w:b w:val="0"/>
                <w:bCs/>
                <w:color w:val="auto"/>
                <w:highlight w:val="none"/>
              </w:rPr>
              <w:t>10.小弧斑姬蛙</w:t>
            </w:r>
          </w:p>
          <w:p w14:paraId="55D3C769">
            <w:pPr>
              <w:pStyle w:val="45"/>
              <w:bidi w:val="0"/>
              <w:jc w:val="center"/>
              <w:rPr>
                <w:rFonts w:hint="default"/>
                <w:b w:val="0"/>
                <w:bCs/>
                <w:color w:val="auto"/>
                <w:highlight w:val="none"/>
              </w:rPr>
            </w:pPr>
            <w:r>
              <w:rPr>
                <w:rFonts w:hint="default"/>
                <w:b w:val="0"/>
                <w:bCs/>
                <w:i/>
                <w:iCs/>
                <w:color w:val="auto"/>
                <w:highlight w:val="none"/>
              </w:rPr>
              <w:t>Microhyla heymonisi</w:t>
            </w:r>
          </w:p>
        </w:tc>
        <w:tc>
          <w:tcPr>
            <w:tcW w:w="5076" w:type="dxa"/>
            <w:vMerge w:val="continue"/>
            <w:tcBorders>
              <w:tl2br w:val="nil"/>
              <w:tr2bl w:val="nil"/>
            </w:tcBorders>
            <w:noWrap w:val="0"/>
            <w:vAlign w:val="center"/>
          </w:tcPr>
          <w:p w14:paraId="1E4937E1">
            <w:pPr>
              <w:pStyle w:val="45"/>
              <w:bidi w:val="0"/>
              <w:jc w:val="center"/>
              <w:rPr>
                <w:rFonts w:hint="default"/>
                <w:b w:val="0"/>
                <w:bCs/>
                <w:color w:val="auto"/>
                <w:highlight w:val="none"/>
              </w:rPr>
            </w:pPr>
          </w:p>
        </w:tc>
      </w:tr>
      <w:tr w14:paraId="41D1ECC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7240FAB2">
            <w:pPr>
              <w:pStyle w:val="45"/>
              <w:bidi w:val="0"/>
              <w:jc w:val="center"/>
              <w:rPr>
                <w:rFonts w:hint="default"/>
                <w:b w:val="0"/>
                <w:bCs/>
                <w:color w:val="auto"/>
                <w:highlight w:val="none"/>
              </w:rPr>
            </w:pPr>
            <w:r>
              <w:rPr>
                <w:rFonts w:hint="default"/>
                <w:b w:val="0"/>
                <w:bCs/>
                <w:color w:val="auto"/>
                <w:highlight w:val="none"/>
              </w:rPr>
              <w:t>11.多疣壁虎</w:t>
            </w:r>
          </w:p>
          <w:p w14:paraId="44811214">
            <w:pPr>
              <w:pStyle w:val="45"/>
              <w:bidi w:val="0"/>
              <w:jc w:val="center"/>
              <w:rPr>
                <w:rFonts w:hint="default"/>
                <w:b w:val="0"/>
                <w:bCs/>
                <w:color w:val="auto"/>
                <w:highlight w:val="none"/>
              </w:rPr>
            </w:pPr>
            <w:r>
              <w:rPr>
                <w:rFonts w:hint="default"/>
                <w:b w:val="0"/>
                <w:bCs/>
                <w:i/>
                <w:iCs/>
                <w:color w:val="auto"/>
                <w:highlight w:val="none"/>
              </w:rPr>
              <w:t>Gekkojaponicas</w:t>
            </w:r>
          </w:p>
        </w:tc>
        <w:tc>
          <w:tcPr>
            <w:tcW w:w="5076" w:type="dxa"/>
            <w:vMerge w:val="continue"/>
            <w:tcBorders>
              <w:tl2br w:val="nil"/>
              <w:tr2bl w:val="nil"/>
            </w:tcBorders>
            <w:noWrap w:val="0"/>
            <w:vAlign w:val="center"/>
          </w:tcPr>
          <w:p w14:paraId="78658560">
            <w:pPr>
              <w:pStyle w:val="45"/>
              <w:bidi w:val="0"/>
              <w:jc w:val="center"/>
              <w:rPr>
                <w:rFonts w:hint="default"/>
                <w:b w:val="0"/>
                <w:bCs/>
                <w:color w:val="auto"/>
                <w:highlight w:val="none"/>
              </w:rPr>
            </w:pPr>
          </w:p>
        </w:tc>
      </w:tr>
      <w:tr w14:paraId="026D843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76F4EC79">
            <w:pPr>
              <w:pStyle w:val="45"/>
              <w:bidi w:val="0"/>
              <w:jc w:val="center"/>
              <w:rPr>
                <w:rFonts w:hint="default"/>
                <w:b w:val="0"/>
                <w:bCs/>
                <w:color w:val="auto"/>
                <w:highlight w:val="none"/>
              </w:rPr>
            </w:pPr>
            <w:r>
              <w:rPr>
                <w:rFonts w:hint="default"/>
                <w:b w:val="0"/>
                <w:bCs/>
                <w:color w:val="auto"/>
                <w:highlight w:val="none"/>
              </w:rPr>
              <w:t>12.中国石龙子</w:t>
            </w:r>
          </w:p>
          <w:p w14:paraId="09778787">
            <w:pPr>
              <w:pStyle w:val="45"/>
              <w:bidi w:val="0"/>
              <w:jc w:val="center"/>
              <w:rPr>
                <w:rFonts w:hint="default"/>
                <w:b w:val="0"/>
                <w:bCs/>
                <w:color w:val="auto"/>
                <w:highlight w:val="none"/>
              </w:rPr>
            </w:pPr>
            <w:r>
              <w:rPr>
                <w:rFonts w:hint="default"/>
                <w:b w:val="0"/>
                <w:bCs/>
                <w:i/>
                <w:iCs/>
                <w:color w:val="auto"/>
                <w:highlight w:val="none"/>
              </w:rPr>
              <w:t>Plestiodon chinensis</w:t>
            </w:r>
          </w:p>
        </w:tc>
        <w:tc>
          <w:tcPr>
            <w:tcW w:w="5076" w:type="dxa"/>
            <w:vMerge w:val="continue"/>
            <w:tcBorders>
              <w:tl2br w:val="nil"/>
              <w:tr2bl w:val="nil"/>
            </w:tcBorders>
            <w:noWrap w:val="0"/>
            <w:vAlign w:val="center"/>
          </w:tcPr>
          <w:p w14:paraId="50794551">
            <w:pPr>
              <w:pStyle w:val="45"/>
              <w:bidi w:val="0"/>
              <w:jc w:val="center"/>
              <w:rPr>
                <w:rFonts w:hint="default"/>
                <w:b w:val="0"/>
                <w:bCs/>
                <w:color w:val="auto"/>
                <w:highlight w:val="none"/>
              </w:rPr>
            </w:pPr>
          </w:p>
        </w:tc>
      </w:tr>
      <w:tr w14:paraId="648A7BA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3FF6AA08">
            <w:pPr>
              <w:pStyle w:val="45"/>
              <w:bidi w:val="0"/>
              <w:jc w:val="center"/>
              <w:rPr>
                <w:rFonts w:hint="default"/>
                <w:b w:val="0"/>
                <w:bCs/>
                <w:color w:val="auto"/>
                <w:highlight w:val="none"/>
              </w:rPr>
            </w:pPr>
            <w:r>
              <w:rPr>
                <w:rFonts w:hint="default"/>
                <w:b w:val="0"/>
                <w:bCs/>
                <w:color w:val="auto"/>
                <w:highlight w:val="none"/>
              </w:rPr>
              <w:t>13.铜蜓蜥</w:t>
            </w:r>
          </w:p>
          <w:p w14:paraId="7725DDBA">
            <w:pPr>
              <w:pStyle w:val="45"/>
              <w:bidi w:val="0"/>
              <w:jc w:val="center"/>
              <w:rPr>
                <w:rFonts w:hint="default"/>
                <w:b w:val="0"/>
                <w:bCs/>
                <w:color w:val="auto"/>
                <w:highlight w:val="none"/>
              </w:rPr>
            </w:pPr>
            <w:r>
              <w:rPr>
                <w:rFonts w:hint="default"/>
                <w:b w:val="0"/>
                <w:bCs/>
                <w:i/>
                <w:iCs/>
                <w:color w:val="auto"/>
                <w:highlight w:val="none"/>
              </w:rPr>
              <w:t>Sphenomorphus indicus</w:t>
            </w:r>
          </w:p>
        </w:tc>
        <w:tc>
          <w:tcPr>
            <w:tcW w:w="5076" w:type="dxa"/>
            <w:vMerge w:val="continue"/>
            <w:tcBorders>
              <w:tl2br w:val="nil"/>
              <w:tr2bl w:val="nil"/>
            </w:tcBorders>
            <w:noWrap w:val="0"/>
            <w:vAlign w:val="center"/>
          </w:tcPr>
          <w:p w14:paraId="2510C3DF">
            <w:pPr>
              <w:pStyle w:val="45"/>
              <w:bidi w:val="0"/>
              <w:jc w:val="center"/>
              <w:rPr>
                <w:rFonts w:hint="default"/>
                <w:b w:val="0"/>
                <w:bCs/>
                <w:color w:val="auto"/>
                <w:highlight w:val="none"/>
              </w:rPr>
            </w:pPr>
          </w:p>
        </w:tc>
      </w:tr>
      <w:tr w14:paraId="4DE673D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27A01B3E">
            <w:pPr>
              <w:pStyle w:val="45"/>
              <w:bidi w:val="0"/>
              <w:jc w:val="center"/>
              <w:rPr>
                <w:rFonts w:hint="default"/>
                <w:b w:val="0"/>
                <w:bCs/>
                <w:color w:val="auto"/>
                <w:highlight w:val="none"/>
              </w:rPr>
            </w:pPr>
            <w:r>
              <w:rPr>
                <w:rFonts w:hint="default"/>
                <w:b w:val="0"/>
                <w:bCs/>
                <w:color w:val="auto"/>
                <w:highlight w:val="none"/>
              </w:rPr>
              <w:t>14.北草蜥</w:t>
            </w:r>
          </w:p>
          <w:p w14:paraId="76EEC10D">
            <w:pPr>
              <w:pStyle w:val="45"/>
              <w:bidi w:val="0"/>
              <w:jc w:val="center"/>
              <w:rPr>
                <w:rFonts w:hint="default"/>
                <w:b w:val="0"/>
                <w:bCs/>
                <w:color w:val="auto"/>
                <w:highlight w:val="none"/>
              </w:rPr>
            </w:pPr>
            <w:r>
              <w:rPr>
                <w:rFonts w:hint="default"/>
                <w:b w:val="0"/>
                <w:bCs/>
                <w:i/>
                <w:iCs/>
                <w:color w:val="auto"/>
                <w:highlight w:val="none"/>
              </w:rPr>
              <w:t>Takydromus septentrionalis</w:t>
            </w:r>
          </w:p>
        </w:tc>
        <w:tc>
          <w:tcPr>
            <w:tcW w:w="5076" w:type="dxa"/>
            <w:vMerge w:val="continue"/>
            <w:tcBorders>
              <w:tl2br w:val="nil"/>
              <w:tr2bl w:val="nil"/>
            </w:tcBorders>
            <w:noWrap w:val="0"/>
            <w:vAlign w:val="center"/>
          </w:tcPr>
          <w:p w14:paraId="269574BB">
            <w:pPr>
              <w:pStyle w:val="45"/>
              <w:bidi w:val="0"/>
              <w:jc w:val="center"/>
              <w:rPr>
                <w:rFonts w:hint="default"/>
                <w:b w:val="0"/>
                <w:bCs/>
                <w:color w:val="auto"/>
                <w:highlight w:val="none"/>
              </w:rPr>
            </w:pPr>
          </w:p>
        </w:tc>
      </w:tr>
      <w:tr w14:paraId="6421B84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1531B5A2">
            <w:pPr>
              <w:pStyle w:val="45"/>
              <w:bidi w:val="0"/>
              <w:jc w:val="center"/>
              <w:rPr>
                <w:rFonts w:hint="default"/>
                <w:b w:val="0"/>
                <w:bCs/>
                <w:color w:val="auto"/>
                <w:highlight w:val="none"/>
              </w:rPr>
            </w:pPr>
            <w:r>
              <w:rPr>
                <w:rFonts w:hint="default"/>
                <w:b w:val="0"/>
                <w:bCs/>
                <w:color w:val="auto"/>
                <w:highlight w:val="none"/>
              </w:rPr>
              <w:t>15.王锦蛇</w:t>
            </w:r>
          </w:p>
          <w:p w14:paraId="3E6FB578">
            <w:pPr>
              <w:pStyle w:val="45"/>
              <w:bidi w:val="0"/>
              <w:jc w:val="center"/>
              <w:rPr>
                <w:rFonts w:hint="default"/>
                <w:b w:val="0"/>
                <w:bCs/>
                <w:color w:val="auto"/>
                <w:highlight w:val="none"/>
              </w:rPr>
            </w:pPr>
            <w:r>
              <w:rPr>
                <w:rFonts w:hint="default"/>
                <w:b w:val="0"/>
                <w:bCs/>
                <w:i/>
                <w:iCs/>
                <w:color w:val="auto"/>
                <w:highlight w:val="none"/>
              </w:rPr>
              <w:t>Elaphe carinata</w:t>
            </w:r>
          </w:p>
        </w:tc>
        <w:tc>
          <w:tcPr>
            <w:tcW w:w="5076" w:type="dxa"/>
            <w:vMerge w:val="restart"/>
            <w:tcBorders>
              <w:tl2br w:val="nil"/>
              <w:tr2bl w:val="nil"/>
            </w:tcBorders>
            <w:noWrap w:val="0"/>
            <w:vAlign w:val="center"/>
          </w:tcPr>
          <w:p w14:paraId="5528EAF4">
            <w:pPr>
              <w:pStyle w:val="45"/>
              <w:bidi w:val="0"/>
              <w:jc w:val="center"/>
              <w:rPr>
                <w:rFonts w:hint="default"/>
                <w:b w:val="0"/>
                <w:bCs/>
                <w:color w:val="auto"/>
                <w:highlight w:val="none"/>
              </w:rPr>
            </w:pPr>
            <w:r>
              <w:rPr>
                <w:rFonts w:hint="default"/>
                <w:b w:val="0"/>
                <w:bCs/>
                <w:color w:val="auto"/>
                <w:highlight w:val="none"/>
              </w:rPr>
              <w:t>施工期噪声及人为活动等干扰迫使其远离施工区域。施工废水及生活污水可能污染其生境。冬眠期间若开挖可能造成部分个体死亡。部分种类有经济价值，可能会遭 到施工人员捕杀。</w:t>
            </w:r>
          </w:p>
        </w:tc>
      </w:tr>
      <w:tr w14:paraId="179A225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55FFD768">
            <w:pPr>
              <w:pStyle w:val="45"/>
              <w:bidi w:val="0"/>
              <w:jc w:val="center"/>
              <w:rPr>
                <w:rFonts w:hint="default"/>
                <w:b w:val="0"/>
                <w:bCs/>
                <w:color w:val="auto"/>
                <w:highlight w:val="none"/>
              </w:rPr>
            </w:pPr>
            <w:r>
              <w:rPr>
                <w:rFonts w:hint="default"/>
                <w:b w:val="0"/>
                <w:bCs/>
                <w:color w:val="auto"/>
                <w:highlight w:val="none"/>
              </w:rPr>
              <w:t>16.黑眉晨蛇</w:t>
            </w:r>
          </w:p>
          <w:p w14:paraId="4F912E1B">
            <w:pPr>
              <w:pStyle w:val="45"/>
              <w:bidi w:val="0"/>
              <w:jc w:val="center"/>
              <w:rPr>
                <w:rFonts w:hint="default"/>
                <w:b w:val="0"/>
                <w:bCs/>
                <w:color w:val="auto"/>
                <w:highlight w:val="none"/>
              </w:rPr>
            </w:pPr>
            <w:r>
              <w:rPr>
                <w:rFonts w:hint="default"/>
                <w:b w:val="0"/>
                <w:bCs/>
                <w:i/>
                <w:iCs/>
                <w:color w:val="auto"/>
                <w:highlight w:val="none"/>
              </w:rPr>
              <w:t>Orthriophis taeniurus</w:t>
            </w:r>
          </w:p>
        </w:tc>
        <w:tc>
          <w:tcPr>
            <w:tcW w:w="5076" w:type="dxa"/>
            <w:vMerge w:val="continue"/>
            <w:tcBorders>
              <w:tl2br w:val="nil"/>
              <w:tr2bl w:val="nil"/>
            </w:tcBorders>
            <w:noWrap w:val="0"/>
            <w:vAlign w:val="center"/>
          </w:tcPr>
          <w:p w14:paraId="70516848">
            <w:pPr>
              <w:pStyle w:val="45"/>
              <w:bidi w:val="0"/>
              <w:jc w:val="center"/>
              <w:rPr>
                <w:rFonts w:hint="default"/>
                <w:b w:val="0"/>
                <w:bCs/>
                <w:color w:val="auto"/>
                <w:highlight w:val="none"/>
              </w:rPr>
            </w:pPr>
          </w:p>
        </w:tc>
      </w:tr>
      <w:tr w14:paraId="31212A2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272AA4C1">
            <w:pPr>
              <w:pStyle w:val="45"/>
              <w:bidi w:val="0"/>
              <w:jc w:val="center"/>
              <w:rPr>
                <w:rFonts w:hint="default"/>
                <w:b w:val="0"/>
                <w:bCs/>
                <w:color w:val="auto"/>
                <w:highlight w:val="none"/>
              </w:rPr>
            </w:pPr>
            <w:r>
              <w:rPr>
                <w:rFonts w:hint="default"/>
                <w:b w:val="0"/>
                <w:bCs/>
                <w:color w:val="auto"/>
                <w:highlight w:val="none"/>
              </w:rPr>
              <w:t>17.赤链蛇</w:t>
            </w:r>
          </w:p>
          <w:p w14:paraId="0DC7D5B4">
            <w:pPr>
              <w:pStyle w:val="45"/>
              <w:bidi w:val="0"/>
              <w:jc w:val="center"/>
              <w:rPr>
                <w:rFonts w:hint="default"/>
                <w:b w:val="0"/>
                <w:bCs/>
                <w:color w:val="auto"/>
                <w:highlight w:val="none"/>
              </w:rPr>
            </w:pPr>
            <w:r>
              <w:rPr>
                <w:rFonts w:hint="default"/>
                <w:b w:val="0"/>
                <w:bCs/>
                <w:i/>
                <w:iCs/>
                <w:color w:val="auto"/>
                <w:highlight w:val="none"/>
              </w:rPr>
              <w:t>Lycodon rufozonatum</w:t>
            </w:r>
          </w:p>
        </w:tc>
        <w:tc>
          <w:tcPr>
            <w:tcW w:w="5076" w:type="dxa"/>
            <w:vMerge w:val="continue"/>
            <w:tcBorders>
              <w:tl2br w:val="nil"/>
              <w:tr2bl w:val="nil"/>
            </w:tcBorders>
            <w:noWrap w:val="0"/>
            <w:vAlign w:val="center"/>
          </w:tcPr>
          <w:p w14:paraId="12429E4A">
            <w:pPr>
              <w:pStyle w:val="45"/>
              <w:bidi w:val="0"/>
              <w:jc w:val="center"/>
              <w:rPr>
                <w:rFonts w:hint="default"/>
                <w:b w:val="0"/>
                <w:bCs/>
                <w:color w:val="auto"/>
                <w:highlight w:val="none"/>
              </w:rPr>
            </w:pPr>
          </w:p>
        </w:tc>
      </w:tr>
      <w:tr w14:paraId="0397C4D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66F8E273">
            <w:pPr>
              <w:pStyle w:val="45"/>
              <w:bidi w:val="0"/>
              <w:jc w:val="center"/>
              <w:rPr>
                <w:rFonts w:hint="default"/>
                <w:b w:val="0"/>
                <w:bCs/>
                <w:color w:val="auto"/>
                <w:highlight w:val="none"/>
              </w:rPr>
            </w:pPr>
            <w:r>
              <w:rPr>
                <w:rFonts w:hint="default"/>
                <w:b w:val="0"/>
                <w:bCs/>
                <w:color w:val="auto"/>
                <w:highlight w:val="none"/>
              </w:rPr>
              <w:t>18.锈链腹链蛇</w:t>
            </w:r>
          </w:p>
          <w:p w14:paraId="7686E528">
            <w:pPr>
              <w:pStyle w:val="45"/>
              <w:bidi w:val="0"/>
              <w:jc w:val="center"/>
              <w:rPr>
                <w:rFonts w:hint="default"/>
                <w:b w:val="0"/>
                <w:bCs/>
                <w:color w:val="auto"/>
                <w:highlight w:val="none"/>
              </w:rPr>
            </w:pPr>
            <w:r>
              <w:rPr>
                <w:rFonts w:hint="default"/>
                <w:b w:val="0"/>
                <w:bCs/>
                <w:i/>
                <w:iCs/>
                <w:color w:val="auto"/>
                <w:highlight w:val="none"/>
              </w:rPr>
              <w:t>Hebius craspedogaster</w:t>
            </w:r>
          </w:p>
        </w:tc>
        <w:tc>
          <w:tcPr>
            <w:tcW w:w="5076" w:type="dxa"/>
            <w:vMerge w:val="continue"/>
            <w:tcBorders>
              <w:tl2br w:val="nil"/>
              <w:tr2bl w:val="nil"/>
            </w:tcBorders>
            <w:noWrap w:val="0"/>
            <w:vAlign w:val="center"/>
          </w:tcPr>
          <w:p w14:paraId="46E5711B">
            <w:pPr>
              <w:pStyle w:val="45"/>
              <w:bidi w:val="0"/>
              <w:jc w:val="center"/>
              <w:rPr>
                <w:rFonts w:hint="default"/>
                <w:b w:val="0"/>
                <w:bCs/>
                <w:color w:val="auto"/>
                <w:highlight w:val="none"/>
              </w:rPr>
            </w:pPr>
          </w:p>
        </w:tc>
      </w:tr>
      <w:tr w14:paraId="4FCA16E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7453B6FA">
            <w:pPr>
              <w:pStyle w:val="45"/>
              <w:bidi w:val="0"/>
              <w:jc w:val="center"/>
              <w:rPr>
                <w:rFonts w:hint="default"/>
                <w:b w:val="0"/>
                <w:bCs/>
                <w:color w:val="auto"/>
                <w:highlight w:val="none"/>
              </w:rPr>
            </w:pPr>
            <w:r>
              <w:rPr>
                <w:rFonts w:hint="default"/>
                <w:b w:val="0"/>
                <w:bCs/>
                <w:color w:val="auto"/>
                <w:highlight w:val="none"/>
              </w:rPr>
              <w:t>19.红纹滞卵蛇</w:t>
            </w:r>
          </w:p>
          <w:p w14:paraId="32CB0740">
            <w:pPr>
              <w:pStyle w:val="45"/>
              <w:bidi w:val="0"/>
              <w:jc w:val="center"/>
              <w:rPr>
                <w:rFonts w:hint="default"/>
                <w:b w:val="0"/>
                <w:bCs/>
                <w:color w:val="auto"/>
                <w:highlight w:val="none"/>
              </w:rPr>
            </w:pPr>
            <w:r>
              <w:rPr>
                <w:rFonts w:hint="default"/>
                <w:b w:val="0"/>
                <w:bCs/>
                <w:i/>
                <w:iCs/>
                <w:color w:val="auto"/>
                <w:highlight w:val="none"/>
              </w:rPr>
              <w:t>Oocatochus rufodorsatus</w:t>
            </w:r>
          </w:p>
        </w:tc>
        <w:tc>
          <w:tcPr>
            <w:tcW w:w="5076" w:type="dxa"/>
            <w:vMerge w:val="continue"/>
            <w:tcBorders>
              <w:tl2br w:val="nil"/>
              <w:tr2bl w:val="nil"/>
            </w:tcBorders>
            <w:noWrap w:val="0"/>
            <w:vAlign w:val="center"/>
          </w:tcPr>
          <w:p w14:paraId="0E6C3087">
            <w:pPr>
              <w:pStyle w:val="45"/>
              <w:bidi w:val="0"/>
              <w:jc w:val="center"/>
              <w:rPr>
                <w:rFonts w:hint="default"/>
                <w:b w:val="0"/>
                <w:bCs/>
                <w:color w:val="auto"/>
                <w:highlight w:val="none"/>
              </w:rPr>
            </w:pPr>
          </w:p>
        </w:tc>
      </w:tr>
      <w:tr w14:paraId="325FCDB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247190EB">
            <w:pPr>
              <w:pStyle w:val="45"/>
              <w:bidi w:val="0"/>
              <w:jc w:val="center"/>
              <w:rPr>
                <w:rFonts w:hint="default"/>
                <w:b w:val="0"/>
                <w:bCs/>
                <w:color w:val="auto"/>
                <w:highlight w:val="none"/>
              </w:rPr>
            </w:pPr>
            <w:r>
              <w:rPr>
                <w:rFonts w:hint="default"/>
                <w:b w:val="0"/>
                <w:bCs/>
                <w:color w:val="auto"/>
                <w:highlight w:val="none"/>
              </w:rPr>
              <w:t>20.滑鼠蛇</w:t>
            </w:r>
          </w:p>
          <w:p w14:paraId="3FCC189C">
            <w:pPr>
              <w:pStyle w:val="45"/>
              <w:bidi w:val="0"/>
              <w:jc w:val="center"/>
              <w:rPr>
                <w:rFonts w:hint="default"/>
                <w:b w:val="0"/>
                <w:bCs/>
                <w:color w:val="auto"/>
                <w:highlight w:val="none"/>
              </w:rPr>
            </w:pPr>
            <w:r>
              <w:rPr>
                <w:rFonts w:hint="default"/>
                <w:b w:val="0"/>
                <w:bCs/>
                <w:i/>
                <w:iCs/>
                <w:color w:val="auto"/>
                <w:highlight w:val="none"/>
              </w:rPr>
              <w:t>Ptyas mucosa</w:t>
            </w:r>
          </w:p>
        </w:tc>
        <w:tc>
          <w:tcPr>
            <w:tcW w:w="5076" w:type="dxa"/>
            <w:vMerge w:val="continue"/>
            <w:tcBorders>
              <w:tl2br w:val="nil"/>
              <w:tr2bl w:val="nil"/>
            </w:tcBorders>
            <w:noWrap w:val="0"/>
            <w:vAlign w:val="center"/>
          </w:tcPr>
          <w:p w14:paraId="4E552D92">
            <w:pPr>
              <w:pStyle w:val="45"/>
              <w:bidi w:val="0"/>
              <w:jc w:val="center"/>
              <w:rPr>
                <w:rFonts w:hint="default"/>
                <w:b w:val="0"/>
                <w:bCs/>
                <w:color w:val="auto"/>
                <w:highlight w:val="none"/>
              </w:rPr>
            </w:pPr>
          </w:p>
        </w:tc>
      </w:tr>
      <w:tr w14:paraId="489277F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5E532A90">
            <w:pPr>
              <w:pStyle w:val="45"/>
              <w:bidi w:val="0"/>
              <w:jc w:val="center"/>
              <w:rPr>
                <w:rFonts w:hint="default"/>
                <w:b w:val="0"/>
                <w:bCs/>
                <w:color w:val="auto"/>
                <w:highlight w:val="none"/>
              </w:rPr>
            </w:pPr>
            <w:r>
              <w:rPr>
                <w:rFonts w:hint="default"/>
                <w:b w:val="0"/>
                <w:bCs/>
                <w:color w:val="auto"/>
                <w:highlight w:val="none"/>
              </w:rPr>
              <w:t>21.乌梢蛇</w:t>
            </w:r>
          </w:p>
          <w:p w14:paraId="01CAFF4A">
            <w:pPr>
              <w:pStyle w:val="45"/>
              <w:bidi w:val="0"/>
              <w:jc w:val="center"/>
              <w:rPr>
                <w:rFonts w:hint="default"/>
                <w:b w:val="0"/>
                <w:bCs/>
                <w:color w:val="auto"/>
                <w:highlight w:val="none"/>
              </w:rPr>
            </w:pPr>
            <w:r>
              <w:rPr>
                <w:rFonts w:hint="default"/>
                <w:b w:val="0"/>
                <w:bCs/>
                <w:i/>
                <w:iCs/>
                <w:color w:val="auto"/>
                <w:highlight w:val="none"/>
              </w:rPr>
              <w:t>Ptyas dhumnades</w:t>
            </w:r>
          </w:p>
        </w:tc>
        <w:tc>
          <w:tcPr>
            <w:tcW w:w="5076" w:type="dxa"/>
            <w:vMerge w:val="continue"/>
            <w:tcBorders>
              <w:tl2br w:val="nil"/>
              <w:tr2bl w:val="nil"/>
            </w:tcBorders>
            <w:noWrap w:val="0"/>
            <w:vAlign w:val="center"/>
          </w:tcPr>
          <w:p w14:paraId="4556DFAC">
            <w:pPr>
              <w:pStyle w:val="45"/>
              <w:bidi w:val="0"/>
              <w:jc w:val="center"/>
              <w:rPr>
                <w:rFonts w:hint="default"/>
                <w:b w:val="0"/>
                <w:bCs/>
                <w:color w:val="auto"/>
                <w:highlight w:val="none"/>
              </w:rPr>
            </w:pPr>
          </w:p>
        </w:tc>
      </w:tr>
      <w:tr w14:paraId="5A11878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3FA616BB">
            <w:pPr>
              <w:pStyle w:val="45"/>
              <w:numPr>
                <w:ilvl w:val="0"/>
                <w:numId w:val="11"/>
              </w:numPr>
              <w:bidi w:val="0"/>
              <w:jc w:val="center"/>
              <w:rPr>
                <w:rFonts w:hint="default"/>
                <w:b w:val="0"/>
                <w:bCs/>
                <w:i/>
                <w:iCs/>
                <w:color w:val="auto"/>
                <w:highlight w:val="none"/>
              </w:rPr>
            </w:pPr>
            <w:r>
              <w:rPr>
                <w:rFonts w:hint="default"/>
                <w:b w:val="0"/>
                <w:bCs/>
                <w:color w:val="auto"/>
                <w:highlight w:val="none"/>
              </w:rPr>
              <w:t>虎斑颈槽蛇</w:t>
            </w:r>
            <w:r>
              <w:rPr>
                <w:rFonts w:hint="default"/>
                <w:b w:val="0"/>
                <w:bCs/>
                <w:i/>
                <w:iCs/>
                <w:color w:val="auto"/>
                <w:highlight w:val="none"/>
              </w:rPr>
              <w:t xml:space="preserve"> </w:t>
            </w:r>
          </w:p>
          <w:p w14:paraId="32C61EFD">
            <w:pPr>
              <w:pStyle w:val="45"/>
              <w:numPr>
                <w:ilvl w:val="0"/>
                <w:numId w:val="0"/>
              </w:numPr>
              <w:bidi w:val="0"/>
              <w:ind w:right="0" w:rightChars="0"/>
              <w:jc w:val="center"/>
              <w:rPr>
                <w:rFonts w:hint="default"/>
                <w:b w:val="0"/>
                <w:bCs/>
                <w:color w:val="auto"/>
                <w:highlight w:val="none"/>
              </w:rPr>
            </w:pPr>
            <w:r>
              <w:rPr>
                <w:rFonts w:hint="default"/>
                <w:b w:val="0"/>
                <w:bCs/>
                <w:i/>
                <w:iCs/>
                <w:color w:val="auto"/>
                <w:highlight w:val="none"/>
              </w:rPr>
              <w:t>Rhabdophis</w:t>
            </w:r>
            <w:r>
              <w:rPr>
                <w:rFonts w:hint="eastAsia"/>
                <w:b w:val="0"/>
                <w:bCs/>
                <w:i/>
                <w:iCs/>
                <w:color w:val="auto"/>
                <w:highlight w:val="none"/>
                <w:lang w:val="en-US" w:eastAsia="zh-CN"/>
              </w:rPr>
              <w:t xml:space="preserve"> </w:t>
            </w:r>
            <w:r>
              <w:rPr>
                <w:rFonts w:hint="default"/>
                <w:b w:val="0"/>
                <w:bCs/>
                <w:i/>
                <w:iCs/>
                <w:color w:val="auto"/>
                <w:highlight w:val="none"/>
              </w:rPr>
              <w:t>tigrinus</w:t>
            </w:r>
          </w:p>
        </w:tc>
        <w:tc>
          <w:tcPr>
            <w:tcW w:w="5076" w:type="dxa"/>
            <w:vMerge w:val="continue"/>
            <w:tcBorders>
              <w:tl2br w:val="nil"/>
              <w:tr2bl w:val="nil"/>
            </w:tcBorders>
            <w:noWrap w:val="0"/>
            <w:vAlign w:val="center"/>
          </w:tcPr>
          <w:p w14:paraId="283F95E9">
            <w:pPr>
              <w:pStyle w:val="45"/>
              <w:bidi w:val="0"/>
              <w:jc w:val="center"/>
              <w:rPr>
                <w:rFonts w:hint="default"/>
                <w:b w:val="0"/>
                <w:bCs/>
                <w:color w:val="auto"/>
                <w:highlight w:val="none"/>
              </w:rPr>
            </w:pPr>
          </w:p>
        </w:tc>
      </w:tr>
      <w:tr w14:paraId="2FA5C7E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518E6F3E">
            <w:pPr>
              <w:pStyle w:val="45"/>
              <w:bidi w:val="0"/>
              <w:jc w:val="center"/>
              <w:rPr>
                <w:rFonts w:hint="default"/>
                <w:b w:val="0"/>
                <w:bCs/>
                <w:color w:val="auto"/>
                <w:highlight w:val="none"/>
              </w:rPr>
            </w:pPr>
            <w:r>
              <w:rPr>
                <w:rFonts w:hint="default"/>
                <w:b w:val="0"/>
                <w:bCs/>
                <w:color w:val="auto"/>
                <w:highlight w:val="none"/>
              </w:rPr>
              <w:t>23.中国沼蛇</w:t>
            </w:r>
          </w:p>
          <w:p w14:paraId="3D140D39">
            <w:pPr>
              <w:pStyle w:val="45"/>
              <w:bidi w:val="0"/>
              <w:jc w:val="center"/>
              <w:rPr>
                <w:rFonts w:hint="default"/>
                <w:b w:val="0"/>
                <w:bCs/>
                <w:color w:val="auto"/>
                <w:highlight w:val="none"/>
              </w:rPr>
            </w:pPr>
            <w:r>
              <w:rPr>
                <w:rFonts w:hint="default"/>
                <w:b w:val="0"/>
                <w:bCs/>
                <w:i/>
                <w:iCs/>
                <w:color w:val="auto"/>
                <w:highlight w:val="none"/>
              </w:rPr>
              <w:t>Myrrophis chinensis</w:t>
            </w:r>
          </w:p>
        </w:tc>
        <w:tc>
          <w:tcPr>
            <w:tcW w:w="5076" w:type="dxa"/>
            <w:vMerge w:val="continue"/>
            <w:tcBorders>
              <w:tl2br w:val="nil"/>
              <w:tr2bl w:val="nil"/>
            </w:tcBorders>
            <w:noWrap w:val="0"/>
            <w:vAlign w:val="center"/>
          </w:tcPr>
          <w:p w14:paraId="5381C950">
            <w:pPr>
              <w:pStyle w:val="45"/>
              <w:bidi w:val="0"/>
              <w:jc w:val="center"/>
              <w:rPr>
                <w:rFonts w:hint="default"/>
                <w:b w:val="0"/>
                <w:bCs/>
                <w:color w:val="auto"/>
                <w:highlight w:val="none"/>
              </w:rPr>
            </w:pPr>
          </w:p>
        </w:tc>
      </w:tr>
      <w:tr w14:paraId="63C8EB7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5238959F">
            <w:pPr>
              <w:pStyle w:val="45"/>
              <w:bidi w:val="0"/>
              <w:jc w:val="center"/>
              <w:rPr>
                <w:rFonts w:hint="default"/>
                <w:b w:val="0"/>
                <w:bCs/>
                <w:color w:val="auto"/>
                <w:highlight w:val="none"/>
              </w:rPr>
            </w:pPr>
            <w:r>
              <w:rPr>
                <w:rFonts w:hint="default"/>
                <w:b w:val="0"/>
                <w:bCs/>
                <w:color w:val="auto"/>
                <w:highlight w:val="none"/>
              </w:rPr>
              <w:t>24.银环蛇</w:t>
            </w:r>
          </w:p>
          <w:p w14:paraId="111726AD">
            <w:pPr>
              <w:pStyle w:val="45"/>
              <w:bidi w:val="0"/>
              <w:jc w:val="center"/>
              <w:rPr>
                <w:rFonts w:hint="default"/>
                <w:b w:val="0"/>
                <w:bCs/>
                <w:color w:val="auto"/>
                <w:highlight w:val="none"/>
              </w:rPr>
            </w:pPr>
            <w:r>
              <w:rPr>
                <w:rFonts w:hint="default"/>
                <w:b w:val="0"/>
                <w:bCs/>
                <w:i/>
                <w:iCs/>
                <w:color w:val="auto"/>
                <w:highlight w:val="none"/>
              </w:rPr>
              <w:t>Bungarus multicinctus</w:t>
            </w:r>
          </w:p>
        </w:tc>
        <w:tc>
          <w:tcPr>
            <w:tcW w:w="5076" w:type="dxa"/>
            <w:vMerge w:val="continue"/>
            <w:tcBorders>
              <w:tl2br w:val="nil"/>
              <w:tr2bl w:val="nil"/>
            </w:tcBorders>
            <w:noWrap w:val="0"/>
            <w:vAlign w:val="center"/>
          </w:tcPr>
          <w:p w14:paraId="6743E166">
            <w:pPr>
              <w:pStyle w:val="45"/>
              <w:bidi w:val="0"/>
              <w:jc w:val="center"/>
              <w:rPr>
                <w:rFonts w:hint="default"/>
                <w:b w:val="0"/>
                <w:bCs/>
                <w:color w:val="auto"/>
                <w:highlight w:val="none"/>
              </w:rPr>
            </w:pPr>
          </w:p>
        </w:tc>
      </w:tr>
      <w:tr w14:paraId="13F29D1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239EE747">
            <w:pPr>
              <w:pStyle w:val="45"/>
              <w:bidi w:val="0"/>
              <w:jc w:val="center"/>
              <w:rPr>
                <w:rFonts w:hint="default"/>
                <w:b w:val="0"/>
                <w:bCs/>
                <w:color w:val="auto"/>
                <w:highlight w:val="none"/>
              </w:rPr>
            </w:pPr>
            <w:r>
              <w:rPr>
                <w:rFonts w:hint="default"/>
                <w:b w:val="0"/>
                <w:bCs/>
                <w:color w:val="auto"/>
                <w:highlight w:val="none"/>
              </w:rPr>
              <w:t>25.短尾蝮</w:t>
            </w:r>
          </w:p>
          <w:p w14:paraId="5E28C7A0">
            <w:pPr>
              <w:pStyle w:val="45"/>
              <w:bidi w:val="0"/>
              <w:jc w:val="center"/>
              <w:rPr>
                <w:rFonts w:hint="default"/>
                <w:b w:val="0"/>
                <w:bCs/>
                <w:color w:val="auto"/>
                <w:highlight w:val="none"/>
              </w:rPr>
            </w:pPr>
            <w:r>
              <w:rPr>
                <w:rFonts w:hint="default"/>
                <w:b w:val="0"/>
                <w:bCs/>
                <w:i/>
                <w:iCs/>
                <w:color w:val="auto"/>
                <w:highlight w:val="none"/>
              </w:rPr>
              <w:t>Gloydius brevicaudus</w:t>
            </w:r>
          </w:p>
        </w:tc>
        <w:tc>
          <w:tcPr>
            <w:tcW w:w="5076" w:type="dxa"/>
            <w:vMerge w:val="continue"/>
            <w:tcBorders>
              <w:tl2br w:val="nil"/>
              <w:tr2bl w:val="nil"/>
            </w:tcBorders>
            <w:noWrap w:val="0"/>
            <w:vAlign w:val="center"/>
          </w:tcPr>
          <w:p w14:paraId="3E0265AA">
            <w:pPr>
              <w:pStyle w:val="45"/>
              <w:bidi w:val="0"/>
              <w:jc w:val="center"/>
              <w:rPr>
                <w:rFonts w:hint="default"/>
                <w:b w:val="0"/>
                <w:bCs/>
                <w:color w:val="auto"/>
                <w:highlight w:val="none"/>
              </w:rPr>
            </w:pPr>
          </w:p>
        </w:tc>
      </w:tr>
      <w:tr w14:paraId="40C9C4E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73A623D2">
            <w:pPr>
              <w:pStyle w:val="45"/>
              <w:bidi w:val="0"/>
              <w:jc w:val="center"/>
              <w:rPr>
                <w:rFonts w:hint="default"/>
                <w:b w:val="0"/>
                <w:bCs/>
                <w:color w:val="auto"/>
                <w:highlight w:val="none"/>
              </w:rPr>
            </w:pPr>
            <w:r>
              <w:rPr>
                <w:rFonts w:hint="default"/>
                <w:b w:val="0"/>
                <w:bCs/>
                <w:color w:val="auto"/>
                <w:highlight w:val="none"/>
              </w:rPr>
              <w:t>26.尖吻蝮</w:t>
            </w:r>
          </w:p>
          <w:p w14:paraId="201CDED2">
            <w:pPr>
              <w:pStyle w:val="45"/>
              <w:bidi w:val="0"/>
              <w:jc w:val="center"/>
              <w:rPr>
                <w:rFonts w:hint="default"/>
                <w:b w:val="0"/>
                <w:bCs/>
                <w:color w:val="auto"/>
                <w:highlight w:val="none"/>
              </w:rPr>
            </w:pPr>
            <w:r>
              <w:rPr>
                <w:rFonts w:hint="default"/>
                <w:b w:val="0"/>
                <w:bCs/>
                <w:i/>
                <w:iCs/>
                <w:color w:val="auto"/>
                <w:highlight w:val="none"/>
              </w:rPr>
              <w:t>Deinagkistrodon acutus</w:t>
            </w:r>
          </w:p>
        </w:tc>
        <w:tc>
          <w:tcPr>
            <w:tcW w:w="5076" w:type="dxa"/>
            <w:vMerge w:val="continue"/>
            <w:tcBorders>
              <w:tl2br w:val="nil"/>
              <w:tr2bl w:val="nil"/>
            </w:tcBorders>
            <w:noWrap w:val="0"/>
            <w:vAlign w:val="center"/>
          </w:tcPr>
          <w:p w14:paraId="4E12AAFA">
            <w:pPr>
              <w:pStyle w:val="45"/>
              <w:bidi w:val="0"/>
              <w:jc w:val="center"/>
              <w:rPr>
                <w:rFonts w:hint="default"/>
                <w:b w:val="0"/>
                <w:bCs/>
                <w:color w:val="auto"/>
                <w:highlight w:val="none"/>
              </w:rPr>
            </w:pPr>
          </w:p>
        </w:tc>
      </w:tr>
      <w:tr w14:paraId="365D53F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0EEDDF70">
            <w:pPr>
              <w:pStyle w:val="45"/>
              <w:bidi w:val="0"/>
              <w:jc w:val="center"/>
              <w:rPr>
                <w:rFonts w:hint="default"/>
                <w:b w:val="0"/>
                <w:bCs/>
                <w:color w:val="auto"/>
                <w:highlight w:val="none"/>
              </w:rPr>
            </w:pPr>
            <w:r>
              <w:rPr>
                <w:rFonts w:hint="default"/>
                <w:b w:val="0"/>
                <w:bCs/>
                <w:color w:val="auto"/>
                <w:highlight w:val="none"/>
              </w:rPr>
              <w:t>27.绿头鸭</w:t>
            </w:r>
          </w:p>
          <w:p w14:paraId="7D9AE0C5">
            <w:pPr>
              <w:pStyle w:val="45"/>
              <w:bidi w:val="0"/>
              <w:jc w:val="center"/>
              <w:rPr>
                <w:rFonts w:hint="default"/>
                <w:b w:val="0"/>
                <w:bCs/>
                <w:color w:val="auto"/>
                <w:highlight w:val="none"/>
              </w:rPr>
            </w:pPr>
            <w:r>
              <w:rPr>
                <w:rFonts w:hint="default"/>
                <w:b w:val="0"/>
                <w:bCs/>
                <w:i/>
                <w:iCs/>
                <w:color w:val="auto"/>
                <w:highlight w:val="none"/>
              </w:rPr>
              <w:t>Anas platyrhynchos</w:t>
            </w:r>
          </w:p>
        </w:tc>
        <w:tc>
          <w:tcPr>
            <w:tcW w:w="5076" w:type="dxa"/>
            <w:vMerge w:val="restart"/>
            <w:tcBorders>
              <w:tl2br w:val="nil"/>
              <w:tr2bl w:val="nil"/>
            </w:tcBorders>
            <w:noWrap w:val="0"/>
            <w:vAlign w:val="center"/>
          </w:tcPr>
          <w:p w14:paraId="09F3D2F1">
            <w:pPr>
              <w:pStyle w:val="45"/>
              <w:bidi w:val="0"/>
              <w:jc w:val="center"/>
              <w:rPr>
                <w:rFonts w:hint="default"/>
                <w:b w:val="0"/>
                <w:bCs/>
                <w:color w:val="auto"/>
                <w:highlight w:val="none"/>
              </w:rPr>
            </w:pPr>
            <w:r>
              <w:rPr>
                <w:rFonts w:hint="default"/>
                <w:b w:val="0"/>
                <w:bCs/>
                <w:color w:val="auto"/>
                <w:highlight w:val="none"/>
              </w:rPr>
              <w:t>工程对其生境占用，施工废水及生活污水的排放可能会污染其生境、水源。施工噪声对其栖息觅食等有影响。部分种类如山斑鸠、环颈雉等易遭到施工人员的捕杀。</w:t>
            </w:r>
          </w:p>
        </w:tc>
      </w:tr>
      <w:tr w14:paraId="533FFF3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2D208DF2">
            <w:pPr>
              <w:pStyle w:val="45"/>
              <w:bidi w:val="0"/>
              <w:jc w:val="center"/>
              <w:rPr>
                <w:rFonts w:hint="default"/>
                <w:b w:val="0"/>
                <w:bCs/>
                <w:color w:val="auto"/>
                <w:highlight w:val="none"/>
              </w:rPr>
            </w:pPr>
            <w:r>
              <w:rPr>
                <w:rFonts w:hint="default"/>
                <w:b w:val="0"/>
                <w:bCs/>
                <w:color w:val="auto"/>
                <w:highlight w:val="none"/>
              </w:rPr>
              <w:t>28.灰胸竹鸡</w:t>
            </w:r>
          </w:p>
          <w:p w14:paraId="74DC7FB6">
            <w:pPr>
              <w:pStyle w:val="45"/>
              <w:bidi w:val="0"/>
              <w:jc w:val="center"/>
              <w:rPr>
                <w:rFonts w:hint="default"/>
                <w:b w:val="0"/>
                <w:bCs/>
                <w:color w:val="auto"/>
                <w:highlight w:val="none"/>
              </w:rPr>
            </w:pPr>
            <w:r>
              <w:rPr>
                <w:rFonts w:hint="default"/>
                <w:b w:val="0"/>
                <w:bCs/>
                <w:i/>
                <w:iCs/>
                <w:color w:val="auto"/>
                <w:highlight w:val="none"/>
              </w:rPr>
              <w:t>Bambusicola thoracica</w:t>
            </w:r>
          </w:p>
        </w:tc>
        <w:tc>
          <w:tcPr>
            <w:tcW w:w="5076" w:type="dxa"/>
            <w:vMerge w:val="continue"/>
            <w:tcBorders>
              <w:tl2br w:val="nil"/>
              <w:tr2bl w:val="nil"/>
            </w:tcBorders>
            <w:noWrap w:val="0"/>
            <w:vAlign w:val="center"/>
          </w:tcPr>
          <w:p w14:paraId="40B14705">
            <w:pPr>
              <w:pStyle w:val="45"/>
              <w:bidi w:val="0"/>
              <w:jc w:val="center"/>
              <w:rPr>
                <w:rFonts w:hint="default"/>
                <w:b w:val="0"/>
                <w:bCs/>
                <w:color w:val="auto"/>
                <w:highlight w:val="none"/>
              </w:rPr>
            </w:pPr>
          </w:p>
        </w:tc>
      </w:tr>
      <w:tr w14:paraId="6C88B61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1DF2C8B4">
            <w:pPr>
              <w:pStyle w:val="45"/>
              <w:bidi w:val="0"/>
              <w:jc w:val="center"/>
              <w:rPr>
                <w:rFonts w:hint="default"/>
                <w:b w:val="0"/>
                <w:bCs/>
                <w:color w:val="auto"/>
                <w:highlight w:val="none"/>
              </w:rPr>
            </w:pPr>
            <w:r>
              <w:rPr>
                <w:rFonts w:hint="default"/>
                <w:b w:val="0"/>
                <w:bCs/>
                <w:color w:val="auto"/>
                <w:highlight w:val="none"/>
              </w:rPr>
              <w:t>29.环颈雉</w:t>
            </w:r>
          </w:p>
          <w:p w14:paraId="4A1873FA">
            <w:pPr>
              <w:pStyle w:val="45"/>
              <w:bidi w:val="0"/>
              <w:jc w:val="center"/>
              <w:rPr>
                <w:rFonts w:hint="default"/>
                <w:b w:val="0"/>
                <w:bCs/>
                <w:color w:val="auto"/>
                <w:highlight w:val="none"/>
              </w:rPr>
            </w:pPr>
            <w:r>
              <w:rPr>
                <w:rFonts w:hint="default"/>
                <w:b w:val="0"/>
                <w:bCs/>
                <w:i/>
                <w:iCs/>
                <w:color w:val="auto"/>
                <w:highlight w:val="none"/>
              </w:rPr>
              <w:t>Phasianus colchicus</w:t>
            </w:r>
          </w:p>
        </w:tc>
        <w:tc>
          <w:tcPr>
            <w:tcW w:w="5076" w:type="dxa"/>
            <w:vMerge w:val="continue"/>
            <w:tcBorders>
              <w:tl2br w:val="nil"/>
              <w:tr2bl w:val="nil"/>
            </w:tcBorders>
            <w:noWrap w:val="0"/>
            <w:vAlign w:val="center"/>
          </w:tcPr>
          <w:p w14:paraId="75CC8A14">
            <w:pPr>
              <w:pStyle w:val="45"/>
              <w:bidi w:val="0"/>
              <w:jc w:val="center"/>
              <w:rPr>
                <w:rFonts w:hint="default"/>
                <w:b w:val="0"/>
                <w:bCs/>
                <w:color w:val="auto"/>
                <w:highlight w:val="none"/>
              </w:rPr>
            </w:pPr>
          </w:p>
        </w:tc>
      </w:tr>
      <w:tr w14:paraId="069DA98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063B0498">
            <w:pPr>
              <w:pStyle w:val="45"/>
              <w:bidi w:val="0"/>
              <w:jc w:val="center"/>
              <w:rPr>
                <w:rFonts w:hint="default"/>
                <w:b w:val="0"/>
                <w:bCs/>
                <w:color w:val="auto"/>
                <w:highlight w:val="none"/>
              </w:rPr>
            </w:pPr>
            <w:r>
              <w:rPr>
                <w:rFonts w:hint="default"/>
                <w:b w:val="0"/>
                <w:bCs/>
                <w:color w:val="auto"/>
                <w:highlight w:val="none"/>
              </w:rPr>
              <w:t>30.山斑鸠</w:t>
            </w:r>
          </w:p>
          <w:p w14:paraId="0465ED76">
            <w:pPr>
              <w:pStyle w:val="45"/>
              <w:bidi w:val="0"/>
              <w:jc w:val="center"/>
              <w:rPr>
                <w:rFonts w:hint="default"/>
                <w:b w:val="0"/>
                <w:bCs/>
                <w:color w:val="auto"/>
                <w:highlight w:val="none"/>
              </w:rPr>
            </w:pPr>
            <w:r>
              <w:rPr>
                <w:rFonts w:hint="default"/>
                <w:b w:val="0"/>
                <w:bCs/>
                <w:i/>
                <w:iCs/>
                <w:color w:val="auto"/>
                <w:highlight w:val="none"/>
              </w:rPr>
              <w:t>Streptopelia orientalis</w:t>
            </w:r>
          </w:p>
        </w:tc>
        <w:tc>
          <w:tcPr>
            <w:tcW w:w="5076" w:type="dxa"/>
            <w:vMerge w:val="continue"/>
            <w:tcBorders>
              <w:tl2br w:val="nil"/>
              <w:tr2bl w:val="nil"/>
            </w:tcBorders>
            <w:noWrap w:val="0"/>
            <w:vAlign w:val="center"/>
          </w:tcPr>
          <w:p w14:paraId="76FCF758">
            <w:pPr>
              <w:pStyle w:val="45"/>
              <w:bidi w:val="0"/>
              <w:jc w:val="center"/>
              <w:rPr>
                <w:rFonts w:hint="default"/>
                <w:b w:val="0"/>
                <w:bCs/>
                <w:color w:val="auto"/>
                <w:highlight w:val="none"/>
              </w:rPr>
            </w:pPr>
          </w:p>
        </w:tc>
      </w:tr>
      <w:tr w14:paraId="71C1DFF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2C071A39">
            <w:pPr>
              <w:pStyle w:val="45"/>
              <w:bidi w:val="0"/>
              <w:jc w:val="center"/>
              <w:rPr>
                <w:rFonts w:hint="default"/>
                <w:b w:val="0"/>
                <w:bCs/>
                <w:color w:val="auto"/>
                <w:highlight w:val="none"/>
              </w:rPr>
            </w:pPr>
            <w:r>
              <w:rPr>
                <w:rFonts w:hint="default"/>
                <w:b w:val="0"/>
                <w:bCs/>
                <w:color w:val="auto"/>
                <w:highlight w:val="none"/>
              </w:rPr>
              <w:t>31.珠颈斑鸠</w:t>
            </w:r>
          </w:p>
          <w:p w14:paraId="674A9BC2">
            <w:pPr>
              <w:pStyle w:val="45"/>
              <w:bidi w:val="0"/>
              <w:jc w:val="center"/>
              <w:rPr>
                <w:rFonts w:hint="default"/>
                <w:b w:val="0"/>
                <w:bCs/>
                <w:color w:val="auto"/>
                <w:highlight w:val="none"/>
              </w:rPr>
            </w:pPr>
            <w:r>
              <w:rPr>
                <w:rFonts w:hint="default"/>
                <w:b w:val="0"/>
                <w:bCs/>
                <w:i/>
                <w:iCs/>
                <w:color w:val="auto"/>
                <w:highlight w:val="none"/>
              </w:rPr>
              <w:t>Streptopelia chinensis</w:t>
            </w:r>
          </w:p>
        </w:tc>
        <w:tc>
          <w:tcPr>
            <w:tcW w:w="5076" w:type="dxa"/>
            <w:vMerge w:val="continue"/>
            <w:tcBorders>
              <w:tl2br w:val="nil"/>
              <w:tr2bl w:val="nil"/>
            </w:tcBorders>
            <w:noWrap w:val="0"/>
            <w:vAlign w:val="center"/>
          </w:tcPr>
          <w:p w14:paraId="176B72BF">
            <w:pPr>
              <w:pStyle w:val="45"/>
              <w:bidi w:val="0"/>
              <w:jc w:val="center"/>
              <w:rPr>
                <w:rFonts w:hint="default"/>
                <w:b w:val="0"/>
                <w:bCs/>
                <w:color w:val="auto"/>
                <w:highlight w:val="none"/>
              </w:rPr>
            </w:pPr>
          </w:p>
        </w:tc>
      </w:tr>
      <w:tr w14:paraId="6559BE3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4FA1C2FC">
            <w:pPr>
              <w:pStyle w:val="45"/>
              <w:bidi w:val="0"/>
              <w:jc w:val="center"/>
              <w:rPr>
                <w:rFonts w:hint="default"/>
                <w:b w:val="0"/>
                <w:bCs/>
                <w:color w:val="auto"/>
                <w:highlight w:val="none"/>
              </w:rPr>
            </w:pPr>
            <w:r>
              <w:rPr>
                <w:rFonts w:hint="default"/>
                <w:b w:val="0"/>
                <w:bCs/>
                <w:color w:val="auto"/>
                <w:highlight w:val="none"/>
              </w:rPr>
              <w:t>32.大鹰鹃</w:t>
            </w:r>
          </w:p>
          <w:p w14:paraId="4051CDC2">
            <w:pPr>
              <w:pStyle w:val="45"/>
              <w:bidi w:val="0"/>
              <w:jc w:val="center"/>
              <w:rPr>
                <w:rFonts w:hint="default"/>
                <w:b w:val="0"/>
                <w:bCs/>
                <w:color w:val="auto"/>
                <w:highlight w:val="none"/>
              </w:rPr>
            </w:pPr>
            <w:r>
              <w:rPr>
                <w:rFonts w:hint="default"/>
                <w:b w:val="0"/>
                <w:bCs/>
                <w:i/>
                <w:iCs/>
                <w:color w:val="auto"/>
                <w:highlight w:val="none"/>
              </w:rPr>
              <w:t>Cuculus sparverioides</w:t>
            </w:r>
          </w:p>
        </w:tc>
        <w:tc>
          <w:tcPr>
            <w:tcW w:w="5076" w:type="dxa"/>
            <w:vMerge w:val="continue"/>
            <w:tcBorders>
              <w:tl2br w:val="nil"/>
              <w:tr2bl w:val="nil"/>
            </w:tcBorders>
            <w:noWrap w:val="0"/>
            <w:vAlign w:val="center"/>
          </w:tcPr>
          <w:p w14:paraId="2D0223BB">
            <w:pPr>
              <w:pStyle w:val="45"/>
              <w:bidi w:val="0"/>
              <w:jc w:val="center"/>
              <w:rPr>
                <w:rFonts w:hint="default"/>
                <w:b w:val="0"/>
                <w:bCs/>
                <w:color w:val="auto"/>
                <w:highlight w:val="none"/>
              </w:rPr>
            </w:pPr>
          </w:p>
        </w:tc>
      </w:tr>
      <w:tr w14:paraId="1D9AA30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252E4D88">
            <w:pPr>
              <w:pStyle w:val="45"/>
              <w:bidi w:val="0"/>
              <w:jc w:val="center"/>
              <w:rPr>
                <w:rFonts w:hint="default"/>
                <w:b w:val="0"/>
                <w:bCs/>
                <w:color w:val="auto"/>
                <w:highlight w:val="none"/>
              </w:rPr>
            </w:pPr>
            <w:r>
              <w:rPr>
                <w:rFonts w:hint="default"/>
                <w:b w:val="0"/>
                <w:bCs/>
                <w:color w:val="auto"/>
                <w:highlight w:val="none"/>
              </w:rPr>
              <w:t>33.大杜鹃</w:t>
            </w:r>
          </w:p>
          <w:p w14:paraId="1F864FDB">
            <w:pPr>
              <w:pStyle w:val="45"/>
              <w:bidi w:val="0"/>
              <w:jc w:val="center"/>
              <w:rPr>
                <w:rFonts w:hint="default"/>
                <w:b w:val="0"/>
                <w:bCs/>
                <w:color w:val="auto"/>
                <w:highlight w:val="none"/>
              </w:rPr>
            </w:pPr>
            <w:r>
              <w:rPr>
                <w:rFonts w:hint="default"/>
                <w:b w:val="0"/>
                <w:bCs/>
                <w:i/>
                <w:iCs/>
                <w:color w:val="auto"/>
                <w:highlight w:val="none"/>
              </w:rPr>
              <w:t>Cuculus canorus</w:t>
            </w:r>
          </w:p>
        </w:tc>
        <w:tc>
          <w:tcPr>
            <w:tcW w:w="5076" w:type="dxa"/>
            <w:vMerge w:val="continue"/>
            <w:tcBorders>
              <w:tl2br w:val="nil"/>
              <w:tr2bl w:val="nil"/>
            </w:tcBorders>
            <w:noWrap w:val="0"/>
            <w:vAlign w:val="center"/>
          </w:tcPr>
          <w:p w14:paraId="6D011FD9">
            <w:pPr>
              <w:pStyle w:val="45"/>
              <w:bidi w:val="0"/>
              <w:jc w:val="center"/>
              <w:rPr>
                <w:rFonts w:hint="default"/>
                <w:b w:val="0"/>
                <w:bCs/>
                <w:color w:val="auto"/>
                <w:highlight w:val="none"/>
              </w:rPr>
            </w:pPr>
          </w:p>
        </w:tc>
      </w:tr>
      <w:tr w14:paraId="4964745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4F845881">
            <w:pPr>
              <w:pStyle w:val="45"/>
              <w:bidi w:val="0"/>
              <w:jc w:val="center"/>
              <w:rPr>
                <w:rFonts w:hint="default"/>
                <w:b w:val="0"/>
                <w:bCs/>
                <w:color w:val="auto"/>
                <w:highlight w:val="none"/>
              </w:rPr>
            </w:pPr>
            <w:r>
              <w:rPr>
                <w:rFonts w:hint="default"/>
                <w:b w:val="0"/>
                <w:bCs/>
                <w:color w:val="auto"/>
                <w:highlight w:val="none"/>
              </w:rPr>
              <w:t>34.四声杜鹃</w:t>
            </w:r>
          </w:p>
          <w:p w14:paraId="3A1A5077">
            <w:pPr>
              <w:pStyle w:val="45"/>
              <w:bidi w:val="0"/>
              <w:jc w:val="center"/>
              <w:rPr>
                <w:rFonts w:hint="default"/>
                <w:b w:val="0"/>
                <w:bCs/>
                <w:color w:val="auto"/>
                <w:highlight w:val="none"/>
              </w:rPr>
            </w:pPr>
            <w:r>
              <w:rPr>
                <w:rFonts w:hint="default"/>
                <w:b w:val="0"/>
                <w:bCs/>
                <w:i/>
                <w:iCs/>
                <w:color w:val="auto"/>
                <w:highlight w:val="none"/>
              </w:rPr>
              <w:t>Cucolus micropterus</w:t>
            </w:r>
          </w:p>
        </w:tc>
        <w:tc>
          <w:tcPr>
            <w:tcW w:w="5076" w:type="dxa"/>
            <w:vMerge w:val="continue"/>
            <w:tcBorders>
              <w:tl2br w:val="nil"/>
              <w:tr2bl w:val="nil"/>
            </w:tcBorders>
            <w:noWrap w:val="0"/>
            <w:vAlign w:val="center"/>
          </w:tcPr>
          <w:p w14:paraId="7401777D">
            <w:pPr>
              <w:pStyle w:val="45"/>
              <w:bidi w:val="0"/>
              <w:jc w:val="center"/>
              <w:rPr>
                <w:rFonts w:hint="default"/>
                <w:b w:val="0"/>
                <w:bCs/>
                <w:color w:val="auto"/>
                <w:highlight w:val="none"/>
              </w:rPr>
            </w:pPr>
          </w:p>
        </w:tc>
      </w:tr>
      <w:tr w14:paraId="647C811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1F169E54">
            <w:pPr>
              <w:pStyle w:val="45"/>
              <w:bidi w:val="0"/>
              <w:jc w:val="center"/>
              <w:rPr>
                <w:rFonts w:hint="default"/>
                <w:b w:val="0"/>
                <w:bCs/>
                <w:color w:val="auto"/>
                <w:highlight w:val="none"/>
              </w:rPr>
            </w:pPr>
            <w:r>
              <w:rPr>
                <w:rFonts w:hint="default"/>
                <w:b w:val="0"/>
                <w:bCs/>
                <w:color w:val="auto"/>
                <w:highlight w:val="none"/>
              </w:rPr>
              <w:t>35.普通夜鹰</w:t>
            </w:r>
          </w:p>
          <w:p w14:paraId="1CA6A4A0">
            <w:pPr>
              <w:pStyle w:val="45"/>
              <w:bidi w:val="0"/>
              <w:jc w:val="center"/>
              <w:rPr>
                <w:rFonts w:hint="default"/>
                <w:b w:val="0"/>
                <w:bCs/>
                <w:color w:val="auto"/>
                <w:highlight w:val="none"/>
              </w:rPr>
            </w:pPr>
            <w:r>
              <w:rPr>
                <w:rFonts w:hint="default"/>
                <w:b w:val="0"/>
                <w:bCs/>
                <w:i/>
                <w:iCs/>
                <w:color w:val="auto"/>
                <w:highlight w:val="none"/>
              </w:rPr>
              <w:t>Caprimulgus indicus</w:t>
            </w:r>
          </w:p>
        </w:tc>
        <w:tc>
          <w:tcPr>
            <w:tcW w:w="5076" w:type="dxa"/>
            <w:vMerge w:val="restart"/>
            <w:tcBorders>
              <w:tl2br w:val="nil"/>
              <w:tr2bl w:val="nil"/>
            </w:tcBorders>
            <w:noWrap w:val="0"/>
            <w:vAlign w:val="center"/>
          </w:tcPr>
          <w:p w14:paraId="273796AD">
            <w:pPr>
              <w:pStyle w:val="45"/>
              <w:bidi w:val="0"/>
              <w:jc w:val="center"/>
              <w:rPr>
                <w:rFonts w:hint="default"/>
                <w:b w:val="0"/>
                <w:bCs/>
                <w:color w:val="auto"/>
                <w:highlight w:val="none"/>
              </w:rPr>
            </w:pPr>
            <w:r>
              <w:rPr>
                <w:rFonts w:hint="default"/>
                <w:b w:val="0"/>
                <w:bCs/>
                <w:color w:val="auto"/>
                <w:highlight w:val="none"/>
              </w:rPr>
              <w:t>工程对其生境的占用，施工废水及生活污水可能污染其生境。</w:t>
            </w:r>
          </w:p>
          <w:p w14:paraId="582EF0F5">
            <w:pPr>
              <w:pStyle w:val="45"/>
              <w:bidi w:val="0"/>
              <w:jc w:val="center"/>
              <w:rPr>
                <w:rFonts w:hint="default"/>
                <w:b w:val="0"/>
                <w:bCs/>
                <w:color w:val="auto"/>
                <w:highlight w:val="none"/>
              </w:rPr>
            </w:pPr>
            <w:r>
              <w:rPr>
                <w:rFonts w:hint="default"/>
                <w:b w:val="0"/>
                <w:bCs/>
                <w:color w:val="auto"/>
                <w:highlight w:val="none"/>
              </w:rPr>
              <w:t>施工噪声对其栖息觅食等干扰影响。</w:t>
            </w:r>
          </w:p>
        </w:tc>
      </w:tr>
      <w:tr w14:paraId="347EDC3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5492F90D">
            <w:pPr>
              <w:pStyle w:val="45"/>
              <w:bidi w:val="0"/>
              <w:jc w:val="center"/>
              <w:rPr>
                <w:rFonts w:hint="default"/>
                <w:b w:val="0"/>
                <w:bCs/>
                <w:color w:val="auto"/>
                <w:highlight w:val="none"/>
              </w:rPr>
            </w:pPr>
            <w:r>
              <w:rPr>
                <w:rFonts w:hint="default"/>
                <w:b w:val="0"/>
                <w:bCs/>
                <w:color w:val="auto"/>
                <w:highlight w:val="none"/>
              </w:rPr>
              <w:t>36.小白腰雨燕</w:t>
            </w:r>
          </w:p>
          <w:p w14:paraId="6C71EFAF">
            <w:pPr>
              <w:pStyle w:val="45"/>
              <w:bidi w:val="0"/>
              <w:jc w:val="center"/>
              <w:rPr>
                <w:rFonts w:hint="default"/>
                <w:b w:val="0"/>
                <w:bCs/>
                <w:color w:val="auto"/>
                <w:highlight w:val="none"/>
              </w:rPr>
            </w:pPr>
            <w:r>
              <w:rPr>
                <w:rFonts w:hint="default"/>
                <w:b w:val="0"/>
                <w:bCs/>
                <w:i/>
                <w:iCs/>
                <w:color w:val="auto"/>
                <w:highlight w:val="none"/>
              </w:rPr>
              <w:t>Apus nipalensis</w:t>
            </w:r>
          </w:p>
        </w:tc>
        <w:tc>
          <w:tcPr>
            <w:tcW w:w="5076" w:type="dxa"/>
            <w:vMerge w:val="continue"/>
            <w:tcBorders>
              <w:tl2br w:val="nil"/>
              <w:tr2bl w:val="nil"/>
            </w:tcBorders>
            <w:noWrap w:val="0"/>
            <w:vAlign w:val="center"/>
          </w:tcPr>
          <w:p w14:paraId="0E3500F6">
            <w:pPr>
              <w:pStyle w:val="45"/>
              <w:bidi w:val="0"/>
              <w:jc w:val="center"/>
              <w:rPr>
                <w:rFonts w:hint="default"/>
                <w:b w:val="0"/>
                <w:bCs/>
                <w:color w:val="auto"/>
                <w:highlight w:val="none"/>
              </w:rPr>
            </w:pPr>
          </w:p>
        </w:tc>
      </w:tr>
      <w:tr w14:paraId="07D18B2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563F2A9E">
            <w:pPr>
              <w:pStyle w:val="45"/>
              <w:bidi w:val="0"/>
              <w:jc w:val="center"/>
              <w:rPr>
                <w:rFonts w:hint="default"/>
                <w:b w:val="0"/>
                <w:bCs/>
                <w:color w:val="auto"/>
                <w:highlight w:val="none"/>
              </w:rPr>
            </w:pPr>
            <w:r>
              <w:rPr>
                <w:rFonts w:hint="default"/>
                <w:b w:val="0"/>
                <w:bCs/>
                <w:color w:val="auto"/>
                <w:highlight w:val="none"/>
              </w:rPr>
              <w:t>37.普通翠鸟</w:t>
            </w:r>
          </w:p>
          <w:p w14:paraId="7709F1B6">
            <w:pPr>
              <w:pStyle w:val="45"/>
              <w:bidi w:val="0"/>
              <w:jc w:val="center"/>
              <w:rPr>
                <w:rFonts w:hint="default"/>
                <w:b w:val="0"/>
                <w:bCs/>
                <w:color w:val="auto"/>
                <w:highlight w:val="none"/>
              </w:rPr>
            </w:pPr>
            <w:r>
              <w:rPr>
                <w:rFonts w:hint="default"/>
                <w:b w:val="0"/>
                <w:bCs/>
                <w:i/>
                <w:iCs/>
                <w:color w:val="auto"/>
                <w:highlight w:val="none"/>
              </w:rPr>
              <w:t>Alcedo atthis</w:t>
            </w:r>
          </w:p>
        </w:tc>
        <w:tc>
          <w:tcPr>
            <w:tcW w:w="5076" w:type="dxa"/>
            <w:vMerge w:val="continue"/>
            <w:tcBorders>
              <w:tl2br w:val="nil"/>
              <w:tr2bl w:val="nil"/>
            </w:tcBorders>
            <w:noWrap w:val="0"/>
            <w:vAlign w:val="center"/>
          </w:tcPr>
          <w:p w14:paraId="634D92C4">
            <w:pPr>
              <w:pStyle w:val="45"/>
              <w:bidi w:val="0"/>
              <w:jc w:val="center"/>
              <w:rPr>
                <w:rFonts w:hint="default"/>
                <w:b w:val="0"/>
                <w:bCs/>
                <w:color w:val="auto"/>
                <w:highlight w:val="none"/>
              </w:rPr>
            </w:pPr>
          </w:p>
        </w:tc>
      </w:tr>
      <w:tr w14:paraId="295855E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5EA9C00D">
            <w:pPr>
              <w:pStyle w:val="45"/>
              <w:bidi w:val="0"/>
              <w:jc w:val="center"/>
              <w:rPr>
                <w:rFonts w:hint="default"/>
                <w:b w:val="0"/>
                <w:bCs/>
                <w:color w:val="auto"/>
                <w:highlight w:val="none"/>
              </w:rPr>
            </w:pPr>
            <w:r>
              <w:rPr>
                <w:rFonts w:hint="default"/>
                <w:b w:val="0"/>
                <w:bCs/>
                <w:color w:val="auto"/>
                <w:highlight w:val="none"/>
              </w:rPr>
              <w:t>38. 蚁鴷</w:t>
            </w:r>
          </w:p>
          <w:p w14:paraId="1F2034FC">
            <w:pPr>
              <w:pStyle w:val="45"/>
              <w:bidi w:val="0"/>
              <w:jc w:val="center"/>
              <w:rPr>
                <w:rFonts w:hint="default"/>
                <w:b w:val="0"/>
                <w:bCs/>
                <w:color w:val="auto"/>
                <w:highlight w:val="none"/>
              </w:rPr>
            </w:pPr>
            <w:r>
              <w:rPr>
                <w:rFonts w:hint="default"/>
                <w:b w:val="0"/>
                <w:bCs/>
                <w:i/>
                <w:iCs/>
                <w:color w:val="auto"/>
                <w:highlight w:val="none"/>
              </w:rPr>
              <w:t>Jynx torquilla</w:t>
            </w:r>
          </w:p>
        </w:tc>
        <w:tc>
          <w:tcPr>
            <w:tcW w:w="5076" w:type="dxa"/>
            <w:vMerge w:val="continue"/>
            <w:tcBorders>
              <w:tl2br w:val="nil"/>
              <w:tr2bl w:val="nil"/>
            </w:tcBorders>
            <w:noWrap w:val="0"/>
            <w:vAlign w:val="center"/>
          </w:tcPr>
          <w:p w14:paraId="1C4CE75C">
            <w:pPr>
              <w:pStyle w:val="45"/>
              <w:bidi w:val="0"/>
              <w:jc w:val="center"/>
              <w:rPr>
                <w:rFonts w:hint="default"/>
                <w:b w:val="0"/>
                <w:bCs/>
                <w:color w:val="auto"/>
                <w:highlight w:val="none"/>
              </w:rPr>
            </w:pPr>
          </w:p>
        </w:tc>
      </w:tr>
      <w:tr w14:paraId="70D4C7C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7C2668C2">
            <w:pPr>
              <w:pStyle w:val="45"/>
              <w:bidi w:val="0"/>
              <w:jc w:val="center"/>
              <w:rPr>
                <w:rFonts w:hint="default"/>
                <w:b w:val="0"/>
                <w:bCs/>
                <w:color w:val="auto"/>
                <w:highlight w:val="none"/>
              </w:rPr>
            </w:pPr>
            <w:r>
              <w:rPr>
                <w:rFonts w:hint="default"/>
                <w:b w:val="0"/>
                <w:bCs/>
                <w:color w:val="auto"/>
                <w:highlight w:val="none"/>
              </w:rPr>
              <w:t>39.斑姬啄木鸟</w:t>
            </w:r>
          </w:p>
          <w:p w14:paraId="5291E85B">
            <w:pPr>
              <w:pStyle w:val="45"/>
              <w:bidi w:val="0"/>
              <w:jc w:val="center"/>
              <w:rPr>
                <w:rFonts w:hint="default"/>
                <w:b w:val="0"/>
                <w:bCs/>
                <w:color w:val="auto"/>
                <w:highlight w:val="none"/>
              </w:rPr>
            </w:pPr>
            <w:r>
              <w:rPr>
                <w:rFonts w:hint="default"/>
                <w:b w:val="0"/>
                <w:bCs/>
                <w:i/>
                <w:iCs/>
                <w:color w:val="auto"/>
                <w:highlight w:val="none"/>
              </w:rPr>
              <w:t>Picumnus innominatus</w:t>
            </w:r>
          </w:p>
        </w:tc>
        <w:tc>
          <w:tcPr>
            <w:tcW w:w="5076" w:type="dxa"/>
            <w:vMerge w:val="continue"/>
            <w:tcBorders>
              <w:tl2br w:val="nil"/>
              <w:tr2bl w:val="nil"/>
            </w:tcBorders>
            <w:noWrap w:val="0"/>
            <w:vAlign w:val="center"/>
          </w:tcPr>
          <w:p w14:paraId="28D00E3C">
            <w:pPr>
              <w:pStyle w:val="45"/>
              <w:bidi w:val="0"/>
              <w:jc w:val="center"/>
              <w:rPr>
                <w:rFonts w:hint="default"/>
                <w:b w:val="0"/>
                <w:bCs/>
                <w:color w:val="auto"/>
                <w:highlight w:val="none"/>
              </w:rPr>
            </w:pPr>
          </w:p>
        </w:tc>
      </w:tr>
      <w:tr w14:paraId="0C5858E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6D42AD24">
            <w:pPr>
              <w:pStyle w:val="45"/>
              <w:bidi w:val="0"/>
              <w:jc w:val="center"/>
              <w:rPr>
                <w:rFonts w:hint="default"/>
                <w:b w:val="0"/>
                <w:bCs/>
                <w:color w:val="auto"/>
                <w:highlight w:val="none"/>
              </w:rPr>
            </w:pPr>
            <w:r>
              <w:rPr>
                <w:rFonts w:hint="default"/>
                <w:b w:val="0"/>
                <w:bCs/>
                <w:color w:val="auto"/>
                <w:highlight w:val="none"/>
              </w:rPr>
              <w:t>40.灰头绿啄木鸟</w:t>
            </w:r>
          </w:p>
          <w:p w14:paraId="4C834296">
            <w:pPr>
              <w:pStyle w:val="45"/>
              <w:bidi w:val="0"/>
              <w:jc w:val="center"/>
              <w:rPr>
                <w:rFonts w:hint="default"/>
                <w:b w:val="0"/>
                <w:bCs/>
                <w:color w:val="auto"/>
                <w:highlight w:val="none"/>
              </w:rPr>
            </w:pPr>
            <w:r>
              <w:rPr>
                <w:rFonts w:hint="default"/>
                <w:b w:val="0"/>
                <w:bCs/>
                <w:i/>
                <w:iCs/>
                <w:color w:val="auto"/>
                <w:highlight w:val="none"/>
              </w:rPr>
              <w:t>Picus canus</w:t>
            </w:r>
          </w:p>
        </w:tc>
        <w:tc>
          <w:tcPr>
            <w:tcW w:w="5076" w:type="dxa"/>
            <w:vMerge w:val="continue"/>
            <w:tcBorders>
              <w:tl2br w:val="nil"/>
              <w:tr2bl w:val="nil"/>
            </w:tcBorders>
            <w:noWrap w:val="0"/>
            <w:vAlign w:val="center"/>
          </w:tcPr>
          <w:p w14:paraId="354DC271">
            <w:pPr>
              <w:pStyle w:val="45"/>
              <w:bidi w:val="0"/>
              <w:jc w:val="center"/>
              <w:rPr>
                <w:rFonts w:hint="default"/>
                <w:b w:val="0"/>
                <w:bCs/>
                <w:color w:val="auto"/>
                <w:highlight w:val="none"/>
              </w:rPr>
            </w:pPr>
          </w:p>
        </w:tc>
      </w:tr>
      <w:tr w14:paraId="2B6D743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2A9A038A">
            <w:pPr>
              <w:pStyle w:val="45"/>
              <w:bidi w:val="0"/>
              <w:jc w:val="center"/>
              <w:rPr>
                <w:rFonts w:hint="default"/>
                <w:b w:val="0"/>
                <w:bCs/>
                <w:color w:val="auto"/>
                <w:highlight w:val="none"/>
              </w:rPr>
            </w:pPr>
            <w:r>
              <w:rPr>
                <w:rFonts w:hint="default"/>
                <w:b w:val="0"/>
                <w:bCs/>
                <w:color w:val="auto"/>
                <w:highlight w:val="none"/>
              </w:rPr>
              <w:t>41.大斑啄木鸟</w:t>
            </w:r>
          </w:p>
          <w:p w14:paraId="2E154CB0">
            <w:pPr>
              <w:pStyle w:val="45"/>
              <w:bidi w:val="0"/>
              <w:jc w:val="center"/>
              <w:rPr>
                <w:rFonts w:hint="default"/>
                <w:b w:val="0"/>
                <w:bCs/>
                <w:color w:val="auto"/>
                <w:highlight w:val="none"/>
              </w:rPr>
            </w:pPr>
            <w:r>
              <w:rPr>
                <w:rFonts w:hint="default"/>
                <w:b w:val="0"/>
                <w:bCs/>
                <w:i/>
                <w:iCs/>
                <w:color w:val="auto"/>
                <w:highlight w:val="none"/>
              </w:rPr>
              <w:t>Dendrocopos majo</w:t>
            </w:r>
            <w:r>
              <w:rPr>
                <w:rFonts w:hint="default"/>
                <w:b w:val="0"/>
                <w:bCs/>
                <w:color w:val="auto"/>
                <w:highlight w:val="none"/>
              </w:rPr>
              <w:t>r</w:t>
            </w:r>
          </w:p>
        </w:tc>
        <w:tc>
          <w:tcPr>
            <w:tcW w:w="5076" w:type="dxa"/>
            <w:vMerge w:val="continue"/>
            <w:tcBorders>
              <w:tl2br w:val="nil"/>
              <w:tr2bl w:val="nil"/>
            </w:tcBorders>
            <w:noWrap w:val="0"/>
            <w:vAlign w:val="center"/>
          </w:tcPr>
          <w:p w14:paraId="615415C7">
            <w:pPr>
              <w:pStyle w:val="45"/>
              <w:bidi w:val="0"/>
              <w:jc w:val="center"/>
              <w:rPr>
                <w:rFonts w:hint="default"/>
                <w:b w:val="0"/>
                <w:bCs/>
                <w:color w:val="auto"/>
                <w:highlight w:val="none"/>
              </w:rPr>
            </w:pPr>
          </w:p>
        </w:tc>
      </w:tr>
      <w:tr w14:paraId="17C2505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1D017EC5">
            <w:pPr>
              <w:pStyle w:val="45"/>
              <w:bidi w:val="0"/>
              <w:jc w:val="center"/>
              <w:rPr>
                <w:rFonts w:hint="default"/>
                <w:b w:val="0"/>
                <w:bCs/>
                <w:color w:val="auto"/>
                <w:highlight w:val="none"/>
              </w:rPr>
            </w:pPr>
            <w:r>
              <w:rPr>
                <w:rFonts w:hint="default"/>
                <w:b w:val="0"/>
                <w:bCs/>
                <w:color w:val="auto"/>
                <w:highlight w:val="none"/>
              </w:rPr>
              <w:t>42.金腰燕</w:t>
            </w:r>
          </w:p>
          <w:p w14:paraId="266C3AF0">
            <w:pPr>
              <w:pStyle w:val="45"/>
              <w:bidi w:val="0"/>
              <w:jc w:val="center"/>
              <w:rPr>
                <w:rFonts w:hint="default"/>
                <w:b w:val="0"/>
                <w:bCs/>
                <w:color w:val="auto"/>
                <w:highlight w:val="none"/>
              </w:rPr>
            </w:pPr>
            <w:r>
              <w:rPr>
                <w:rFonts w:hint="default"/>
                <w:b w:val="0"/>
                <w:bCs/>
                <w:i/>
                <w:iCs/>
                <w:color w:val="auto"/>
                <w:highlight w:val="none"/>
              </w:rPr>
              <w:t>Hirundo daurica</w:t>
            </w:r>
          </w:p>
        </w:tc>
        <w:tc>
          <w:tcPr>
            <w:tcW w:w="5076" w:type="dxa"/>
            <w:vMerge w:val="restart"/>
            <w:tcBorders>
              <w:tl2br w:val="nil"/>
              <w:tr2bl w:val="nil"/>
            </w:tcBorders>
            <w:noWrap w:val="0"/>
            <w:vAlign w:val="center"/>
          </w:tcPr>
          <w:p w14:paraId="2E3A71A8">
            <w:pPr>
              <w:pStyle w:val="45"/>
              <w:bidi w:val="0"/>
              <w:jc w:val="center"/>
              <w:rPr>
                <w:rFonts w:hint="default"/>
                <w:b w:val="0"/>
                <w:bCs/>
                <w:color w:val="auto"/>
                <w:highlight w:val="none"/>
              </w:rPr>
            </w:pPr>
            <w:r>
              <w:rPr>
                <w:rFonts w:hint="default"/>
                <w:b w:val="0"/>
                <w:bCs/>
                <w:color w:val="auto"/>
                <w:highlight w:val="none"/>
              </w:rPr>
              <w:t>二者多集中在山脚居民区附近活动，工程对其影响很 小。</w:t>
            </w:r>
          </w:p>
        </w:tc>
      </w:tr>
      <w:tr w14:paraId="4FE0FE2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1BEAC0DA">
            <w:pPr>
              <w:pStyle w:val="45"/>
              <w:bidi w:val="0"/>
              <w:jc w:val="center"/>
              <w:rPr>
                <w:rFonts w:hint="default"/>
                <w:b w:val="0"/>
                <w:bCs/>
                <w:color w:val="auto"/>
                <w:highlight w:val="none"/>
              </w:rPr>
            </w:pPr>
            <w:r>
              <w:rPr>
                <w:rFonts w:hint="default"/>
                <w:b w:val="0"/>
                <w:bCs/>
                <w:color w:val="auto"/>
                <w:highlight w:val="none"/>
              </w:rPr>
              <w:t>43.家燕</w:t>
            </w:r>
          </w:p>
          <w:p w14:paraId="52F481E3">
            <w:pPr>
              <w:pStyle w:val="45"/>
              <w:bidi w:val="0"/>
              <w:jc w:val="center"/>
              <w:rPr>
                <w:rFonts w:hint="default"/>
                <w:b w:val="0"/>
                <w:bCs/>
                <w:color w:val="auto"/>
                <w:highlight w:val="none"/>
              </w:rPr>
            </w:pPr>
            <w:r>
              <w:rPr>
                <w:rFonts w:hint="default"/>
                <w:b w:val="0"/>
                <w:bCs/>
                <w:i/>
                <w:iCs/>
                <w:color w:val="auto"/>
                <w:highlight w:val="none"/>
              </w:rPr>
              <w:t>Hirundo rustica</w:t>
            </w:r>
          </w:p>
        </w:tc>
        <w:tc>
          <w:tcPr>
            <w:tcW w:w="5076" w:type="dxa"/>
            <w:vMerge w:val="continue"/>
            <w:tcBorders>
              <w:tl2br w:val="nil"/>
              <w:tr2bl w:val="nil"/>
            </w:tcBorders>
            <w:noWrap w:val="0"/>
            <w:vAlign w:val="center"/>
          </w:tcPr>
          <w:p w14:paraId="269F9C7B">
            <w:pPr>
              <w:pStyle w:val="45"/>
              <w:bidi w:val="0"/>
              <w:jc w:val="center"/>
              <w:rPr>
                <w:rFonts w:hint="default"/>
                <w:b w:val="0"/>
                <w:bCs/>
                <w:color w:val="auto"/>
                <w:highlight w:val="none"/>
              </w:rPr>
            </w:pPr>
          </w:p>
        </w:tc>
      </w:tr>
      <w:tr w14:paraId="51C0090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5B0EAF45">
            <w:pPr>
              <w:pStyle w:val="45"/>
              <w:bidi w:val="0"/>
              <w:jc w:val="center"/>
              <w:rPr>
                <w:rFonts w:hint="default"/>
                <w:b w:val="0"/>
                <w:bCs/>
                <w:color w:val="auto"/>
                <w:highlight w:val="none"/>
              </w:rPr>
            </w:pPr>
            <w:r>
              <w:rPr>
                <w:rFonts w:hint="default"/>
                <w:b w:val="0"/>
                <w:bCs/>
                <w:color w:val="auto"/>
                <w:highlight w:val="none"/>
              </w:rPr>
              <w:t>44.白头鹎</w:t>
            </w:r>
          </w:p>
          <w:p w14:paraId="53FB6857">
            <w:pPr>
              <w:pStyle w:val="45"/>
              <w:bidi w:val="0"/>
              <w:jc w:val="center"/>
              <w:rPr>
                <w:rFonts w:hint="default"/>
                <w:b w:val="0"/>
                <w:bCs/>
                <w:color w:val="auto"/>
                <w:highlight w:val="none"/>
              </w:rPr>
            </w:pPr>
            <w:r>
              <w:rPr>
                <w:rFonts w:hint="default"/>
                <w:b w:val="0"/>
                <w:bCs/>
                <w:i/>
                <w:iCs/>
                <w:color w:val="auto"/>
                <w:highlight w:val="none"/>
              </w:rPr>
              <w:t>Pycnonotus sinensis</w:t>
            </w:r>
          </w:p>
        </w:tc>
        <w:tc>
          <w:tcPr>
            <w:tcW w:w="5076" w:type="dxa"/>
            <w:vMerge w:val="restart"/>
            <w:tcBorders>
              <w:tl2br w:val="nil"/>
              <w:tr2bl w:val="nil"/>
            </w:tcBorders>
            <w:noWrap w:val="0"/>
            <w:vAlign w:val="center"/>
          </w:tcPr>
          <w:p w14:paraId="7B40CEE2">
            <w:pPr>
              <w:pStyle w:val="45"/>
              <w:bidi w:val="0"/>
              <w:jc w:val="center"/>
              <w:rPr>
                <w:rFonts w:hint="default"/>
                <w:b w:val="0"/>
                <w:bCs/>
                <w:color w:val="auto"/>
                <w:highlight w:val="none"/>
              </w:rPr>
            </w:pPr>
            <w:r>
              <w:rPr>
                <w:rFonts w:hint="default"/>
                <w:b w:val="0"/>
                <w:bCs/>
                <w:color w:val="auto"/>
                <w:highlight w:val="none"/>
              </w:rPr>
              <w:t>施工期噪声及人类活动迫使其远离施工区域。但迁移能 力强，周边替代生境多，影响很小。</w:t>
            </w:r>
          </w:p>
        </w:tc>
      </w:tr>
      <w:tr w14:paraId="3A4C26D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3C86EBF9">
            <w:pPr>
              <w:pStyle w:val="45"/>
              <w:bidi w:val="0"/>
              <w:jc w:val="center"/>
              <w:rPr>
                <w:rFonts w:hint="default"/>
                <w:b w:val="0"/>
                <w:bCs/>
                <w:color w:val="auto"/>
                <w:highlight w:val="none"/>
              </w:rPr>
            </w:pPr>
            <w:r>
              <w:rPr>
                <w:rFonts w:hint="default"/>
                <w:b w:val="0"/>
                <w:bCs/>
                <w:color w:val="auto"/>
                <w:highlight w:val="none"/>
              </w:rPr>
              <w:t>45.黄臀鹎</w:t>
            </w:r>
          </w:p>
          <w:p w14:paraId="5B77D55A">
            <w:pPr>
              <w:pStyle w:val="45"/>
              <w:bidi w:val="0"/>
              <w:jc w:val="center"/>
              <w:rPr>
                <w:rFonts w:hint="default"/>
                <w:b w:val="0"/>
                <w:bCs/>
                <w:color w:val="auto"/>
                <w:highlight w:val="none"/>
              </w:rPr>
            </w:pPr>
            <w:r>
              <w:rPr>
                <w:rFonts w:hint="default"/>
                <w:b w:val="0"/>
                <w:bCs/>
                <w:i/>
                <w:iCs/>
                <w:color w:val="auto"/>
                <w:highlight w:val="none"/>
              </w:rPr>
              <w:t>Pycnonotus xanthorrhous</w:t>
            </w:r>
          </w:p>
        </w:tc>
        <w:tc>
          <w:tcPr>
            <w:tcW w:w="5076" w:type="dxa"/>
            <w:vMerge w:val="continue"/>
            <w:tcBorders>
              <w:tl2br w:val="nil"/>
              <w:tr2bl w:val="nil"/>
            </w:tcBorders>
            <w:noWrap w:val="0"/>
            <w:vAlign w:val="center"/>
          </w:tcPr>
          <w:p w14:paraId="621F2217">
            <w:pPr>
              <w:pStyle w:val="45"/>
              <w:bidi w:val="0"/>
              <w:jc w:val="center"/>
              <w:rPr>
                <w:rFonts w:hint="default"/>
                <w:b w:val="0"/>
                <w:bCs/>
                <w:color w:val="auto"/>
                <w:highlight w:val="none"/>
              </w:rPr>
            </w:pPr>
          </w:p>
        </w:tc>
      </w:tr>
      <w:tr w14:paraId="5CE120C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0BD3D513">
            <w:pPr>
              <w:pStyle w:val="45"/>
              <w:bidi w:val="0"/>
              <w:jc w:val="center"/>
              <w:rPr>
                <w:rFonts w:hint="default"/>
                <w:b w:val="0"/>
                <w:bCs/>
                <w:color w:val="auto"/>
                <w:highlight w:val="none"/>
              </w:rPr>
            </w:pPr>
            <w:r>
              <w:rPr>
                <w:rFonts w:hint="default"/>
                <w:b w:val="0"/>
                <w:bCs/>
                <w:color w:val="auto"/>
                <w:highlight w:val="none"/>
              </w:rPr>
              <w:t>46.领雀嘴鹎</w:t>
            </w:r>
          </w:p>
          <w:p w14:paraId="2361D4AE">
            <w:pPr>
              <w:pStyle w:val="45"/>
              <w:bidi w:val="0"/>
              <w:jc w:val="center"/>
              <w:rPr>
                <w:rFonts w:hint="default"/>
                <w:b w:val="0"/>
                <w:bCs/>
                <w:color w:val="auto"/>
                <w:highlight w:val="none"/>
              </w:rPr>
            </w:pPr>
            <w:r>
              <w:rPr>
                <w:rFonts w:hint="default"/>
                <w:b w:val="0"/>
                <w:bCs/>
                <w:i/>
                <w:iCs/>
                <w:color w:val="auto"/>
                <w:highlight w:val="none"/>
              </w:rPr>
              <w:t>Spizixos semitorques</w:t>
            </w:r>
          </w:p>
        </w:tc>
        <w:tc>
          <w:tcPr>
            <w:tcW w:w="5076" w:type="dxa"/>
            <w:vMerge w:val="continue"/>
            <w:tcBorders>
              <w:tl2br w:val="nil"/>
              <w:tr2bl w:val="nil"/>
            </w:tcBorders>
            <w:noWrap w:val="0"/>
            <w:vAlign w:val="center"/>
          </w:tcPr>
          <w:p w14:paraId="6BD48D16">
            <w:pPr>
              <w:pStyle w:val="45"/>
              <w:bidi w:val="0"/>
              <w:jc w:val="center"/>
              <w:rPr>
                <w:rFonts w:hint="default"/>
                <w:b w:val="0"/>
                <w:bCs/>
                <w:color w:val="auto"/>
                <w:highlight w:val="none"/>
              </w:rPr>
            </w:pPr>
          </w:p>
        </w:tc>
      </w:tr>
      <w:tr w14:paraId="395C442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1D148E53">
            <w:pPr>
              <w:pStyle w:val="45"/>
              <w:bidi w:val="0"/>
              <w:jc w:val="center"/>
              <w:rPr>
                <w:rFonts w:hint="default"/>
                <w:b w:val="0"/>
                <w:bCs/>
                <w:color w:val="auto"/>
                <w:highlight w:val="none"/>
              </w:rPr>
            </w:pPr>
            <w:r>
              <w:rPr>
                <w:rFonts w:hint="default"/>
                <w:b w:val="0"/>
                <w:bCs/>
                <w:color w:val="auto"/>
                <w:highlight w:val="none"/>
              </w:rPr>
              <w:t>47.棕背伯劳</w:t>
            </w:r>
          </w:p>
          <w:p w14:paraId="579F643D">
            <w:pPr>
              <w:pStyle w:val="45"/>
              <w:bidi w:val="0"/>
              <w:jc w:val="center"/>
              <w:rPr>
                <w:rFonts w:hint="default"/>
                <w:b w:val="0"/>
                <w:bCs/>
                <w:color w:val="auto"/>
                <w:highlight w:val="none"/>
              </w:rPr>
            </w:pPr>
            <w:r>
              <w:rPr>
                <w:rFonts w:hint="default"/>
                <w:b w:val="0"/>
                <w:bCs/>
                <w:i/>
                <w:iCs/>
                <w:color w:val="auto"/>
                <w:highlight w:val="none"/>
              </w:rPr>
              <w:t>Lanius schach</w:t>
            </w:r>
          </w:p>
        </w:tc>
        <w:tc>
          <w:tcPr>
            <w:tcW w:w="5076" w:type="dxa"/>
            <w:vMerge w:val="continue"/>
            <w:tcBorders>
              <w:tl2br w:val="nil"/>
              <w:tr2bl w:val="nil"/>
            </w:tcBorders>
            <w:noWrap w:val="0"/>
            <w:vAlign w:val="center"/>
          </w:tcPr>
          <w:p w14:paraId="6F4491A9">
            <w:pPr>
              <w:pStyle w:val="45"/>
              <w:bidi w:val="0"/>
              <w:jc w:val="center"/>
              <w:rPr>
                <w:rFonts w:hint="default"/>
                <w:b w:val="0"/>
                <w:bCs/>
                <w:color w:val="auto"/>
                <w:highlight w:val="none"/>
              </w:rPr>
            </w:pPr>
          </w:p>
        </w:tc>
      </w:tr>
      <w:tr w14:paraId="25DE8CC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3467984E">
            <w:pPr>
              <w:pStyle w:val="45"/>
              <w:bidi w:val="0"/>
              <w:jc w:val="center"/>
              <w:rPr>
                <w:rFonts w:hint="default"/>
                <w:b w:val="0"/>
                <w:bCs/>
                <w:color w:val="auto"/>
                <w:highlight w:val="none"/>
              </w:rPr>
            </w:pPr>
            <w:r>
              <w:rPr>
                <w:rFonts w:hint="default"/>
                <w:b w:val="0"/>
                <w:bCs/>
                <w:color w:val="auto"/>
                <w:highlight w:val="none"/>
              </w:rPr>
              <w:t>48.红尾伯劳</w:t>
            </w:r>
          </w:p>
          <w:p w14:paraId="12858424">
            <w:pPr>
              <w:pStyle w:val="45"/>
              <w:bidi w:val="0"/>
              <w:jc w:val="center"/>
              <w:rPr>
                <w:rFonts w:hint="default"/>
                <w:b w:val="0"/>
                <w:bCs/>
                <w:color w:val="auto"/>
                <w:highlight w:val="none"/>
              </w:rPr>
            </w:pPr>
            <w:r>
              <w:rPr>
                <w:rFonts w:hint="default"/>
                <w:b w:val="0"/>
                <w:bCs/>
                <w:i/>
                <w:iCs/>
                <w:color w:val="auto"/>
                <w:highlight w:val="none"/>
              </w:rPr>
              <w:t>Lanius cristatus</w:t>
            </w:r>
          </w:p>
        </w:tc>
        <w:tc>
          <w:tcPr>
            <w:tcW w:w="5076" w:type="dxa"/>
            <w:vMerge w:val="continue"/>
            <w:tcBorders>
              <w:tl2br w:val="nil"/>
              <w:tr2bl w:val="nil"/>
            </w:tcBorders>
            <w:noWrap w:val="0"/>
            <w:vAlign w:val="center"/>
          </w:tcPr>
          <w:p w14:paraId="75996BB3">
            <w:pPr>
              <w:pStyle w:val="45"/>
              <w:bidi w:val="0"/>
              <w:jc w:val="center"/>
              <w:rPr>
                <w:rFonts w:hint="default"/>
                <w:b w:val="0"/>
                <w:bCs/>
                <w:color w:val="auto"/>
                <w:highlight w:val="none"/>
              </w:rPr>
            </w:pPr>
          </w:p>
        </w:tc>
      </w:tr>
      <w:tr w14:paraId="5903267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32F9CAC9">
            <w:pPr>
              <w:pStyle w:val="45"/>
              <w:bidi w:val="0"/>
              <w:jc w:val="center"/>
              <w:rPr>
                <w:rFonts w:hint="default"/>
                <w:b w:val="0"/>
                <w:bCs/>
                <w:color w:val="auto"/>
                <w:highlight w:val="none"/>
              </w:rPr>
            </w:pPr>
            <w:r>
              <w:rPr>
                <w:rFonts w:hint="default"/>
                <w:b w:val="0"/>
                <w:bCs/>
                <w:color w:val="auto"/>
                <w:highlight w:val="none"/>
              </w:rPr>
              <w:t>49.黑卷尾</w:t>
            </w:r>
          </w:p>
          <w:p w14:paraId="2476DD1F">
            <w:pPr>
              <w:pStyle w:val="45"/>
              <w:bidi w:val="0"/>
              <w:jc w:val="center"/>
              <w:rPr>
                <w:rFonts w:hint="default"/>
                <w:b w:val="0"/>
                <w:bCs/>
                <w:color w:val="auto"/>
                <w:highlight w:val="none"/>
              </w:rPr>
            </w:pPr>
            <w:r>
              <w:rPr>
                <w:rFonts w:hint="default"/>
                <w:b w:val="0"/>
                <w:bCs/>
                <w:i/>
                <w:iCs/>
                <w:color w:val="auto"/>
                <w:highlight w:val="none"/>
              </w:rPr>
              <w:t>Dicrurus macrocercus</w:t>
            </w:r>
          </w:p>
        </w:tc>
        <w:tc>
          <w:tcPr>
            <w:tcW w:w="5076" w:type="dxa"/>
            <w:vMerge w:val="continue"/>
            <w:tcBorders>
              <w:tl2br w:val="nil"/>
              <w:tr2bl w:val="nil"/>
            </w:tcBorders>
            <w:noWrap w:val="0"/>
            <w:vAlign w:val="center"/>
          </w:tcPr>
          <w:p w14:paraId="0ED81EC4">
            <w:pPr>
              <w:pStyle w:val="45"/>
              <w:bidi w:val="0"/>
              <w:jc w:val="center"/>
              <w:rPr>
                <w:rFonts w:hint="default"/>
                <w:b w:val="0"/>
                <w:bCs/>
                <w:color w:val="auto"/>
                <w:highlight w:val="none"/>
              </w:rPr>
            </w:pPr>
          </w:p>
        </w:tc>
      </w:tr>
      <w:tr w14:paraId="00E39EC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62DD230B">
            <w:pPr>
              <w:pStyle w:val="45"/>
              <w:bidi w:val="0"/>
              <w:jc w:val="center"/>
              <w:rPr>
                <w:rFonts w:hint="default"/>
                <w:b w:val="0"/>
                <w:bCs/>
                <w:color w:val="auto"/>
                <w:highlight w:val="none"/>
              </w:rPr>
            </w:pPr>
            <w:r>
              <w:rPr>
                <w:rFonts w:hint="default"/>
                <w:b w:val="0"/>
                <w:bCs/>
                <w:color w:val="auto"/>
                <w:highlight w:val="none"/>
              </w:rPr>
              <w:t>50.八哥</w:t>
            </w:r>
          </w:p>
          <w:p w14:paraId="19A94DE2">
            <w:pPr>
              <w:pStyle w:val="45"/>
              <w:bidi w:val="0"/>
              <w:jc w:val="center"/>
              <w:rPr>
                <w:rFonts w:hint="default"/>
                <w:b w:val="0"/>
                <w:bCs/>
                <w:color w:val="auto"/>
                <w:highlight w:val="none"/>
              </w:rPr>
            </w:pPr>
            <w:r>
              <w:rPr>
                <w:rFonts w:hint="default"/>
                <w:b w:val="0"/>
                <w:bCs/>
                <w:i/>
                <w:iCs/>
                <w:color w:val="auto"/>
                <w:highlight w:val="none"/>
              </w:rPr>
              <w:t>Acridotheres cristatellus</w:t>
            </w:r>
          </w:p>
        </w:tc>
        <w:tc>
          <w:tcPr>
            <w:tcW w:w="5076" w:type="dxa"/>
            <w:vMerge w:val="continue"/>
            <w:tcBorders>
              <w:tl2br w:val="nil"/>
              <w:tr2bl w:val="nil"/>
            </w:tcBorders>
            <w:noWrap w:val="0"/>
            <w:vAlign w:val="center"/>
          </w:tcPr>
          <w:p w14:paraId="5E507BE3">
            <w:pPr>
              <w:pStyle w:val="45"/>
              <w:bidi w:val="0"/>
              <w:jc w:val="center"/>
              <w:rPr>
                <w:rFonts w:hint="default"/>
                <w:b w:val="0"/>
                <w:bCs/>
                <w:color w:val="auto"/>
                <w:highlight w:val="none"/>
              </w:rPr>
            </w:pPr>
          </w:p>
        </w:tc>
      </w:tr>
      <w:tr w14:paraId="40C765B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062CA2FB">
            <w:pPr>
              <w:pStyle w:val="45"/>
              <w:bidi w:val="0"/>
              <w:jc w:val="center"/>
              <w:rPr>
                <w:rFonts w:hint="default"/>
                <w:b w:val="0"/>
                <w:bCs/>
                <w:color w:val="auto"/>
                <w:highlight w:val="none"/>
              </w:rPr>
            </w:pPr>
            <w:r>
              <w:rPr>
                <w:rFonts w:hint="default"/>
                <w:b w:val="0"/>
                <w:bCs/>
                <w:color w:val="auto"/>
                <w:highlight w:val="none"/>
              </w:rPr>
              <w:t>51.喜鹊</w:t>
            </w:r>
          </w:p>
          <w:p w14:paraId="1A25ECC6">
            <w:pPr>
              <w:pStyle w:val="45"/>
              <w:bidi w:val="0"/>
              <w:jc w:val="center"/>
              <w:rPr>
                <w:rFonts w:hint="default"/>
                <w:b w:val="0"/>
                <w:bCs/>
                <w:color w:val="auto"/>
                <w:highlight w:val="none"/>
              </w:rPr>
            </w:pPr>
            <w:r>
              <w:rPr>
                <w:rFonts w:hint="default"/>
                <w:b w:val="0"/>
                <w:bCs/>
                <w:i/>
                <w:iCs/>
                <w:color w:val="auto"/>
                <w:highlight w:val="none"/>
              </w:rPr>
              <w:t>Pica pica</w:t>
            </w:r>
          </w:p>
        </w:tc>
        <w:tc>
          <w:tcPr>
            <w:tcW w:w="5076" w:type="dxa"/>
            <w:vMerge w:val="continue"/>
            <w:tcBorders>
              <w:tl2br w:val="nil"/>
              <w:tr2bl w:val="nil"/>
            </w:tcBorders>
            <w:noWrap w:val="0"/>
            <w:vAlign w:val="center"/>
          </w:tcPr>
          <w:p w14:paraId="0F053D7B">
            <w:pPr>
              <w:pStyle w:val="45"/>
              <w:bidi w:val="0"/>
              <w:jc w:val="center"/>
              <w:rPr>
                <w:rFonts w:hint="default"/>
                <w:b w:val="0"/>
                <w:bCs/>
                <w:color w:val="auto"/>
                <w:highlight w:val="none"/>
              </w:rPr>
            </w:pPr>
          </w:p>
        </w:tc>
      </w:tr>
      <w:tr w14:paraId="090C4C1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22E269E8">
            <w:pPr>
              <w:pStyle w:val="45"/>
              <w:bidi w:val="0"/>
              <w:jc w:val="center"/>
              <w:rPr>
                <w:rFonts w:hint="default"/>
                <w:b w:val="0"/>
                <w:bCs/>
                <w:color w:val="auto"/>
                <w:highlight w:val="none"/>
              </w:rPr>
            </w:pPr>
            <w:r>
              <w:rPr>
                <w:rFonts w:hint="default"/>
                <w:b w:val="0"/>
                <w:bCs/>
                <w:color w:val="auto"/>
                <w:highlight w:val="none"/>
              </w:rPr>
              <w:t>52.红嘴蓝鹊</w:t>
            </w:r>
          </w:p>
          <w:p w14:paraId="6ADEF592">
            <w:pPr>
              <w:pStyle w:val="45"/>
              <w:bidi w:val="0"/>
              <w:jc w:val="center"/>
              <w:rPr>
                <w:rFonts w:hint="default"/>
                <w:b w:val="0"/>
                <w:bCs/>
                <w:color w:val="auto"/>
                <w:highlight w:val="none"/>
              </w:rPr>
            </w:pPr>
            <w:r>
              <w:rPr>
                <w:rFonts w:hint="default"/>
                <w:b w:val="0"/>
                <w:bCs/>
                <w:i/>
                <w:iCs/>
                <w:color w:val="auto"/>
                <w:highlight w:val="none"/>
              </w:rPr>
              <w:t>Urocissa erythrorhynchus</w:t>
            </w:r>
          </w:p>
        </w:tc>
        <w:tc>
          <w:tcPr>
            <w:tcW w:w="5076" w:type="dxa"/>
            <w:vMerge w:val="restart"/>
            <w:tcBorders>
              <w:tl2br w:val="nil"/>
              <w:tr2bl w:val="nil"/>
            </w:tcBorders>
            <w:noWrap w:val="0"/>
            <w:vAlign w:val="center"/>
          </w:tcPr>
          <w:p w14:paraId="2EF6BA3B">
            <w:pPr>
              <w:pStyle w:val="45"/>
              <w:bidi w:val="0"/>
              <w:jc w:val="center"/>
              <w:rPr>
                <w:rFonts w:hint="default"/>
                <w:b w:val="0"/>
                <w:bCs/>
                <w:color w:val="auto"/>
                <w:highlight w:val="none"/>
              </w:rPr>
            </w:pPr>
            <w:r>
              <w:rPr>
                <w:rFonts w:hint="default"/>
                <w:b w:val="0"/>
                <w:bCs/>
                <w:color w:val="auto"/>
                <w:highlight w:val="none"/>
              </w:rPr>
              <w:t>工程对其生境占用，施工废水及生活污水可能污染其生境。施工噪声对其栖息觅食等影响。</w:t>
            </w:r>
          </w:p>
          <w:p w14:paraId="66A94392">
            <w:pPr>
              <w:pStyle w:val="45"/>
              <w:bidi w:val="0"/>
              <w:jc w:val="center"/>
              <w:rPr>
                <w:rFonts w:hint="default"/>
                <w:b w:val="0"/>
                <w:bCs/>
                <w:color w:val="auto"/>
                <w:highlight w:val="none"/>
              </w:rPr>
            </w:pPr>
            <w:r>
              <w:rPr>
                <w:rFonts w:hint="default"/>
                <w:b w:val="0"/>
                <w:bCs/>
                <w:color w:val="auto"/>
                <w:highlight w:val="none"/>
              </w:rPr>
              <w:t>部分种类因具有观赏价值和经济价值容易遭到施工人 员捕捉，如画眉、红嘴相思鸟、暗绿绣眼鸟等。</w:t>
            </w:r>
          </w:p>
        </w:tc>
      </w:tr>
      <w:tr w14:paraId="1156C73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41E0515A">
            <w:pPr>
              <w:pStyle w:val="45"/>
              <w:bidi w:val="0"/>
              <w:jc w:val="center"/>
              <w:rPr>
                <w:rFonts w:hint="default"/>
                <w:b w:val="0"/>
                <w:bCs/>
                <w:color w:val="auto"/>
                <w:highlight w:val="none"/>
              </w:rPr>
            </w:pPr>
            <w:r>
              <w:rPr>
                <w:rFonts w:hint="default"/>
                <w:b w:val="0"/>
                <w:bCs/>
                <w:color w:val="auto"/>
                <w:highlight w:val="none"/>
              </w:rPr>
              <w:t>53.松鸦</w:t>
            </w:r>
          </w:p>
          <w:p w14:paraId="584EB2DF">
            <w:pPr>
              <w:pStyle w:val="45"/>
              <w:bidi w:val="0"/>
              <w:jc w:val="center"/>
              <w:rPr>
                <w:rFonts w:hint="default"/>
                <w:b w:val="0"/>
                <w:bCs/>
                <w:color w:val="auto"/>
                <w:highlight w:val="none"/>
              </w:rPr>
            </w:pPr>
            <w:r>
              <w:rPr>
                <w:rFonts w:hint="default"/>
                <w:b w:val="0"/>
                <w:bCs/>
                <w:i/>
                <w:iCs/>
                <w:color w:val="auto"/>
                <w:highlight w:val="none"/>
              </w:rPr>
              <w:t>Garrulus glandarius</w:t>
            </w:r>
          </w:p>
        </w:tc>
        <w:tc>
          <w:tcPr>
            <w:tcW w:w="5076" w:type="dxa"/>
            <w:vMerge w:val="continue"/>
            <w:tcBorders>
              <w:tl2br w:val="nil"/>
              <w:tr2bl w:val="nil"/>
            </w:tcBorders>
            <w:noWrap w:val="0"/>
            <w:vAlign w:val="center"/>
          </w:tcPr>
          <w:p w14:paraId="43B6FEDF">
            <w:pPr>
              <w:pStyle w:val="45"/>
              <w:bidi w:val="0"/>
              <w:jc w:val="center"/>
              <w:rPr>
                <w:rFonts w:hint="default"/>
                <w:b w:val="0"/>
                <w:bCs/>
                <w:color w:val="auto"/>
                <w:highlight w:val="none"/>
              </w:rPr>
            </w:pPr>
          </w:p>
        </w:tc>
      </w:tr>
      <w:tr w14:paraId="793BD78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6E468784">
            <w:pPr>
              <w:pStyle w:val="45"/>
              <w:bidi w:val="0"/>
              <w:jc w:val="center"/>
              <w:rPr>
                <w:rFonts w:hint="default"/>
                <w:b w:val="0"/>
                <w:bCs/>
                <w:color w:val="auto"/>
                <w:highlight w:val="none"/>
              </w:rPr>
            </w:pPr>
            <w:r>
              <w:rPr>
                <w:rFonts w:hint="default"/>
                <w:b w:val="0"/>
                <w:bCs/>
                <w:color w:val="auto"/>
                <w:highlight w:val="none"/>
              </w:rPr>
              <w:t>54.红胁蓝尾鸲</w:t>
            </w:r>
          </w:p>
          <w:p w14:paraId="1B58BB8F">
            <w:pPr>
              <w:pStyle w:val="45"/>
              <w:bidi w:val="0"/>
              <w:jc w:val="center"/>
              <w:rPr>
                <w:rFonts w:hint="default"/>
                <w:b w:val="0"/>
                <w:bCs/>
                <w:color w:val="auto"/>
                <w:highlight w:val="none"/>
              </w:rPr>
            </w:pPr>
            <w:r>
              <w:rPr>
                <w:rFonts w:hint="default"/>
                <w:b w:val="0"/>
                <w:bCs/>
                <w:i/>
                <w:iCs/>
                <w:color w:val="auto"/>
                <w:highlight w:val="none"/>
              </w:rPr>
              <w:t>Tarsiger cyanurus</w:t>
            </w:r>
          </w:p>
        </w:tc>
        <w:tc>
          <w:tcPr>
            <w:tcW w:w="5076" w:type="dxa"/>
            <w:vMerge w:val="continue"/>
            <w:tcBorders>
              <w:tl2br w:val="nil"/>
              <w:tr2bl w:val="nil"/>
            </w:tcBorders>
            <w:noWrap w:val="0"/>
            <w:vAlign w:val="center"/>
          </w:tcPr>
          <w:p w14:paraId="3C309E66">
            <w:pPr>
              <w:pStyle w:val="45"/>
              <w:bidi w:val="0"/>
              <w:jc w:val="center"/>
              <w:rPr>
                <w:rFonts w:hint="default"/>
                <w:b w:val="0"/>
                <w:bCs/>
                <w:color w:val="auto"/>
                <w:highlight w:val="none"/>
              </w:rPr>
            </w:pPr>
          </w:p>
        </w:tc>
      </w:tr>
      <w:tr w14:paraId="61141CB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44E1F008">
            <w:pPr>
              <w:pStyle w:val="45"/>
              <w:bidi w:val="0"/>
              <w:jc w:val="center"/>
              <w:rPr>
                <w:rFonts w:hint="default"/>
                <w:b w:val="0"/>
                <w:bCs/>
                <w:color w:val="auto"/>
                <w:highlight w:val="none"/>
              </w:rPr>
            </w:pPr>
            <w:r>
              <w:rPr>
                <w:rFonts w:hint="default"/>
                <w:b w:val="0"/>
                <w:bCs/>
                <w:color w:val="auto"/>
                <w:highlight w:val="none"/>
              </w:rPr>
              <w:t>55.乌鸫</w:t>
            </w:r>
          </w:p>
          <w:p w14:paraId="65B67292">
            <w:pPr>
              <w:pStyle w:val="45"/>
              <w:bidi w:val="0"/>
              <w:jc w:val="center"/>
              <w:rPr>
                <w:rFonts w:hint="default"/>
                <w:b w:val="0"/>
                <w:bCs/>
                <w:color w:val="auto"/>
                <w:highlight w:val="none"/>
              </w:rPr>
            </w:pPr>
            <w:r>
              <w:rPr>
                <w:rFonts w:hint="default"/>
                <w:b w:val="0"/>
                <w:bCs/>
                <w:i/>
                <w:iCs/>
                <w:color w:val="auto"/>
                <w:highlight w:val="none"/>
              </w:rPr>
              <w:t>Turdus merula</w:t>
            </w:r>
          </w:p>
        </w:tc>
        <w:tc>
          <w:tcPr>
            <w:tcW w:w="5076" w:type="dxa"/>
            <w:vMerge w:val="continue"/>
            <w:tcBorders>
              <w:tl2br w:val="nil"/>
              <w:tr2bl w:val="nil"/>
            </w:tcBorders>
            <w:noWrap w:val="0"/>
            <w:vAlign w:val="center"/>
          </w:tcPr>
          <w:p w14:paraId="06DA5F4D">
            <w:pPr>
              <w:pStyle w:val="45"/>
              <w:bidi w:val="0"/>
              <w:jc w:val="center"/>
              <w:rPr>
                <w:rFonts w:hint="default"/>
                <w:b w:val="0"/>
                <w:bCs/>
                <w:color w:val="auto"/>
                <w:highlight w:val="none"/>
              </w:rPr>
            </w:pPr>
          </w:p>
        </w:tc>
      </w:tr>
      <w:tr w14:paraId="612D7C4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0CA7247F">
            <w:pPr>
              <w:pStyle w:val="45"/>
              <w:bidi w:val="0"/>
              <w:jc w:val="center"/>
              <w:rPr>
                <w:rFonts w:hint="default"/>
                <w:b w:val="0"/>
                <w:bCs/>
                <w:color w:val="auto"/>
                <w:highlight w:val="none"/>
              </w:rPr>
            </w:pPr>
            <w:r>
              <w:rPr>
                <w:rFonts w:hint="default"/>
                <w:b w:val="0"/>
                <w:bCs/>
                <w:color w:val="auto"/>
                <w:highlight w:val="none"/>
              </w:rPr>
              <w:t>56.画眉</w:t>
            </w:r>
          </w:p>
          <w:p w14:paraId="6EB569DF">
            <w:pPr>
              <w:pStyle w:val="45"/>
              <w:bidi w:val="0"/>
              <w:jc w:val="center"/>
              <w:rPr>
                <w:rFonts w:hint="default"/>
                <w:b w:val="0"/>
                <w:bCs/>
                <w:color w:val="auto"/>
                <w:highlight w:val="none"/>
              </w:rPr>
            </w:pPr>
            <w:r>
              <w:rPr>
                <w:rFonts w:hint="default"/>
                <w:b w:val="0"/>
                <w:bCs/>
                <w:i/>
                <w:iCs/>
                <w:color w:val="auto"/>
                <w:highlight w:val="none"/>
              </w:rPr>
              <w:t>Garrulax canorus</w:t>
            </w:r>
          </w:p>
        </w:tc>
        <w:tc>
          <w:tcPr>
            <w:tcW w:w="5076" w:type="dxa"/>
            <w:vMerge w:val="continue"/>
            <w:tcBorders>
              <w:tl2br w:val="nil"/>
              <w:tr2bl w:val="nil"/>
            </w:tcBorders>
            <w:noWrap w:val="0"/>
            <w:vAlign w:val="center"/>
          </w:tcPr>
          <w:p w14:paraId="53364CF5">
            <w:pPr>
              <w:pStyle w:val="45"/>
              <w:bidi w:val="0"/>
              <w:jc w:val="center"/>
              <w:rPr>
                <w:rFonts w:hint="default"/>
                <w:b w:val="0"/>
                <w:bCs/>
                <w:color w:val="auto"/>
                <w:highlight w:val="none"/>
              </w:rPr>
            </w:pPr>
          </w:p>
        </w:tc>
      </w:tr>
      <w:tr w14:paraId="23A4A4A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4B942C20">
            <w:pPr>
              <w:pStyle w:val="45"/>
              <w:bidi w:val="0"/>
              <w:jc w:val="center"/>
              <w:rPr>
                <w:rFonts w:hint="default"/>
                <w:b w:val="0"/>
                <w:bCs/>
                <w:color w:val="auto"/>
                <w:highlight w:val="none"/>
              </w:rPr>
            </w:pPr>
            <w:r>
              <w:rPr>
                <w:rFonts w:hint="default"/>
                <w:b w:val="0"/>
                <w:bCs/>
                <w:color w:val="auto"/>
                <w:highlight w:val="none"/>
              </w:rPr>
              <w:t>57.小燕尾</w:t>
            </w:r>
          </w:p>
          <w:p w14:paraId="3CBB9983">
            <w:pPr>
              <w:pStyle w:val="45"/>
              <w:bidi w:val="0"/>
              <w:jc w:val="center"/>
              <w:rPr>
                <w:rFonts w:hint="default"/>
                <w:b w:val="0"/>
                <w:bCs/>
                <w:color w:val="auto"/>
                <w:highlight w:val="none"/>
              </w:rPr>
            </w:pPr>
            <w:r>
              <w:rPr>
                <w:rFonts w:hint="default"/>
                <w:b w:val="0"/>
                <w:bCs/>
                <w:i/>
                <w:iCs/>
                <w:color w:val="auto"/>
                <w:highlight w:val="none"/>
              </w:rPr>
              <w:t>Enicurus scouleri</w:t>
            </w:r>
          </w:p>
        </w:tc>
        <w:tc>
          <w:tcPr>
            <w:tcW w:w="5076" w:type="dxa"/>
            <w:vMerge w:val="continue"/>
            <w:tcBorders>
              <w:tl2br w:val="nil"/>
              <w:tr2bl w:val="nil"/>
            </w:tcBorders>
            <w:noWrap w:val="0"/>
            <w:vAlign w:val="center"/>
          </w:tcPr>
          <w:p w14:paraId="3FB2D241">
            <w:pPr>
              <w:pStyle w:val="45"/>
              <w:bidi w:val="0"/>
              <w:jc w:val="center"/>
              <w:rPr>
                <w:rFonts w:hint="default"/>
                <w:b w:val="0"/>
                <w:bCs/>
                <w:color w:val="auto"/>
                <w:highlight w:val="none"/>
              </w:rPr>
            </w:pPr>
          </w:p>
        </w:tc>
      </w:tr>
      <w:tr w14:paraId="47F26E8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6828C18A">
            <w:pPr>
              <w:pStyle w:val="45"/>
              <w:bidi w:val="0"/>
              <w:jc w:val="center"/>
              <w:rPr>
                <w:rFonts w:hint="default"/>
                <w:b w:val="0"/>
                <w:bCs/>
                <w:color w:val="auto"/>
                <w:highlight w:val="none"/>
              </w:rPr>
            </w:pPr>
            <w:r>
              <w:rPr>
                <w:rFonts w:hint="default"/>
                <w:b w:val="0"/>
                <w:bCs/>
                <w:color w:val="auto"/>
                <w:highlight w:val="none"/>
              </w:rPr>
              <w:t>58.灰背燕尾</w:t>
            </w:r>
          </w:p>
          <w:p w14:paraId="38D47323">
            <w:pPr>
              <w:pStyle w:val="45"/>
              <w:bidi w:val="0"/>
              <w:jc w:val="center"/>
              <w:rPr>
                <w:rFonts w:hint="default"/>
                <w:b w:val="0"/>
                <w:bCs/>
                <w:color w:val="auto"/>
                <w:highlight w:val="none"/>
              </w:rPr>
            </w:pPr>
            <w:r>
              <w:rPr>
                <w:rFonts w:hint="default"/>
                <w:b w:val="0"/>
                <w:bCs/>
                <w:i/>
                <w:iCs/>
                <w:color w:val="auto"/>
                <w:highlight w:val="none"/>
              </w:rPr>
              <w:t>Enicurus schistaceus</w:t>
            </w:r>
          </w:p>
        </w:tc>
        <w:tc>
          <w:tcPr>
            <w:tcW w:w="5076" w:type="dxa"/>
            <w:vMerge w:val="continue"/>
            <w:tcBorders>
              <w:tl2br w:val="nil"/>
              <w:tr2bl w:val="nil"/>
            </w:tcBorders>
            <w:noWrap w:val="0"/>
            <w:vAlign w:val="center"/>
          </w:tcPr>
          <w:p w14:paraId="786FBFA4">
            <w:pPr>
              <w:pStyle w:val="45"/>
              <w:bidi w:val="0"/>
              <w:jc w:val="center"/>
              <w:rPr>
                <w:rFonts w:hint="default"/>
                <w:b w:val="0"/>
                <w:bCs/>
                <w:color w:val="auto"/>
                <w:highlight w:val="none"/>
              </w:rPr>
            </w:pPr>
          </w:p>
        </w:tc>
      </w:tr>
      <w:tr w14:paraId="5BFD7A7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1749D07F">
            <w:pPr>
              <w:pStyle w:val="45"/>
              <w:bidi w:val="0"/>
              <w:jc w:val="center"/>
              <w:rPr>
                <w:rFonts w:hint="default"/>
                <w:b w:val="0"/>
                <w:bCs/>
                <w:color w:val="auto"/>
                <w:highlight w:val="none"/>
              </w:rPr>
            </w:pPr>
            <w:r>
              <w:rPr>
                <w:rFonts w:hint="default"/>
                <w:b w:val="0"/>
                <w:bCs/>
                <w:color w:val="auto"/>
                <w:highlight w:val="none"/>
              </w:rPr>
              <w:t>59.黑背燕尾</w:t>
            </w:r>
          </w:p>
          <w:p w14:paraId="14EB258B">
            <w:pPr>
              <w:pStyle w:val="45"/>
              <w:bidi w:val="0"/>
              <w:jc w:val="center"/>
              <w:rPr>
                <w:rFonts w:hint="default"/>
                <w:b w:val="0"/>
                <w:bCs/>
                <w:color w:val="auto"/>
                <w:highlight w:val="none"/>
              </w:rPr>
            </w:pPr>
            <w:r>
              <w:rPr>
                <w:rFonts w:hint="default"/>
                <w:b w:val="0"/>
                <w:bCs/>
                <w:i/>
                <w:iCs/>
                <w:color w:val="auto"/>
                <w:highlight w:val="none"/>
              </w:rPr>
              <w:t>Enicurus immaculatus</w:t>
            </w:r>
          </w:p>
        </w:tc>
        <w:tc>
          <w:tcPr>
            <w:tcW w:w="5076" w:type="dxa"/>
            <w:vMerge w:val="continue"/>
            <w:tcBorders>
              <w:tl2br w:val="nil"/>
              <w:tr2bl w:val="nil"/>
            </w:tcBorders>
            <w:noWrap w:val="0"/>
            <w:vAlign w:val="center"/>
          </w:tcPr>
          <w:p w14:paraId="701E8ECB">
            <w:pPr>
              <w:pStyle w:val="45"/>
              <w:bidi w:val="0"/>
              <w:jc w:val="center"/>
              <w:rPr>
                <w:rFonts w:hint="default"/>
                <w:b w:val="0"/>
                <w:bCs/>
                <w:color w:val="auto"/>
                <w:highlight w:val="none"/>
              </w:rPr>
            </w:pPr>
          </w:p>
        </w:tc>
      </w:tr>
      <w:tr w14:paraId="66014F6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62C5B11E">
            <w:pPr>
              <w:pStyle w:val="45"/>
              <w:bidi w:val="0"/>
              <w:jc w:val="center"/>
              <w:rPr>
                <w:rFonts w:hint="default"/>
                <w:b w:val="0"/>
                <w:bCs/>
                <w:color w:val="auto"/>
                <w:highlight w:val="none"/>
              </w:rPr>
            </w:pPr>
            <w:r>
              <w:rPr>
                <w:rFonts w:hint="default"/>
                <w:b w:val="0"/>
                <w:bCs/>
                <w:color w:val="auto"/>
                <w:highlight w:val="none"/>
              </w:rPr>
              <w:t>60.紫啸鸫</w:t>
            </w:r>
          </w:p>
          <w:p w14:paraId="6931A34C">
            <w:pPr>
              <w:pStyle w:val="45"/>
              <w:bidi w:val="0"/>
              <w:jc w:val="center"/>
              <w:rPr>
                <w:rFonts w:hint="default"/>
                <w:b w:val="0"/>
                <w:bCs/>
                <w:color w:val="auto"/>
                <w:highlight w:val="none"/>
              </w:rPr>
            </w:pPr>
            <w:r>
              <w:rPr>
                <w:rFonts w:hint="default"/>
                <w:b w:val="0"/>
                <w:bCs/>
                <w:i/>
                <w:iCs/>
                <w:color w:val="auto"/>
                <w:highlight w:val="none"/>
              </w:rPr>
              <w:t>Myophonus caeruleus</w:t>
            </w:r>
          </w:p>
        </w:tc>
        <w:tc>
          <w:tcPr>
            <w:tcW w:w="5076" w:type="dxa"/>
            <w:vMerge w:val="continue"/>
            <w:tcBorders>
              <w:tl2br w:val="nil"/>
              <w:tr2bl w:val="nil"/>
            </w:tcBorders>
            <w:noWrap w:val="0"/>
            <w:vAlign w:val="center"/>
          </w:tcPr>
          <w:p w14:paraId="16E8C646">
            <w:pPr>
              <w:pStyle w:val="45"/>
              <w:bidi w:val="0"/>
              <w:jc w:val="center"/>
              <w:rPr>
                <w:rFonts w:hint="default"/>
                <w:b w:val="0"/>
                <w:bCs/>
                <w:color w:val="auto"/>
                <w:highlight w:val="none"/>
              </w:rPr>
            </w:pPr>
          </w:p>
        </w:tc>
      </w:tr>
      <w:tr w14:paraId="08529FD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585DE124">
            <w:pPr>
              <w:pStyle w:val="45"/>
              <w:bidi w:val="0"/>
              <w:jc w:val="center"/>
              <w:rPr>
                <w:rFonts w:hint="default"/>
                <w:b w:val="0"/>
                <w:bCs/>
                <w:color w:val="auto"/>
                <w:highlight w:val="none"/>
              </w:rPr>
            </w:pPr>
            <w:r>
              <w:rPr>
                <w:rFonts w:hint="default"/>
                <w:b w:val="0"/>
                <w:bCs/>
                <w:color w:val="auto"/>
                <w:highlight w:val="none"/>
              </w:rPr>
              <w:t>61.红尾鸫</w:t>
            </w:r>
          </w:p>
          <w:p w14:paraId="004BBFF9">
            <w:pPr>
              <w:pStyle w:val="45"/>
              <w:bidi w:val="0"/>
              <w:jc w:val="center"/>
              <w:rPr>
                <w:rFonts w:hint="default"/>
                <w:b w:val="0"/>
                <w:bCs/>
                <w:color w:val="auto"/>
                <w:highlight w:val="none"/>
              </w:rPr>
            </w:pPr>
            <w:r>
              <w:rPr>
                <w:rFonts w:hint="default"/>
                <w:b w:val="0"/>
                <w:bCs/>
                <w:i/>
                <w:iCs/>
                <w:color w:val="auto"/>
                <w:highlight w:val="none"/>
              </w:rPr>
              <w:t>Turdus naumanni</w:t>
            </w:r>
          </w:p>
        </w:tc>
        <w:tc>
          <w:tcPr>
            <w:tcW w:w="5076" w:type="dxa"/>
            <w:vMerge w:val="continue"/>
            <w:tcBorders>
              <w:tl2br w:val="nil"/>
              <w:tr2bl w:val="nil"/>
            </w:tcBorders>
            <w:noWrap w:val="0"/>
            <w:vAlign w:val="center"/>
          </w:tcPr>
          <w:p w14:paraId="691CA8B4">
            <w:pPr>
              <w:pStyle w:val="45"/>
              <w:bidi w:val="0"/>
              <w:jc w:val="center"/>
              <w:rPr>
                <w:rFonts w:hint="default"/>
                <w:b w:val="0"/>
                <w:bCs/>
                <w:color w:val="auto"/>
                <w:highlight w:val="none"/>
              </w:rPr>
            </w:pPr>
          </w:p>
        </w:tc>
      </w:tr>
      <w:tr w14:paraId="60C4AD9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65D63050">
            <w:pPr>
              <w:pStyle w:val="45"/>
              <w:bidi w:val="0"/>
              <w:jc w:val="center"/>
              <w:rPr>
                <w:rFonts w:hint="default"/>
                <w:b w:val="0"/>
                <w:bCs/>
                <w:color w:val="auto"/>
                <w:highlight w:val="none"/>
              </w:rPr>
            </w:pPr>
            <w:r>
              <w:rPr>
                <w:rFonts w:hint="default"/>
                <w:b w:val="0"/>
                <w:bCs/>
                <w:color w:val="auto"/>
                <w:highlight w:val="none"/>
              </w:rPr>
              <w:t>62.斑鸫</w:t>
            </w:r>
          </w:p>
          <w:p w14:paraId="247B907C">
            <w:pPr>
              <w:pStyle w:val="45"/>
              <w:bidi w:val="0"/>
              <w:jc w:val="center"/>
              <w:rPr>
                <w:rFonts w:hint="default"/>
                <w:b w:val="0"/>
                <w:bCs/>
                <w:color w:val="auto"/>
                <w:highlight w:val="none"/>
              </w:rPr>
            </w:pPr>
            <w:r>
              <w:rPr>
                <w:rFonts w:hint="default"/>
                <w:b w:val="0"/>
                <w:bCs/>
                <w:i/>
                <w:iCs/>
                <w:color w:val="auto"/>
                <w:highlight w:val="none"/>
              </w:rPr>
              <w:t>Turdus eunomus</w:t>
            </w:r>
          </w:p>
        </w:tc>
        <w:tc>
          <w:tcPr>
            <w:tcW w:w="5076" w:type="dxa"/>
            <w:vMerge w:val="continue"/>
            <w:tcBorders>
              <w:tl2br w:val="nil"/>
              <w:tr2bl w:val="nil"/>
            </w:tcBorders>
            <w:noWrap w:val="0"/>
            <w:vAlign w:val="center"/>
          </w:tcPr>
          <w:p w14:paraId="67141A9E">
            <w:pPr>
              <w:pStyle w:val="45"/>
              <w:bidi w:val="0"/>
              <w:jc w:val="center"/>
              <w:rPr>
                <w:rFonts w:hint="default"/>
                <w:b w:val="0"/>
                <w:bCs/>
                <w:color w:val="auto"/>
                <w:highlight w:val="none"/>
              </w:rPr>
            </w:pPr>
          </w:p>
        </w:tc>
      </w:tr>
      <w:tr w14:paraId="7C38146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4E6B62E8">
            <w:pPr>
              <w:pStyle w:val="45"/>
              <w:bidi w:val="0"/>
              <w:jc w:val="center"/>
              <w:rPr>
                <w:rFonts w:hint="default"/>
                <w:b w:val="0"/>
                <w:bCs/>
                <w:color w:val="auto"/>
                <w:highlight w:val="none"/>
              </w:rPr>
            </w:pPr>
            <w:r>
              <w:rPr>
                <w:rFonts w:hint="default"/>
                <w:b w:val="0"/>
                <w:bCs/>
                <w:color w:val="auto"/>
                <w:highlight w:val="none"/>
              </w:rPr>
              <w:t>63.棕颈钩嘴鹛</w:t>
            </w:r>
          </w:p>
          <w:p w14:paraId="1A65F59D">
            <w:pPr>
              <w:pStyle w:val="45"/>
              <w:bidi w:val="0"/>
              <w:jc w:val="center"/>
              <w:rPr>
                <w:rFonts w:hint="default"/>
                <w:b w:val="0"/>
                <w:bCs/>
                <w:color w:val="auto"/>
                <w:highlight w:val="none"/>
              </w:rPr>
            </w:pPr>
            <w:r>
              <w:rPr>
                <w:rFonts w:hint="default"/>
                <w:b w:val="0"/>
                <w:bCs/>
                <w:i/>
                <w:iCs/>
                <w:color w:val="auto"/>
                <w:highlight w:val="none"/>
              </w:rPr>
              <w:t>Pomatorhinus ruficllis</w:t>
            </w:r>
          </w:p>
        </w:tc>
        <w:tc>
          <w:tcPr>
            <w:tcW w:w="5076" w:type="dxa"/>
            <w:vMerge w:val="continue"/>
            <w:tcBorders>
              <w:tl2br w:val="nil"/>
              <w:tr2bl w:val="nil"/>
            </w:tcBorders>
            <w:noWrap w:val="0"/>
            <w:vAlign w:val="center"/>
          </w:tcPr>
          <w:p w14:paraId="49FF1426">
            <w:pPr>
              <w:pStyle w:val="45"/>
              <w:bidi w:val="0"/>
              <w:jc w:val="center"/>
              <w:rPr>
                <w:rFonts w:hint="default"/>
                <w:b w:val="0"/>
                <w:bCs/>
                <w:color w:val="auto"/>
                <w:highlight w:val="none"/>
              </w:rPr>
            </w:pPr>
          </w:p>
        </w:tc>
      </w:tr>
      <w:tr w14:paraId="28DC5C8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65295482">
            <w:pPr>
              <w:pStyle w:val="45"/>
              <w:bidi w:val="0"/>
              <w:jc w:val="center"/>
              <w:rPr>
                <w:rFonts w:hint="default"/>
                <w:b w:val="0"/>
                <w:bCs/>
                <w:color w:val="auto"/>
                <w:highlight w:val="none"/>
              </w:rPr>
            </w:pPr>
            <w:r>
              <w:rPr>
                <w:rFonts w:hint="default"/>
                <w:b w:val="0"/>
                <w:bCs/>
                <w:color w:val="auto"/>
                <w:highlight w:val="none"/>
              </w:rPr>
              <w:t>64.斑胸钩嘴鹛</w:t>
            </w:r>
          </w:p>
          <w:p w14:paraId="7808F9CF">
            <w:pPr>
              <w:pStyle w:val="45"/>
              <w:bidi w:val="0"/>
              <w:jc w:val="center"/>
              <w:rPr>
                <w:rFonts w:hint="default"/>
                <w:b w:val="0"/>
                <w:bCs/>
                <w:color w:val="auto"/>
                <w:highlight w:val="none"/>
              </w:rPr>
            </w:pPr>
            <w:r>
              <w:rPr>
                <w:rFonts w:hint="default"/>
                <w:b w:val="0"/>
                <w:bCs/>
                <w:i/>
                <w:iCs/>
                <w:color w:val="auto"/>
                <w:highlight w:val="none"/>
              </w:rPr>
              <w:t>Pomatorhinus erythrocnemis</w:t>
            </w:r>
          </w:p>
        </w:tc>
        <w:tc>
          <w:tcPr>
            <w:tcW w:w="5076" w:type="dxa"/>
            <w:vMerge w:val="continue"/>
            <w:tcBorders>
              <w:tl2br w:val="nil"/>
              <w:tr2bl w:val="nil"/>
            </w:tcBorders>
            <w:noWrap w:val="0"/>
            <w:vAlign w:val="center"/>
          </w:tcPr>
          <w:p w14:paraId="50518D89">
            <w:pPr>
              <w:pStyle w:val="45"/>
              <w:bidi w:val="0"/>
              <w:jc w:val="center"/>
              <w:rPr>
                <w:rFonts w:hint="default"/>
                <w:b w:val="0"/>
                <w:bCs/>
                <w:color w:val="auto"/>
                <w:highlight w:val="none"/>
              </w:rPr>
            </w:pPr>
          </w:p>
        </w:tc>
      </w:tr>
      <w:tr w14:paraId="3ED7ABF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075960AD">
            <w:pPr>
              <w:pStyle w:val="45"/>
              <w:bidi w:val="0"/>
              <w:jc w:val="center"/>
              <w:rPr>
                <w:rFonts w:hint="default"/>
                <w:b w:val="0"/>
                <w:bCs/>
                <w:color w:val="auto"/>
                <w:highlight w:val="none"/>
              </w:rPr>
            </w:pPr>
            <w:r>
              <w:rPr>
                <w:rFonts w:hint="default"/>
                <w:b w:val="0"/>
                <w:bCs/>
                <w:color w:val="auto"/>
                <w:highlight w:val="none"/>
              </w:rPr>
              <w:t>65.黑脸噪鹛</w:t>
            </w:r>
          </w:p>
          <w:p w14:paraId="3DB90138">
            <w:pPr>
              <w:pStyle w:val="45"/>
              <w:bidi w:val="0"/>
              <w:jc w:val="center"/>
              <w:rPr>
                <w:rFonts w:hint="default"/>
                <w:b w:val="0"/>
                <w:bCs/>
                <w:color w:val="auto"/>
                <w:highlight w:val="none"/>
              </w:rPr>
            </w:pPr>
            <w:r>
              <w:rPr>
                <w:rFonts w:hint="default"/>
                <w:b w:val="0"/>
                <w:bCs/>
                <w:i/>
                <w:iCs/>
                <w:color w:val="auto"/>
                <w:highlight w:val="none"/>
              </w:rPr>
              <w:t>Garrulax perspicillatus</w:t>
            </w:r>
          </w:p>
        </w:tc>
        <w:tc>
          <w:tcPr>
            <w:tcW w:w="5076" w:type="dxa"/>
            <w:vMerge w:val="continue"/>
            <w:tcBorders>
              <w:tl2br w:val="nil"/>
              <w:tr2bl w:val="nil"/>
            </w:tcBorders>
            <w:noWrap w:val="0"/>
            <w:vAlign w:val="center"/>
          </w:tcPr>
          <w:p w14:paraId="257A7B13">
            <w:pPr>
              <w:pStyle w:val="45"/>
              <w:bidi w:val="0"/>
              <w:jc w:val="center"/>
              <w:rPr>
                <w:rFonts w:hint="default"/>
                <w:b w:val="0"/>
                <w:bCs/>
                <w:color w:val="auto"/>
                <w:highlight w:val="none"/>
              </w:rPr>
            </w:pPr>
          </w:p>
        </w:tc>
      </w:tr>
      <w:tr w14:paraId="34EEEB8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2AA040D0">
            <w:pPr>
              <w:pStyle w:val="45"/>
              <w:bidi w:val="0"/>
              <w:jc w:val="center"/>
              <w:rPr>
                <w:rFonts w:hint="default"/>
                <w:b w:val="0"/>
                <w:bCs/>
                <w:color w:val="auto"/>
                <w:highlight w:val="none"/>
              </w:rPr>
            </w:pPr>
            <w:r>
              <w:rPr>
                <w:rFonts w:hint="default"/>
                <w:b w:val="0"/>
                <w:bCs/>
                <w:color w:val="auto"/>
                <w:highlight w:val="none"/>
              </w:rPr>
              <w:t>66.红嘴相思鸟</w:t>
            </w:r>
          </w:p>
          <w:p w14:paraId="32F7AC97">
            <w:pPr>
              <w:pStyle w:val="45"/>
              <w:bidi w:val="0"/>
              <w:jc w:val="center"/>
              <w:rPr>
                <w:rFonts w:hint="default"/>
                <w:b w:val="0"/>
                <w:bCs/>
                <w:color w:val="auto"/>
                <w:highlight w:val="none"/>
              </w:rPr>
            </w:pPr>
            <w:r>
              <w:rPr>
                <w:rFonts w:hint="default"/>
                <w:b w:val="0"/>
                <w:bCs/>
                <w:i/>
                <w:iCs/>
                <w:color w:val="auto"/>
                <w:highlight w:val="none"/>
              </w:rPr>
              <w:t>Leiothrix lutea</w:t>
            </w:r>
          </w:p>
        </w:tc>
        <w:tc>
          <w:tcPr>
            <w:tcW w:w="5076" w:type="dxa"/>
            <w:vMerge w:val="continue"/>
            <w:tcBorders>
              <w:tl2br w:val="nil"/>
              <w:tr2bl w:val="nil"/>
            </w:tcBorders>
            <w:noWrap w:val="0"/>
            <w:vAlign w:val="center"/>
          </w:tcPr>
          <w:p w14:paraId="35619F67">
            <w:pPr>
              <w:pStyle w:val="45"/>
              <w:bidi w:val="0"/>
              <w:jc w:val="center"/>
              <w:rPr>
                <w:rFonts w:hint="default"/>
                <w:b w:val="0"/>
                <w:bCs/>
                <w:color w:val="auto"/>
                <w:highlight w:val="none"/>
              </w:rPr>
            </w:pPr>
          </w:p>
        </w:tc>
      </w:tr>
      <w:tr w14:paraId="5D416DB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2F40DF1E">
            <w:pPr>
              <w:pStyle w:val="45"/>
              <w:bidi w:val="0"/>
              <w:jc w:val="center"/>
              <w:rPr>
                <w:rFonts w:hint="default"/>
                <w:b w:val="0"/>
                <w:bCs/>
                <w:color w:val="auto"/>
                <w:highlight w:val="none"/>
              </w:rPr>
            </w:pPr>
            <w:r>
              <w:rPr>
                <w:rFonts w:hint="default"/>
                <w:b w:val="0"/>
                <w:bCs/>
                <w:color w:val="auto"/>
                <w:highlight w:val="none"/>
              </w:rPr>
              <w:t>67.棕头鸦雀</w:t>
            </w:r>
          </w:p>
          <w:p w14:paraId="45E45EAA">
            <w:pPr>
              <w:pStyle w:val="45"/>
              <w:bidi w:val="0"/>
              <w:jc w:val="center"/>
              <w:rPr>
                <w:rFonts w:hint="default"/>
                <w:b w:val="0"/>
                <w:bCs/>
                <w:color w:val="auto"/>
                <w:highlight w:val="none"/>
              </w:rPr>
            </w:pPr>
            <w:r>
              <w:rPr>
                <w:rFonts w:hint="default"/>
                <w:b w:val="0"/>
                <w:bCs/>
                <w:i/>
                <w:iCs/>
                <w:color w:val="auto"/>
                <w:highlight w:val="none"/>
              </w:rPr>
              <w:t>Paradoxornis webbianus</w:t>
            </w:r>
          </w:p>
        </w:tc>
        <w:tc>
          <w:tcPr>
            <w:tcW w:w="5076" w:type="dxa"/>
            <w:vMerge w:val="continue"/>
            <w:tcBorders>
              <w:tl2br w:val="nil"/>
              <w:tr2bl w:val="nil"/>
            </w:tcBorders>
            <w:noWrap w:val="0"/>
            <w:vAlign w:val="center"/>
          </w:tcPr>
          <w:p w14:paraId="2D91DE17">
            <w:pPr>
              <w:pStyle w:val="45"/>
              <w:bidi w:val="0"/>
              <w:jc w:val="center"/>
              <w:rPr>
                <w:rFonts w:hint="default"/>
                <w:b w:val="0"/>
                <w:bCs/>
                <w:color w:val="auto"/>
                <w:highlight w:val="none"/>
              </w:rPr>
            </w:pPr>
          </w:p>
        </w:tc>
      </w:tr>
      <w:tr w14:paraId="1AF0A68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1AC18CD0">
            <w:pPr>
              <w:pStyle w:val="45"/>
              <w:bidi w:val="0"/>
              <w:jc w:val="center"/>
              <w:rPr>
                <w:rFonts w:hint="default"/>
                <w:b w:val="0"/>
                <w:bCs/>
                <w:color w:val="auto"/>
                <w:highlight w:val="none"/>
              </w:rPr>
            </w:pPr>
            <w:r>
              <w:rPr>
                <w:rFonts w:hint="default"/>
                <w:b w:val="0"/>
                <w:bCs/>
                <w:color w:val="auto"/>
                <w:highlight w:val="none"/>
              </w:rPr>
              <w:t>68.暗绿绣眼鸟</w:t>
            </w:r>
          </w:p>
          <w:p w14:paraId="30951F6F">
            <w:pPr>
              <w:pStyle w:val="45"/>
              <w:bidi w:val="0"/>
              <w:jc w:val="center"/>
              <w:rPr>
                <w:rFonts w:hint="default"/>
                <w:b w:val="0"/>
                <w:bCs/>
                <w:color w:val="auto"/>
                <w:highlight w:val="none"/>
              </w:rPr>
            </w:pPr>
            <w:r>
              <w:rPr>
                <w:rFonts w:hint="default"/>
                <w:b w:val="0"/>
                <w:bCs/>
                <w:i/>
                <w:iCs/>
                <w:color w:val="auto"/>
                <w:highlight w:val="none"/>
              </w:rPr>
              <w:t>Zosteropsjaponica</w:t>
            </w:r>
          </w:p>
        </w:tc>
        <w:tc>
          <w:tcPr>
            <w:tcW w:w="5076" w:type="dxa"/>
            <w:vMerge w:val="continue"/>
            <w:tcBorders>
              <w:tl2br w:val="nil"/>
              <w:tr2bl w:val="nil"/>
            </w:tcBorders>
            <w:noWrap w:val="0"/>
            <w:vAlign w:val="center"/>
          </w:tcPr>
          <w:p w14:paraId="3B80696B">
            <w:pPr>
              <w:pStyle w:val="45"/>
              <w:bidi w:val="0"/>
              <w:jc w:val="center"/>
              <w:rPr>
                <w:rFonts w:hint="default"/>
                <w:b w:val="0"/>
                <w:bCs/>
                <w:color w:val="auto"/>
                <w:highlight w:val="none"/>
              </w:rPr>
            </w:pPr>
          </w:p>
        </w:tc>
      </w:tr>
      <w:tr w14:paraId="2F3F32B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4736AC54">
            <w:pPr>
              <w:pStyle w:val="45"/>
              <w:bidi w:val="0"/>
              <w:jc w:val="center"/>
              <w:rPr>
                <w:rFonts w:hint="default"/>
                <w:b w:val="0"/>
                <w:bCs/>
                <w:color w:val="auto"/>
                <w:highlight w:val="none"/>
              </w:rPr>
            </w:pPr>
            <w:r>
              <w:rPr>
                <w:rFonts w:hint="default"/>
                <w:b w:val="0"/>
                <w:bCs/>
                <w:color w:val="auto"/>
                <w:highlight w:val="none"/>
              </w:rPr>
              <w:t>69.红头长尾山雀</w:t>
            </w:r>
          </w:p>
          <w:p w14:paraId="23789464">
            <w:pPr>
              <w:pStyle w:val="45"/>
              <w:bidi w:val="0"/>
              <w:jc w:val="center"/>
              <w:rPr>
                <w:rFonts w:hint="default"/>
                <w:b w:val="0"/>
                <w:bCs/>
                <w:color w:val="auto"/>
                <w:highlight w:val="none"/>
              </w:rPr>
            </w:pPr>
            <w:r>
              <w:rPr>
                <w:rFonts w:hint="default"/>
                <w:b w:val="0"/>
                <w:bCs/>
                <w:i/>
                <w:iCs/>
                <w:color w:val="auto"/>
                <w:highlight w:val="none"/>
              </w:rPr>
              <w:t>Aegithalos concinnus</w:t>
            </w:r>
          </w:p>
        </w:tc>
        <w:tc>
          <w:tcPr>
            <w:tcW w:w="5076" w:type="dxa"/>
            <w:vMerge w:val="continue"/>
            <w:tcBorders>
              <w:tl2br w:val="nil"/>
              <w:tr2bl w:val="nil"/>
            </w:tcBorders>
            <w:noWrap w:val="0"/>
            <w:vAlign w:val="center"/>
          </w:tcPr>
          <w:p w14:paraId="24283280">
            <w:pPr>
              <w:pStyle w:val="45"/>
              <w:bidi w:val="0"/>
              <w:jc w:val="center"/>
              <w:rPr>
                <w:rFonts w:hint="default"/>
                <w:b w:val="0"/>
                <w:bCs/>
                <w:color w:val="auto"/>
                <w:highlight w:val="none"/>
              </w:rPr>
            </w:pPr>
          </w:p>
        </w:tc>
      </w:tr>
      <w:tr w14:paraId="5700000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3028AB05">
            <w:pPr>
              <w:pStyle w:val="45"/>
              <w:bidi w:val="0"/>
              <w:jc w:val="center"/>
              <w:rPr>
                <w:rFonts w:hint="default"/>
                <w:b w:val="0"/>
                <w:bCs/>
                <w:color w:val="auto"/>
                <w:highlight w:val="none"/>
              </w:rPr>
            </w:pPr>
            <w:r>
              <w:rPr>
                <w:rFonts w:hint="default"/>
                <w:b w:val="0"/>
                <w:bCs/>
                <w:color w:val="auto"/>
                <w:highlight w:val="none"/>
              </w:rPr>
              <w:t>70.大山雀</w:t>
            </w:r>
          </w:p>
          <w:p w14:paraId="2E03C5F9">
            <w:pPr>
              <w:pStyle w:val="45"/>
              <w:bidi w:val="0"/>
              <w:jc w:val="center"/>
              <w:rPr>
                <w:rFonts w:hint="default"/>
                <w:b w:val="0"/>
                <w:bCs/>
                <w:color w:val="auto"/>
                <w:highlight w:val="none"/>
              </w:rPr>
            </w:pPr>
            <w:r>
              <w:rPr>
                <w:rFonts w:hint="default"/>
                <w:b w:val="0"/>
                <w:bCs/>
                <w:i/>
                <w:iCs/>
                <w:color w:val="auto"/>
                <w:highlight w:val="none"/>
              </w:rPr>
              <w:t>Parus major</w:t>
            </w:r>
          </w:p>
        </w:tc>
        <w:tc>
          <w:tcPr>
            <w:tcW w:w="5076" w:type="dxa"/>
            <w:vMerge w:val="continue"/>
            <w:tcBorders>
              <w:tl2br w:val="nil"/>
              <w:tr2bl w:val="nil"/>
            </w:tcBorders>
            <w:noWrap w:val="0"/>
            <w:vAlign w:val="center"/>
          </w:tcPr>
          <w:p w14:paraId="6DE1B904">
            <w:pPr>
              <w:pStyle w:val="45"/>
              <w:bidi w:val="0"/>
              <w:jc w:val="center"/>
              <w:rPr>
                <w:rFonts w:hint="default"/>
                <w:b w:val="0"/>
                <w:bCs/>
                <w:color w:val="auto"/>
                <w:highlight w:val="none"/>
              </w:rPr>
            </w:pPr>
          </w:p>
        </w:tc>
      </w:tr>
      <w:tr w14:paraId="4E5F165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709ADF81">
            <w:pPr>
              <w:pStyle w:val="45"/>
              <w:bidi w:val="0"/>
              <w:jc w:val="center"/>
              <w:rPr>
                <w:rFonts w:hint="default"/>
                <w:b w:val="0"/>
                <w:bCs/>
                <w:color w:val="auto"/>
                <w:highlight w:val="none"/>
              </w:rPr>
            </w:pPr>
            <w:r>
              <w:rPr>
                <w:rFonts w:hint="default"/>
                <w:b w:val="0"/>
                <w:bCs/>
                <w:color w:val="auto"/>
                <w:highlight w:val="none"/>
              </w:rPr>
              <w:t>71.黄腹山雀</w:t>
            </w:r>
          </w:p>
          <w:p w14:paraId="76C99724">
            <w:pPr>
              <w:pStyle w:val="45"/>
              <w:bidi w:val="0"/>
              <w:jc w:val="center"/>
              <w:rPr>
                <w:rFonts w:hint="default"/>
                <w:b w:val="0"/>
                <w:bCs/>
                <w:color w:val="auto"/>
                <w:highlight w:val="none"/>
              </w:rPr>
            </w:pPr>
            <w:r>
              <w:rPr>
                <w:rFonts w:hint="default"/>
                <w:b w:val="0"/>
                <w:bCs/>
                <w:i/>
                <w:iCs/>
                <w:color w:val="auto"/>
                <w:highlight w:val="none"/>
              </w:rPr>
              <w:t>parus venustulus</w:t>
            </w:r>
          </w:p>
        </w:tc>
        <w:tc>
          <w:tcPr>
            <w:tcW w:w="5076" w:type="dxa"/>
            <w:vMerge w:val="continue"/>
            <w:tcBorders>
              <w:tl2br w:val="nil"/>
              <w:tr2bl w:val="nil"/>
            </w:tcBorders>
            <w:noWrap w:val="0"/>
            <w:vAlign w:val="center"/>
          </w:tcPr>
          <w:p w14:paraId="669A9078">
            <w:pPr>
              <w:pStyle w:val="45"/>
              <w:bidi w:val="0"/>
              <w:jc w:val="center"/>
              <w:rPr>
                <w:rFonts w:hint="default"/>
                <w:b w:val="0"/>
                <w:bCs/>
                <w:color w:val="auto"/>
                <w:highlight w:val="none"/>
              </w:rPr>
            </w:pPr>
          </w:p>
        </w:tc>
      </w:tr>
      <w:tr w14:paraId="51D2FD3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43B28784">
            <w:pPr>
              <w:pStyle w:val="45"/>
              <w:bidi w:val="0"/>
              <w:jc w:val="center"/>
              <w:rPr>
                <w:rFonts w:hint="default"/>
                <w:b w:val="0"/>
                <w:bCs/>
                <w:color w:val="auto"/>
                <w:highlight w:val="none"/>
              </w:rPr>
            </w:pPr>
            <w:r>
              <w:rPr>
                <w:rFonts w:hint="default"/>
                <w:b w:val="0"/>
                <w:bCs/>
                <w:color w:val="auto"/>
                <w:highlight w:val="none"/>
              </w:rPr>
              <w:t>72.[树]麻雀</w:t>
            </w:r>
          </w:p>
          <w:p w14:paraId="5B1BAD23">
            <w:pPr>
              <w:pStyle w:val="45"/>
              <w:bidi w:val="0"/>
              <w:jc w:val="center"/>
              <w:rPr>
                <w:rFonts w:hint="default"/>
                <w:b w:val="0"/>
                <w:bCs/>
                <w:color w:val="auto"/>
                <w:highlight w:val="none"/>
              </w:rPr>
            </w:pPr>
            <w:r>
              <w:rPr>
                <w:rFonts w:hint="default"/>
                <w:b w:val="0"/>
                <w:bCs/>
                <w:i/>
                <w:iCs/>
                <w:color w:val="auto"/>
                <w:highlight w:val="none"/>
              </w:rPr>
              <w:t>Passer montanus</w:t>
            </w:r>
          </w:p>
        </w:tc>
        <w:tc>
          <w:tcPr>
            <w:tcW w:w="5076" w:type="dxa"/>
            <w:vMerge w:val="restart"/>
            <w:tcBorders>
              <w:tl2br w:val="nil"/>
              <w:tr2bl w:val="nil"/>
            </w:tcBorders>
            <w:noWrap w:val="0"/>
            <w:vAlign w:val="center"/>
          </w:tcPr>
          <w:p w14:paraId="0ABB1D77">
            <w:pPr>
              <w:pStyle w:val="45"/>
              <w:bidi w:val="0"/>
              <w:jc w:val="center"/>
              <w:rPr>
                <w:rFonts w:hint="default"/>
                <w:b w:val="0"/>
                <w:bCs/>
                <w:color w:val="auto"/>
                <w:highlight w:val="none"/>
              </w:rPr>
            </w:pPr>
            <w:r>
              <w:rPr>
                <w:rFonts w:hint="default"/>
                <w:b w:val="0"/>
                <w:bCs/>
                <w:color w:val="auto"/>
                <w:highlight w:val="none"/>
              </w:rPr>
              <w:t>人类伴生物种或多活动于居民区附近，工程对其影响很小。</w:t>
            </w:r>
          </w:p>
        </w:tc>
      </w:tr>
      <w:tr w14:paraId="7F84F93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6CAA58B4">
            <w:pPr>
              <w:pStyle w:val="45"/>
              <w:bidi w:val="0"/>
              <w:jc w:val="center"/>
              <w:rPr>
                <w:rFonts w:hint="default"/>
                <w:b w:val="0"/>
                <w:bCs/>
                <w:color w:val="auto"/>
                <w:highlight w:val="none"/>
              </w:rPr>
            </w:pPr>
            <w:r>
              <w:rPr>
                <w:rFonts w:hint="default"/>
                <w:b w:val="0"/>
                <w:bCs/>
                <w:color w:val="auto"/>
                <w:highlight w:val="none"/>
              </w:rPr>
              <w:t>73.金翅雀</w:t>
            </w:r>
          </w:p>
          <w:p w14:paraId="1B9141EA">
            <w:pPr>
              <w:pStyle w:val="45"/>
              <w:bidi w:val="0"/>
              <w:jc w:val="center"/>
              <w:rPr>
                <w:rFonts w:hint="default"/>
                <w:b w:val="0"/>
                <w:bCs/>
                <w:color w:val="auto"/>
                <w:highlight w:val="none"/>
              </w:rPr>
            </w:pPr>
            <w:r>
              <w:rPr>
                <w:rFonts w:hint="default"/>
                <w:b w:val="0"/>
                <w:bCs/>
                <w:i/>
                <w:iCs/>
                <w:color w:val="auto"/>
                <w:highlight w:val="none"/>
              </w:rPr>
              <w:t>Carduelis sinica</w:t>
            </w:r>
          </w:p>
        </w:tc>
        <w:tc>
          <w:tcPr>
            <w:tcW w:w="5076" w:type="dxa"/>
            <w:vMerge w:val="continue"/>
            <w:tcBorders>
              <w:tl2br w:val="nil"/>
              <w:tr2bl w:val="nil"/>
            </w:tcBorders>
            <w:noWrap w:val="0"/>
            <w:vAlign w:val="center"/>
          </w:tcPr>
          <w:p w14:paraId="44AE1D85">
            <w:pPr>
              <w:pStyle w:val="45"/>
              <w:bidi w:val="0"/>
              <w:jc w:val="center"/>
              <w:rPr>
                <w:rFonts w:hint="default"/>
                <w:b w:val="0"/>
                <w:bCs/>
                <w:color w:val="auto"/>
                <w:highlight w:val="none"/>
              </w:rPr>
            </w:pPr>
          </w:p>
        </w:tc>
      </w:tr>
      <w:tr w14:paraId="23663AA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5767CBE3">
            <w:pPr>
              <w:pStyle w:val="45"/>
              <w:bidi w:val="0"/>
              <w:jc w:val="center"/>
              <w:rPr>
                <w:rFonts w:hint="default"/>
                <w:b w:val="0"/>
                <w:bCs/>
                <w:color w:val="auto"/>
                <w:highlight w:val="none"/>
              </w:rPr>
            </w:pPr>
            <w:r>
              <w:rPr>
                <w:rFonts w:hint="default"/>
                <w:b w:val="0"/>
                <w:bCs/>
                <w:color w:val="auto"/>
                <w:highlight w:val="none"/>
              </w:rPr>
              <w:t>74.黑尾蜡嘴雀</w:t>
            </w:r>
          </w:p>
          <w:p w14:paraId="293EB45A">
            <w:pPr>
              <w:pStyle w:val="45"/>
              <w:bidi w:val="0"/>
              <w:jc w:val="center"/>
              <w:rPr>
                <w:rFonts w:hint="default"/>
                <w:b w:val="0"/>
                <w:bCs/>
                <w:color w:val="auto"/>
                <w:highlight w:val="none"/>
              </w:rPr>
            </w:pPr>
            <w:r>
              <w:rPr>
                <w:rFonts w:hint="default"/>
                <w:b w:val="0"/>
                <w:bCs/>
                <w:i/>
                <w:iCs/>
                <w:color w:val="auto"/>
                <w:highlight w:val="none"/>
              </w:rPr>
              <w:t>Eophona migratoria</w:t>
            </w:r>
          </w:p>
        </w:tc>
        <w:tc>
          <w:tcPr>
            <w:tcW w:w="5076" w:type="dxa"/>
            <w:vMerge w:val="continue"/>
            <w:tcBorders>
              <w:tl2br w:val="nil"/>
              <w:tr2bl w:val="nil"/>
            </w:tcBorders>
            <w:noWrap w:val="0"/>
            <w:vAlign w:val="center"/>
          </w:tcPr>
          <w:p w14:paraId="5FA88ED2">
            <w:pPr>
              <w:pStyle w:val="45"/>
              <w:bidi w:val="0"/>
              <w:jc w:val="center"/>
              <w:rPr>
                <w:rFonts w:hint="default"/>
                <w:b w:val="0"/>
                <w:bCs/>
                <w:color w:val="auto"/>
                <w:highlight w:val="none"/>
              </w:rPr>
            </w:pPr>
          </w:p>
        </w:tc>
      </w:tr>
      <w:tr w14:paraId="45A1B5A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7AE9E36E">
            <w:pPr>
              <w:pStyle w:val="45"/>
              <w:bidi w:val="0"/>
              <w:jc w:val="center"/>
              <w:rPr>
                <w:rFonts w:hint="default"/>
                <w:b w:val="0"/>
                <w:bCs/>
                <w:color w:val="auto"/>
                <w:highlight w:val="none"/>
              </w:rPr>
            </w:pPr>
            <w:r>
              <w:rPr>
                <w:rFonts w:hint="default"/>
                <w:b w:val="0"/>
                <w:bCs/>
                <w:color w:val="auto"/>
                <w:highlight w:val="none"/>
              </w:rPr>
              <w:t>75.东北刺猬</w:t>
            </w:r>
          </w:p>
          <w:p w14:paraId="53084B2E">
            <w:pPr>
              <w:pStyle w:val="45"/>
              <w:bidi w:val="0"/>
              <w:jc w:val="center"/>
              <w:rPr>
                <w:rFonts w:hint="default"/>
                <w:b w:val="0"/>
                <w:bCs/>
                <w:color w:val="auto"/>
                <w:highlight w:val="none"/>
              </w:rPr>
            </w:pPr>
            <w:r>
              <w:rPr>
                <w:rFonts w:hint="default"/>
                <w:b w:val="0"/>
                <w:bCs/>
                <w:i/>
                <w:iCs/>
                <w:color w:val="auto"/>
                <w:highlight w:val="none"/>
              </w:rPr>
              <w:t>Erinaceus amurensis</w:t>
            </w:r>
          </w:p>
        </w:tc>
        <w:tc>
          <w:tcPr>
            <w:tcW w:w="5076" w:type="dxa"/>
            <w:tcBorders>
              <w:tl2br w:val="nil"/>
              <w:tr2bl w:val="nil"/>
            </w:tcBorders>
            <w:noWrap w:val="0"/>
            <w:vAlign w:val="center"/>
          </w:tcPr>
          <w:p w14:paraId="14A10007">
            <w:pPr>
              <w:pStyle w:val="45"/>
              <w:bidi w:val="0"/>
              <w:jc w:val="center"/>
              <w:rPr>
                <w:rFonts w:hint="default"/>
                <w:b w:val="0"/>
                <w:bCs/>
                <w:color w:val="auto"/>
                <w:highlight w:val="none"/>
              </w:rPr>
            </w:pPr>
            <w:r>
              <w:rPr>
                <w:rFonts w:hint="default"/>
                <w:b w:val="0"/>
                <w:bCs/>
                <w:color w:val="auto"/>
                <w:highlight w:val="none"/>
              </w:rPr>
              <w:t>进场道路建设和材料运输车辆对其生境的占用和破坏，影响程度较小，影响时段较短。</w:t>
            </w:r>
          </w:p>
        </w:tc>
      </w:tr>
      <w:tr w14:paraId="495F318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5D7022B4">
            <w:pPr>
              <w:pStyle w:val="45"/>
              <w:bidi w:val="0"/>
              <w:jc w:val="center"/>
              <w:rPr>
                <w:rFonts w:hint="default"/>
                <w:b w:val="0"/>
                <w:bCs/>
                <w:color w:val="auto"/>
                <w:highlight w:val="none"/>
              </w:rPr>
            </w:pPr>
            <w:r>
              <w:rPr>
                <w:rFonts w:hint="default"/>
                <w:b w:val="0"/>
                <w:bCs/>
                <w:color w:val="auto"/>
                <w:highlight w:val="none"/>
              </w:rPr>
              <w:t>76.隐纹花松鼠</w:t>
            </w:r>
          </w:p>
          <w:p w14:paraId="2E542DEA">
            <w:pPr>
              <w:pStyle w:val="45"/>
              <w:bidi w:val="0"/>
              <w:jc w:val="center"/>
              <w:rPr>
                <w:rFonts w:hint="default"/>
                <w:b w:val="0"/>
                <w:bCs/>
                <w:color w:val="auto"/>
                <w:highlight w:val="none"/>
              </w:rPr>
            </w:pPr>
            <w:r>
              <w:rPr>
                <w:rFonts w:hint="default"/>
                <w:b w:val="0"/>
                <w:bCs/>
                <w:i/>
                <w:iCs/>
                <w:color w:val="auto"/>
                <w:highlight w:val="none"/>
              </w:rPr>
              <w:t>Tamiops swinhoei</w:t>
            </w:r>
          </w:p>
        </w:tc>
        <w:tc>
          <w:tcPr>
            <w:tcW w:w="5076" w:type="dxa"/>
            <w:vMerge w:val="restart"/>
            <w:tcBorders>
              <w:tl2br w:val="nil"/>
              <w:tr2bl w:val="nil"/>
            </w:tcBorders>
            <w:noWrap w:val="0"/>
            <w:vAlign w:val="center"/>
          </w:tcPr>
          <w:p w14:paraId="265A717D">
            <w:pPr>
              <w:pStyle w:val="45"/>
              <w:bidi w:val="0"/>
              <w:jc w:val="center"/>
              <w:rPr>
                <w:rFonts w:hint="default"/>
                <w:b w:val="0"/>
                <w:bCs/>
                <w:color w:val="auto"/>
                <w:highlight w:val="none"/>
              </w:rPr>
            </w:pPr>
            <w:r>
              <w:rPr>
                <w:rFonts w:hint="default"/>
                <w:b w:val="0"/>
                <w:bCs/>
                <w:color w:val="auto"/>
                <w:highlight w:val="none"/>
              </w:rPr>
              <w:t>生境破坏和占用、噪声影响</w:t>
            </w:r>
          </w:p>
        </w:tc>
      </w:tr>
      <w:tr w14:paraId="425E777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232228F7">
            <w:pPr>
              <w:pStyle w:val="45"/>
              <w:bidi w:val="0"/>
              <w:jc w:val="center"/>
              <w:rPr>
                <w:rFonts w:hint="default"/>
                <w:b w:val="0"/>
                <w:bCs/>
                <w:color w:val="auto"/>
                <w:highlight w:val="none"/>
              </w:rPr>
            </w:pPr>
            <w:r>
              <w:rPr>
                <w:rFonts w:hint="default"/>
                <w:b w:val="0"/>
                <w:bCs/>
                <w:color w:val="auto"/>
                <w:highlight w:val="none"/>
              </w:rPr>
              <w:t>77.赤腹松鼠</w:t>
            </w:r>
          </w:p>
          <w:p w14:paraId="41712947">
            <w:pPr>
              <w:pStyle w:val="45"/>
              <w:bidi w:val="0"/>
              <w:jc w:val="center"/>
              <w:rPr>
                <w:rFonts w:hint="default"/>
                <w:b w:val="0"/>
                <w:bCs/>
                <w:color w:val="auto"/>
                <w:highlight w:val="none"/>
              </w:rPr>
            </w:pPr>
            <w:r>
              <w:rPr>
                <w:rFonts w:hint="default"/>
                <w:b w:val="0"/>
                <w:bCs/>
                <w:i/>
                <w:iCs/>
                <w:color w:val="auto"/>
                <w:highlight w:val="none"/>
              </w:rPr>
              <w:t>Callosciurus ergthraeus</w:t>
            </w:r>
          </w:p>
        </w:tc>
        <w:tc>
          <w:tcPr>
            <w:tcW w:w="5076" w:type="dxa"/>
            <w:vMerge w:val="continue"/>
            <w:tcBorders>
              <w:tl2br w:val="nil"/>
              <w:tr2bl w:val="nil"/>
            </w:tcBorders>
            <w:noWrap w:val="0"/>
            <w:vAlign w:val="center"/>
          </w:tcPr>
          <w:p w14:paraId="2D850714">
            <w:pPr>
              <w:pStyle w:val="45"/>
              <w:bidi w:val="0"/>
              <w:jc w:val="center"/>
              <w:rPr>
                <w:rFonts w:hint="default"/>
                <w:b w:val="0"/>
                <w:bCs/>
                <w:color w:val="auto"/>
                <w:highlight w:val="none"/>
              </w:rPr>
            </w:pPr>
          </w:p>
        </w:tc>
      </w:tr>
      <w:tr w14:paraId="4AF6CFD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01D60954">
            <w:pPr>
              <w:pStyle w:val="45"/>
              <w:bidi w:val="0"/>
              <w:jc w:val="center"/>
              <w:rPr>
                <w:rFonts w:hint="default"/>
                <w:b w:val="0"/>
                <w:bCs/>
                <w:color w:val="auto"/>
                <w:highlight w:val="none"/>
              </w:rPr>
            </w:pPr>
            <w:r>
              <w:rPr>
                <w:rFonts w:hint="default"/>
                <w:b w:val="0"/>
                <w:bCs/>
                <w:color w:val="auto"/>
                <w:highlight w:val="none"/>
              </w:rPr>
              <w:t>78.马来豪猪</w:t>
            </w:r>
          </w:p>
          <w:p w14:paraId="5DC9E58C">
            <w:pPr>
              <w:pStyle w:val="45"/>
              <w:bidi w:val="0"/>
              <w:jc w:val="center"/>
              <w:rPr>
                <w:rFonts w:hint="default"/>
                <w:b w:val="0"/>
                <w:bCs/>
                <w:color w:val="auto"/>
                <w:highlight w:val="none"/>
              </w:rPr>
            </w:pPr>
            <w:r>
              <w:rPr>
                <w:rFonts w:hint="default"/>
                <w:b w:val="0"/>
                <w:bCs/>
                <w:i/>
                <w:iCs/>
                <w:color w:val="auto"/>
                <w:highlight w:val="none"/>
              </w:rPr>
              <w:t>Hystrix brachyura</w:t>
            </w:r>
          </w:p>
        </w:tc>
        <w:tc>
          <w:tcPr>
            <w:tcW w:w="5076" w:type="dxa"/>
            <w:tcBorders>
              <w:tl2br w:val="nil"/>
              <w:tr2bl w:val="nil"/>
            </w:tcBorders>
            <w:noWrap w:val="0"/>
            <w:vAlign w:val="center"/>
          </w:tcPr>
          <w:p w14:paraId="566212CE">
            <w:pPr>
              <w:pStyle w:val="45"/>
              <w:bidi w:val="0"/>
              <w:jc w:val="center"/>
              <w:rPr>
                <w:rFonts w:hint="default"/>
                <w:b w:val="0"/>
                <w:bCs/>
                <w:color w:val="auto"/>
                <w:highlight w:val="none"/>
              </w:rPr>
            </w:pPr>
            <w:r>
              <w:rPr>
                <w:rFonts w:hint="default"/>
                <w:b w:val="0"/>
                <w:bCs/>
                <w:color w:val="auto"/>
                <w:highlight w:val="none"/>
              </w:rPr>
              <w:t>工程开挖造成生境破坏，因其具有食用价值而遭到捕杀。</w:t>
            </w:r>
          </w:p>
        </w:tc>
      </w:tr>
      <w:tr w14:paraId="031C003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50179651">
            <w:pPr>
              <w:pStyle w:val="45"/>
              <w:bidi w:val="0"/>
              <w:jc w:val="center"/>
              <w:rPr>
                <w:rFonts w:hint="default"/>
                <w:b w:val="0"/>
                <w:bCs/>
                <w:color w:val="auto"/>
                <w:highlight w:val="none"/>
              </w:rPr>
            </w:pPr>
            <w:r>
              <w:rPr>
                <w:rFonts w:hint="default"/>
                <w:b w:val="0"/>
                <w:bCs/>
                <w:color w:val="auto"/>
                <w:highlight w:val="none"/>
              </w:rPr>
              <w:t>79.普通伏翼</w:t>
            </w:r>
          </w:p>
          <w:p w14:paraId="3A00E681">
            <w:pPr>
              <w:pStyle w:val="45"/>
              <w:bidi w:val="0"/>
              <w:jc w:val="center"/>
              <w:rPr>
                <w:rFonts w:hint="default"/>
                <w:b w:val="0"/>
                <w:bCs/>
                <w:color w:val="auto"/>
                <w:highlight w:val="none"/>
              </w:rPr>
            </w:pPr>
            <w:r>
              <w:rPr>
                <w:rFonts w:hint="default"/>
                <w:b w:val="0"/>
                <w:bCs/>
                <w:i/>
                <w:iCs/>
                <w:color w:val="auto"/>
                <w:highlight w:val="none"/>
              </w:rPr>
              <w:t>Pipistrellus pipistrellus</w:t>
            </w:r>
          </w:p>
        </w:tc>
        <w:tc>
          <w:tcPr>
            <w:tcW w:w="5076" w:type="dxa"/>
            <w:tcBorders>
              <w:tl2br w:val="nil"/>
              <w:tr2bl w:val="nil"/>
            </w:tcBorders>
            <w:noWrap w:val="0"/>
            <w:vAlign w:val="center"/>
          </w:tcPr>
          <w:p w14:paraId="1136D070">
            <w:pPr>
              <w:pStyle w:val="45"/>
              <w:bidi w:val="0"/>
              <w:jc w:val="center"/>
              <w:rPr>
                <w:rFonts w:hint="default"/>
                <w:b w:val="0"/>
                <w:bCs/>
                <w:color w:val="auto"/>
                <w:highlight w:val="none"/>
              </w:rPr>
            </w:pPr>
            <w:r>
              <w:rPr>
                <w:rFonts w:hint="default"/>
                <w:b w:val="0"/>
                <w:bCs/>
                <w:color w:val="auto"/>
                <w:highlight w:val="none"/>
              </w:rPr>
              <w:t>活动于评价区居民点附近，工程对其影响很小。</w:t>
            </w:r>
          </w:p>
        </w:tc>
      </w:tr>
      <w:tr w14:paraId="3460A1E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068EDC80">
            <w:pPr>
              <w:pStyle w:val="45"/>
              <w:bidi w:val="0"/>
              <w:jc w:val="center"/>
              <w:rPr>
                <w:rFonts w:hint="default"/>
                <w:b w:val="0"/>
                <w:bCs/>
                <w:color w:val="auto"/>
                <w:highlight w:val="none"/>
              </w:rPr>
            </w:pPr>
            <w:r>
              <w:rPr>
                <w:rFonts w:hint="default"/>
                <w:b w:val="0"/>
                <w:bCs/>
                <w:color w:val="auto"/>
                <w:highlight w:val="none"/>
              </w:rPr>
              <w:t>80.黄鼬</w:t>
            </w:r>
          </w:p>
          <w:p w14:paraId="0170FC1B">
            <w:pPr>
              <w:pStyle w:val="45"/>
              <w:bidi w:val="0"/>
              <w:jc w:val="center"/>
              <w:rPr>
                <w:rFonts w:hint="default"/>
                <w:b w:val="0"/>
                <w:bCs/>
                <w:color w:val="auto"/>
                <w:highlight w:val="none"/>
              </w:rPr>
            </w:pPr>
            <w:r>
              <w:rPr>
                <w:rFonts w:hint="default"/>
                <w:b w:val="0"/>
                <w:bCs/>
                <w:i/>
                <w:iCs/>
                <w:color w:val="auto"/>
                <w:highlight w:val="none"/>
              </w:rPr>
              <w:t>Mustela sibirica</w:t>
            </w:r>
          </w:p>
        </w:tc>
        <w:tc>
          <w:tcPr>
            <w:tcW w:w="5076" w:type="dxa"/>
            <w:vMerge w:val="restart"/>
            <w:tcBorders>
              <w:tl2br w:val="nil"/>
              <w:tr2bl w:val="nil"/>
            </w:tcBorders>
            <w:noWrap w:val="0"/>
            <w:vAlign w:val="center"/>
          </w:tcPr>
          <w:p w14:paraId="3BFE0FAC">
            <w:pPr>
              <w:pStyle w:val="45"/>
              <w:bidi w:val="0"/>
              <w:jc w:val="center"/>
              <w:rPr>
                <w:rFonts w:hint="default"/>
                <w:b w:val="0"/>
                <w:bCs/>
                <w:color w:val="auto"/>
                <w:highlight w:val="none"/>
              </w:rPr>
            </w:pPr>
            <w:r>
              <w:rPr>
                <w:rFonts w:hint="default"/>
                <w:b w:val="0"/>
                <w:bCs/>
                <w:color w:val="auto"/>
                <w:highlight w:val="none"/>
              </w:rPr>
              <w:t>生境占用、施工噪声影响以及部分种类因具有经济价值和食用价值而遭到施工人员的捕杀，如獾类、野猪、小 麂和华南兔。</w:t>
            </w:r>
          </w:p>
        </w:tc>
      </w:tr>
      <w:tr w14:paraId="18023BA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3BAC9B2A">
            <w:pPr>
              <w:pStyle w:val="45"/>
              <w:bidi w:val="0"/>
              <w:jc w:val="center"/>
              <w:rPr>
                <w:rFonts w:hint="default"/>
                <w:b w:val="0"/>
                <w:bCs/>
                <w:color w:val="auto"/>
                <w:highlight w:val="none"/>
              </w:rPr>
            </w:pPr>
            <w:r>
              <w:rPr>
                <w:rFonts w:hint="default"/>
                <w:b w:val="0"/>
                <w:bCs/>
                <w:color w:val="auto"/>
                <w:highlight w:val="none"/>
              </w:rPr>
              <w:t>81.猪獾</w:t>
            </w:r>
          </w:p>
          <w:p w14:paraId="3543F07C">
            <w:pPr>
              <w:pStyle w:val="45"/>
              <w:bidi w:val="0"/>
              <w:jc w:val="center"/>
              <w:rPr>
                <w:rFonts w:hint="default"/>
                <w:b w:val="0"/>
                <w:bCs/>
                <w:color w:val="auto"/>
                <w:highlight w:val="none"/>
              </w:rPr>
            </w:pPr>
            <w:r>
              <w:rPr>
                <w:rFonts w:hint="default"/>
                <w:b w:val="0"/>
                <w:bCs/>
                <w:i/>
                <w:iCs/>
                <w:color w:val="auto"/>
                <w:highlight w:val="none"/>
              </w:rPr>
              <w:t>Arotonyx collaris</w:t>
            </w:r>
          </w:p>
        </w:tc>
        <w:tc>
          <w:tcPr>
            <w:tcW w:w="5076" w:type="dxa"/>
            <w:vMerge w:val="continue"/>
            <w:tcBorders>
              <w:tl2br w:val="nil"/>
              <w:tr2bl w:val="nil"/>
            </w:tcBorders>
            <w:noWrap w:val="0"/>
            <w:vAlign w:val="center"/>
          </w:tcPr>
          <w:p w14:paraId="751022A2">
            <w:pPr>
              <w:pStyle w:val="45"/>
              <w:bidi w:val="0"/>
              <w:jc w:val="center"/>
              <w:rPr>
                <w:rFonts w:hint="default"/>
                <w:b w:val="0"/>
                <w:bCs/>
                <w:color w:val="auto"/>
                <w:highlight w:val="none"/>
              </w:rPr>
            </w:pPr>
          </w:p>
        </w:tc>
      </w:tr>
      <w:tr w14:paraId="131C329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00D24D65">
            <w:pPr>
              <w:pStyle w:val="45"/>
              <w:bidi w:val="0"/>
              <w:jc w:val="center"/>
              <w:rPr>
                <w:rFonts w:hint="default"/>
                <w:b w:val="0"/>
                <w:bCs/>
                <w:color w:val="auto"/>
                <w:highlight w:val="none"/>
              </w:rPr>
            </w:pPr>
            <w:r>
              <w:rPr>
                <w:rFonts w:hint="default"/>
                <w:b w:val="0"/>
                <w:bCs/>
                <w:color w:val="auto"/>
                <w:highlight w:val="none"/>
              </w:rPr>
              <w:t>82.亚洲狗獾</w:t>
            </w:r>
          </w:p>
          <w:p w14:paraId="58C82962">
            <w:pPr>
              <w:pStyle w:val="45"/>
              <w:bidi w:val="0"/>
              <w:jc w:val="center"/>
              <w:rPr>
                <w:rFonts w:hint="default"/>
                <w:b w:val="0"/>
                <w:bCs/>
                <w:color w:val="auto"/>
                <w:highlight w:val="none"/>
              </w:rPr>
            </w:pPr>
            <w:r>
              <w:rPr>
                <w:rFonts w:hint="default"/>
                <w:b w:val="0"/>
                <w:bCs/>
                <w:i/>
                <w:iCs/>
                <w:color w:val="auto"/>
                <w:highlight w:val="none"/>
              </w:rPr>
              <w:t>Meles leucurus</w:t>
            </w:r>
          </w:p>
        </w:tc>
        <w:tc>
          <w:tcPr>
            <w:tcW w:w="5076" w:type="dxa"/>
            <w:vMerge w:val="continue"/>
            <w:tcBorders>
              <w:tl2br w:val="nil"/>
              <w:tr2bl w:val="nil"/>
            </w:tcBorders>
            <w:noWrap w:val="0"/>
            <w:vAlign w:val="center"/>
          </w:tcPr>
          <w:p w14:paraId="22615834">
            <w:pPr>
              <w:pStyle w:val="45"/>
              <w:bidi w:val="0"/>
              <w:jc w:val="center"/>
              <w:rPr>
                <w:rFonts w:hint="default"/>
                <w:b w:val="0"/>
                <w:bCs/>
                <w:color w:val="auto"/>
                <w:highlight w:val="none"/>
              </w:rPr>
            </w:pPr>
          </w:p>
        </w:tc>
      </w:tr>
      <w:tr w14:paraId="1751A4F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4851A724">
            <w:pPr>
              <w:pStyle w:val="45"/>
              <w:bidi w:val="0"/>
              <w:jc w:val="center"/>
              <w:rPr>
                <w:rFonts w:hint="default"/>
                <w:b w:val="0"/>
                <w:bCs/>
                <w:color w:val="auto"/>
                <w:highlight w:val="none"/>
              </w:rPr>
            </w:pPr>
            <w:r>
              <w:rPr>
                <w:rFonts w:hint="default"/>
                <w:b w:val="0"/>
                <w:bCs/>
                <w:color w:val="auto"/>
                <w:highlight w:val="none"/>
              </w:rPr>
              <w:t>83.鼬獾</w:t>
            </w:r>
          </w:p>
          <w:p w14:paraId="628C0854">
            <w:pPr>
              <w:pStyle w:val="45"/>
              <w:bidi w:val="0"/>
              <w:jc w:val="center"/>
              <w:rPr>
                <w:rFonts w:hint="default"/>
                <w:b w:val="0"/>
                <w:bCs/>
                <w:color w:val="auto"/>
                <w:highlight w:val="none"/>
              </w:rPr>
            </w:pPr>
            <w:r>
              <w:rPr>
                <w:rFonts w:hint="default"/>
                <w:b w:val="0"/>
                <w:bCs/>
                <w:i/>
                <w:iCs/>
                <w:color w:val="auto"/>
                <w:highlight w:val="none"/>
              </w:rPr>
              <w:t>Melogale moschata</w:t>
            </w:r>
          </w:p>
        </w:tc>
        <w:tc>
          <w:tcPr>
            <w:tcW w:w="5076" w:type="dxa"/>
            <w:vMerge w:val="continue"/>
            <w:tcBorders>
              <w:tl2br w:val="nil"/>
              <w:tr2bl w:val="nil"/>
            </w:tcBorders>
            <w:noWrap w:val="0"/>
            <w:vAlign w:val="center"/>
          </w:tcPr>
          <w:p w14:paraId="3E501570">
            <w:pPr>
              <w:pStyle w:val="45"/>
              <w:bidi w:val="0"/>
              <w:jc w:val="center"/>
              <w:rPr>
                <w:rFonts w:hint="default"/>
                <w:b w:val="0"/>
                <w:bCs/>
                <w:color w:val="auto"/>
                <w:highlight w:val="none"/>
              </w:rPr>
            </w:pPr>
          </w:p>
        </w:tc>
      </w:tr>
      <w:tr w14:paraId="3C5C228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1C979804">
            <w:pPr>
              <w:pStyle w:val="45"/>
              <w:bidi w:val="0"/>
              <w:jc w:val="center"/>
              <w:rPr>
                <w:rFonts w:hint="default"/>
                <w:b w:val="0"/>
                <w:bCs/>
                <w:color w:val="auto"/>
                <w:highlight w:val="none"/>
              </w:rPr>
            </w:pPr>
            <w:r>
              <w:rPr>
                <w:rFonts w:hint="default"/>
                <w:b w:val="0"/>
                <w:bCs/>
                <w:color w:val="auto"/>
                <w:highlight w:val="none"/>
              </w:rPr>
              <w:t>84.野猪</w:t>
            </w:r>
          </w:p>
          <w:p w14:paraId="2EE8DD06">
            <w:pPr>
              <w:pStyle w:val="45"/>
              <w:bidi w:val="0"/>
              <w:jc w:val="center"/>
              <w:rPr>
                <w:rFonts w:hint="default"/>
                <w:b w:val="0"/>
                <w:bCs/>
                <w:color w:val="auto"/>
                <w:highlight w:val="none"/>
              </w:rPr>
            </w:pPr>
            <w:r>
              <w:rPr>
                <w:rFonts w:hint="default"/>
                <w:b w:val="0"/>
                <w:bCs/>
                <w:i/>
                <w:iCs/>
                <w:color w:val="auto"/>
                <w:highlight w:val="none"/>
              </w:rPr>
              <w:t>Sus scfofa</w:t>
            </w:r>
          </w:p>
        </w:tc>
        <w:tc>
          <w:tcPr>
            <w:tcW w:w="5076" w:type="dxa"/>
            <w:vMerge w:val="continue"/>
            <w:tcBorders>
              <w:tl2br w:val="nil"/>
              <w:tr2bl w:val="nil"/>
            </w:tcBorders>
            <w:noWrap w:val="0"/>
            <w:vAlign w:val="center"/>
          </w:tcPr>
          <w:p w14:paraId="2DE8911F">
            <w:pPr>
              <w:pStyle w:val="45"/>
              <w:bidi w:val="0"/>
              <w:jc w:val="center"/>
              <w:rPr>
                <w:rFonts w:hint="default"/>
                <w:b w:val="0"/>
                <w:bCs/>
                <w:color w:val="auto"/>
                <w:highlight w:val="none"/>
              </w:rPr>
            </w:pPr>
          </w:p>
        </w:tc>
      </w:tr>
      <w:tr w14:paraId="374083D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533DC49E">
            <w:pPr>
              <w:pStyle w:val="45"/>
              <w:bidi w:val="0"/>
              <w:jc w:val="center"/>
              <w:rPr>
                <w:rFonts w:hint="default"/>
                <w:b w:val="0"/>
                <w:bCs/>
                <w:color w:val="auto"/>
                <w:highlight w:val="none"/>
              </w:rPr>
            </w:pPr>
            <w:r>
              <w:rPr>
                <w:rFonts w:hint="default"/>
                <w:b w:val="0"/>
                <w:bCs/>
                <w:color w:val="auto"/>
                <w:highlight w:val="none"/>
              </w:rPr>
              <w:t>85.小麂</w:t>
            </w:r>
          </w:p>
          <w:p w14:paraId="1533FA2A">
            <w:pPr>
              <w:pStyle w:val="45"/>
              <w:bidi w:val="0"/>
              <w:jc w:val="center"/>
              <w:rPr>
                <w:rFonts w:hint="default"/>
                <w:b w:val="0"/>
                <w:bCs/>
                <w:color w:val="auto"/>
                <w:highlight w:val="none"/>
              </w:rPr>
            </w:pPr>
            <w:r>
              <w:rPr>
                <w:rFonts w:hint="default"/>
                <w:b w:val="0"/>
                <w:bCs/>
                <w:i/>
                <w:iCs/>
                <w:color w:val="auto"/>
                <w:highlight w:val="none"/>
              </w:rPr>
              <w:t>Muntiacus reevesi</w:t>
            </w:r>
          </w:p>
        </w:tc>
        <w:tc>
          <w:tcPr>
            <w:tcW w:w="5076" w:type="dxa"/>
            <w:vMerge w:val="continue"/>
            <w:tcBorders>
              <w:tl2br w:val="nil"/>
              <w:tr2bl w:val="nil"/>
            </w:tcBorders>
            <w:noWrap w:val="0"/>
            <w:vAlign w:val="center"/>
          </w:tcPr>
          <w:p w14:paraId="64A1C9A7">
            <w:pPr>
              <w:pStyle w:val="45"/>
              <w:bidi w:val="0"/>
              <w:jc w:val="center"/>
              <w:rPr>
                <w:rFonts w:hint="default"/>
                <w:b w:val="0"/>
                <w:bCs/>
                <w:color w:val="auto"/>
                <w:highlight w:val="none"/>
              </w:rPr>
            </w:pPr>
          </w:p>
        </w:tc>
      </w:tr>
      <w:tr w14:paraId="1C6811C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325" w:type="dxa"/>
            <w:tcBorders>
              <w:tl2br w:val="nil"/>
              <w:tr2bl w:val="nil"/>
            </w:tcBorders>
            <w:noWrap w:val="0"/>
            <w:vAlign w:val="center"/>
          </w:tcPr>
          <w:p w14:paraId="1417AA8F">
            <w:pPr>
              <w:pStyle w:val="45"/>
              <w:bidi w:val="0"/>
              <w:jc w:val="center"/>
              <w:rPr>
                <w:rFonts w:hint="default"/>
                <w:b w:val="0"/>
                <w:bCs/>
                <w:color w:val="auto"/>
                <w:highlight w:val="none"/>
              </w:rPr>
            </w:pPr>
            <w:r>
              <w:rPr>
                <w:rFonts w:hint="default"/>
                <w:b w:val="0"/>
                <w:bCs/>
                <w:color w:val="auto"/>
                <w:highlight w:val="none"/>
              </w:rPr>
              <w:t>86.华南兔</w:t>
            </w:r>
          </w:p>
          <w:p w14:paraId="4A523433">
            <w:pPr>
              <w:pStyle w:val="45"/>
              <w:bidi w:val="0"/>
              <w:jc w:val="center"/>
              <w:rPr>
                <w:rFonts w:hint="default"/>
                <w:b w:val="0"/>
                <w:bCs/>
                <w:color w:val="auto"/>
                <w:highlight w:val="none"/>
              </w:rPr>
            </w:pPr>
            <w:r>
              <w:rPr>
                <w:rFonts w:hint="default"/>
                <w:b w:val="0"/>
                <w:bCs/>
                <w:i/>
                <w:iCs/>
                <w:color w:val="auto"/>
                <w:highlight w:val="none"/>
              </w:rPr>
              <w:t>Lepus sinensis</w:t>
            </w:r>
          </w:p>
        </w:tc>
        <w:tc>
          <w:tcPr>
            <w:tcW w:w="5076" w:type="dxa"/>
            <w:vMerge w:val="continue"/>
            <w:tcBorders>
              <w:tl2br w:val="nil"/>
              <w:tr2bl w:val="nil"/>
            </w:tcBorders>
            <w:noWrap w:val="0"/>
            <w:vAlign w:val="center"/>
          </w:tcPr>
          <w:p w14:paraId="4E6A07CB">
            <w:pPr>
              <w:pStyle w:val="45"/>
              <w:bidi w:val="0"/>
              <w:jc w:val="center"/>
              <w:rPr>
                <w:rFonts w:hint="default"/>
                <w:b w:val="0"/>
                <w:bCs/>
                <w:color w:val="auto"/>
                <w:highlight w:val="none"/>
              </w:rPr>
            </w:pPr>
          </w:p>
        </w:tc>
      </w:tr>
    </w:tbl>
    <w:p w14:paraId="28E3C1C9">
      <w:pPr>
        <w:pStyle w:val="6"/>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累积生态影响</w:t>
      </w:r>
    </w:p>
    <w:p w14:paraId="2AA4FEE5">
      <w:pPr>
        <w:pStyle w:val="8"/>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累积生态影响是指经济社会活动各个组成部分之间或者该活动与其他相关活动 (包括过去、现在、未来) 之间造成生态影响的相互叠加。累积影响是基于因果关系模型定义的，这个模型有三个主要成分构成，即累积影响源、累积方式、累积影响。</w:t>
      </w:r>
    </w:p>
    <w:p w14:paraId="0FEF6B91">
      <w:pPr>
        <w:pStyle w:val="8"/>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本项目附近区域内的风电开发活动是产生区域累积影响的主要根源。多个风 电场按顺序的开发建设通过加和和协同作用对该区域的生态系统结构和功能带 来累积影响。本项目附近区域内的开发活动对该区域的的累积生态影响主要包括：</w:t>
      </w:r>
    </w:p>
    <w:p w14:paraId="45C917B5">
      <w:pPr>
        <w:pStyle w:val="8"/>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(1)占地影响的累积。随着建设项目的增多，永久占用土地面积不断增加，导致自然植被的破坏量及生物量损失逐渐增大，进而造成野生动物栖息地面积的缩小，甚至造成国家重点保护野生植物或珍稀濒危植物植株的不断减少。</w:t>
      </w:r>
    </w:p>
    <w:p w14:paraId="717E4054">
      <w:pPr>
        <w:pStyle w:val="8"/>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(2)生境破碎化的累积。随着区域建设项目的增多，不同风电场对该区域不断进行切割，导致该区域自然生境的破碎化加剧，人工斑块的不断增多，也逐渐影响到该区域内的自然资源。</w:t>
      </w:r>
    </w:p>
    <w:p w14:paraId="5B29C91F">
      <w:pPr>
        <w:pStyle w:val="8"/>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(3)污染物的累积。随着多个项目的建成运营，排放到区域自然环境中的废水、废气、固体废物和噪声的污染物将逐渐累积，可能超过区域自然环境可以承受的环境容量范围，造成生态环境质量下降。</w:t>
      </w:r>
    </w:p>
    <w:p w14:paraId="4AFD0A5C">
      <w:pPr>
        <w:pStyle w:val="8"/>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(4)对野生动物干扰的累积。随着多个项目的建设，区域内人为活动短时间急速增多，短时间内对区域内的野生动物造成干扰。项目建成后，道路运行车辆和观光游人相对增多，区域内的的野生动物数量也会受到一定的干扰，这种干扰可能会改变野生动物的栖息范围，严重的可能影响其正常的生存和繁衍。</w:t>
      </w:r>
    </w:p>
    <w:p w14:paraId="6371C37B">
      <w:pPr>
        <w:pStyle w:val="8"/>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auto"/>
          <w:kern w:val="2"/>
          <w:sz w:val="24"/>
          <w:szCs w:val="24"/>
          <w:highlight w:val="none"/>
          <w:lang w:val="en-US" w:eastAsia="zh-CN" w:bidi="ar-SA"/>
        </w:rPr>
      </w:pPr>
      <w:r>
        <w:rPr>
          <w:rFonts w:hint="default" w:ascii="Times New Roman" w:hAnsi="Times New Roman" w:eastAsia="宋体" w:cs="Times New Roman"/>
          <w:color w:val="auto"/>
          <w:kern w:val="2"/>
          <w:sz w:val="24"/>
          <w:szCs w:val="24"/>
          <w:highlight w:val="none"/>
          <w:lang w:val="en-US" w:eastAsia="zh-CN" w:bidi="ar-SA"/>
        </w:rPr>
        <w:t>风力发电项目属于可持续资源利用型工程，且单个风电场的施工时间较短，因此风电场的建设产生的污染较小，人为干扰持续时间较短。本项目的建设对该区域的累积生态影响主要为占地影响的累积和生境破碎化的累积。</w:t>
      </w:r>
    </w:p>
    <w:p w14:paraId="1D3C0252">
      <w:pPr>
        <w:pStyle w:val="6"/>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景观影响</w:t>
      </w:r>
    </w:p>
    <w:p w14:paraId="6004C349">
      <w:pPr>
        <w:bidi w:val="0"/>
        <w:rPr>
          <w:rFonts w:ascii="Times New Roman" w:hAnsi="Times New Roman" w:eastAsia="宋体" w:cs="Times New Roman"/>
          <w:color w:val="auto"/>
          <w:highlight w:val="none"/>
        </w:rPr>
      </w:pPr>
      <w:r>
        <w:rPr>
          <w:rFonts w:hint="default" w:ascii="Times New Roman" w:hAnsi="Times New Roman" w:eastAsia="宋体" w:cs="Times New Roman"/>
          <w:color w:val="auto"/>
          <w:kern w:val="2"/>
          <w:sz w:val="24"/>
          <w:szCs w:val="24"/>
          <w:highlight w:val="none"/>
          <w:lang w:val="en-US" w:eastAsia="zh-CN" w:bidi="ar-SA"/>
        </w:rPr>
        <w:t>风机景观影响中主要为对山林的视觉影响，风机的数量越多对山的视觉影响也越大。本工程</w:t>
      </w:r>
      <w:r>
        <w:rPr>
          <w:rFonts w:hint="eastAsia" w:ascii="Times New Roman" w:hAnsi="Times New Roman" w:eastAsia="宋体" w:cs="Times New Roman"/>
          <w:color w:val="auto"/>
          <w:kern w:val="2"/>
          <w:sz w:val="24"/>
          <w:szCs w:val="24"/>
          <w:highlight w:val="none"/>
          <w:lang w:val="en-US" w:eastAsia="zh-CN" w:bidi="ar-SA"/>
        </w:rPr>
        <w:t>20</w:t>
      </w:r>
      <w:r>
        <w:rPr>
          <w:rFonts w:hint="default" w:ascii="Times New Roman" w:hAnsi="Times New Roman" w:eastAsia="宋体" w:cs="Times New Roman"/>
          <w:color w:val="auto"/>
          <w:kern w:val="2"/>
          <w:sz w:val="24"/>
          <w:szCs w:val="24"/>
          <w:highlight w:val="none"/>
          <w:lang w:val="en-US" w:eastAsia="zh-CN" w:bidi="ar-SA"/>
        </w:rPr>
        <w:t>台风机安置于山脊和山梁之上，风机无序分布，高大的白色风机叶片和绿色的山林相互映衬，视觉冲击较大。风机点状分布于山林间，互相叠置，打破了原有自然景观的单一性，具有一定的可观赏性，可以增加当地旅游特色。风机检修道路呈线状分布，占用部分林地，造成了原有山林景观的破碎化、斑块化，在一定程度上影响了森林整体的美观，但在林木等植被的覆盖下不会太明显。工程在施工结束应有计划的实施植被恢复、种植灌木、花草，使工程区形成结构合理的稳定系统，风电场区域内的生态环境向着良性循环的方向发展。总体而言，对当地的林地、灌从植被生境的割裂的生态整体性影响有限。</w:t>
      </w:r>
    </w:p>
    <w:p w14:paraId="280FB13B">
      <w:pPr>
        <w:pStyle w:val="5"/>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地表水环境影响预测与评价</w:t>
      </w:r>
    </w:p>
    <w:p w14:paraId="7C01A5EF">
      <w:pPr>
        <w:bidi w:val="0"/>
        <w:rPr>
          <w:rFonts w:hint="default"/>
          <w:color w:val="auto"/>
          <w:highlight w:val="none"/>
          <w:lang w:val="en-US" w:eastAsia="zh-CN"/>
        </w:rPr>
      </w:pPr>
      <w:r>
        <w:rPr>
          <w:rFonts w:hint="default"/>
          <w:color w:val="auto"/>
          <w:highlight w:val="none"/>
          <w:lang w:val="en-US" w:eastAsia="zh-CN"/>
        </w:rPr>
        <w:t>（1）生活污水</w:t>
      </w:r>
    </w:p>
    <w:p w14:paraId="142D231A">
      <w:pPr>
        <w:bidi w:val="0"/>
        <w:rPr>
          <w:rFonts w:hint="default"/>
          <w:color w:val="auto"/>
          <w:highlight w:val="none"/>
          <w:lang w:eastAsia="zh-CN"/>
        </w:rPr>
      </w:pPr>
      <w:r>
        <w:rPr>
          <w:rFonts w:hint="default"/>
          <w:color w:val="auto"/>
          <w:highlight w:val="none"/>
        </w:rPr>
        <w:t>风电场营运期污水主要是管理人员的生活污水，包括食堂废水、粪便污水、洗涤污水、淋浴污水等，所含污染物主要为有机物（BOD</w:t>
      </w:r>
      <w:r>
        <w:rPr>
          <w:rFonts w:hint="default"/>
          <w:color w:val="auto"/>
          <w:highlight w:val="none"/>
          <w:vertAlign w:val="subscript"/>
        </w:rPr>
        <w:t>5</w:t>
      </w:r>
      <w:r>
        <w:rPr>
          <w:rFonts w:hint="default"/>
          <w:color w:val="auto"/>
          <w:highlight w:val="none"/>
        </w:rPr>
        <w:t>和COD）和悬浮物</w:t>
      </w:r>
      <w:r>
        <w:rPr>
          <w:rFonts w:hint="eastAsia"/>
          <w:color w:val="auto"/>
          <w:highlight w:val="none"/>
          <w:lang w:eastAsia="zh-CN"/>
        </w:rPr>
        <w:t>南冲</w:t>
      </w:r>
      <w:r>
        <w:rPr>
          <w:rFonts w:hint="default"/>
          <w:color w:val="auto"/>
          <w:highlight w:val="none"/>
          <w:lang w:eastAsia="zh-CN"/>
        </w:rPr>
        <w:t>风电场将利用</w:t>
      </w:r>
      <w:r>
        <w:rPr>
          <w:rFonts w:hint="eastAsia"/>
          <w:color w:val="auto"/>
          <w:highlight w:val="none"/>
          <w:lang w:eastAsia="zh-CN"/>
        </w:rPr>
        <w:t>大马风电场</w:t>
      </w:r>
      <w:r>
        <w:rPr>
          <w:rFonts w:hint="default"/>
          <w:color w:val="auto"/>
          <w:highlight w:val="none"/>
          <w:lang w:eastAsia="zh-CN"/>
        </w:rPr>
        <w:t>建好的办公生活区，风电场正常运营后巡检人员</w:t>
      </w:r>
      <w:r>
        <w:rPr>
          <w:rFonts w:hint="eastAsia"/>
          <w:color w:val="auto"/>
          <w:highlight w:val="none"/>
          <w:lang w:eastAsia="zh-CN"/>
        </w:rPr>
        <w:t>从大马风电场员工中调配，本次不新增员工</w:t>
      </w:r>
      <w:r>
        <w:rPr>
          <w:rFonts w:hint="default"/>
          <w:color w:val="auto"/>
          <w:highlight w:val="none"/>
          <w:lang w:eastAsia="zh-CN"/>
        </w:rPr>
        <w:t>。</w:t>
      </w:r>
    </w:p>
    <w:p w14:paraId="23852558">
      <w:pPr>
        <w:bidi w:val="0"/>
        <w:rPr>
          <w:rFonts w:hint="default"/>
          <w:color w:val="auto"/>
          <w:highlight w:val="none"/>
          <w:lang w:val="en-US" w:eastAsia="zh-CN"/>
        </w:rPr>
      </w:pPr>
      <w:r>
        <w:rPr>
          <w:rFonts w:hint="eastAsia"/>
          <w:color w:val="auto"/>
          <w:highlight w:val="none"/>
          <w:lang w:eastAsia="zh-CN"/>
        </w:rPr>
        <w:t>现有员工生活污水</w:t>
      </w:r>
      <w:r>
        <w:rPr>
          <w:rFonts w:hint="default"/>
          <w:color w:val="auto"/>
          <w:highlight w:val="none"/>
        </w:rPr>
        <w:t>排入升压站</w:t>
      </w:r>
      <w:r>
        <w:rPr>
          <w:rFonts w:hint="eastAsia"/>
          <w:color w:val="auto"/>
          <w:highlight w:val="none"/>
          <w:lang w:eastAsia="zh-CN"/>
        </w:rPr>
        <w:t>已建</w:t>
      </w:r>
      <w:r>
        <w:rPr>
          <w:rFonts w:hint="default"/>
          <w:color w:val="auto"/>
          <w:highlight w:val="none"/>
        </w:rPr>
        <w:t>的生活污水一体化处理</w:t>
      </w:r>
      <w:r>
        <w:rPr>
          <w:rFonts w:hint="eastAsia"/>
          <w:color w:val="auto"/>
          <w:highlight w:val="none"/>
          <w:lang w:eastAsia="zh-CN"/>
        </w:rPr>
        <w:t>设施</w:t>
      </w:r>
      <w:r>
        <w:rPr>
          <w:rFonts w:hint="default"/>
          <w:color w:val="auto"/>
          <w:highlight w:val="none"/>
        </w:rPr>
        <w:t>处理后回用于项目区绿化施肥浇灌，不外排</w:t>
      </w:r>
      <w:r>
        <w:rPr>
          <w:rFonts w:hint="eastAsia"/>
          <w:color w:val="auto"/>
          <w:highlight w:val="none"/>
          <w:lang w:eastAsia="zh-CN"/>
        </w:rPr>
        <w:t>，根据大马风电场投产运行至今情况分析，生活污水经地埋式一体化污水处理设施处理后对地表水环境基本无影响</w:t>
      </w:r>
      <w:r>
        <w:rPr>
          <w:rFonts w:hint="default"/>
          <w:color w:val="auto"/>
          <w:highlight w:val="none"/>
          <w:lang w:eastAsia="zh-CN"/>
        </w:rPr>
        <w:t>。</w:t>
      </w:r>
    </w:p>
    <w:p w14:paraId="2F02EE2A">
      <w:pPr>
        <w:bidi w:val="0"/>
        <w:rPr>
          <w:rFonts w:hint="default"/>
          <w:color w:val="auto"/>
          <w:highlight w:val="none"/>
          <w:lang w:val="en-US" w:eastAsia="zh-CN"/>
        </w:rPr>
      </w:pPr>
      <w:r>
        <w:rPr>
          <w:rFonts w:hint="default"/>
          <w:color w:val="auto"/>
          <w:highlight w:val="none"/>
          <w:lang w:val="en-US" w:eastAsia="zh-CN"/>
        </w:rPr>
        <w:t>（2）生产废水</w:t>
      </w:r>
    </w:p>
    <w:p w14:paraId="113D5FD2">
      <w:pPr>
        <w:bidi w:val="0"/>
        <w:rPr>
          <w:rFonts w:ascii="Times New Roman" w:hAnsi="Times New Roman" w:eastAsia="宋体" w:cs="Times New Roman"/>
          <w:color w:val="auto"/>
          <w:highlight w:val="none"/>
        </w:rPr>
      </w:pPr>
      <w:r>
        <w:rPr>
          <w:rFonts w:hint="default"/>
          <w:color w:val="auto"/>
          <w:highlight w:val="none"/>
        </w:rPr>
        <w:t>工程运营期正常情况下无生产废水</w:t>
      </w:r>
      <w:r>
        <w:rPr>
          <w:rFonts w:hint="eastAsia"/>
          <w:color w:val="auto"/>
          <w:highlight w:val="none"/>
          <w:lang w:eastAsia="zh-CN"/>
        </w:rPr>
        <w:t>产生及</w:t>
      </w:r>
      <w:r>
        <w:rPr>
          <w:rFonts w:hint="default"/>
          <w:color w:val="auto"/>
          <w:highlight w:val="none"/>
        </w:rPr>
        <w:t>排放。</w:t>
      </w:r>
    </w:p>
    <w:p w14:paraId="438D78EA">
      <w:pPr>
        <w:pStyle w:val="5"/>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声环境影响预测与评价</w:t>
      </w:r>
    </w:p>
    <w:p w14:paraId="5E12767F">
      <w:pPr>
        <w:pageBreakBefore w:val="0"/>
        <w:kinsoku/>
        <w:wordWrap/>
        <w:overflowPunct/>
        <w:topLinePunct w:val="0"/>
        <w:autoSpaceDE/>
        <w:autoSpaceDN/>
        <w:bidi w:val="0"/>
        <w:adjustRightInd w:val="0"/>
        <w:snapToGrid w:val="0"/>
        <w:spacing w:line="360" w:lineRule="auto"/>
        <w:ind w:right="0" w:firstLine="480" w:firstLineChars="200"/>
        <w:textAlignment w:val="auto"/>
        <w:rPr>
          <w:rFonts w:hint="eastAsia" w:ascii="Times New Roman" w:hAnsi="Times New Roman" w:eastAsia="宋体" w:cs="Times New Roman"/>
          <w:color w:val="auto"/>
          <w:sz w:val="24"/>
          <w:szCs w:val="24"/>
          <w:highlight w:val="none"/>
          <w:lang w:eastAsia="zh-CN"/>
        </w:rPr>
      </w:pPr>
      <w:r>
        <w:rPr>
          <w:rFonts w:hint="eastAsia" w:ascii="Times New Roman" w:hAnsi="Times New Roman" w:cs="Times New Roman"/>
          <w:color w:val="auto"/>
          <w:sz w:val="24"/>
          <w:szCs w:val="24"/>
          <w:highlight w:val="none"/>
          <w:lang w:eastAsia="zh-CN"/>
        </w:rPr>
        <w:t>营运期噪声主要为风机噪声和升压站低频噪声。</w:t>
      </w:r>
    </w:p>
    <w:p w14:paraId="77802A2E">
      <w:pPr>
        <w:pageBreakBefore w:val="0"/>
        <w:kinsoku/>
        <w:wordWrap/>
        <w:overflowPunct/>
        <w:topLinePunct w:val="0"/>
        <w:autoSpaceDE/>
        <w:autoSpaceDN/>
        <w:bidi w:val="0"/>
        <w:adjustRightInd w:val="0"/>
        <w:snapToGrid w:val="0"/>
        <w:spacing w:line="360" w:lineRule="auto"/>
        <w:ind w:right="0" w:firstLine="482" w:firstLineChars="200"/>
        <w:textAlignment w:val="auto"/>
        <w:rPr>
          <w:rFonts w:hint="default" w:ascii="Times New Roman" w:hAnsi="Times New Roman" w:cs="Times New Roman"/>
          <w:color w:val="auto"/>
          <w:sz w:val="24"/>
          <w:szCs w:val="24"/>
          <w:highlight w:val="none"/>
        </w:rPr>
      </w:pPr>
      <w:r>
        <w:rPr>
          <w:rFonts w:hint="eastAsia" w:ascii="Times New Roman" w:hAnsi="Times New Roman" w:cs="Times New Roman"/>
          <w:b/>
          <w:bCs/>
          <w:color w:val="auto"/>
          <w:sz w:val="24"/>
          <w:szCs w:val="24"/>
          <w:highlight w:val="none"/>
          <w:lang w:eastAsia="zh-CN"/>
        </w:rPr>
        <w:t>（</w:t>
      </w:r>
      <w:r>
        <w:rPr>
          <w:rFonts w:hint="eastAsia" w:ascii="Times New Roman" w:hAnsi="Times New Roman" w:cs="Times New Roman"/>
          <w:b/>
          <w:bCs/>
          <w:color w:val="auto"/>
          <w:sz w:val="24"/>
          <w:szCs w:val="24"/>
          <w:highlight w:val="none"/>
          <w:lang w:val="en-US" w:eastAsia="zh-CN"/>
        </w:rPr>
        <w:t>1</w:t>
      </w:r>
      <w:r>
        <w:rPr>
          <w:rFonts w:hint="eastAsia" w:ascii="Times New Roman" w:hAnsi="Times New Roman" w:cs="Times New Roman"/>
          <w:b/>
          <w:bCs/>
          <w:color w:val="auto"/>
          <w:sz w:val="24"/>
          <w:szCs w:val="24"/>
          <w:highlight w:val="none"/>
          <w:lang w:eastAsia="zh-CN"/>
        </w:rPr>
        <w:t>）风机噪声</w:t>
      </w:r>
    </w:p>
    <w:p w14:paraId="6808FDE9">
      <w:pPr>
        <w:pageBreakBefore w:val="0"/>
        <w:kinsoku/>
        <w:wordWrap/>
        <w:overflowPunct/>
        <w:topLinePunct w:val="0"/>
        <w:autoSpaceDE/>
        <w:autoSpaceDN/>
        <w:bidi w:val="0"/>
        <w:adjustRightInd w:val="0"/>
        <w:snapToGrid w:val="0"/>
        <w:spacing w:line="360" w:lineRule="auto"/>
        <w:ind w:right="0" w:firstLine="482" w:firstLineChars="200"/>
        <w:textAlignment w:val="auto"/>
        <w:rPr>
          <w:rFonts w:hint="eastAsia" w:ascii="Times New Roman" w:hAnsi="Times New Roman" w:cs="Times New Roman"/>
          <w:b/>
          <w:bCs/>
          <w:color w:val="auto"/>
          <w:sz w:val="24"/>
          <w:szCs w:val="24"/>
          <w:highlight w:val="none"/>
          <w:lang w:eastAsia="zh-CN"/>
        </w:rPr>
      </w:pPr>
      <w:r>
        <w:rPr>
          <w:rFonts w:hint="eastAsia" w:ascii="Times New Roman" w:hAnsi="Times New Roman" w:cs="Times New Roman"/>
          <w:b/>
          <w:bCs/>
          <w:color w:val="auto"/>
          <w:sz w:val="24"/>
          <w:szCs w:val="24"/>
          <w:highlight w:val="none"/>
          <w:lang w:eastAsia="zh-CN"/>
        </w:rPr>
        <w:t>①</w:t>
      </w:r>
      <w:r>
        <w:rPr>
          <w:rFonts w:hint="eastAsia" w:cs="Times New Roman"/>
          <w:b/>
          <w:bCs/>
          <w:color w:val="auto"/>
          <w:sz w:val="24"/>
          <w:szCs w:val="24"/>
          <w:highlight w:val="none"/>
          <w:lang w:eastAsia="zh-CN"/>
        </w:rPr>
        <w:t>风机设计参数</w:t>
      </w:r>
    </w:p>
    <w:p w14:paraId="4BDE80DC">
      <w:pPr>
        <w:pageBreakBefore w:val="0"/>
        <w:kinsoku/>
        <w:wordWrap/>
        <w:overflowPunct/>
        <w:topLinePunct w:val="0"/>
        <w:autoSpaceDE/>
        <w:autoSpaceDN/>
        <w:bidi w:val="0"/>
        <w:adjustRightInd w:val="0"/>
        <w:snapToGrid w:val="0"/>
        <w:spacing w:line="360" w:lineRule="auto"/>
        <w:ind w:right="0" w:firstLine="482" w:firstLineChars="200"/>
        <w:textAlignment w:val="auto"/>
        <w:rPr>
          <w:rFonts w:hint="eastAsia" w:ascii="Times New Roman" w:hAnsi="Times New Roman" w:cs="Times New Roman"/>
          <w:b/>
          <w:bCs/>
          <w:color w:val="auto"/>
          <w:sz w:val="24"/>
          <w:szCs w:val="24"/>
          <w:highlight w:val="none"/>
          <w:lang w:eastAsia="zh-CN"/>
        </w:rPr>
      </w:pPr>
      <w:r>
        <w:rPr>
          <w:rFonts w:hint="eastAsia" w:cs="Times New Roman"/>
          <w:b/>
          <w:bCs/>
          <w:color w:val="auto"/>
          <w:sz w:val="24"/>
          <w:szCs w:val="24"/>
          <w:highlight w:val="none"/>
          <w:lang w:eastAsia="zh-CN"/>
        </w:rPr>
        <w:t>根据项目可行性研究报告，本项目风机设计参数如下：</w:t>
      </w:r>
    </w:p>
    <w:p w14:paraId="163B5F16">
      <w:pPr>
        <w:pageBreakBefore w:val="0"/>
        <w:kinsoku/>
        <w:wordWrap/>
        <w:overflowPunct/>
        <w:topLinePunct w:val="0"/>
        <w:autoSpaceDE/>
        <w:autoSpaceDN/>
        <w:bidi w:val="0"/>
        <w:adjustRightInd w:val="0"/>
        <w:snapToGrid w:val="0"/>
        <w:spacing w:line="360" w:lineRule="auto"/>
        <w:ind w:right="0" w:firstLine="0" w:firstLineChars="0"/>
        <w:jc w:val="center"/>
        <w:textAlignment w:val="auto"/>
        <w:rPr>
          <w:rFonts w:hint="default" w:cs="Times New Roman"/>
          <w:b/>
          <w:bCs/>
          <w:color w:val="auto"/>
          <w:sz w:val="24"/>
          <w:szCs w:val="24"/>
          <w:highlight w:val="none"/>
          <w:lang w:val="en-US" w:eastAsia="zh-CN"/>
        </w:rPr>
      </w:pPr>
      <w:r>
        <w:rPr>
          <w:rFonts w:hint="eastAsia" w:cs="Times New Roman"/>
          <w:b/>
          <w:bCs/>
          <w:color w:val="auto"/>
          <w:sz w:val="24"/>
          <w:szCs w:val="24"/>
          <w:highlight w:val="none"/>
          <w:lang w:eastAsia="zh-CN"/>
        </w:rPr>
        <w:t>表</w:t>
      </w:r>
      <w:r>
        <w:rPr>
          <w:rFonts w:hint="eastAsia" w:cs="Times New Roman"/>
          <w:b/>
          <w:bCs/>
          <w:color w:val="auto"/>
          <w:sz w:val="24"/>
          <w:szCs w:val="24"/>
          <w:highlight w:val="none"/>
          <w:lang w:val="en-US" w:eastAsia="zh-CN"/>
        </w:rPr>
        <w:t>6.2.3-1  风机设计参数一览表</w:t>
      </w:r>
    </w:p>
    <w:tbl>
      <w:tblPr>
        <w:tblStyle w:val="20"/>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865"/>
        <w:gridCol w:w="1728"/>
        <w:gridCol w:w="2089"/>
      </w:tblGrid>
      <w:tr w14:paraId="0055EA3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20" w:type="dxa"/>
            <w:tcBorders>
              <w:tl2br w:val="nil"/>
              <w:tr2bl w:val="nil"/>
            </w:tcBorders>
            <w:vAlign w:val="center"/>
          </w:tcPr>
          <w:p w14:paraId="776DFD25">
            <w:pPr>
              <w:pageBreakBefore w:val="0"/>
              <w:kinsoku/>
              <w:wordWrap/>
              <w:overflowPunct/>
              <w:topLinePunct w:val="0"/>
              <w:autoSpaceDE/>
              <w:autoSpaceDN/>
              <w:bidi w:val="0"/>
              <w:adjustRightInd w:val="0"/>
              <w:snapToGrid w:val="0"/>
              <w:spacing w:line="240" w:lineRule="auto"/>
              <w:ind w:right="0" w:firstLine="0" w:firstLineChars="0"/>
              <w:jc w:val="center"/>
              <w:textAlignment w:val="auto"/>
              <w:rPr>
                <w:rFonts w:hint="eastAsia" w:cs="Times New Roman"/>
                <w:b/>
                <w:bCs/>
                <w:color w:val="auto"/>
                <w:sz w:val="21"/>
                <w:szCs w:val="21"/>
                <w:highlight w:val="none"/>
                <w:vertAlign w:val="baseline"/>
                <w:lang w:eastAsia="zh-CN"/>
              </w:rPr>
            </w:pPr>
            <w:r>
              <w:rPr>
                <w:rFonts w:hint="eastAsia" w:cs="Times New Roman"/>
                <w:b/>
                <w:bCs/>
                <w:color w:val="auto"/>
                <w:sz w:val="21"/>
                <w:szCs w:val="21"/>
                <w:highlight w:val="none"/>
                <w:vertAlign w:val="baseline"/>
                <w:lang w:eastAsia="zh-CN"/>
              </w:rPr>
              <w:t>风机型号</w:t>
            </w:r>
          </w:p>
        </w:tc>
        <w:tc>
          <w:tcPr>
            <w:tcW w:w="1420" w:type="dxa"/>
            <w:tcBorders>
              <w:tl2br w:val="nil"/>
              <w:tr2bl w:val="nil"/>
            </w:tcBorders>
            <w:vAlign w:val="center"/>
          </w:tcPr>
          <w:p w14:paraId="37A9332C">
            <w:pPr>
              <w:pageBreakBefore w:val="0"/>
              <w:kinsoku/>
              <w:wordWrap/>
              <w:overflowPunct/>
              <w:topLinePunct w:val="0"/>
              <w:autoSpaceDE/>
              <w:autoSpaceDN/>
              <w:bidi w:val="0"/>
              <w:adjustRightInd w:val="0"/>
              <w:snapToGrid w:val="0"/>
              <w:spacing w:line="240" w:lineRule="auto"/>
              <w:ind w:right="0" w:firstLine="0" w:firstLineChars="0"/>
              <w:jc w:val="center"/>
              <w:textAlignment w:val="auto"/>
              <w:rPr>
                <w:rFonts w:hint="eastAsia" w:cs="Times New Roman"/>
                <w:b/>
                <w:bCs/>
                <w:color w:val="auto"/>
                <w:sz w:val="21"/>
                <w:szCs w:val="21"/>
                <w:highlight w:val="none"/>
                <w:vertAlign w:val="baseline"/>
                <w:lang w:eastAsia="zh-CN"/>
              </w:rPr>
            </w:pPr>
            <w:r>
              <w:rPr>
                <w:rFonts w:hint="eastAsia" w:cs="Times New Roman"/>
                <w:b/>
                <w:bCs/>
                <w:color w:val="auto"/>
                <w:sz w:val="21"/>
                <w:szCs w:val="21"/>
                <w:highlight w:val="none"/>
                <w:vertAlign w:val="baseline"/>
                <w:lang w:eastAsia="zh-CN"/>
              </w:rPr>
              <w:t>叶片数（片）</w:t>
            </w:r>
          </w:p>
        </w:tc>
        <w:tc>
          <w:tcPr>
            <w:tcW w:w="1865" w:type="dxa"/>
            <w:tcBorders>
              <w:tl2br w:val="nil"/>
              <w:tr2bl w:val="nil"/>
            </w:tcBorders>
            <w:vAlign w:val="center"/>
          </w:tcPr>
          <w:p w14:paraId="5A921452">
            <w:pPr>
              <w:pageBreakBefore w:val="0"/>
              <w:kinsoku/>
              <w:wordWrap/>
              <w:overflowPunct/>
              <w:topLinePunct w:val="0"/>
              <w:autoSpaceDE/>
              <w:autoSpaceDN/>
              <w:bidi w:val="0"/>
              <w:adjustRightInd w:val="0"/>
              <w:snapToGrid w:val="0"/>
              <w:spacing w:line="240" w:lineRule="auto"/>
              <w:ind w:right="0" w:firstLine="0" w:firstLineChars="0"/>
              <w:jc w:val="center"/>
              <w:textAlignment w:val="auto"/>
              <w:rPr>
                <w:rFonts w:hint="eastAsia" w:cs="Times New Roman"/>
                <w:b/>
                <w:bCs/>
                <w:color w:val="auto"/>
                <w:sz w:val="21"/>
                <w:szCs w:val="21"/>
                <w:highlight w:val="none"/>
                <w:vertAlign w:val="baseline"/>
                <w:lang w:eastAsia="zh-CN"/>
              </w:rPr>
            </w:pPr>
            <w:r>
              <w:rPr>
                <w:rFonts w:hint="eastAsia" w:cs="Times New Roman"/>
                <w:b/>
                <w:bCs/>
                <w:color w:val="auto"/>
                <w:sz w:val="21"/>
                <w:szCs w:val="21"/>
                <w:highlight w:val="none"/>
                <w:vertAlign w:val="baseline"/>
                <w:lang w:eastAsia="zh-CN"/>
              </w:rPr>
              <w:t>风轮直径（</w:t>
            </w:r>
            <w:r>
              <w:rPr>
                <w:rFonts w:hint="eastAsia" w:cs="Times New Roman"/>
                <w:b/>
                <w:bCs/>
                <w:color w:val="auto"/>
                <w:sz w:val="21"/>
                <w:szCs w:val="21"/>
                <w:highlight w:val="none"/>
                <w:vertAlign w:val="baseline"/>
                <w:lang w:val="en-US" w:eastAsia="zh-CN"/>
              </w:rPr>
              <w:t>m</w:t>
            </w:r>
            <w:r>
              <w:rPr>
                <w:rFonts w:hint="eastAsia" w:cs="Times New Roman"/>
                <w:b/>
                <w:bCs/>
                <w:color w:val="auto"/>
                <w:sz w:val="21"/>
                <w:szCs w:val="21"/>
                <w:highlight w:val="none"/>
                <w:vertAlign w:val="baseline"/>
                <w:lang w:eastAsia="zh-CN"/>
              </w:rPr>
              <w:t>）</w:t>
            </w:r>
          </w:p>
        </w:tc>
        <w:tc>
          <w:tcPr>
            <w:tcW w:w="1728" w:type="dxa"/>
            <w:tcBorders>
              <w:tl2br w:val="nil"/>
              <w:tr2bl w:val="nil"/>
            </w:tcBorders>
            <w:vAlign w:val="center"/>
          </w:tcPr>
          <w:p w14:paraId="42CB2102">
            <w:pPr>
              <w:pageBreakBefore w:val="0"/>
              <w:kinsoku/>
              <w:wordWrap/>
              <w:overflowPunct/>
              <w:topLinePunct w:val="0"/>
              <w:autoSpaceDE/>
              <w:autoSpaceDN/>
              <w:bidi w:val="0"/>
              <w:adjustRightInd w:val="0"/>
              <w:snapToGrid w:val="0"/>
              <w:spacing w:line="240" w:lineRule="auto"/>
              <w:ind w:right="0" w:firstLine="0" w:firstLineChars="0"/>
              <w:jc w:val="center"/>
              <w:textAlignment w:val="auto"/>
              <w:rPr>
                <w:rFonts w:hint="eastAsia" w:cs="Times New Roman"/>
                <w:b/>
                <w:bCs/>
                <w:color w:val="auto"/>
                <w:sz w:val="21"/>
                <w:szCs w:val="21"/>
                <w:highlight w:val="none"/>
                <w:vertAlign w:val="baseline"/>
                <w:lang w:eastAsia="zh-CN"/>
              </w:rPr>
            </w:pPr>
            <w:r>
              <w:rPr>
                <w:rFonts w:hint="default"/>
                <w:b/>
                <w:bCs w:val="0"/>
                <w:color w:val="auto"/>
                <w:highlight w:val="none"/>
                <w:lang w:val="en-US" w:eastAsia="zh-CN"/>
              </w:rPr>
              <w:t>轮毂高度</w:t>
            </w:r>
            <w:r>
              <w:rPr>
                <w:rFonts w:hint="eastAsia"/>
                <w:b/>
                <w:bCs w:val="0"/>
                <w:color w:val="auto"/>
                <w:highlight w:val="none"/>
                <w:lang w:val="en-US" w:eastAsia="zh-CN"/>
              </w:rPr>
              <w:t>（m）</w:t>
            </w:r>
          </w:p>
        </w:tc>
        <w:tc>
          <w:tcPr>
            <w:tcW w:w="2089" w:type="dxa"/>
            <w:tcBorders>
              <w:tl2br w:val="nil"/>
              <w:tr2bl w:val="nil"/>
            </w:tcBorders>
            <w:vAlign w:val="center"/>
          </w:tcPr>
          <w:p w14:paraId="2C9D09F0">
            <w:pPr>
              <w:pageBreakBefore w:val="0"/>
              <w:kinsoku/>
              <w:wordWrap/>
              <w:overflowPunct/>
              <w:topLinePunct w:val="0"/>
              <w:autoSpaceDE/>
              <w:autoSpaceDN/>
              <w:bidi w:val="0"/>
              <w:adjustRightInd w:val="0"/>
              <w:snapToGrid w:val="0"/>
              <w:spacing w:line="240" w:lineRule="auto"/>
              <w:ind w:right="0" w:firstLine="0" w:firstLineChars="0"/>
              <w:jc w:val="center"/>
              <w:textAlignment w:val="auto"/>
              <w:rPr>
                <w:rFonts w:hint="eastAsia" w:cs="Times New Roman"/>
                <w:b/>
                <w:bCs/>
                <w:color w:val="auto"/>
                <w:sz w:val="21"/>
                <w:szCs w:val="21"/>
                <w:highlight w:val="none"/>
                <w:vertAlign w:val="baseline"/>
                <w:lang w:eastAsia="zh-CN"/>
              </w:rPr>
            </w:pPr>
            <w:r>
              <w:rPr>
                <w:rFonts w:hint="eastAsia" w:cs="Times New Roman"/>
                <w:b/>
                <w:bCs/>
                <w:color w:val="auto"/>
                <w:sz w:val="21"/>
                <w:szCs w:val="21"/>
                <w:highlight w:val="none"/>
                <w:vertAlign w:val="baseline"/>
                <w:lang w:eastAsia="zh-CN"/>
              </w:rPr>
              <w:t>风机台数（台）</w:t>
            </w:r>
          </w:p>
        </w:tc>
      </w:tr>
      <w:tr w14:paraId="618FA52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20" w:type="dxa"/>
            <w:tcBorders>
              <w:tl2br w:val="nil"/>
              <w:tr2bl w:val="nil"/>
            </w:tcBorders>
            <w:vAlign w:val="center"/>
          </w:tcPr>
          <w:p w14:paraId="7E144653">
            <w:pPr>
              <w:pageBreakBefore w:val="0"/>
              <w:kinsoku/>
              <w:wordWrap/>
              <w:overflowPunct/>
              <w:topLinePunct w:val="0"/>
              <w:autoSpaceDE/>
              <w:autoSpaceDN/>
              <w:bidi w:val="0"/>
              <w:adjustRightInd w:val="0"/>
              <w:snapToGrid w:val="0"/>
              <w:spacing w:line="240" w:lineRule="auto"/>
              <w:ind w:right="0" w:firstLine="0" w:firstLineChars="0"/>
              <w:jc w:val="center"/>
              <w:textAlignment w:val="auto"/>
              <w:rPr>
                <w:rFonts w:hint="eastAsia" w:cs="Times New Roman"/>
                <w:b w:val="0"/>
                <w:bCs w:val="0"/>
                <w:color w:val="auto"/>
                <w:sz w:val="21"/>
                <w:szCs w:val="21"/>
                <w:highlight w:val="none"/>
                <w:vertAlign w:val="baseline"/>
                <w:lang w:eastAsia="zh-CN"/>
              </w:rPr>
            </w:pPr>
            <w:r>
              <w:rPr>
                <w:rFonts w:hint="eastAsia" w:cs="Times New Roman"/>
                <w:b w:val="0"/>
                <w:bCs w:val="0"/>
                <w:color w:val="auto"/>
                <w:sz w:val="21"/>
                <w:szCs w:val="21"/>
                <w:highlight w:val="none"/>
                <w:vertAlign w:val="baseline"/>
                <w:lang w:eastAsia="zh-CN"/>
              </w:rPr>
              <w:t>WTG200-5.0</w:t>
            </w:r>
          </w:p>
        </w:tc>
        <w:tc>
          <w:tcPr>
            <w:tcW w:w="1420" w:type="dxa"/>
            <w:tcBorders>
              <w:tl2br w:val="nil"/>
              <w:tr2bl w:val="nil"/>
            </w:tcBorders>
            <w:vAlign w:val="center"/>
          </w:tcPr>
          <w:p w14:paraId="024E0951">
            <w:pPr>
              <w:pageBreakBefore w:val="0"/>
              <w:kinsoku/>
              <w:wordWrap/>
              <w:overflowPunct/>
              <w:topLinePunct w:val="0"/>
              <w:autoSpaceDE/>
              <w:autoSpaceDN/>
              <w:bidi w:val="0"/>
              <w:adjustRightInd w:val="0"/>
              <w:snapToGrid w:val="0"/>
              <w:spacing w:line="240" w:lineRule="auto"/>
              <w:ind w:right="0" w:firstLine="0" w:firstLineChars="0"/>
              <w:jc w:val="center"/>
              <w:textAlignment w:val="auto"/>
              <w:rPr>
                <w:rFonts w:hint="default" w:cs="Times New Roman"/>
                <w:b w:val="0"/>
                <w:bCs w:val="0"/>
                <w:color w:val="auto"/>
                <w:sz w:val="21"/>
                <w:szCs w:val="21"/>
                <w:highlight w:val="none"/>
                <w:vertAlign w:val="baseline"/>
                <w:lang w:eastAsia="zh-CN"/>
              </w:rPr>
            </w:pPr>
            <w:r>
              <w:rPr>
                <w:rFonts w:hint="eastAsia" w:cs="Times New Roman"/>
                <w:b w:val="0"/>
                <w:bCs w:val="0"/>
                <w:color w:val="auto"/>
                <w:sz w:val="21"/>
                <w:szCs w:val="21"/>
                <w:highlight w:val="none"/>
                <w:vertAlign w:val="baseline"/>
                <w:lang w:val="en-US" w:eastAsia="zh-CN"/>
              </w:rPr>
              <w:t>3</w:t>
            </w:r>
          </w:p>
        </w:tc>
        <w:tc>
          <w:tcPr>
            <w:tcW w:w="1865" w:type="dxa"/>
            <w:tcBorders>
              <w:tl2br w:val="nil"/>
              <w:tr2bl w:val="nil"/>
            </w:tcBorders>
            <w:vAlign w:val="center"/>
          </w:tcPr>
          <w:p w14:paraId="3B508273">
            <w:pPr>
              <w:pageBreakBefore w:val="0"/>
              <w:kinsoku/>
              <w:wordWrap/>
              <w:overflowPunct/>
              <w:topLinePunct w:val="0"/>
              <w:autoSpaceDE/>
              <w:autoSpaceDN/>
              <w:bidi w:val="0"/>
              <w:adjustRightInd w:val="0"/>
              <w:snapToGrid w:val="0"/>
              <w:spacing w:line="240" w:lineRule="auto"/>
              <w:ind w:right="0" w:firstLine="0" w:firstLineChars="0"/>
              <w:jc w:val="center"/>
              <w:textAlignment w:val="auto"/>
              <w:rPr>
                <w:rFonts w:hint="default" w:cs="Times New Roman"/>
                <w:b w:val="0"/>
                <w:bCs w:val="0"/>
                <w:color w:val="auto"/>
                <w:sz w:val="21"/>
                <w:szCs w:val="21"/>
                <w:highlight w:val="none"/>
                <w:vertAlign w:val="baseline"/>
                <w:lang w:eastAsia="zh-CN"/>
              </w:rPr>
            </w:pPr>
            <w:r>
              <w:rPr>
                <w:rFonts w:hint="eastAsia" w:cs="Times New Roman"/>
                <w:b w:val="0"/>
                <w:bCs w:val="0"/>
                <w:color w:val="auto"/>
                <w:sz w:val="21"/>
                <w:szCs w:val="21"/>
                <w:highlight w:val="none"/>
                <w:vertAlign w:val="baseline"/>
                <w:lang w:val="en-US" w:eastAsia="zh-CN"/>
              </w:rPr>
              <w:t>200</w:t>
            </w:r>
          </w:p>
        </w:tc>
        <w:tc>
          <w:tcPr>
            <w:tcW w:w="1728" w:type="dxa"/>
            <w:tcBorders>
              <w:tl2br w:val="nil"/>
              <w:tr2bl w:val="nil"/>
            </w:tcBorders>
            <w:vAlign w:val="center"/>
          </w:tcPr>
          <w:p w14:paraId="0FFFC1D6">
            <w:pPr>
              <w:pageBreakBefore w:val="0"/>
              <w:kinsoku/>
              <w:wordWrap/>
              <w:overflowPunct/>
              <w:topLinePunct w:val="0"/>
              <w:autoSpaceDE/>
              <w:autoSpaceDN/>
              <w:bidi w:val="0"/>
              <w:adjustRightInd w:val="0"/>
              <w:snapToGrid w:val="0"/>
              <w:spacing w:line="240" w:lineRule="auto"/>
              <w:ind w:right="0" w:firstLine="0" w:firstLineChars="0"/>
              <w:jc w:val="center"/>
              <w:textAlignment w:val="auto"/>
              <w:rPr>
                <w:rFonts w:hint="default" w:cs="Times New Roman"/>
                <w:b w:val="0"/>
                <w:bCs w:val="0"/>
                <w:color w:val="auto"/>
                <w:sz w:val="21"/>
                <w:szCs w:val="21"/>
                <w:highlight w:val="none"/>
                <w:vertAlign w:val="baseline"/>
                <w:lang w:eastAsia="zh-CN"/>
              </w:rPr>
            </w:pPr>
            <w:r>
              <w:rPr>
                <w:rFonts w:hint="eastAsia" w:cs="Times New Roman"/>
                <w:b w:val="0"/>
                <w:bCs w:val="0"/>
                <w:color w:val="auto"/>
                <w:sz w:val="21"/>
                <w:szCs w:val="21"/>
                <w:highlight w:val="none"/>
                <w:vertAlign w:val="baseline"/>
                <w:lang w:val="en-US" w:eastAsia="zh-CN"/>
              </w:rPr>
              <w:t>115</w:t>
            </w:r>
          </w:p>
        </w:tc>
        <w:tc>
          <w:tcPr>
            <w:tcW w:w="2089" w:type="dxa"/>
            <w:tcBorders>
              <w:tl2br w:val="nil"/>
              <w:tr2bl w:val="nil"/>
            </w:tcBorders>
            <w:vAlign w:val="center"/>
          </w:tcPr>
          <w:p w14:paraId="6CB04DAC">
            <w:pPr>
              <w:pageBreakBefore w:val="0"/>
              <w:kinsoku/>
              <w:wordWrap/>
              <w:overflowPunct/>
              <w:topLinePunct w:val="0"/>
              <w:autoSpaceDE/>
              <w:autoSpaceDN/>
              <w:bidi w:val="0"/>
              <w:adjustRightInd w:val="0"/>
              <w:snapToGrid w:val="0"/>
              <w:spacing w:line="240" w:lineRule="auto"/>
              <w:ind w:right="0" w:firstLine="0" w:firstLineChars="0"/>
              <w:jc w:val="center"/>
              <w:textAlignment w:val="auto"/>
              <w:rPr>
                <w:rFonts w:hint="eastAsia" w:cs="Times New Roman"/>
                <w:b/>
                <w:bCs/>
                <w:color w:val="auto"/>
                <w:sz w:val="21"/>
                <w:szCs w:val="21"/>
                <w:highlight w:val="none"/>
                <w:vertAlign w:val="baseline"/>
                <w:lang w:eastAsia="zh-CN"/>
              </w:rPr>
            </w:pPr>
            <w:r>
              <w:rPr>
                <w:rFonts w:hint="eastAsia" w:cs="Times New Roman"/>
                <w:b w:val="0"/>
                <w:bCs w:val="0"/>
                <w:color w:val="auto"/>
                <w:sz w:val="21"/>
                <w:szCs w:val="21"/>
                <w:highlight w:val="none"/>
                <w:vertAlign w:val="baseline"/>
                <w:lang w:val="en-US" w:eastAsia="zh-CN"/>
              </w:rPr>
              <w:t>20</w:t>
            </w:r>
          </w:p>
        </w:tc>
      </w:tr>
    </w:tbl>
    <w:p w14:paraId="13AD5798">
      <w:pPr>
        <w:pageBreakBefore w:val="0"/>
        <w:kinsoku/>
        <w:wordWrap/>
        <w:overflowPunct/>
        <w:topLinePunct w:val="0"/>
        <w:autoSpaceDE/>
        <w:autoSpaceDN/>
        <w:bidi w:val="0"/>
        <w:adjustRightInd w:val="0"/>
        <w:snapToGrid w:val="0"/>
        <w:spacing w:line="360" w:lineRule="auto"/>
        <w:ind w:right="0" w:firstLine="482" w:firstLineChars="200"/>
        <w:textAlignment w:val="auto"/>
        <w:rPr>
          <w:rFonts w:hint="eastAsia" w:ascii="Times New Roman" w:hAnsi="Times New Roman" w:eastAsia="宋体" w:cs="Times New Roman"/>
          <w:b/>
          <w:bCs/>
          <w:color w:val="auto"/>
          <w:sz w:val="24"/>
          <w:szCs w:val="24"/>
          <w:highlight w:val="none"/>
          <w:lang w:eastAsia="zh-CN"/>
        </w:rPr>
      </w:pPr>
      <w:r>
        <w:rPr>
          <w:rFonts w:hint="eastAsia" w:cs="Times New Roman"/>
          <w:b/>
          <w:bCs/>
          <w:color w:val="auto"/>
          <w:sz w:val="24"/>
          <w:szCs w:val="24"/>
          <w:highlight w:val="none"/>
          <w:lang w:eastAsia="zh-CN"/>
        </w:rPr>
        <w:t>②</w:t>
      </w:r>
      <w:r>
        <w:rPr>
          <w:rFonts w:hint="eastAsia" w:ascii="Times New Roman" w:hAnsi="Times New Roman" w:cs="Times New Roman"/>
          <w:b/>
          <w:bCs/>
          <w:color w:val="auto"/>
          <w:sz w:val="24"/>
          <w:szCs w:val="24"/>
          <w:highlight w:val="none"/>
          <w:lang w:eastAsia="zh-CN"/>
        </w:rPr>
        <w:t>噪声源强</w:t>
      </w:r>
    </w:p>
    <w:p w14:paraId="474EDB62">
      <w:pPr>
        <w:pageBreakBefore w:val="0"/>
        <w:kinsoku/>
        <w:wordWrap/>
        <w:overflowPunct/>
        <w:topLinePunct w:val="0"/>
        <w:autoSpaceDE/>
        <w:autoSpaceDN/>
        <w:bidi w:val="0"/>
        <w:adjustRightInd w:val="0"/>
        <w:snapToGrid w:val="0"/>
        <w:spacing w:line="360" w:lineRule="auto"/>
        <w:ind w:right="0" w:firstLine="480" w:firstLineChars="200"/>
        <w:textAlignment w:val="auto"/>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风机运行过程中的噪声来源于风轮叶片旋转时产生的空气动力噪声和齿轮箱和发电机等部件发出的机械噪声，液压及润滑油冷却系统噪声，由于风机叶片扫过面积较大，因此应作为面源处理。</w:t>
      </w:r>
    </w:p>
    <w:p w14:paraId="259A666B">
      <w:pPr>
        <w:pageBreakBefore w:val="0"/>
        <w:kinsoku/>
        <w:wordWrap/>
        <w:overflowPunct/>
        <w:topLinePunct w:val="0"/>
        <w:autoSpaceDE/>
        <w:autoSpaceDN/>
        <w:bidi w:val="0"/>
        <w:adjustRightInd w:val="0"/>
        <w:snapToGrid w:val="0"/>
        <w:spacing w:line="360" w:lineRule="auto"/>
        <w:ind w:right="0" w:firstLine="480" w:firstLineChars="200"/>
        <w:textAlignment w:val="auto"/>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风电机组噪声分为机械噪声和空气动力学噪声。机械噪声主要来自齿轮箱、轴承、电机，空气动力学噪声产生于风电机组叶片与空气撞击引起的压力脉动，其中的空气动力学噪声是主要的噪声来源。根据浙江大学《风电机组噪声预测》，当风速为8m/s时，兆瓦级以下的风电机组声功率级在98～104dB(A)之间，其噪声呈现明显的低频特性。</w:t>
      </w:r>
    </w:p>
    <w:p w14:paraId="1AEF7640">
      <w:pPr>
        <w:pageBreakBefore w:val="0"/>
        <w:kinsoku/>
        <w:wordWrap/>
        <w:overflowPunct/>
        <w:topLinePunct w:val="0"/>
        <w:autoSpaceDE/>
        <w:autoSpaceDN/>
        <w:bidi w:val="0"/>
        <w:adjustRightInd w:val="0"/>
        <w:snapToGrid w:val="0"/>
        <w:spacing w:line="360" w:lineRule="auto"/>
        <w:ind w:right="0" w:firstLine="480" w:firstLineChars="200"/>
        <w:textAlignment w:val="auto"/>
        <w:rPr>
          <w:rFonts w:hint="default" w:ascii="Times New Roman" w:hAnsi="Times New Roman" w:cs="Times New Roman"/>
          <w:color w:val="auto"/>
          <w:sz w:val="24"/>
          <w:highlight w:val="none"/>
        </w:rPr>
      </w:pPr>
      <w:r>
        <w:rPr>
          <w:rFonts w:hint="default" w:ascii="Times New Roman" w:hAnsi="Times New Roman" w:cs="Times New Roman"/>
          <w:color w:val="auto"/>
          <w:sz w:val="24"/>
          <w:szCs w:val="24"/>
          <w:highlight w:val="none"/>
        </w:rPr>
        <w:t>风电机组的噪声主要来源于空气动力学噪声，即旋转的风机叶片和空气的摩擦声。</w:t>
      </w:r>
      <w:r>
        <w:rPr>
          <w:rFonts w:hint="default" w:ascii="Times New Roman" w:hAnsi="Times New Roman" w:cs="Times New Roman"/>
          <w:color w:val="auto"/>
          <w:sz w:val="24"/>
          <w:highlight w:val="none"/>
        </w:rPr>
        <w:t>本项目风机单机容量为5.0MW，</w:t>
      </w:r>
      <w:r>
        <w:rPr>
          <w:rFonts w:hint="eastAsia" w:ascii="Times New Roman" w:hAnsi="Times New Roman" w:cs="Times New Roman"/>
          <w:color w:val="auto"/>
          <w:sz w:val="24"/>
          <w:highlight w:val="none"/>
          <w:lang w:eastAsia="zh-CN"/>
        </w:rPr>
        <w:t>型号为</w:t>
      </w:r>
      <w:r>
        <w:rPr>
          <w:rFonts w:hint="eastAsia" w:ascii="Times New Roman" w:hAnsi="Times New Roman" w:eastAsia="宋体" w:cs="Times New Roman"/>
          <w:b w:val="0"/>
          <w:bCs w:val="0"/>
          <w:color w:val="auto"/>
          <w:kern w:val="2"/>
          <w:sz w:val="24"/>
          <w:szCs w:val="24"/>
          <w:highlight w:val="none"/>
          <w:u w:val="none"/>
          <w:lang w:val="en-US" w:eastAsia="zh-CN" w:bidi="ar-SA"/>
        </w:rPr>
        <w:t>WTG200-5000</w:t>
      </w:r>
      <w:r>
        <w:rPr>
          <w:rFonts w:hint="eastAsia" w:ascii="Times New Roman" w:hAnsi="Times New Roman" w:cs="Times New Roman"/>
          <w:color w:val="auto"/>
          <w:sz w:val="24"/>
          <w:highlight w:val="none"/>
          <w:lang w:eastAsia="zh-CN"/>
        </w:rPr>
        <w:t>。</w:t>
      </w:r>
      <w:r>
        <w:rPr>
          <w:rFonts w:hint="default" w:ascii="Times New Roman" w:hAnsi="Times New Roman" w:cs="Times New Roman"/>
          <w:color w:val="auto"/>
          <w:sz w:val="24"/>
          <w:highlight w:val="none"/>
        </w:rPr>
        <w:t>根据国内同类</w:t>
      </w:r>
      <w:r>
        <w:rPr>
          <w:rFonts w:hint="eastAsia" w:ascii="Times New Roman" w:hAnsi="Times New Roman" w:cs="Times New Roman"/>
          <w:color w:val="auto"/>
          <w:sz w:val="24"/>
          <w:highlight w:val="none"/>
          <w:lang w:eastAsia="zh-CN"/>
        </w:rPr>
        <w:t>工程</w:t>
      </w:r>
      <w:r>
        <w:rPr>
          <w:rFonts w:hint="default" w:ascii="Times New Roman" w:hAnsi="Times New Roman" w:cs="Times New Roman"/>
          <w:color w:val="auto"/>
          <w:sz w:val="24"/>
          <w:highlight w:val="none"/>
        </w:rPr>
        <w:t>提供的《风能产品噪声测试报告》，5.0MW的风力发电机组（型号SE15650）在测试风速7.5m/s~14.5m/s情况下，噪声测试结果为108.2~109.4dB(A)；根据《WT5000D195风电机组噪声评估报告》（中车株洲电力机车研究所有限公司风电事业部），5.0MW风电机组在风速3m/s~14m/s情况下，风机噪声值为98.2~109.0dB（A）。因此，本项目风机噪声源强取109dB（A）。</w:t>
      </w:r>
    </w:p>
    <w:p w14:paraId="3489065E">
      <w:pPr>
        <w:pageBreakBefore w:val="0"/>
        <w:kinsoku/>
        <w:wordWrap/>
        <w:overflowPunct/>
        <w:topLinePunct w:val="0"/>
        <w:autoSpaceDE/>
        <w:autoSpaceDN/>
        <w:bidi w:val="0"/>
        <w:adjustRightInd w:val="0"/>
        <w:snapToGrid w:val="0"/>
        <w:spacing w:line="360" w:lineRule="auto"/>
        <w:ind w:right="0" w:firstLine="480" w:firstLineChars="200"/>
        <w:textAlignment w:val="auto"/>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highlight w:val="none"/>
        </w:rPr>
        <w:t>液压及润滑油冷却系统噪声值约为78dB(A)；偏航系统刹车偶发噪声值约为120dB(A)</w:t>
      </w:r>
      <w:r>
        <w:rPr>
          <w:rFonts w:hint="eastAsia" w:ascii="Times New Roman" w:hAnsi="Times New Roman" w:cs="Times New Roman"/>
          <w:color w:val="auto"/>
          <w:sz w:val="24"/>
          <w:highlight w:val="none"/>
          <w:lang w:eastAsia="zh-CN"/>
        </w:rPr>
        <w:t>。</w:t>
      </w:r>
      <w:r>
        <w:rPr>
          <w:rFonts w:hint="default" w:ascii="Times New Roman" w:hAnsi="Times New Roman" w:cs="Times New Roman"/>
          <w:color w:val="auto"/>
          <w:sz w:val="24"/>
          <w:highlight w:val="none"/>
        </w:rPr>
        <w:t>风机之间排距超过200m，相互之间影响可以忽略。</w:t>
      </w:r>
    </w:p>
    <w:p w14:paraId="7A80ACBA">
      <w:pPr>
        <w:pageBreakBefore w:val="0"/>
        <w:kinsoku/>
        <w:wordWrap/>
        <w:overflowPunct/>
        <w:topLinePunct w:val="0"/>
        <w:autoSpaceDE/>
        <w:autoSpaceDN/>
        <w:bidi w:val="0"/>
        <w:adjustRightInd w:val="0"/>
        <w:snapToGrid w:val="0"/>
        <w:spacing w:line="360" w:lineRule="auto"/>
        <w:ind w:right="0" w:firstLine="482" w:firstLineChars="200"/>
        <w:textAlignment w:val="auto"/>
        <w:rPr>
          <w:rFonts w:hint="eastAsia" w:ascii="Times New Roman" w:hAnsi="Times New Roman" w:eastAsia="宋体" w:cs="Times New Roman"/>
          <w:b/>
          <w:bCs/>
          <w:color w:val="auto"/>
          <w:sz w:val="24"/>
          <w:szCs w:val="24"/>
          <w:highlight w:val="none"/>
          <w:lang w:eastAsia="zh-CN"/>
        </w:rPr>
      </w:pPr>
      <w:r>
        <w:rPr>
          <w:rFonts w:hint="eastAsia" w:cs="Times New Roman"/>
          <w:b/>
          <w:bCs/>
          <w:color w:val="auto"/>
          <w:sz w:val="24"/>
          <w:szCs w:val="24"/>
          <w:highlight w:val="none"/>
          <w:lang w:eastAsia="zh-CN"/>
        </w:rPr>
        <w:t>③</w:t>
      </w:r>
      <w:r>
        <w:rPr>
          <w:rFonts w:hint="eastAsia" w:ascii="Times New Roman" w:hAnsi="Times New Roman" w:cs="Times New Roman"/>
          <w:b/>
          <w:bCs/>
          <w:color w:val="auto"/>
          <w:sz w:val="24"/>
          <w:szCs w:val="24"/>
          <w:highlight w:val="none"/>
          <w:lang w:eastAsia="zh-CN"/>
        </w:rPr>
        <w:t>预测内容</w:t>
      </w:r>
    </w:p>
    <w:p w14:paraId="76899779">
      <w:pPr>
        <w:pageBreakBefore w:val="0"/>
        <w:kinsoku/>
        <w:wordWrap/>
        <w:overflowPunct/>
        <w:topLinePunct w:val="0"/>
        <w:autoSpaceDE/>
        <w:autoSpaceDN/>
        <w:bidi w:val="0"/>
        <w:adjustRightInd w:val="0"/>
        <w:snapToGrid w:val="0"/>
        <w:spacing w:line="360" w:lineRule="auto"/>
        <w:ind w:right="0" w:firstLine="480" w:firstLineChars="200"/>
        <w:textAlignment w:val="auto"/>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本次评价噪声影响预测内容为风机运行噪声正常情况距离衰减规律和偏航系统运行单个风电机组突发噪声最大预值。</w:t>
      </w:r>
    </w:p>
    <w:p w14:paraId="1182FD5A">
      <w:pPr>
        <w:pageBreakBefore w:val="0"/>
        <w:kinsoku/>
        <w:wordWrap/>
        <w:overflowPunct/>
        <w:topLinePunct w:val="0"/>
        <w:autoSpaceDE/>
        <w:autoSpaceDN/>
        <w:bidi w:val="0"/>
        <w:adjustRightInd w:val="0"/>
        <w:snapToGrid w:val="0"/>
        <w:spacing w:line="360" w:lineRule="auto"/>
        <w:ind w:right="0" w:firstLine="482" w:firstLineChars="200"/>
        <w:textAlignment w:val="auto"/>
        <w:rPr>
          <w:rFonts w:hint="eastAsia" w:ascii="Times New Roman" w:hAnsi="Times New Roman" w:eastAsia="宋体" w:cs="Times New Roman"/>
          <w:b/>
          <w:bCs/>
          <w:color w:val="auto"/>
          <w:sz w:val="24"/>
          <w:szCs w:val="24"/>
          <w:highlight w:val="none"/>
          <w:lang w:eastAsia="zh-CN"/>
        </w:rPr>
      </w:pPr>
      <w:r>
        <w:rPr>
          <w:rFonts w:hint="eastAsia" w:cs="Times New Roman"/>
          <w:b/>
          <w:bCs/>
          <w:color w:val="auto"/>
          <w:sz w:val="24"/>
          <w:szCs w:val="24"/>
          <w:highlight w:val="none"/>
          <w:lang w:eastAsia="zh-CN"/>
        </w:rPr>
        <w:t>④</w:t>
      </w:r>
      <w:r>
        <w:rPr>
          <w:rFonts w:hint="eastAsia" w:ascii="Times New Roman" w:hAnsi="Times New Roman" w:cs="Times New Roman"/>
          <w:b/>
          <w:bCs/>
          <w:color w:val="auto"/>
          <w:sz w:val="24"/>
          <w:szCs w:val="24"/>
          <w:highlight w:val="none"/>
          <w:lang w:eastAsia="zh-CN"/>
        </w:rPr>
        <w:t>噪声源简化及预测模式</w:t>
      </w:r>
    </w:p>
    <w:p w14:paraId="79BC10EC">
      <w:pPr>
        <w:pStyle w:val="29"/>
        <w:ind w:firstLine="480"/>
        <w:rPr>
          <w:rFonts w:hAnsi="宋体" w:cs="Times New Roman"/>
          <w:color w:val="auto"/>
          <w:highlight w:val="none"/>
        </w:rPr>
      </w:pPr>
      <w:r>
        <w:rPr>
          <w:rFonts w:hAnsi="宋体" w:cs="Times New Roman"/>
          <w:color w:val="auto"/>
          <w:highlight w:val="none"/>
        </w:rPr>
        <w:t>本次评价噪声预测采用处于半自由空间的点声源衰减公式和多声源叠加公式对预测点进行预测。处于半自由空间的点声源衰减公式为：</w:t>
      </w:r>
    </w:p>
    <w:p w14:paraId="3C25A041">
      <w:pPr>
        <w:pStyle w:val="50"/>
        <w:ind w:firstLine="464"/>
        <w:rPr>
          <w:rFonts w:cs="Times New Roman"/>
          <w:color w:val="auto"/>
          <w:highlight w:val="none"/>
        </w:rPr>
      </w:pPr>
      <w:r>
        <w:rPr>
          <w:rFonts w:cs="Times New Roman"/>
          <w:color w:val="auto"/>
          <w:highlight w:val="none"/>
        </w:rPr>
        <w:t>L(r)＝L</w:t>
      </w:r>
      <w:r>
        <w:rPr>
          <w:rFonts w:cs="Times New Roman"/>
          <w:color w:val="auto"/>
          <w:highlight w:val="none"/>
          <w:vertAlign w:val="subscript"/>
        </w:rPr>
        <w:t>W</w:t>
      </w:r>
      <w:r>
        <w:rPr>
          <w:rFonts w:cs="Times New Roman"/>
          <w:color w:val="auto"/>
          <w:highlight w:val="none"/>
        </w:rPr>
        <w:t>-20lgr-8</w:t>
      </w:r>
    </w:p>
    <w:p w14:paraId="541DEE6D">
      <w:pPr>
        <w:pStyle w:val="50"/>
        <w:ind w:firstLine="464"/>
        <w:rPr>
          <w:rFonts w:cs="Times New Roman"/>
          <w:color w:val="auto"/>
          <w:highlight w:val="none"/>
        </w:rPr>
      </w:pPr>
      <w:r>
        <w:rPr>
          <w:rFonts w:cs="Times New Roman"/>
          <w:color w:val="auto"/>
          <w:highlight w:val="none"/>
        </w:rPr>
        <w:t>式中：L</w:t>
      </w:r>
      <w:r>
        <w:rPr>
          <w:rFonts w:cs="Times New Roman"/>
          <w:color w:val="auto"/>
          <w:highlight w:val="none"/>
          <w:vertAlign w:val="subscript"/>
        </w:rPr>
        <w:t>W</w:t>
      </w:r>
      <w:r>
        <w:rPr>
          <w:rFonts w:cs="Times New Roman"/>
          <w:color w:val="auto"/>
          <w:highlight w:val="none"/>
        </w:rPr>
        <w:t>：点声源的声功率级，dB(A)；</w:t>
      </w:r>
    </w:p>
    <w:p w14:paraId="6D3AFB75">
      <w:pPr>
        <w:pStyle w:val="50"/>
        <w:ind w:firstLine="464"/>
        <w:rPr>
          <w:rFonts w:cs="Times New Roman"/>
          <w:color w:val="auto"/>
          <w:highlight w:val="none"/>
        </w:rPr>
      </w:pPr>
      <w:r>
        <w:rPr>
          <w:rFonts w:cs="Times New Roman"/>
          <w:color w:val="auto"/>
          <w:highlight w:val="none"/>
        </w:rPr>
        <w:t>其他符号意义同公式(1)。</w:t>
      </w:r>
    </w:p>
    <w:p w14:paraId="0EAB0954">
      <w:pPr>
        <w:pStyle w:val="50"/>
        <w:ind w:firstLine="464"/>
        <w:rPr>
          <w:rFonts w:cs="Times New Roman"/>
          <w:color w:val="auto"/>
          <w:highlight w:val="none"/>
        </w:rPr>
      </w:pPr>
      <w:r>
        <w:rPr>
          <w:rFonts w:cs="Times New Roman"/>
          <w:color w:val="auto"/>
          <w:highlight w:val="none"/>
        </w:rPr>
        <w:t>多声源叠加公式为：</w:t>
      </w:r>
    </w:p>
    <w:p w14:paraId="40A954D8">
      <w:pPr>
        <w:pStyle w:val="50"/>
        <w:ind w:firstLine="464"/>
        <w:rPr>
          <w:rFonts w:cs="Times New Roman"/>
          <w:color w:val="auto"/>
          <w:highlight w:val="none"/>
        </w:rPr>
      </w:pPr>
      <w:r>
        <w:rPr>
          <w:rFonts w:cs="Times New Roman"/>
          <w:color w:val="auto"/>
          <w:highlight w:val="none"/>
        </w:rPr>
        <w:t>Lp＝10lg(10</w:t>
      </w:r>
      <w:r>
        <w:rPr>
          <w:rFonts w:cs="Times New Roman"/>
          <w:color w:val="auto"/>
          <w:highlight w:val="none"/>
          <w:vertAlign w:val="superscript"/>
        </w:rPr>
        <w:t>Lp1/10</w:t>
      </w:r>
      <w:r>
        <w:rPr>
          <w:rFonts w:cs="Times New Roman"/>
          <w:color w:val="auto"/>
          <w:highlight w:val="none"/>
        </w:rPr>
        <w:t>＋10</w:t>
      </w:r>
      <w:r>
        <w:rPr>
          <w:rFonts w:cs="Times New Roman"/>
          <w:color w:val="auto"/>
          <w:highlight w:val="none"/>
          <w:vertAlign w:val="superscript"/>
        </w:rPr>
        <w:t>Lp2/10</w:t>
      </w:r>
      <w:r>
        <w:rPr>
          <w:rFonts w:cs="Times New Roman"/>
          <w:color w:val="auto"/>
          <w:highlight w:val="none"/>
        </w:rPr>
        <w:t>＋…＋10</w:t>
      </w:r>
      <w:r>
        <w:rPr>
          <w:rFonts w:cs="Times New Roman"/>
          <w:color w:val="auto"/>
          <w:highlight w:val="none"/>
          <w:vertAlign w:val="superscript"/>
        </w:rPr>
        <w:t>Lpn/10</w:t>
      </w:r>
      <w:r>
        <w:rPr>
          <w:rFonts w:cs="Times New Roman"/>
          <w:color w:val="auto"/>
          <w:highlight w:val="none"/>
        </w:rPr>
        <w:t>)</w:t>
      </w:r>
    </w:p>
    <w:p w14:paraId="22FFFBF3">
      <w:pPr>
        <w:pStyle w:val="50"/>
        <w:ind w:firstLine="464"/>
        <w:rPr>
          <w:rFonts w:cs="Times New Roman"/>
          <w:color w:val="auto"/>
          <w:highlight w:val="none"/>
        </w:rPr>
      </w:pPr>
      <w:r>
        <w:rPr>
          <w:rFonts w:cs="Times New Roman"/>
          <w:color w:val="auto"/>
          <w:highlight w:val="none"/>
        </w:rPr>
        <w:t>式中：Lp：n个噪声源叠加后的总噪声值，dB(A)；</w:t>
      </w:r>
    </w:p>
    <w:p w14:paraId="30B23519">
      <w:pPr>
        <w:pStyle w:val="50"/>
        <w:ind w:firstLine="464"/>
        <w:rPr>
          <w:rFonts w:cs="Times New Roman"/>
          <w:color w:val="auto"/>
          <w:highlight w:val="none"/>
        </w:rPr>
      </w:pPr>
      <w:r>
        <w:rPr>
          <w:rFonts w:cs="Times New Roman"/>
          <w:color w:val="auto"/>
          <w:highlight w:val="none"/>
        </w:rPr>
        <w:t>Lpi：第i个噪声源对该点的噪声值，dB(A)。</w:t>
      </w:r>
    </w:p>
    <w:p w14:paraId="05491090">
      <w:pPr>
        <w:pStyle w:val="50"/>
        <w:ind w:firstLine="464"/>
        <w:rPr>
          <w:rFonts w:cs="Times New Roman"/>
          <w:b/>
          <w:bCs/>
          <w:color w:val="auto"/>
          <w:highlight w:val="none"/>
        </w:rPr>
      </w:pPr>
      <w:r>
        <w:rPr>
          <w:rFonts w:hint="eastAsia" w:cs="Times New Roman"/>
          <w:b/>
          <w:bCs/>
          <w:color w:val="auto"/>
          <w:highlight w:val="none"/>
          <w:lang w:eastAsia="zh-CN"/>
        </w:rPr>
        <w:t>⑤</w:t>
      </w:r>
      <w:r>
        <w:rPr>
          <w:rFonts w:cs="Times New Roman"/>
          <w:b/>
          <w:bCs/>
          <w:color w:val="auto"/>
          <w:highlight w:val="none"/>
        </w:rPr>
        <w:t>正常情况预测结果</w:t>
      </w:r>
    </w:p>
    <w:p w14:paraId="4F984A06">
      <w:pPr>
        <w:pStyle w:val="50"/>
        <w:ind w:firstLine="464"/>
        <w:rPr>
          <w:rFonts w:cs="Times New Roman"/>
          <w:color w:val="auto"/>
          <w:highlight w:val="none"/>
        </w:rPr>
      </w:pPr>
      <w:r>
        <w:rPr>
          <w:rFonts w:cs="Times New Roman"/>
          <w:color w:val="auto"/>
          <w:highlight w:val="none"/>
        </w:rPr>
        <w:t>在不考虑地形高差及阻隔等影响情况下，在单个声源噪声影响预测结果见下表。</w:t>
      </w:r>
    </w:p>
    <w:p w14:paraId="0C3FF0B5">
      <w:pPr>
        <w:keepNext w:val="0"/>
        <w:keepLines w:val="0"/>
        <w:pageBreakBefore w:val="0"/>
        <w:widowControl w:val="0"/>
        <w:kinsoku/>
        <w:wordWrap/>
        <w:overflowPunct/>
        <w:topLinePunct w:val="0"/>
        <w:autoSpaceDE/>
        <w:autoSpaceDN/>
        <w:bidi w:val="0"/>
        <w:adjustRightInd w:val="0"/>
        <w:snapToGrid w:val="0"/>
        <w:spacing w:line="240" w:lineRule="auto"/>
        <w:ind w:right="0"/>
        <w:jc w:val="center"/>
        <w:textAlignment w:val="auto"/>
        <w:rPr>
          <w:rFonts w:hint="eastAsia" w:ascii="Times New Roman" w:hAnsi="Times New Roman" w:eastAsia="宋体" w:cs="Times New Roman"/>
          <w:b/>
          <w:color w:val="auto"/>
          <w:sz w:val="24"/>
          <w:highlight w:val="none"/>
          <w:u w:val="none"/>
        </w:rPr>
      </w:pPr>
      <w:r>
        <w:rPr>
          <w:rFonts w:hint="eastAsia" w:ascii="Times New Roman" w:hAnsi="Times New Roman" w:eastAsia="宋体" w:cs="Times New Roman"/>
          <w:b/>
          <w:color w:val="auto"/>
          <w:sz w:val="24"/>
          <w:highlight w:val="none"/>
          <w:u w:val="none"/>
        </w:rPr>
        <w:t>表</w:t>
      </w:r>
      <w:r>
        <w:rPr>
          <w:rFonts w:hint="eastAsia" w:cs="Times New Roman"/>
          <w:b/>
          <w:color w:val="auto"/>
          <w:sz w:val="24"/>
          <w:highlight w:val="none"/>
          <w:u w:val="none"/>
          <w:lang w:val="en-US" w:eastAsia="zh-CN"/>
        </w:rPr>
        <w:t>6.2.3</w:t>
      </w:r>
      <w:r>
        <w:rPr>
          <w:rFonts w:hint="eastAsia" w:ascii="Times New Roman" w:hAnsi="Times New Roman" w:eastAsia="宋体" w:cs="Times New Roman"/>
          <w:b/>
          <w:color w:val="auto"/>
          <w:sz w:val="24"/>
          <w:highlight w:val="none"/>
          <w:u w:val="none"/>
          <w:lang w:val="en-US" w:eastAsia="zh-CN"/>
        </w:rPr>
        <w:t>-</w:t>
      </w:r>
      <w:r>
        <w:rPr>
          <w:rFonts w:hint="eastAsia" w:cs="Times New Roman"/>
          <w:b/>
          <w:color w:val="auto"/>
          <w:sz w:val="24"/>
          <w:highlight w:val="none"/>
          <w:u w:val="none"/>
          <w:lang w:val="en-US" w:eastAsia="zh-CN"/>
        </w:rPr>
        <w:t>2</w:t>
      </w:r>
      <w:r>
        <w:rPr>
          <w:rFonts w:hint="eastAsia" w:ascii="Times New Roman" w:hAnsi="Times New Roman" w:eastAsia="宋体" w:cs="Times New Roman"/>
          <w:b/>
          <w:color w:val="auto"/>
          <w:sz w:val="24"/>
          <w:highlight w:val="none"/>
          <w:u w:val="none"/>
          <w:lang w:val="en-US" w:eastAsia="zh-CN"/>
        </w:rPr>
        <w:t xml:space="preserve">  </w:t>
      </w:r>
      <w:r>
        <w:rPr>
          <w:rFonts w:hint="eastAsia" w:ascii="Times New Roman" w:hAnsi="Times New Roman" w:eastAsia="宋体" w:cs="Times New Roman"/>
          <w:b/>
          <w:color w:val="auto"/>
          <w:sz w:val="24"/>
          <w:highlight w:val="none"/>
          <w:u w:val="none"/>
        </w:rPr>
        <w:t>单台风机噪声正常情况衰减计算结果一览表</w:t>
      </w:r>
    </w:p>
    <w:tbl>
      <w:tblPr>
        <w:tblStyle w:val="19"/>
        <w:tblW w:w="5000" w:type="pct"/>
        <w:tblInd w:w="1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1144"/>
        <w:gridCol w:w="757"/>
        <w:gridCol w:w="761"/>
        <w:gridCol w:w="748"/>
        <w:gridCol w:w="698"/>
        <w:gridCol w:w="718"/>
        <w:gridCol w:w="741"/>
        <w:gridCol w:w="665"/>
        <w:gridCol w:w="665"/>
        <w:gridCol w:w="703"/>
        <w:gridCol w:w="819"/>
      </w:tblGrid>
      <w:tr w14:paraId="148C72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340" w:hRule="atLeast"/>
        </w:trPr>
        <w:tc>
          <w:tcPr>
            <w:tcW w:w="1106" w:type="dxa"/>
            <w:tcBorders>
              <w:top w:val="single" w:color="000000" w:sz="12" w:space="0"/>
              <w:left w:val="single" w:color="000000" w:sz="12" w:space="0"/>
            </w:tcBorders>
            <w:noWrap w:val="0"/>
            <w:vAlign w:val="center"/>
          </w:tcPr>
          <w:p w14:paraId="13F4DFE8">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rPr>
              <w:t>距声源水平距离</w:t>
            </w:r>
            <w:r>
              <w:rPr>
                <w:rFonts w:ascii="Times New Roman" w:hAnsi="Times New Roman"/>
                <w:b w:val="0"/>
                <w:bCs/>
                <w:color w:val="auto"/>
                <w:highlight w:val="none"/>
                <w:lang w:val="zh-CN"/>
              </w:rPr>
              <w:t>r1</w:t>
            </w:r>
            <w:r>
              <w:rPr>
                <w:rFonts w:hint="eastAsia" w:ascii="Times New Roman" w:hAnsi="Times New Roman"/>
                <w:b w:val="0"/>
                <w:bCs/>
                <w:color w:val="auto"/>
                <w:highlight w:val="none"/>
                <w:lang w:val="zh-CN"/>
              </w:rPr>
              <w:t>（</w:t>
            </w:r>
            <w:r>
              <w:rPr>
                <w:rFonts w:ascii="Times New Roman" w:hAnsi="Times New Roman"/>
                <w:b w:val="0"/>
                <w:bCs/>
                <w:color w:val="auto"/>
                <w:highlight w:val="none"/>
                <w:lang w:val="zh-CN"/>
              </w:rPr>
              <w:t>m</w:t>
            </w:r>
            <w:r>
              <w:rPr>
                <w:rFonts w:hint="eastAsia" w:ascii="Times New Roman" w:hAnsi="Times New Roman"/>
                <w:b w:val="0"/>
                <w:bCs/>
                <w:color w:val="auto"/>
                <w:highlight w:val="none"/>
                <w:lang w:val="zh-CN"/>
              </w:rPr>
              <w:t>）</w:t>
            </w:r>
          </w:p>
        </w:tc>
        <w:tc>
          <w:tcPr>
            <w:tcW w:w="732" w:type="dxa"/>
            <w:tcBorders>
              <w:top w:val="single" w:color="000000" w:sz="12" w:space="0"/>
            </w:tcBorders>
            <w:noWrap w:val="0"/>
            <w:vAlign w:val="center"/>
          </w:tcPr>
          <w:p w14:paraId="6364B7A6">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50</w:t>
            </w:r>
          </w:p>
        </w:tc>
        <w:tc>
          <w:tcPr>
            <w:tcW w:w="735" w:type="dxa"/>
            <w:tcBorders>
              <w:top w:val="single" w:color="000000" w:sz="12" w:space="0"/>
            </w:tcBorders>
            <w:noWrap w:val="0"/>
            <w:vAlign w:val="center"/>
          </w:tcPr>
          <w:p w14:paraId="347783D7">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100</w:t>
            </w:r>
          </w:p>
        </w:tc>
        <w:tc>
          <w:tcPr>
            <w:tcW w:w="723" w:type="dxa"/>
            <w:tcBorders>
              <w:top w:val="single" w:color="000000" w:sz="12" w:space="0"/>
            </w:tcBorders>
            <w:noWrap w:val="0"/>
            <w:vAlign w:val="center"/>
          </w:tcPr>
          <w:p w14:paraId="1F718903">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150</w:t>
            </w:r>
          </w:p>
        </w:tc>
        <w:tc>
          <w:tcPr>
            <w:tcW w:w="675" w:type="dxa"/>
            <w:tcBorders>
              <w:top w:val="single" w:color="000000" w:sz="12" w:space="0"/>
            </w:tcBorders>
            <w:noWrap w:val="0"/>
            <w:vAlign w:val="center"/>
          </w:tcPr>
          <w:p w14:paraId="727826AA">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200</w:t>
            </w:r>
          </w:p>
        </w:tc>
        <w:tc>
          <w:tcPr>
            <w:tcW w:w="694" w:type="dxa"/>
            <w:tcBorders>
              <w:top w:val="single" w:color="000000" w:sz="12" w:space="0"/>
            </w:tcBorders>
            <w:noWrap w:val="0"/>
            <w:vAlign w:val="center"/>
          </w:tcPr>
          <w:p w14:paraId="1D929639">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250</w:t>
            </w:r>
          </w:p>
        </w:tc>
        <w:tc>
          <w:tcPr>
            <w:tcW w:w="716" w:type="dxa"/>
            <w:tcBorders>
              <w:top w:val="single" w:color="000000" w:sz="12" w:space="0"/>
            </w:tcBorders>
            <w:noWrap w:val="0"/>
            <w:vAlign w:val="center"/>
          </w:tcPr>
          <w:p w14:paraId="2379169C">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300</w:t>
            </w:r>
          </w:p>
        </w:tc>
        <w:tc>
          <w:tcPr>
            <w:tcW w:w="643" w:type="dxa"/>
            <w:tcBorders>
              <w:top w:val="single" w:color="000000" w:sz="12" w:space="0"/>
            </w:tcBorders>
            <w:noWrap w:val="0"/>
            <w:vAlign w:val="center"/>
          </w:tcPr>
          <w:p w14:paraId="67D74BDE">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340</w:t>
            </w:r>
          </w:p>
        </w:tc>
        <w:tc>
          <w:tcPr>
            <w:tcW w:w="643" w:type="dxa"/>
            <w:tcBorders>
              <w:top w:val="single" w:color="000000" w:sz="12" w:space="0"/>
            </w:tcBorders>
            <w:noWrap w:val="0"/>
            <w:vAlign w:val="center"/>
          </w:tcPr>
          <w:p w14:paraId="6E868690">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350</w:t>
            </w:r>
          </w:p>
        </w:tc>
        <w:tc>
          <w:tcPr>
            <w:tcW w:w="679" w:type="dxa"/>
            <w:tcBorders>
              <w:top w:val="single" w:color="000000" w:sz="12" w:space="0"/>
            </w:tcBorders>
            <w:noWrap w:val="0"/>
            <w:vAlign w:val="center"/>
          </w:tcPr>
          <w:p w14:paraId="161096B7">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400</w:t>
            </w:r>
          </w:p>
        </w:tc>
        <w:tc>
          <w:tcPr>
            <w:tcW w:w="791" w:type="dxa"/>
            <w:tcBorders>
              <w:top w:val="single" w:color="000000" w:sz="12" w:space="0"/>
              <w:right w:val="single" w:color="000000" w:sz="12" w:space="0"/>
            </w:tcBorders>
            <w:noWrap w:val="0"/>
            <w:vAlign w:val="center"/>
          </w:tcPr>
          <w:p w14:paraId="4C78CE91">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500</w:t>
            </w:r>
          </w:p>
        </w:tc>
      </w:tr>
      <w:tr w14:paraId="4F775C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340" w:hRule="atLeast"/>
        </w:trPr>
        <w:tc>
          <w:tcPr>
            <w:tcW w:w="1106" w:type="dxa"/>
            <w:tcBorders>
              <w:left w:val="single" w:color="000000" w:sz="12" w:space="0"/>
            </w:tcBorders>
            <w:noWrap w:val="0"/>
            <w:vAlign w:val="center"/>
          </w:tcPr>
          <w:p w14:paraId="336B7B8C">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rPr>
              <w:t>对应距声源几何距离</w:t>
            </w:r>
            <w:r>
              <w:rPr>
                <w:rFonts w:ascii="Times New Roman" w:hAnsi="Times New Roman"/>
                <w:b w:val="0"/>
                <w:bCs/>
                <w:color w:val="auto"/>
                <w:highlight w:val="none"/>
                <w:lang w:val="zh-CN"/>
              </w:rPr>
              <w:t>r2</w:t>
            </w:r>
            <w:r>
              <w:rPr>
                <w:rFonts w:hint="eastAsia" w:ascii="Times New Roman" w:hAnsi="Times New Roman"/>
                <w:b w:val="0"/>
                <w:bCs/>
                <w:color w:val="auto"/>
                <w:highlight w:val="none"/>
                <w:lang w:val="zh-CN"/>
              </w:rPr>
              <w:t>（</w:t>
            </w:r>
            <w:r>
              <w:rPr>
                <w:rFonts w:ascii="Times New Roman" w:hAnsi="Times New Roman"/>
                <w:b w:val="0"/>
                <w:bCs/>
                <w:color w:val="auto"/>
                <w:highlight w:val="none"/>
                <w:lang w:val="zh-CN"/>
              </w:rPr>
              <w:t>m</w:t>
            </w:r>
            <w:r>
              <w:rPr>
                <w:rFonts w:hint="eastAsia" w:ascii="Times New Roman" w:hAnsi="Times New Roman"/>
                <w:b w:val="0"/>
                <w:bCs/>
                <w:color w:val="auto"/>
                <w:highlight w:val="none"/>
                <w:lang w:val="zh-CN"/>
              </w:rPr>
              <w:t>）</w:t>
            </w:r>
          </w:p>
        </w:tc>
        <w:tc>
          <w:tcPr>
            <w:tcW w:w="732" w:type="dxa"/>
            <w:noWrap w:val="0"/>
            <w:vAlign w:val="center"/>
          </w:tcPr>
          <w:p w14:paraId="287EEC8C">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125.4</w:t>
            </w:r>
          </w:p>
        </w:tc>
        <w:tc>
          <w:tcPr>
            <w:tcW w:w="735" w:type="dxa"/>
            <w:noWrap w:val="0"/>
            <w:vAlign w:val="center"/>
          </w:tcPr>
          <w:p w14:paraId="69CD9C17">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152.4</w:t>
            </w:r>
          </w:p>
        </w:tc>
        <w:tc>
          <w:tcPr>
            <w:tcW w:w="723" w:type="dxa"/>
            <w:noWrap w:val="0"/>
            <w:vAlign w:val="center"/>
          </w:tcPr>
          <w:p w14:paraId="3688F335">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189.0</w:t>
            </w:r>
          </w:p>
        </w:tc>
        <w:tc>
          <w:tcPr>
            <w:tcW w:w="675" w:type="dxa"/>
            <w:noWrap w:val="0"/>
            <w:vAlign w:val="center"/>
          </w:tcPr>
          <w:p w14:paraId="11D7B3F7">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230.7</w:t>
            </w:r>
          </w:p>
        </w:tc>
        <w:tc>
          <w:tcPr>
            <w:tcW w:w="694" w:type="dxa"/>
            <w:noWrap w:val="0"/>
            <w:vAlign w:val="center"/>
          </w:tcPr>
          <w:p w14:paraId="40BA1020">
            <w:pPr>
              <w:pStyle w:val="45"/>
              <w:bidi w:val="0"/>
              <w:rPr>
                <w:rFonts w:hint="default" w:ascii="Times New Roman" w:hAnsi="Times New Roman"/>
                <w:b w:val="0"/>
                <w:bCs/>
                <w:color w:val="auto"/>
                <w:highlight w:val="none"/>
                <w:lang w:val="en-US" w:eastAsia="zh-CN"/>
              </w:rPr>
            </w:pPr>
            <w:r>
              <w:rPr>
                <w:rFonts w:ascii="Times New Roman" w:hAnsi="Times New Roman"/>
                <w:b w:val="0"/>
                <w:bCs/>
                <w:color w:val="auto"/>
                <w:highlight w:val="none"/>
                <w:lang w:val="zh-CN"/>
              </w:rPr>
              <w:t>2</w:t>
            </w:r>
            <w:r>
              <w:rPr>
                <w:rFonts w:hint="eastAsia" w:ascii="Times New Roman" w:hAnsi="Times New Roman"/>
                <w:b w:val="0"/>
                <w:bCs/>
                <w:color w:val="auto"/>
                <w:highlight w:val="none"/>
                <w:lang w:val="en-US" w:eastAsia="zh-CN"/>
              </w:rPr>
              <w:t>75.2</w:t>
            </w:r>
          </w:p>
        </w:tc>
        <w:tc>
          <w:tcPr>
            <w:tcW w:w="716" w:type="dxa"/>
            <w:noWrap w:val="0"/>
            <w:vAlign w:val="center"/>
          </w:tcPr>
          <w:p w14:paraId="5420A271">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321.3</w:t>
            </w:r>
          </w:p>
        </w:tc>
        <w:tc>
          <w:tcPr>
            <w:tcW w:w="643" w:type="dxa"/>
            <w:noWrap w:val="0"/>
            <w:vAlign w:val="center"/>
          </w:tcPr>
          <w:p w14:paraId="091640E2">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358.9</w:t>
            </w:r>
          </w:p>
        </w:tc>
        <w:tc>
          <w:tcPr>
            <w:tcW w:w="643" w:type="dxa"/>
            <w:noWrap w:val="0"/>
            <w:vAlign w:val="center"/>
          </w:tcPr>
          <w:p w14:paraId="0E8B2878">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368.4</w:t>
            </w:r>
          </w:p>
        </w:tc>
        <w:tc>
          <w:tcPr>
            <w:tcW w:w="679" w:type="dxa"/>
            <w:noWrap w:val="0"/>
            <w:vAlign w:val="center"/>
          </w:tcPr>
          <w:p w14:paraId="1D59B9CC">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416.2</w:t>
            </w:r>
          </w:p>
        </w:tc>
        <w:tc>
          <w:tcPr>
            <w:tcW w:w="791" w:type="dxa"/>
            <w:tcBorders>
              <w:right w:val="single" w:color="000000" w:sz="12" w:space="0"/>
            </w:tcBorders>
            <w:noWrap w:val="0"/>
            <w:vAlign w:val="center"/>
          </w:tcPr>
          <w:p w14:paraId="758830AA">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513.1</w:t>
            </w:r>
          </w:p>
        </w:tc>
      </w:tr>
      <w:tr w14:paraId="3A9FDC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340" w:hRule="atLeast"/>
        </w:trPr>
        <w:tc>
          <w:tcPr>
            <w:tcW w:w="1106" w:type="dxa"/>
            <w:tcBorders>
              <w:left w:val="single" w:color="000000" w:sz="12" w:space="0"/>
              <w:bottom w:val="single" w:color="000000" w:sz="12" w:space="0"/>
            </w:tcBorders>
            <w:noWrap w:val="0"/>
            <w:vAlign w:val="center"/>
          </w:tcPr>
          <w:p w14:paraId="2FADBB81">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L(r)dB(A)</w:t>
            </w:r>
          </w:p>
        </w:tc>
        <w:tc>
          <w:tcPr>
            <w:tcW w:w="732" w:type="dxa"/>
            <w:tcBorders>
              <w:bottom w:val="single" w:color="000000" w:sz="12" w:space="0"/>
            </w:tcBorders>
            <w:noWrap w:val="0"/>
            <w:vAlign w:val="center"/>
          </w:tcPr>
          <w:p w14:paraId="20EF311B">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59.0</w:t>
            </w:r>
          </w:p>
        </w:tc>
        <w:tc>
          <w:tcPr>
            <w:tcW w:w="735" w:type="dxa"/>
            <w:tcBorders>
              <w:bottom w:val="single" w:color="000000" w:sz="12" w:space="0"/>
            </w:tcBorders>
            <w:noWrap w:val="0"/>
            <w:vAlign w:val="center"/>
          </w:tcPr>
          <w:p w14:paraId="17F18C31">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57.3</w:t>
            </w:r>
          </w:p>
        </w:tc>
        <w:tc>
          <w:tcPr>
            <w:tcW w:w="723" w:type="dxa"/>
            <w:tcBorders>
              <w:bottom w:val="single" w:color="000000" w:sz="12" w:space="0"/>
            </w:tcBorders>
            <w:noWrap w:val="0"/>
            <w:vAlign w:val="center"/>
          </w:tcPr>
          <w:p w14:paraId="71E93B6D">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55.5</w:t>
            </w:r>
          </w:p>
        </w:tc>
        <w:tc>
          <w:tcPr>
            <w:tcW w:w="675" w:type="dxa"/>
            <w:tcBorders>
              <w:bottom w:val="single" w:color="000000" w:sz="12" w:space="0"/>
            </w:tcBorders>
            <w:noWrap w:val="0"/>
            <w:vAlign w:val="center"/>
          </w:tcPr>
          <w:p w14:paraId="56643C61">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53.7</w:t>
            </w:r>
          </w:p>
        </w:tc>
        <w:tc>
          <w:tcPr>
            <w:tcW w:w="694" w:type="dxa"/>
            <w:tcBorders>
              <w:bottom w:val="single" w:color="000000" w:sz="12" w:space="0"/>
            </w:tcBorders>
            <w:noWrap w:val="0"/>
            <w:vAlign w:val="center"/>
          </w:tcPr>
          <w:p w14:paraId="44DCD0DF">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52.2</w:t>
            </w:r>
          </w:p>
        </w:tc>
        <w:tc>
          <w:tcPr>
            <w:tcW w:w="716" w:type="dxa"/>
            <w:tcBorders>
              <w:bottom w:val="single" w:color="000000" w:sz="12" w:space="0"/>
            </w:tcBorders>
            <w:noWrap w:val="0"/>
            <w:vAlign w:val="center"/>
          </w:tcPr>
          <w:p w14:paraId="321A7DE0">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50.9</w:t>
            </w:r>
          </w:p>
        </w:tc>
        <w:tc>
          <w:tcPr>
            <w:tcW w:w="643" w:type="dxa"/>
            <w:tcBorders>
              <w:bottom w:val="single" w:color="000000" w:sz="12" w:space="0"/>
            </w:tcBorders>
            <w:noWrap w:val="0"/>
            <w:vAlign w:val="center"/>
          </w:tcPr>
          <w:p w14:paraId="6263E929">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49.9</w:t>
            </w:r>
          </w:p>
        </w:tc>
        <w:tc>
          <w:tcPr>
            <w:tcW w:w="643" w:type="dxa"/>
            <w:tcBorders>
              <w:bottom w:val="single" w:color="000000" w:sz="12" w:space="0"/>
            </w:tcBorders>
            <w:noWrap w:val="0"/>
            <w:vAlign w:val="center"/>
          </w:tcPr>
          <w:p w14:paraId="53FF0A56">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49.7</w:t>
            </w:r>
          </w:p>
        </w:tc>
        <w:tc>
          <w:tcPr>
            <w:tcW w:w="679" w:type="dxa"/>
            <w:tcBorders>
              <w:bottom w:val="single" w:color="000000" w:sz="12" w:space="0"/>
            </w:tcBorders>
            <w:noWrap w:val="0"/>
            <w:vAlign w:val="center"/>
          </w:tcPr>
          <w:p w14:paraId="2BA8A34A">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48.6</w:t>
            </w:r>
          </w:p>
        </w:tc>
        <w:tc>
          <w:tcPr>
            <w:tcW w:w="791" w:type="dxa"/>
            <w:tcBorders>
              <w:bottom w:val="single" w:color="000000" w:sz="12" w:space="0"/>
              <w:right w:val="single" w:color="000000" w:sz="12" w:space="0"/>
            </w:tcBorders>
            <w:noWrap w:val="0"/>
            <w:vAlign w:val="center"/>
          </w:tcPr>
          <w:p w14:paraId="0CE5D98F">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46.8</w:t>
            </w:r>
          </w:p>
        </w:tc>
      </w:tr>
    </w:tbl>
    <w:p w14:paraId="7627EEB4">
      <w:pPr>
        <w:pStyle w:val="50"/>
        <w:ind w:firstLine="406"/>
        <w:rPr>
          <w:rFonts w:hint="default" w:eastAsia="宋体" w:cs="Times New Roman"/>
          <w:b/>
          <w:color w:val="auto"/>
          <w:sz w:val="21"/>
          <w:szCs w:val="21"/>
          <w:highlight w:val="none"/>
          <w:lang w:val="en-US" w:eastAsia="zh-CN"/>
        </w:rPr>
      </w:pPr>
      <w:r>
        <w:rPr>
          <w:rFonts w:cs="Times New Roman"/>
          <w:b/>
          <w:color w:val="auto"/>
          <w:sz w:val="21"/>
          <w:szCs w:val="21"/>
          <w:highlight w:val="none"/>
        </w:rPr>
        <w:t>注：r2=（（r1）</w:t>
      </w:r>
      <w:r>
        <w:rPr>
          <w:rFonts w:cs="Times New Roman"/>
          <w:b/>
          <w:color w:val="auto"/>
          <w:sz w:val="21"/>
          <w:szCs w:val="21"/>
          <w:highlight w:val="none"/>
          <w:vertAlign w:val="superscript"/>
        </w:rPr>
        <w:t>2</w:t>
      </w:r>
      <w:r>
        <w:rPr>
          <w:rFonts w:cs="Times New Roman"/>
          <w:b/>
          <w:color w:val="auto"/>
          <w:sz w:val="21"/>
          <w:szCs w:val="21"/>
          <w:highlight w:val="none"/>
        </w:rPr>
        <w:t>+</w:t>
      </w:r>
      <w:r>
        <w:rPr>
          <w:rFonts w:hint="eastAsia" w:cs="Times New Roman"/>
          <w:b/>
          <w:color w:val="auto"/>
          <w:sz w:val="21"/>
          <w:szCs w:val="21"/>
          <w:highlight w:val="none"/>
        </w:rPr>
        <w:t>1</w:t>
      </w:r>
      <w:r>
        <w:rPr>
          <w:rFonts w:cs="Times New Roman"/>
          <w:b/>
          <w:color w:val="auto"/>
          <w:sz w:val="21"/>
          <w:szCs w:val="21"/>
          <w:highlight w:val="none"/>
        </w:rPr>
        <w:t>1</w:t>
      </w:r>
      <w:r>
        <w:rPr>
          <w:rFonts w:hint="eastAsia" w:cs="Times New Roman"/>
          <w:b/>
          <w:color w:val="auto"/>
          <w:sz w:val="21"/>
          <w:szCs w:val="21"/>
          <w:highlight w:val="none"/>
          <w:lang w:val="en-US" w:eastAsia="zh-CN"/>
        </w:rPr>
        <w:t>5</w:t>
      </w:r>
      <w:r>
        <w:rPr>
          <w:rFonts w:cs="Times New Roman"/>
          <w:b/>
          <w:color w:val="auto"/>
          <w:sz w:val="21"/>
          <w:szCs w:val="21"/>
          <w:highlight w:val="none"/>
          <w:vertAlign w:val="superscript"/>
        </w:rPr>
        <w:t>2</w:t>
      </w:r>
      <w:r>
        <w:rPr>
          <w:rFonts w:cs="Times New Roman"/>
          <w:b/>
          <w:color w:val="auto"/>
          <w:sz w:val="21"/>
          <w:szCs w:val="21"/>
          <w:highlight w:val="none"/>
        </w:rPr>
        <w:t>）</w:t>
      </w:r>
      <w:r>
        <w:rPr>
          <w:rFonts w:cs="Times New Roman"/>
          <w:b/>
          <w:color w:val="auto"/>
          <w:sz w:val="21"/>
          <w:szCs w:val="21"/>
          <w:highlight w:val="none"/>
          <w:vertAlign w:val="superscript"/>
        </w:rPr>
        <w:t>1/2</w:t>
      </w:r>
      <w:r>
        <w:rPr>
          <w:rFonts w:hint="eastAsia" w:cs="Times New Roman"/>
          <w:b/>
          <w:color w:val="auto"/>
          <w:sz w:val="21"/>
          <w:szCs w:val="21"/>
          <w:highlight w:val="none"/>
          <w:vertAlign w:val="baseline"/>
          <w:lang w:eastAsia="zh-CN"/>
        </w:rPr>
        <w:t>，风机轮毂高度为</w:t>
      </w:r>
      <w:r>
        <w:rPr>
          <w:rFonts w:hint="eastAsia" w:cs="Times New Roman"/>
          <w:b/>
          <w:color w:val="auto"/>
          <w:sz w:val="21"/>
          <w:szCs w:val="21"/>
          <w:highlight w:val="none"/>
          <w:vertAlign w:val="baseline"/>
          <w:lang w:val="en-US" w:eastAsia="zh-CN"/>
        </w:rPr>
        <w:t>115m。</w:t>
      </w:r>
    </w:p>
    <w:p w14:paraId="48556E18">
      <w:pPr>
        <w:pageBreakBefore w:val="0"/>
        <w:kinsoku/>
        <w:wordWrap/>
        <w:overflowPunct/>
        <w:topLinePunct w:val="0"/>
        <w:autoSpaceDE/>
        <w:autoSpaceDN/>
        <w:bidi w:val="0"/>
        <w:adjustRightInd w:val="0"/>
        <w:snapToGrid w:val="0"/>
        <w:spacing w:line="360" w:lineRule="auto"/>
        <w:ind w:right="0" w:firstLine="480" w:firstLineChars="200"/>
        <w:jc w:val="both"/>
        <w:textAlignment w:val="auto"/>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由上表可知，不考虑敏感点与风电机组基础处高程差的情况下，昼间风机水平距离50m外、夜间水平距离</w:t>
      </w:r>
      <w:r>
        <w:rPr>
          <w:rFonts w:hint="eastAsia" w:cs="Times New Roman"/>
          <w:color w:val="auto"/>
          <w:sz w:val="24"/>
          <w:szCs w:val="24"/>
          <w:highlight w:val="none"/>
          <w:lang w:val="en-US" w:eastAsia="zh-CN"/>
        </w:rPr>
        <w:t>350</w:t>
      </w:r>
      <w:r>
        <w:rPr>
          <w:rFonts w:hint="default" w:ascii="Times New Roman" w:hAnsi="Times New Roman" w:cs="Times New Roman"/>
          <w:color w:val="auto"/>
          <w:sz w:val="24"/>
          <w:szCs w:val="24"/>
          <w:highlight w:val="none"/>
        </w:rPr>
        <w:t>m外的噪声贡献值满足《声环境质量标准》（GB3096-2008）中2类标准，即昼间60dB(A)、夜间50dB(A)。</w:t>
      </w:r>
    </w:p>
    <w:p w14:paraId="1D9A5086">
      <w:pPr>
        <w:pStyle w:val="29"/>
        <w:ind w:firstLine="480"/>
        <w:jc w:val="left"/>
        <w:rPr>
          <w:rFonts w:eastAsia="宋体" w:cs="Times New Roman"/>
          <w:b/>
          <w:bCs/>
          <w:color w:val="auto"/>
          <w:szCs w:val="24"/>
          <w:highlight w:val="none"/>
        </w:rPr>
      </w:pPr>
    </w:p>
    <w:p w14:paraId="0C3E9637">
      <w:pPr>
        <w:pStyle w:val="29"/>
        <w:ind w:firstLine="480"/>
        <w:jc w:val="left"/>
        <w:rPr>
          <w:rFonts w:eastAsia="宋体" w:cs="Times New Roman"/>
          <w:b/>
          <w:bCs/>
          <w:color w:val="auto"/>
          <w:szCs w:val="24"/>
          <w:highlight w:val="none"/>
        </w:rPr>
      </w:pPr>
    </w:p>
    <w:p w14:paraId="1719D8BE">
      <w:pPr>
        <w:pStyle w:val="29"/>
        <w:ind w:firstLine="480"/>
        <w:jc w:val="left"/>
        <w:rPr>
          <w:rFonts w:hint="eastAsia" w:eastAsia="宋体" w:cs="Times New Roman"/>
          <w:b/>
          <w:bCs/>
          <w:color w:val="auto"/>
          <w:szCs w:val="24"/>
          <w:highlight w:val="none"/>
          <w:lang w:eastAsia="zh-CN"/>
        </w:rPr>
      </w:pPr>
      <w:r>
        <w:rPr>
          <w:rFonts w:eastAsia="宋体" w:cs="Times New Roman"/>
          <w:b/>
          <w:bCs/>
          <w:color w:val="auto"/>
          <w:szCs w:val="24"/>
          <w:highlight w:val="none"/>
        </w:rPr>
        <w:t>噪声</w:t>
      </w:r>
      <w:r>
        <w:rPr>
          <w:rFonts w:hint="eastAsia" w:eastAsia="宋体" w:cs="Times New Roman"/>
          <w:b/>
          <w:bCs/>
          <w:color w:val="auto"/>
          <w:szCs w:val="24"/>
          <w:highlight w:val="none"/>
        </w:rPr>
        <w:t>控规</w:t>
      </w:r>
      <w:r>
        <w:rPr>
          <w:rFonts w:eastAsia="宋体" w:cs="Times New Roman"/>
          <w:b/>
          <w:bCs/>
          <w:color w:val="auto"/>
          <w:szCs w:val="24"/>
          <w:highlight w:val="none"/>
        </w:rPr>
        <w:t>距离</w:t>
      </w:r>
      <w:r>
        <w:rPr>
          <w:rFonts w:hint="eastAsia" w:eastAsia="宋体" w:cs="Times New Roman"/>
          <w:b/>
          <w:bCs/>
          <w:color w:val="auto"/>
          <w:szCs w:val="24"/>
          <w:highlight w:val="none"/>
          <w:lang w:eastAsia="zh-CN"/>
        </w:rPr>
        <w:t>：</w:t>
      </w:r>
    </w:p>
    <w:p w14:paraId="179136D2">
      <w:pPr>
        <w:pStyle w:val="29"/>
        <w:ind w:firstLine="480"/>
        <w:rPr>
          <w:rFonts w:hAnsi="宋体" w:cs="Times New Roman"/>
          <w:color w:val="auto"/>
          <w:highlight w:val="none"/>
        </w:rPr>
      </w:pPr>
      <w:r>
        <w:rPr>
          <w:rFonts w:eastAsia="宋体"/>
          <w:color w:val="auto"/>
          <w:sz w:val="24"/>
          <w:highlight w:val="none"/>
          <w:u w:val="none"/>
        </w:rPr>
        <w:t>根据上述</w:t>
      </w:r>
      <w:r>
        <w:rPr>
          <w:rFonts w:hint="eastAsia" w:eastAsia="宋体"/>
          <w:color w:val="auto"/>
          <w:sz w:val="24"/>
          <w:highlight w:val="none"/>
          <w:u w:val="none"/>
        </w:rPr>
        <w:t>噪声</w:t>
      </w:r>
      <w:r>
        <w:rPr>
          <w:rFonts w:eastAsia="宋体"/>
          <w:color w:val="auto"/>
          <w:sz w:val="24"/>
          <w:highlight w:val="none"/>
          <w:u w:val="none"/>
        </w:rPr>
        <w:t>预测结果</w:t>
      </w:r>
      <w:r>
        <w:rPr>
          <w:rFonts w:hint="eastAsia" w:eastAsia="宋体"/>
          <w:color w:val="auto"/>
          <w:sz w:val="24"/>
          <w:highlight w:val="none"/>
          <w:u w:val="none"/>
        </w:rPr>
        <w:t>可知，本项目正常运营状态下，不考虑地形高差和植被降噪效果的情况下，</w:t>
      </w:r>
      <w:r>
        <w:rPr>
          <w:rFonts w:hint="eastAsia"/>
          <w:color w:val="auto"/>
          <w:sz w:val="24"/>
          <w:highlight w:val="none"/>
          <w:u w:val="none"/>
          <w:lang w:eastAsia="zh-CN"/>
        </w:rPr>
        <w:t>风机基座中心</w:t>
      </w:r>
      <w:r>
        <w:rPr>
          <w:rFonts w:hint="eastAsia"/>
          <w:color w:val="auto"/>
          <w:sz w:val="24"/>
          <w:highlight w:val="none"/>
          <w:u w:val="none"/>
          <w:lang w:val="en-US" w:eastAsia="zh-CN"/>
        </w:rPr>
        <w:t>35</w:t>
      </w:r>
      <w:r>
        <w:rPr>
          <w:rFonts w:hint="eastAsia" w:eastAsia="宋体"/>
          <w:color w:val="auto"/>
          <w:sz w:val="24"/>
          <w:highlight w:val="none"/>
          <w:u w:val="none"/>
          <w:lang w:val="en-US" w:eastAsia="zh-CN"/>
        </w:rPr>
        <w:t>0</w:t>
      </w:r>
      <w:r>
        <w:rPr>
          <w:rFonts w:hint="eastAsia" w:eastAsia="宋体"/>
          <w:color w:val="auto"/>
          <w:sz w:val="24"/>
          <w:highlight w:val="none"/>
          <w:u w:val="none"/>
        </w:rPr>
        <w:t>m外噪声已衰减至5</w:t>
      </w:r>
      <w:r>
        <w:rPr>
          <w:rFonts w:eastAsia="宋体"/>
          <w:color w:val="auto"/>
          <w:sz w:val="24"/>
          <w:highlight w:val="none"/>
          <w:u w:val="none"/>
        </w:rPr>
        <w:t>0</w:t>
      </w:r>
      <w:r>
        <w:rPr>
          <w:rFonts w:hint="eastAsia" w:eastAsia="宋体"/>
          <w:color w:val="auto"/>
          <w:sz w:val="24"/>
          <w:highlight w:val="none"/>
          <w:u w:val="none"/>
        </w:rPr>
        <w:t>d</w:t>
      </w:r>
      <w:r>
        <w:rPr>
          <w:rFonts w:eastAsia="宋体"/>
          <w:color w:val="auto"/>
          <w:sz w:val="24"/>
          <w:highlight w:val="none"/>
          <w:u w:val="none"/>
        </w:rPr>
        <w:t>B</w:t>
      </w:r>
      <w:r>
        <w:rPr>
          <w:rFonts w:hint="eastAsia" w:eastAsia="宋体"/>
          <w:color w:val="auto"/>
          <w:sz w:val="24"/>
          <w:highlight w:val="none"/>
          <w:u w:val="none"/>
        </w:rPr>
        <w:t>（A）以下，满足《声环境质量标准》（G</w:t>
      </w:r>
      <w:r>
        <w:rPr>
          <w:rFonts w:eastAsia="宋体"/>
          <w:color w:val="auto"/>
          <w:sz w:val="24"/>
          <w:highlight w:val="none"/>
          <w:u w:val="none"/>
        </w:rPr>
        <w:t>B3096-2008</w:t>
      </w:r>
      <w:r>
        <w:rPr>
          <w:rFonts w:hint="eastAsia" w:eastAsia="宋体"/>
          <w:color w:val="auto"/>
          <w:sz w:val="24"/>
          <w:highlight w:val="none"/>
          <w:u w:val="none"/>
        </w:rPr>
        <w:t>）中的2类标准。</w:t>
      </w:r>
      <w:r>
        <w:rPr>
          <w:rFonts w:hint="eastAsia"/>
          <w:color w:val="auto"/>
          <w:sz w:val="24"/>
          <w:highlight w:val="none"/>
          <w:u w:val="none"/>
          <w:lang w:eastAsia="zh-CN"/>
        </w:rPr>
        <w:t>根据</w:t>
      </w:r>
      <w:r>
        <w:rPr>
          <w:rFonts w:hint="eastAsia" w:eastAsia="宋体"/>
          <w:color w:val="auto"/>
          <w:sz w:val="24"/>
          <w:highlight w:val="none"/>
          <w:u w:val="none"/>
        </w:rPr>
        <w:t>本项目噪声预测结果</w:t>
      </w:r>
      <w:r>
        <w:rPr>
          <w:rFonts w:eastAsia="宋体"/>
          <w:color w:val="auto"/>
          <w:sz w:val="24"/>
          <w:highlight w:val="none"/>
          <w:u w:val="none"/>
        </w:rPr>
        <w:t>，</w:t>
      </w:r>
      <w:r>
        <w:rPr>
          <w:b/>
          <w:bCs/>
          <w:color w:val="auto"/>
          <w:sz w:val="24"/>
          <w:highlight w:val="none"/>
          <w:u w:val="none"/>
        </w:rPr>
        <w:t>环评建议以</w:t>
      </w:r>
      <w:r>
        <w:rPr>
          <w:rFonts w:hint="eastAsia"/>
          <w:b/>
          <w:bCs/>
          <w:color w:val="auto"/>
          <w:sz w:val="24"/>
          <w:highlight w:val="none"/>
          <w:u w:val="none"/>
          <w:lang w:eastAsia="zh-CN"/>
        </w:rPr>
        <w:t>风机平台边界外延</w:t>
      </w:r>
      <w:r>
        <w:rPr>
          <w:rFonts w:hint="eastAsia"/>
          <w:b/>
          <w:bCs/>
          <w:color w:val="auto"/>
          <w:sz w:val="24"/>
          <w:highlight w:val="none"/>
          <w:u w:val="none"/>
          <w:lang w:val="en-US" w:eastAsia="zh-CN"/>
        </w:rPr>
        <w:t>350m范围</w:t>
      </w:r>
      <w:r>
        <w:rPr>
          <w:b/>
          <w:bCs/>
          <w:color w:val="auto"/>
          <w:sz w:val="24"/>
          <w:highlight w:val="none"/>
          <w:u w:val="none"/>
        </w:rPr>
        <w:t>的区域为噪声影响控制区，在该区域范围内，不得新建居民住宅、学校、医院等噪声敏感建筑物</w:t>
      </w:r>
      <w:r>
        <w:rPr>
          <w:rFonts w:eastAsia="宋体"/>
          <w:color w:val="auto"/>
          <w:sz w:val="24"/>
          <w:highlight w:val="none"/>
          <w:u w:val="none"/>
        </w:rPr>
        <w:t>。</w:t>
      </w:r>
    </w:p>
    <w:p w14:paraId="4688EB42">
      <w:pPr>
        <w:pageBreakBefore w:val="0"/>
        <w:kinsoku/>
        <w:wordWrap/>
        <w:overflowPunct/>
        <w:topLinePunct w:val="0"/>
        <w:autoSpaceDE/>
        <w:autoSpaceDN/>
        <w:bidi w:val="0"/>
        <w:adjustRightInd w:val="0"/>
        <w:snapToGrid w:val="0"/>
        <w:spacing w:line="360" w:lineRule="auto"/>
        <w:ind w:right="0" w:firstLine="482" w:firstLineChars="200"/>
        <w:textAlignment w:val="auto"/>
        <w:rPr>
          <w:rFonts w:hint="eastAsia" w:ascii="Times New Roman" w:hAnsi="Times New Roman" w:eastAsia="宋体" w:cs="Times New Roman"/>
          <w:color w:val="auto"/>
          <w:sz w:val="24"/>
          <w:szCs w:val="24"/>
          <w:highlight w:val="none"/>
          <w:lang w:eastAsia="zh-CN"/>
        </w:rPr>
      </w:pPr>
      <w:r>
        <w:rPr>
          <w:rFonts w:hint="eastAsia" w:cs="Times New Roman"/>
          <w:b/>
          <w:bCs/>
          <w:color w:val="auto"/>
          <w:sz w:val="24"/>
          <w:szCs w:val="24"/>
          <w:highlight w:val="none"/>
          <w:lang w:eastAsia="zh-CN"/>
        </w:rPr>
        <w:t>⑥</w:t>
      </w:r>
      <w:r>
        <w:rPr>
          <w:rFonts w:hint="eastAsia" w:ascii="Times New Roman" w:hAnsi="Times New Roman" w:cs="Times New Roman"/>
          <w:b/>
          <w:bCs/>
          <w:color w:val="auto"/>
          <w:sz w:val="24"/>
          <w:szCs w:val="24"/>
          <w:highlight w:val="none"/>
          <w:lang w:eastAsia="zh-CN"/>
        </w:rPr>
        <w:t>敏感点声环境质量预测</w:t>
      </w:r>
    </w:p>
    <w:p w14:paraId="01E37FE8">
      <w:pPr>
        <w:pageBreakBefore w:val="0"/>
        <w:kinsoku/>
        <w:wordWrap/>
        <w:overflowPunct/>
        <w:topLinePunct w:val="0"/>
        <w:autoSpaceDE/>
        <w:autoSpaceDN/>
        <w:bidi w:val="0"/>
        <w:adjustRightInd w:val="0"/>
        <w:snapToGrid w:val="0"/>
        <w:spacing w:line="360" w:lineRule="auto"/>
        <w:ind w:right="0" w:firstLine="480" w:firstLineChars="200"/>
        <w:textAlignment w:val="auto"/>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本项目对风机周边500m范围内居民点进行噪声预测，其中</w:t>
      </w:r>
      <w:r>
        <w:rPr>
          <w:rFonts w:hint="eastAsia" w:cs="Times New Roman"/>
          <w:color w:val="auto"/>
          <w:sz w:val="24"/>
          <w:szCs w:val="24"/>
          <w:highlight w:val="none"/>
          <w:lang w:val="en-US" w:eastAsia="zh-CN"/>
        </w:rPr>
        <w:t>350</w:t>
      </w:r>
      <w:r>
        <w:rPr>
          <w:rFonts w:hint="default" w:ascii="Times New Roman" w:hAnsi="Times New Roman" w:cs="Times New Roman"/>
          <w:color w:val="auto"/>
          <w:sz w:val="24"/>
          <w:szCs w:val="24"/>
          <w:highlight w:val="none"/>
        </w:rPr>
        <w:t>m范围内</w:t>
      </w:r>
      <w:r>
        <w:rPr>
          <w:rFonts w:hint="eastAsia" w:ascii="Times New Roman" w:hAnsi="Times New Roman" w:cs="Times New Roman"/>
          <w:color w:val="auto"/>
          <w:sz w:val="24"/>
          <w:szCs w:val="24"/>
          <w:highlight w:val="none"/>
          <w:lang w:eastAsia="zh-CN"/>
        </w:rPr>
        <w:t>居民</w:t>
      </w:r>
      <w:r>
        <w:rPr>
          <w:rFonts w:hint="eastAsia" w:cs="Times New Roman"/>
          <w:color w:val="auto"/>
          <w:sz w:val="24"/>
          <w:szCs w:val="24"/>
          <w:highlight w:val="none"/>
          <w:lang w:val="en-US" w:eastAsia="zh-CN"/>
        </w:rPr>
        <w:t>7</w:t>
      </w:r>
      <w:r>
        <w:rPr>
          <w:rFonts w:hint="eastAsia" w:ascii="Times New Roman" w:hAnsi="Times New Roman" w:cs="Times New Roman"/>
          <w:color w:val="auto"/>
          <w:sz w:val="24"/>
          <w:szCs w:val="24"/>
          <w:highlight w:val="none"/>
          <w:lang w:val="en-US" w:eastAsia="zh-CN"/>
        </w:rPr>
        <w:t>户</w:t>
      </w:r>
      <w:r>
        <w:rPr>
          <w:rFonts w:hint="default" w:ascii="Times New Roman" w:hAnsi="Times New Roman" w:cs="Times New Roman"/>
          <w:color w:val="auto"/>
          <w:sz w:val="24"/>
          <w:szCs w:val="24"/>
          <w:highlight w:val="none"/>
        </w:rPr>
        <w:t>，</w:t>
      </w:r>
      <w:r>
        <w:rPr>
          <w:rFonts w:hint="eastAsia" w:ascii="Times New Roman" w:hAnsi="Times New Roman" w:cs="Times New Roman"/>
          <w:color w:val="auto"/>
          <w:sz w:val="24"/>
          <w:szCs w:val="24"/>
          <w:highlight w:val="none"/>
          <w:lang w:val="en-US" w:eastAsia="zh-CN"/>
        </w:rPr>
        <w:t>3</w:t>
      </w:r>
      <w:r>
        <w:rPr>
          <w:rFonts w:hint="eastAsia" w:cs="Times New Roman"/>
          <w:color w:val="auto"/>
          <w:sz w:val="24"/>
          <w:szCs w:val="24"/>
          <w:highlight w:val="none"/>
          <w:lang w:val="en-US" w:eastAsia="zh-CN"/>
        </w:rPr>
        <w:t>5</w:t>
      </w:r>
      <w:r>
        <w:rPr>
          <w:rFonts w:hint="eastAsia" w:ascii="Times New Roman" w:hAnsi="Times New Roman" w:cs="Times New Roman"/>
          <w:color w:val="auto"/>
          <w:sz w:val="24"/>
          <w:szCs w:val="24"/>
          <w:highlight w:val="none"/>
          <w:lang w:val="en-US" w:eastAsia="zh-CN"/>
        </w:rPr>
        <w:t>0</w:t>
      </w:r>
      <w:r>
        <w:rPr>
          <w:rFonts w:hint="default" w:ascii="Times New Roman" w:hAnsi="Times New Roman" w:cs="Times New Roman"/>
          <w:color w:val="auto"/>
          <w:sz w:val="24"/>
          <w:szCs w:val="24"/>
          <w:highlight w:val="none"/>
        </w:rPr>
        <w:t>~500m范围内居民</w:t>
      </w:r>
      <w:r>
        <w:rPr>
          <w:rFonts w:hint="eastAsia" w:cs="Times New Roman"/>
          <w:color w:val="auto"/>
          <w:sz w:val="24"/>
          <w:szCs w:val="24"/>
          <w:highlight w:val="none"/>
          <w:lang w:val="en-US" w:eastAsia="zh-CN"/>
        </w:rPr>
        <w:t>29</w:t>
      </w:r>
      <w:r>
        <w:rPr>
          <w:rFonts w:hint="default" w:ascii="Times New Roman" w:hAnsi="Times New Roman" w:cs="Times New Roman"/>
          <w:color w:val="auto"/>
          <w:sz w:val="24"/>
          <w:szCs w:val="24"/>
          <w:highlight w:val="none"/>
        </w:rPr>
        <w:t>户。各风机机位与居民点之间的山体均有植被覆盖，且项目周边居民均位于山脚下。根据罗海霞、丁建生通过理论和实践研究了复合式绿化林带的降噪效果，认为种植10m宽的复合式绿化林带能够起到较好的降噪效果。预测种植10m宽类似的复合式绿化林带，在其长成后降噪效果可达6~10dB（A）（罗海霞等，2003）。</w:t>
      </w:r>
    </w:p>
    <w:p w14:paraId="76F30602">
      <w:pPr>
        <w:pageBreakBefore w:val="0"/>
        <w:kinsoku/>
        <w:wordWrap/>
        <w:overflowPunct/>
        <w:topLinePunct w:val="0"/>
        <w:autoSpaceDE/>
        <w:autoSpaceDN/>
        <w:bidi w:val="0"/>
        <w:adjustRightInd w:val="0"/>
        <w:snapToGrid w:val="0"/>
        <w:spacing w:line="360" w:lineRule="auto"/>
        <w:ind w:right="0" w:firstLine="480" w:firstLineChars="200"/>
        <w:textAlignment w:val="auto"/>
        <w:rPr>
          <w:rFonts w:hint="default" w:ascii="Times New Roman" w:hAnsi="Times New Roman" w:cs="Times New Roman"/>
          <w:color w:val="auto"/>
          <w:sz w:val="24"/>
          <w:szCs w:val="24"/>
          <w:highlight w:val="none"/>
        </w:rPr>
      </w:pPr>
      <w:r>
        <w:rPr>
          <w:rFonts w:hint="default" w:ascii="Times New Roman" w:hAnsi="Times New Roman" w:cs="Times New Roman"/>
          <w:color w:val="auto"/>
          <w:sz w:val="24"/>
          <w:szCs w:val="24"/>
          <w:highlight w:val="none"/>
        </w:rPr>
        <w:t>由于本项目各居民点均分布于山脚，各风机机位与各居民点之间分布有较为茂密的乔木和灌草相间的植被。本项目综合考虑山体阻隔和植被吸收的降噪量，保守取值3.0dB（A）。</w:t>
      </w:r>
    </w:p>
    <w:p w14:paraId="37AEE05E">
      <w:pPr>
        <w:pageBreakBefore w:val="0"/>
        <w:kinsoku/>
        <w:wordWrap/>
        <w:overflowPunct/>
        <w:topLinePunct w:val="0"/>
        <w:autoSpaceDE/>
        <w:autoSpaceDN/>
        <w:bidi w:val="0"/>
        <w:adjustRightInd w:val="0"/>
        <w:snapToGrid w:val="0"/>
        <w:spacing w:line="360" w:lineRule="auto"/>
        <w:ind w:right="0" w:firstLine="482" w:firstLineChars="200"/>
        <w:textAlignment w:val="auto"/>
        <w:rPr>
          <w:rFonts w:hint="default" w:ascii="Times New Roman" w:hAnsi="Times New Roman" w:cs="Times New Roman"/>
          <w:color w:val="auto"/>
          <w:sz w:val="24"/>
          <w:szCs w:val="24"/>
          <w:highlight w:val="none"/>
        </w:rPr>
      </w:pPr>
      <w:r>
        <w:rPr>
          <w:rFonts w:hint="eastAsia" w:cs="Times New Roman"/>
          <w:b/>
          <w:bCs/>
          <w:color w:val="auto"/>
          <w:sz w:val="24"/>
          <w:szCs w:val="24"/>
          <w:highlight w:val="none"/>
          <w:lang w:eastAsia="zh-CN"/>
        </w:rPr>
        <w:t>本次环评选取与风机最近的</w:t>
      </w:r>
      <w:r>
        <w:rPr>
          <w:rFonts w:hint="default" w:ascii="Times New Roman" w:hAnsi="Times New Roman" w:cs="Times New Roman"/>
          <w:b/>
          <w:bCs/>
          <w:color w:val="auto"/>
          <w:sz w:val="24"/>
          <w:szCs w:val="24"/>
          <w:highlight w:val="none"/>
        </w:rPr>
        <w:t>居民点</w:t>
      </w:r>
      <w:r>
        <w:rPr>
          <w:rFonts w:hint="eastAsia" w:cs="Times New Roman"/>
          <w:b/>
          <w:bCs/>
          <w:color w:val="auto"/>
          <w:sz w:val="24"/>
          <w:szCs w:val="24"/>
          <w:highlight w:val="none"/>
          <w:lang w:eastAsia="zh-CN"/>
        </w:rPr>
        <w:t>进行预测，重点为</w:t>
      </w:r>
      <w:r>
        <w:rPr>
          <w:rFonts w:hint="eastAsia" w:cs="Times New Roman"/>
          <w:b/>
          <w:bCs/>
          <w:color w:val="auto"/>
          <w:sz w:val="24"/>
          <w:szCs w:val="24"/>
          <w:highlight w:val="none"/>
          <w:lang w:val="en-US" w:eastAsia="zh-CN"/>
        </w:rPr>
        <w:t>350m范围内的居民点</w:t>
      </w:r>
      <w:r>
        <w:rPr>
          <w:rFonts w:hint="eastAsia" w:cs="Times New Roman"/>
          <w:color w:val="auto"/>
          <w:sz w:val="24"/>
          <w:szCs w:val="24"/>
          <w:highlight w:val="none"/>
          <w:lang w:val="en-US" w:eastAsia="zh-CN"/>
        </w:rPr>
        <w:t>，</w:t>
      </w:r>
      <w:r>
        <w:rPr>
          <w:rFonts w:hint="default" w:ascii="Times New Roman" w:hAnsi="Times New Roman" w:cs="Times New Roman"/>
          <w:color w:val="auto"/>
          <w:sz w:val="24"/>
          <w:szCs w:val="24"/>
          <w:highlight w:val="none"/>
        </w:rPr>
        <w:t>信息及预测结果如下。</w:t>
      </w:r>
    </w:p>
    <w:p w14:paraId="6C89215B">
      <w:pPr>
        <w:pStyle w:val="29"/>
        <w:spacing w:line="240" w:lineRule="auto"/>
        <w:ind w:firstLine="0" w:firstLineChars="0"/>
        <w:jc w:val="center"/>
        <w:rPr>
          <w:rFonts w:hAnsi="宋体" w:cs="Times New Roman"/>
          <w:b/>
          <w:color w:val="auto"/>
          <w:sz w:val="21"/>
          <w:szCs w:val="21"/>
          <w:highlight w:val="none"/>
        </w:rPr>
      </w:pPr>
      <w:r>
        <w:rPr>
          <w:rFonts w:hAnsi="宋体" w:cs="Times New Roman"/>
          <w:b/>
          <w:color w:val="auto"/>
          <w:sz w:val="24"/>
          <w:szCs w:val="24"/>
          <w:highlight w:val="none"/>
        </w:rPr>
        <w:t>表</w:t>
      </w:r>
      <w:r>
        <w:rPr>
          <w:rFonts w:hint="eastAsia" w:hAnsi="宋体" w:cs="Times New Roman"/>
          <w:b/>
          <w:color w:val="auto"/>
          <w:sz w:val="24"/>
          <w:szCs w:val="24"/>
          <w:highlight w:val="none"/>
          <w:lang w:val="en-US" w:eastAsia="zh-CN"/>
        </w:rPr>
        <w:t xml:space="preserve">6.2.3-2  </w:t>
      </w:r>
      <w:r>
        <w:rPr>
          <w:rFonts w:hint="eastAsia" w:hAnsi="宋体" w:cs="Times New Roman"/>
          <w:b/>
          <w:color w:val="auto"/>
          <w:sz w:val="24"/>
          <w:szCs w:val="24"/>
          <w:highlight w:val="none"/>
        </w:rPr>
        <w:t>本项目运营期噪声敏感点汇总表</w:t>
      </w:r>
    </w:p>
    <w:tbl>
      <w:tblPr>
        <w:tblStyle w:val="19"/>
        <w:tblW w:w="499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14"/>
        <w:gridCol w:w="1462"/>
        <w:gridCol w:w="1160"/>
        <w:gridCol w:w="882"/>
        <w:gridCol w:w="1685"/>
        <w:gridCol w:w="959"/>
        <w:gridCol w:w="960"/>
        <w:gridCol w:w="899"/>
      </w:tblGrid>
      <w:tr w14:paraId="0A914F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21" w:hRule="atLeast"/>
          <w:jc w:val="center"/>
        </w:trPr>
        <w:tc>
          <w:tcPr>
            <w:tcW w:w="514" w:type="dxa"/>
            <w:tcBorders>
              <w:tl2br w:val="nil"/>
              <w:tr2bl w:val="nil"/>
            </w:tcBorders>
            <w:noWrap/>
            <w:vAlign w:val="center"/>
          </w:tcPr>
          <w:p w14:paraId="04055FBA">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rPr>
              <w:t>序号</w:t>
            </w:r>
          </w:p>
        </w:tc>
        <w:tc>
          <w:tcPr>
            <w:tcW w:w="1462" w:type="dxa"/>
            <w:tcBorders>
              <w:tl2br w:val="nil"/>
              <w:tr2bl w:val="nil"/>
            </w:tcBorders>
            <w:noWrap/>
            <w:vAlign w:val="center"/>
          </w:tcPr>
          <w:p w14:paraId="4111B186">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rPr>
              <w:t>敏感点名称</w:t>
            </w:r>
          </w:p>
        </w:tc>
        <w:tc>
          <w:tcPr>
            <w:tcW w:w="1160" w:type="dxa"/>
            <w:tcBorders>
              <w:tl2br w:val="nil"/>
              <w:tr2bl w:val="nil"/>
            </w:tcBorders>
            <w:noWrap/>
            <w:vAlign w:val="center"/>
          </w:tcPr>
          <w:p w14:paraId="7F7EFB1E">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rPr>
              <w:t>敏感点高程</w:t>
            </w:r>
          </w:p>
        </w:tc>
        <w:tc>
          <w:tcPr>
            <w:tcW w:w="882" w:type="dxa"/>
            <w:tcBorders>
              <w:tl2br w:val="nil"/>
              <w:tr2bl w:val="nil"/>
            </w:tcBorders>
            <w:noWrap/>
            <w:vAlign w:val="center"/>
          </w:tcPr>
          <w:p w14:paraId="34B1E9FB">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rPr>
              <w:t>风机高程</w:t>
            </w:r>
          </w:p>
        </w:tc>
        <w:tc>
          <w:tcPr>
            <w:tcW w:w="1685" w:type="dxa"/>
            <w:tcBorders>
              <w:tl2br w:val="nil"/>
              <w:tr2bl w:val="nil"/>
            </w:tcBorders>
            <w:noWrap w:val="0"/>
            <w:vAlign w:val="center"/>
          </w:tcPr>
          <w:p w14:paraId="0950824B">
            <w:pPr>
              <w:pStyle w:val="45"/>
              <w:bidi w:val="0"/>
              <w:rPr>
                <w:rFonts w:hint="eastAsia" w:ascii="Times New Roman" w:hAnsi="Times New Roman"/>
                <w:b w:val="0"/>
                <w:bCs/>
                <w:color w:val="auto"/>
                <w:highlight w:val="none"/>
                <w:lang w:val="zh-CN" w:eastAsia="zh-CN"/>
              </w:rPr>
            </w:pPr>
            <w:r>
              <w:rPr>
                <w:rFonts w:hint="eastAsia" w:ascii="Times New Roman" w:hAnsi="Times New Roman"/>
                <w:b w:val="0"/>
                <w:bCs/>
                <w:color w:val="auto"/>
                <w:highlight w:val="none"/>
                <w:lang w:val="zh-CN" w:eastAsia="zh-CN"/>
              </w:rPr>
              <w:t>与</w:t>
            </w:r>
            <w:r>
              <w:rPr>
                <w:rFonts w:hint="eastAsia" w:ascii="Times New Roman" w:hAnsi="Times New Roman"/>
                <w:b w:val="0"/>
                <w:bCs/>
                <w:color w:val="auto"/>
                <w:highlight w:val="none"/>
                <w:lang w:val="zh-CN"/>
              </w:rPr>
              <w:t>最近风机</w:t>
            </w:r>
            <w:r>
              <w:rPr>
                <w:rFonts w:hint="eastAsia" w:ascii="Times New Roman" w:hAnsi="Times New Roman"/>
                <w:b w:val="0"/>
                <w:bCs/>
                <w:color w:val="auto"/>
                <w:highlight w:val="none"/>
                <w:lang w:val="zh-CN" w:eastAsia="zh-CN"/>
              </w:rPr>
              <w:t>位置关系</w:t>
            </w:r>
          </w:p>
        </w:tc>
        <w:tc>
          <w:tcPr>
            <w:tcW w:w="959" w:type="dxa"/>
            <w:tcBorders>
              <w:tl2br w:val="nil"/>
              <w:tr2bl w:val="nil"/>
            </w:tcBorders>
            <w:noWrap w:val="0"/>
            <w:vAlign w:val="center"/>
          </w:tcPr>
          <w:p w14:paraId="7A239925">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rPr>
              <w:t>最近水平距离（</w:t>
            </w:r>
            <w:r>
              <w:rPr>
                <w:rFonts w:ascii="Times New Roman" w:hAnsi="Times New Roman"/>
                <w:b w:val="0"/>
                <w:bCs/>
                <w:color w:val="auto"/>
                <w:highlight w:val="none"/>
                <w:lang w:val="zh-CN"/>
              </w:rPr>
              <w:t>m</w:t>
            </w:r>
            <w:r>
              <w:rPr>
                <w:rFonts w:hint="eastAsia" w:ascii="Times New Roman" w:hAnsi="Times New Roman"/>
                <w:b w:val="0"/>
                <w:bCs/>
                <w:color w:val="auto"/>
                <w:highlight w:val="none"/>
                <w:lang w:val="zh-CN"/>
              </w:rPr>
              <w:t>）</w:t>
            </w:r>
          </w:p>
        </w:tc>
        <w:tc>
          <w:tcPr>
            <w:tcW w:w="960" w:type="dxa"/>
            <w:tcBorders>
              <w:tl2br w:val="nil"/>
              <w:tr2bl w:val="nil"/>
            </w:tcBorders>
            <w:noWrap w:val="0"/>
            <w:vAlign w:val="center"/>
          </w:tcPr>
          <w:p w14:paraId="12EBB9E1">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rPr>
              <w:t>与风机基座高差（</w:t>
            </w:r>
            <w:r>
              <w:rPr>
                <w:rFonts w:ascii="Times New Roman" w:hAnsi="Times New Roman"/>
                <w:b w:val="0"/>
                <w:bCs/>
                <w:color w:val="auto"/>
                <w:highlight w:val="none"/>
                <w:lang w:val="zh-CN"/>
              </w:rPr>
              <w:t>m</w:t>
            </w:r>
            <w:r>
              <w:rPr>
                <w:rFonts w:hint="eastAsia" w:ascii="Times New Roman" w:hAnsi="Times New Roman"/>
                <w:b w:val="0"/>
                <w:bCs/>
                <w:color w:val="auto"/>
                <w:highlight w:val="none"/>
                <w:lang w:val="zh-CN"/>
              </w:rPr>
              <w:t>）</w:t>
            </w:r>
          </w:p>
        </w:tc>
        <w:tc>
          <w:tcPr>
            <w:tcW w:w="899" w:type="dxa"/>
            <w:tcBorders>
              <w:tl2br w:val="nil"/>
              <w:tr2bl w:val="nil"/>
            </w:tcBorders>
            <w:noWrap w:val="0"/>
            <w:vAlign w:val="center"/>
          </w:tcPr>
          <w:p w14:paraId="488F6730">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rPr>
              <w:t>与风机阻隔情况</w:t>
            </w:r>
          </w:p>
        </w:tc>
      </w:tr>
      <w:tr w14:paraId="0E1596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8" w:hRule="atLeast"/>
          <w:jc w:val="center"/>
        </w:trPr>
        <w:tc>
          <w:tcPr>
            <w:tcW w:w="514" w:type="dxa"/>
            <w:tcBorders>
              <w:tl2br w:val="nil"/>
              <w:tr2bl w:val="nil"/>
            </w:tcBorders>
            <w:noWrap/>
            <w:vAlign w:val="center"/>
          </w:tcPr>
          <w:p w14:paraId="2B114002">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1</w:t>
            </w:r>
          </w:p>
        </w:tc>
        <w:tc>
          <w:tcPr>
            <w:tcW w:w="1462" w:type="dxa"/>
            <w:tcBorders>
              <w:tl2br w:val="nil"/>
              <w:tr2bl w:val="nil"/>
            </w:tcBorders>
            <w:noWrap/>
            <w:vAlign w:val="center"/>
          </w:tcPr>
          <w:p w14:paraId="26D32D11">
            <w:pPr>
              <w:pStyle w:val="45"/>
              <w:bidi w:val="0"/>
              <w:rPr>
                <w:rFonts w:ascii="Times New Roman" w:hAnsi="Times New Roman"/>
                <w:b w:val="0"/>
                <w:bCs/>
                <w:color w:val="auto"/>
                <w:highlight w:val="none"/>
                <w:lang w:val="zh-CN"/>
              </w:rPr>
            </w:pPr>
            <w:r>
              <w:rPr>
                <w:rFonts w:hint="eastAsia"/>
                <w:b w:val="0"/>
                <w:bCs/>
                <w:color w:val="auto"/>
                <w:highlight w:val="none"/>
                <w:lang w:val="zh-CN" w:eastAsia="zh-CN"/>
              </w:rPr>
              <w:t>祁东县黄土铺镇双溪村</w:t>
            </w:r>
          </w:p>
        </w:tc>
        <w:tc>
          <w:tcPr>
            <w:tcW w:w="1160" w:type="dxa"/>
            <w:tcBorders>
              <w:tl2br w:val="nil"/>
              <w:tr2bl w:val="nil"/>
            </w:tcBorders>
            <w:noWrap/>
            <w:vAlign w:val="center"/>
          </w:tcPr>
          <w:p w14:paraId="22ED567F">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266</w:t>
            </w:r>
          </w:p>
        </w:tc>
        <w:tc>
          <w:tcPr>
            <w:tcW w:w="882" w:type="dxa"/>
            <w:tcBorders>
              <w:tl2br w:val="nil"/>
              <w:tr2bl w:val="nil"/>
            </w:tcBorders>
            <w:noWrap/>
            <w:vAlign w:val="center"/>
          </w:tcPr>
          <w:p w14:paraId="3C1DEC0A">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380</w:t>
            </w:r>
          </w:p>
        </w:tc>
        <w:tc>
          <w:tcPr>
            <w:tcW w:w="1685" w:type="dxa"/>
            <w:tcBorders>
              <w:tl2br w:val="nil"/>
              <w:tr2bl w:val="nil"/>
            </w:tcBorders>
            <w:noWrap/>
            <w:vAlign w:val="center"/>
          </w:tcPr>
          <w:p w14:paraId="0215D08E">
            <w:pPr>
              <w:pStyle w:val="45"/>
              <w:bidi w:val="0"/>
              <w:rPr>
                <w:rFonts w:ascii="Times New Roman" w:hAnsi="Times New Roman"/>
                <w:b w:val="0"/>
                <w:bCs/>
                <w:color w:val="auto"/>
                <w:highlight w:val="none"/>
                <w:lang w:val="zh-CN"/>
              </w:rPr>
            </w:pPr>
            <w:r>
              <w:rPr>
                <w:rFonts w:hint="default" w:ascii="Times New Roman" w:hAnsi="Times New Roman"/>
                <w:b w:val="0"/>
                <w:bCs/>
                <w:color w:val="auto"/>
                <w:highlight w:val="none"/>
                <w:lang w:val="en-US" w:eastAsia="zh-CN"/>
              </w:rPr>
              <w:t>2#</w:t>
            </w:r>
            <w:r>
              <w:rPr>
                <w:rFonts w:hint="default" w:ascii="Times New Roman" w:hAnsi="Times New Roman"/>
                <w:b w:val="0"/>
                <w:bCs/>
                <w:color w:val="auto"/>
                <w:highlight w:val="none"/>
                <w:lang w:val="zh-CN"/>
              </w:rPr>
              <w:t>风</w:t>
            </w:r>
            <w:r>
              <w:rPr>
                <w:rFonts w:hint="eastAsia" w:ascii="Times New Roman" w:hAnsi="Times New Roman"/>
                <w:b w:val="0"/>
                <w:bCs/>
                <w:color w:val="auto"/>
                <w:highlight w:val="none"/>
                <w:lang w:val="zh-CN"/>
              </w:rPr>
              <w:t>机</w:t>
            </w:r>
            <w:r>
              <w:rPr>
                <w:rFonts w:hint="eastAsia"/>
                <w:b w:val="0"/>
                <w:bCs/>
                <w:color w:val="auto"/>
                <w:highlight w:val="none"/>
                <w:lang w:val="zh-CN" w:eastAsia="zh-CN"/>
              </w:rPr>
              <w:t>东南</w:t>
            </w:r>
            <w:r>
              <w:rPr>
                <w:rFonts w:hint="eastAsia" w:ascii="Times New Roman" w:hAnsi="Times New Roman"/>
                <w:b w:val="0"/>
                <w:bCs/>
                <w:color w:val="auto"/>
                <w:highlight w:val="none"/>
                <w:lang w:val="zh-CN"/>
              </w:rPr>
              <w:t>侧</w:t>
            </w:r>
          </w:p>
        </w:tc>
        <w:tc>
          <w:tcPr>
            <w:tcW w:w="959" w:type="dxa"/>
            <w:tcBorders>
              <w:tl2br w:val="nil"/>
              <w:tr2bl w:val="nil"/>
            </w:tcBorders>
            <w:noWrap/>
            <w:vAlign w:val="center"/>
          </w:tcPr>
          <w:p w14:paraId="337B3117">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330</w:t>
            </w:r>
          </w:p>
        </w:tc>
        <w:tc>
          <w:tcPr>
            <w:tcW w:w="960" w:type="dxa"/>
            <w:tcBorders>
              <w:tl2br w:val="nil"/>
              <w:tr2bl w:val="nil"/>
            </w:tcBorders>
            <w:noWrap/>
            <w:vAlign w:val="center"/>
          </w:tcPr>
          <w:p w14:paraId="2C75F686">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-11</w:t>
            </w:r>
            <w:r>
              <w:rPr>
                <w:rFonts w:hint="eastAsia"/>
                <w:b w:val="0"/>
                <w:bCs/>
                <w:color w:val="auto"/>
                <w:highlight w:val="none"/>
                <w:lang w:val="en-US" w:eastAsia="zh-CN"/>
              </w:rPr>
              <w:t>4</w:t>
            </w:r>
          </w:p>
        </w:tc>
        <w:tc>
          <w:tcPr>
            <w:tcW w:w="899" w:type="dxa"/>
            <w:vMerge w:val="restart"/>
            <w:tcBorders>
              <w:tl2br w:val="nil"/>
              <w:tr2bl w:val="nil"/>
            </w:tcBorders>
            <w:noWrap w:val="0"/>
            <w:vAlign w:val="center"/>
          </w:tcPr>
          <w:p w14:paraId="34C6208E">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rPr>
              <w:t>灌木林和乔木林</w:t>
            </w:r>
          </w:p>
        </w:tc>
      </w:tr>
      <w:tr w14:paraId="20CC61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8" w:hRule="atLeast"/>
          <w:jc w:val="center"/>
        </w:trPr>
        <w:tc>
          <w:tcPr>
            <w:tcW w:w="514" w:type="dxa"/>
            <w:tcBorders>
              <w:tl2br w:val="nil"/>
              <w:tr2bl w:val="nil"/>
            </w:tcBorders>
            <w:noWrap/>
            <w:vAlign w:val="center"/>
          </w:tcPr>
          <w:p w14:paraId="05ACBE23">
            <w:pPr>
              <w:pStyle w:val="45"/>
              <w:bidi w:val="0"/>
              <w:rPr>
                <w:rFonts w:ascii="Times New Roman" w:hAnsi="Times New Roman"/>
                <w:b w:val="0"/>
                <w:bCs/>
                <w:color w:val="auto"/>
                <w:highlight w:val="none"/>
                <w:lang w:val="zh-CN"/>
              </w:rPr>
            </w:pPr>
            <w:r>
              <w:rPr>
                <w:rFonts w:hint="eastAsia"/>
                <w:b w:val="0"/>
                <w:bCs/>
                <w:color w:val="auto"/>
                <w:highlight w:val="none"/>
                <w:lang w:val="en-US" w:eastAsia="zh-CN"/>
              </w:rPr>
              <w:t>2</w:t>
            </w:r>
          </w:p>
        </w:tc>
        <w:tc>
          <w:tcPr>
            <w:tcW w:w="1462" w:type="dxa"/>
            <w:tcBorders>
              <w:tl2br w:val="nil"/>
              <w:tr2bl w:val="nil"/>
            </w:tcBorders>
            <w:noWrap/>
            <w:vAlign w:val="center"/>
          </w:tcPr>
          <w:p w14:paraId="2E147C06">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eastAsia="zh-CN"/>
              </w:rPr>
              <w:t>祁东县马杜桥乡</w:t>
            </w:r>
            <w:r>
              <w:rPr>
                <w:rFonts w:hint="eastAsia"/>
                <w:b w:val="0"/>
                <w:bCs/>
                <w:color w:val="auto"/>
                <w:highlight w:val="none"/>
                <w:lang w:val="zh-CN" w:eastAsia="zh-CN"/>
              </w:rPr>
              <w:t>石门山村①</w:t>
            </w:r>
          </w:p>
        </w:tc>
        <w:tc>
          <w:tcPr>
            <w:tcW w:w="1160" w:type="dxa"/>
            <w:tcBorders>
              <w:tl2br w:val="nil"/>
              <w:tr2bl w:val="nil"/>
            </w:tcBorders>
            <w:noWrap/>
            <w:vAlign w:val="center"/>
          </w:tcPr>
          <w:p w14:paraId="3961D7A1">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49</w:t>
            </w:r>
            <w:r>
              <w:rPr>
                <w:rFonts w:hint="eastAsia"/>
                <w:b w:val="0"/>
                <w:bCs/>
                <w:color w:val="auto"/>
                <w:highlight w:val="none"/>
                <w:lang w:val="en-US" w:eastAsia="zh-CN"/>
              </w:rPr>
              <w:t>8</w:t>
            </w:r>
          </w:p>
        </w:tc>
        <w:tc>
          <w:tcPr>
            <w:tcW w:w="882" w:type="dxa"/>
            <w:tcBorders>
              <w:tl2br w:val="nil"/>
              <w:tr2bl w:val="nil"/>
            </w:tcBorders>
            <w:noWrap/>
            <w:vAlign w:val="center"/>
          </w:tcPr>
          <w:p w14:paraId="7D5C4D05">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5</w:t>
            </w:r>
            <w:r>
              <w:rPr>
                <w:rFonts w:hint="eastAsia"/>
                <w:b w:val="0"/>
                <w:bCs/>
                <w:color w:val="auto"/>
                <w:highlight w:val="none"/>
                <w:lang w:val="en-US" w:eastAsia="zh-CN"/>
              </w:rPr>
              <w:t>44</w:t>
            </w:r>
          </w:p>
        </w:tc>
        <w:tc>
          <w:tcPr>
            <w:tcW w:w="1685" w:type="dxa"/>
            <w:tcBorders>
              <w:tl2br w:val="nil"/>
              <w:tr2bl w:val="nil"/>
            </w:tcBorders>
            <w:noWrap/>
            <w:vAlign w:val="center"/>
          </w:tcPr>
          <w:p w14:paraId="365F4A30">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en-US" w:eastAsia="zh-CN"/>
              </w:rPr>
              <w:t>16#</w:t>
            </w:r>
            <w:r>
              <w:rPr>
                <w:rFonts w:hint="eastAsia" w:ascii="Times New Roman" w:hAnsi="Times New Roman"/>
                <w:b w:val="0"/>
                <w:bCs/>
                <w:color w:val="auto"/>
                <w:highlight w:val="none"/>
                <w:lang w:val="zh-CN"/>
              </w:rPr>
              <w:t>风机西南侧</w:t>
            </w:r>
          </w:p>
        </w:tc>
        <w:tc>
          <w:tcPr>
            <w:tcW w:w="959" w:type="dxa"/>
            <w:tcBorders>
              <w:tl2br w:val="nil"/>
              <w:tr2bl w:val="nil"/>
            </w:tcBorders>
            <w:noWrap/>
            <w:vAlign w:val="center"/>
          </w:tcPr>
          <w:p w14:paraId="0981C92D">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305</w:t>
            </w:r>
          </w:p>
        </w:tc>
        <w:tc>
          <w:tcPr>
            <w:tcW w:w="960" w:type="dxa"/>
            <w:tcBorders>
              <w:tl2br w:val="nil"/>
              <w:tr2bl w:val="nil"/>
            </w:tcBorders>
            <w:noWrap/>
            <w:vAlign w:val="center"/>
          </w:tcPr>
          <w:p w14:paraId="6BDECB72">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w:t>
            </w:r>
            <w:r>
              <w:rPr>
                <w:rFonts w:hint="eastAsia"/>
                <w:b w:val="0"/>
                <w:bCs/>
                <w:color w:val="auto"/>
                <w:highlight w:val="none"/>
                <w:lang w:val="en-US" w:eastAsia="zh-CN"/>
              </w:rPr>
              <w:t>46</w:t>
            </w:r>
          </w:p>
        </w:tc>
        <w:tc>
          <w:tcPr>
            <w:tcW w:w="899" w:type="dxa"/>
            <w:vMerge w:val="continue"/>
            <w:tcBorders>
              <w:tl2br w:val="nil"/>
              <w:tr2bl w:val="nil"/>
            </w:tcBorders>
            <w:noWrap w:val="0"/>
            <w:vAlign w:val="center"/>
          </w:tcPr>
          <w:p w14:paraId="437F5F5F">
            <w:pPr>
              <w:keepNext w:val="0"/>
              <w:keepLines w:val="0"/>
              <w:pageBreakBefore w:val="0"/>
              <w:widowControl/>
              <w:kinsoku/>
              <w:wordWrap/>
              <w:overflowPunct/>
              <w:topLinePunct w:val="0"/>
              <w:autoSpaceDE/>
              <w:autoSpaceDN/>
              <w:bidi w:val="0"/>
              <w:adjustRightInd w:val="0"/>
              <w:snapToGrid w:val="0"/>
              <w:jc w:val="left"/>
              <w:textAlignment w:val="auto"/>
              <w:rPr>
                <w:rFonts w:ascii="宋体" w:hAnsi="宋体" w:cs="宋体"/>
                <w:b w:val="0"/>
                <w:bCs/>
                <w:color w:val="auto"/>
                <w:kern w:val="0"/>
                <w:sz w:val="21"/>
                <w:szCs w:val="21"/>
                <w:highlight w:val="none"/>
                <w:u w:val="none"/>
              </w:rPr>
            </w:pPr>
          </w:p>
        </w:tc>
      </w:tr>
      <w:tr w14:paraId="5AF4D40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8" w:hRule="atLeast"/>
          <w:jc w:val="center"/>
        </w:trPr>
        <w:tc>
          <w:tcPr>
            <w:tcW w:w="514" w:type="dxa"/>
            <w:tcBorders>
              <w:tl2br w:val="nil"/>
              <w:tr2bl w:val="nil"/>
            </w:tcBorders>
            <w:noWrap/>
            <w:vAlign w:val="center"/>
          </w:tcPr>
          <w:p w14:paraId="0C8C4307">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en-US" w:eastAsia="zh-CN"/>
              </w:rPr>
              <w:t>3</w:t>
            </w:r>
          </w:p>
        </w:tc>
        <w:tc>
          <w:tcPr>
            <w:tcW w:w="1462" w:type="dxa"/>
            <w:tcBorders>
              <w:tl2br w:val="nil"/>
              <w:tr2bl w:val="nil"/>
            </w:tcBorders>
            <w:noWrap/>
            <w:vAlign w:val="center"/>
          </w:tcPr>
          <w:p w14:paraId="0BC2082B">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eastAsia="zh-CN"/>
              </w:rPr>
              <w:t>祁东县马杜桥乡</w:t>
            </w:r>
            <w:r>
              <w:rPr>
                <w:rFonts w:hint="eastAsia"/>
                <w:b w:val="0"/>
                <w:bCs/>
                <w:color w:val="auto"/>
                <w:highlight w:val="none"/>
                <w:lang w:val="zh-CN" w:eastAsia="zh-CN"/>
              </w:rPr>
              <w:t>石门山村②</w:t>
            </w:r>
          </w:p>
        </w:tc>
        <w:tc>
          <w:tcPr>
            <w:tcW w:w="1160" w:type="dxa"/>
            <w:tcBorders>
              <w:tl2br w:val="nil"/>
              <w:tr2bl w:val="nil"/>
            </w:tcBorders>
            <w:noWrap/>
            <w:vAlign w:val="center"/>
          </w:tcPr>
          <w:p w14:paraId="31D781C7">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467</w:t>
            </w:r>
          </w:p>
        </w:tc>
        <w:tc>
          <w:tcPr>
            <w:tcW w:w="882" w:type="dxa"/>
            <w:tcBorders>
              <w:tl2br w:val="nil"/>
              <w:tr2bl w:val="nil"/>
            </w:tcBorders>
            <w:noWrap/>
            <w:vAlign w:val="center"/>
          </w:tcPr>
          <w:p w14:paraId="499ADA5D">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509</w:t>
            </w:r>
          </w:p>
        </w:tc>
        <w:tc>
          <w:tcPr>
            <w:tcW w:w="1685" w:type="dxa"/>
            <w:tcBorders>
              <w:tl2br w:val="nil"/>
              <w:tr2bl w:val="nil"/>
            </w:tcBorders>
            <w:noWrap/>
            <w:vAlign w:val="center"/>
          </w:tcPr>
          <w:p w14:paraId="05B02F11">
            <w:pPr>
              <w:pStyle w:val="45"/>
              <w:bidi w:val="0"/>
              <w:rPr>
                <w:rFonts w:ascii="Times New Roman" w:hAnsi="Times New Roman"/>
                <w:b w:val="0"/>
                <w:bCs/>
                <w:color w:val="auto"/>
                <w:highlight w:val="none"/>
                <w:lang w:val="zh-CN"/>
              </w:rPr>
            </w:pPr>
            <w:r>
              <w:rPr>
                <w:rFonts w:hint="eastAsia"/>
                <w:b w:val="0"/>
                <w:bCs/>
                <w:color w:val="auto"/>
                <w:highlight w:val="none"/>
                <w:lang w:val="en-US" w:eastAsia="zh-CN"/>
              </w:rPr>
              <w:t>17#机位西南侧</w:t>
            </w:r>
          </w:p>
        </w:tc>
        <w:tc>
          <w:tcPr>
            <w:tcW w:w="959" w:type="dxa"/>
            <w:tcBorders>
              <w:tl2br w:val="nil"/>
              <w:tr2bl w:val="nil"/>
            </w:tcBorders>
            <w:noWrap/>
            <w:vAlign w:val="center"/>
          </w:tcPr>
          <w:p w14:paraId="286924A6">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355</w:t>
            </w:r>
          </w:p>
        </w:tc>
        <w:tc>
          <w:tcPr>
            <w:tcW w:w="960" w:type="dxa"/>
            <w:tcBorders>
              <w:tl2br w:val="nil"/>
              <w:tr2bl w:val="nil"/>
            </w:tcBorders>
            <w:noWrap/>
            <w:vAlign w:val="center"/>
          </w:tcPr>
          <w:p w14:paraId="1C31FB40">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-31</w:t>
            </w:r>
          </w:p>
        </w:tc>
        <w:tc>
          <w:tcPr>
            <w:tcW w:w="899" w:type="dxa"/>
            <w:vMerge w:val="continue"/>
            <w:tcBorders>
              <w:tl2br w:val="nil"/>
              <w:tr2bl w:val="nil"/>
            </w:tcBorders>
            <w:noWrap w:val="0"/>
            <w:vAlign w:val="center"/>
          </w:tcPr>
          <w:p w14:paraId="251205FE">
            <w:pPr>
              <w:keepNext w:val="0"/>
              <w:keepLines w:val="0"/>
              <w:pageBreakBefore w:val="0"/>
              <w:widowControl/>
              <w:kinsoku/>
              <w:wordWrap/>
              <w:overflowPunct/>
              <w:topLinePunct w:val="0"/>
              <w:autoSpaceDE/>
              <w:autoSpaceDN/>
              <w:bidi w:val="0"/>
              <w:adjustRightInd w:val="0"/>
              <w:snapToGrid w:val="0"/>
              <w:jc w:val="left"/>
              <w:textAlignment w:val="auto"/>
              <w:rPr>
                <w:rFonts w:ascii="宋体" w:hAnsi="宋体" w:cs="宋体"/>
                <w:b w:val="0"/>
                <w:bCs/>
                <w:color w:val="auto"/>
                <w:kern w:val="0"/>
                <w:sz w:val="21"/>
                <w:szCs w:val="21"/>
                <w:highlight w:val="none"/>
                <w:u w:val="none"/>
              </w:rPr>
            </w:pPr>
          </w:p>
        </w:tc>
      </w:tr>
      <w:tr w14:paraId="012071A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8" w:hRule="atLeast"/>
          <w:jc w:val="center"/>
        </w:trPr>
        <w:tc>
          <w:tcPr>
            <w:tcW w:w="514" w:type="dxa"/>
            <w:tcBorders>
              <w:tl2br w:val="nil"/>
              <w:tr2bl w:val="nil"/>
            </w:tcBorders>
            <w:noWrap/>
            <w:vAlign w:val="center"/>
          </w:tcPr>
          <w:p w14:paraId="1ED4F88F">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4</w:t>
            </w:r>
          </w:p>
        </w:tc>
        <w:tc>
          <w:tcPr>
            <w:tcW w:w="1462" w:type="dxa"/>
            <w:tcBorders>
              <w:tl2br w:val="nil"/>
              <w:tr2bl w:val="nil"/>
            </w:tcBorders>
            <w:noWrap/>
            <w:vAlign w:val="center"/>
          </w:tcPr>
          <w:p w14:paraId="46259983">
            <w:pPr>
              <w:pStyle w:val="45"/>
              <w:bidi w:val="0"/>
              <w:rPr>
                <w:rFonts w:hint="eastAsia" w:ascii="Times New Roman" w:hAnsi="Times New Roman"/>
                <w:b w:val="0"/>
                <w:bCs/>
                <w:color w:val="auto"/>
                <w:highlight w:val="none"/>
                <w:lang w:val="zh-CN" w:eastAsia="zh-CN"/>
              </w:rPr>
            </w:pPr>
            <w:r>
              <w:rPr>
                <w:rFonts w:hint="eastAsia" w:ascii="Times New Roman" w:hAnsi="Times New Roman"/>
                <w:b w:val="0"/>
                <w:bCs/>
                <w:color w:val="auto"/>
                <w:highlight w:val="none"/>
                <w:lang w:val="zh-CN" w:eastAsia="zh-CN"/>
              </w:rPr>
              <w:t>祁东县马杜桥乡</w:t>
            </w:r>
            <w:r>
              <w:rPr>
                <w:rFonts w:hint="eastAsia"/>
                <w:b w:val="0"/>
                <w:bCs/>
                <w:color w:val="auto"/>
                <w:highlight w:val="none"/>
                <w:lang w:val="zh-CN" w:eastAsia="zh-CN"/>
              </w:rPr>
              <w:t>石门山村③</w:t>
            </w:r>
          </w:p>
        </w:tc>
        <w:tc>
          <w:tcPr>
            <w:tcW w:w="1160" w:type="dxa"/>
            <w:tcBorders>
              <w:tl2br w:val="nil"/>
              <w:tr2bl w:val="nil"/>
            </w:tcBorders>
            <w:noWrap/>
            <w:vAlign w:val="center"/>
          </w:tcPr>
          <w:p w14:paraId="596C63C5">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466</w:t>
            </w:r>
          </w:p>
        </w:tc>
        <w:tc>
          <w:tcPr>
            <w:tcW w:w="882" w:type="dxa"/>
            <w:tcBorders>
              <w:tl2br w:val="nil"/>
              <w:tr2bl w:val="nil"/>
            </w:tcBorders>
            <w:noWrap/>
            <w:vAlign w:val="center"/>
          </w:tcPr>
          <w:p w14:paraId="35679F95">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509</w:t>
            </w:r>
          </w:p>
        </w:tc>
        <w:tc>
          <w:tcPr>
            <w:tcW w:w="1685" w:type="dxa"/>
            <w:tcBorders>
              <w:tl2br w:val="nil"/>
              <w:tr2bl w:val="nil"/>
            </w:tcBorders>
            <w:noWrap/>
            <w:vAlign w:val="center"/>
          </w:tcPr>
          <w:p w14:paraId="3C83940A">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17#机位西南侧</w:t>
            </w:r>
          </w:p>
        </w:tc>
        <w:tc>
          <w:tcPr>
            <w:tcW w:w="959" w:type="dxa"/>
            <w:tcBorders>
              <w:tl2br w:val="nil"/>
              <w:tr2bl w:val="nil"/>
            </w:tcBorders>
            <w:noWrap/>
            <w:vAlign w:val="center"/>
          </w:tcPr>
          <w:p w14:paraId="5A43E6CB">
            <w:pPr>
              <w:pStyle w:val="45"/>
              <w:bidi w:val="0"/>
              <w:rPr>
                <w:rFonts w:hint="default"/>
                <w:b w:val="0"/>
                <w:bCs/>
                <w:color w:val="auto"/>
                <w:highlight w:val="none"/>
                <w:lang w:val="en-US" w:eastAsia="zh-CN"/>
              </w:rPr>
            </w:pPr>
            <w:r>
              <w:rPr>
                <w:rFonts w:hint="eastAsia"/>
                <w:b w:val="0"/>
                <w:bCs/>
                <w:color w:val="auto"/>
                <w:highlight w:val="none"/>
                <w:lang w:val="en-US" w:eastAsia="zh-CN"/>
              </w:rPr>
              <w:t>400</w:t>
            </w:r>
          </w:p>
        </w:tc>
        <w:tc>
          <w:tcPr>
            <w:tcW w:w="960" w:type="dxa"/>
            <w:tcBorders>
              <w:tl2br w:val="nil"/>
              <w:tr2bl w:val="nil"/>
            </w:tcBorders>
            <w:noWrap/>
            <w:vAlign w:val="center"/>
          </w:tcPr>
          <w:p w14:paraId="7F484C30">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-43</w:t>
            </w:r>
          </w:p>
        </w:tc>
        <w:tc>
          <w:tcPr>
            <w:tcW w:w="899" w:type="dxa"/>
            <w:vMerge w:val="continue"/>
            <w:tcBorders>
              <w:tl2br w:val="nil"/>
              <w:tr2bl w:val="nil"/>
            </w:tcBorders>
            <w:noWrap w:val="0"/>
            <w:vAlign w:val="center"/>
          </w:tcPr>
          <w:p w14:paraId="7FC703D8">
            <w:pPr>
              <w:keepNext w:val="0"/>
              <w:keepLines w:val="0"/>
              <w:pageBreakBefore w:val="0"/>
              <w:widowControl/>
              <w:kinsoku/>
              <w:wordWrap/>
              <w:overflowPunct/>
              <w:topLinePunct w:val="0"/>
              <w:autoSpaceDE/>
              <w:autoSpaceDN/>
              <w:bidi w:val="0"/>
              <w:adjustRightInd w:val="0"/>
              <w:snapToGrid w:val="0"/>
              <w:jc w:val="left"/>
              <w:textAlignment w:val="auto"/>
              <w:rPr>
                <w:rFonts w:ascii="宋体" w:hAnsi="宋体" w:cs="宋体"/>
                <w:b w:val="0"/>
                <w:bCs/>
                <w:color w:val="auto"/>
                <w:kern w:val="0"/>
                <w:sz w:val="21"/>
                <w:szCs w:val="21"/>
                <w:highlight w:val="none"/>
                <w:u w:val="none"/>
              </w:rPr>
            </w:pPr>
          </w:p>
        </w:tc>
      </w:tr>
      <w:tr w14:paraId="33FBA1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8" w:hRule="atLeast"/>
          <w:jc w:val="center"/>
        </w:trPr>
        <w:tc>
          <w:tcPr>
            <w:tcW w:w="514" w:type="dxa"/>
            <w:tcBorders>
              <w:tl2br w:val="nil"/>
              <w:tr2bl w:val="nil"/>
            </w:tcBorders>
            <w:noWrap/>
            <w:vAlign w:val="center"/>
          </w:tcPr>
          <w:p w14:paraId="7066ED3C">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5</w:t>
            </w:r>
          </w:p>
        </w:tc>
        <w:tc>
          <w:tcPr>
            <w:tcW w:w="1462" w:type="dxa"/>
            <w:tcBorders>
              <w:tl2br w:val="nil"/>
              <w:tr2bl w:val="nil"/>
            </w:tcBorders>
            <w:noWrap/>
            <w:vAlign w:val="center"/>
          </w:tcPr>
          <w:p w14:paraId="137758AC">
            <w:pPr>
              <w:pStyle w:val="45"/>
              <w:bidi w:val="0"/>
              <w:rPr>
                <w:rFonts w:hint="eastAsia" w:ascii="Times New Roman" w:hAnsi="Times New Roman"/>
                <w:b w:val="0"/>
                <w:bCs/>
                <w:color w:val="auto"/>
                <w:highlight w:val="none"/>
                <w:lang w:val="zh-CN" w:eastAsia="zh-CN"/>
              </w:rPr>
            </w:pPr>
            <w:r>
              <w:rPr>
                <w:rFonts w:hint="eastAsia" w:ascii="Times New Roman" w:hAnsi="Times New Roman"/>
                <w:b w:val="0"/>
                <w:bCs/>
                <w:color w:val="auto"/>
                <w:highlight w:val="none"/>
                <w:lang w:val="zh-CN" w:eastAsia="zh-CN"/>
              </w:rPr>
              <w:t>祁东县马杜桥乡</w:t>
            </w:r>
            <w:r>
              <w:rPr>
                <w:rFonts w:hint="eastAsia"/>
                <w:b w:val="0"/>
                <w:bCs/>
                <w:color w:val="auto"/>
                <w:highlight w:val="none"/>
                <w:lang w:val="zh-CN" w:eastAsia="zh-CN"/>
              </w:rPr>
              <w:t>石门山村③</w:t>
            </w:r>
          </w:p>
        </w:tc>
        <w:tc>
          <w:tcPr>
            <w:tcW w:w="1160" w:type="dxa"/>
            <w:tcBorders>
              <w:tl2br w:val="nil"/>
              <w:tr2bl w:val="nil"/>
            </w:tcBorders>
            <w:noWrap/>
            <w:vAlign w:val="center"/>
          </w:tcPr>
          <w:p w14:paraId="432FED30">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466</w:t>
            </w:r>
          </w:p>
        </w:tc>
        <w:tc>
          <w:tcPr>
            <w:tcW w:w="882" w:type="dxa"/>
            <w:tcBorders>
              <w:tl2br w:val="nil"/>
              <w:tr2bl w:val="nil"/>
            </w:tcBorders>
            <w:noWrap/>
            <w:vAlign w:val="center"/>
          </w:tcPr>
          <w:p w14:paraId="166B319B">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563</w:t>
            </w:r>
          </w:p>
        </w:tc>
        <w:tc>
          <w:tcPr>
            <w:tcW w:w="1685" w:type="dxa"/>
            <w:tcBorders>
              <w:tl2br w:val="nil"/>
              <w:tr2bl w:val="nil"/>
            </w:tcBorders>
            <w:noWrap/>
            <w:vAlign w:val="center"/>
          </w:tcPr>
          <w:p w14:paraId="78461372">
            <w:pPr>
              <w:pStyle w:val="45"/>
              <w:bidi w:val="0"/>
              <w:rPr>
                <w:rFonts w:hint="eastAsia" w:ascii="Times New Roman" w:hAnsi="Times New Roman"/>
                <w:b w:val="0"/>
                <w:bCs/>
                <w:color w:val="auto"/>
                <w:highlight w:val="none"/>
                <w:lang w:val="en-US" w:eastAsia="zh-CN"/>
              </w:rPr>
            </w:pPr>
            <w:r>
              <w:rPr>
                <w:rFonts w:hint="default" w:ascii="Times New Roman" w:hAnsi="Times New Roman"/>
                <w:b w:val="0"/>
                <w:bCs/>
                <w:color w:val="auto"/>
                <w:highlight w:val="none"/>
                <w:lang w:val="en-US" w:eastAsia="zh-CN"/>
              </w:rPr>
              <w:t>1</w:t>
            </w:r>
            <w:r>
              <w:rPr>
                <w:rFonts w:hint="eastAsia" w:ascii="Times New Roman" w:hAnsi="Times New Roman"/>
                <w:b w:val="0"/>
                <w:bCs/>
                <w:color w:val="auto"/>
                <w:highlight w:val="none"/>
                <w:lang w:val="en-US" w:eastAsia="zh-CN"/>
              </w:rPr>
              <w:t>8</w:t>
            </w:r>
            <w:r>
              <w:rPr>
                <w:rFonts w:hint="default" w:ascii="Times New Roman" w:hAnsi="Times New Roman"/>
                <w:b w:val="0"/>
                <w:bCs/>
                <w:color w:val="auto"/>
                <w:highlight w:val="none"/>
                <w:lang w:val="en-US" w:eastAsia="zh-CN"/>
              </w:rPr>
              <w:t>#风机</w:t>
            </w:r>
            <w:r>
              <w:rPr>
                <w:rFonts w:hint="eastAsia" w:ascii="Times New Roman" w:hAnsi="Times New Roman"/>
                <w:b w:val="0"/>
                <w:bCs/>
                <w:color w:val="auto"/>
                <w:highlight w:val="none"/>
                <w:lang w:val="en-US" w:eastAsia="zh-CN"/>
              </w:rPr>
              <w:t>西北</w:t>
            </w:r>
            <w:r>
              <w:rPr>
                <w:rFonts w:hint="default" w:ascii="Times New Roman" w:hAnsi="Times New Roman"/>
                <w:b w:val="0"/>
                <w:bCs/>
                <w:color w:val="auto"/>
                <w:highlight w:val="none"/>
                <w:lang w:val="en-US" w:eastAsia="zh-CN"/>
              </w:rPr>
              <w:t>侧</w:t>
            </w:r>
          </w:p>
        </w:tc>
        <w:tc>
          <w:tcPr>
            <w:tcW w:w="959" w:type="dxa"/>
            <w:tcBorders>
              <w:tl2br w:val="nil"/>
              <w:tr2bl w:val="nil"/>
            </w:tcBorders>
            <w:noWrap/>
            <w:vAlign w:val="center"/>
          </w:tcPr>
          <w:p w14:paraId="785D6F7D">
            <w:pPr>
              <w:pStyle w:val="45"/>
              <w:bidi w:val="0"/>
              <w:rPr>
                <w:rFonts w:hint="default"/>
                <w:b w:val="0"/>
                <w:bCs/>
                <w:color w:val="auto"/>
                <w:highlight w:val="none"/>
                <w:lang w:val="en-US" w:eastAsia="zh-CN"/>
              </w:rPr>
            </w:pPr>
            <w:r>
              <w:rPr>
                <w:rFonts w:hint="eastAsia"/>
                <w:b w:val="0"/>
                <w:bCs/>
                <w:color w:val="auto"/>
                <w:highlight w:val="none"/>
                <w:lang w:val="en-US" w:eastAsia="zh-CN"/>
              </w:rPr>
              <w:t>320</w:t>
            </w:r>
          </w:p>
        </w:tc>
        <w:tc>
          <w:tcPr>
            <w:tcW w:w="960" w:type="dxa"/>
            <w:tcBorders>
              <w:tl2br w:val="nil"/>
              <w:tr2bl w:val="nil"/>
            </w:tcBorders>
            <w:noWrap/>
            <w:vAlign w:val="center"/>
          </w:tcPr>
          <w:p w14:paraId="7BE7D7BB">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-97</w:t>
            </w:r>
          </w:p>
        </w:tc>
        <w:tc>
          <w:tcPr>
            <w:tcW w:w="899" w:type="dxa"/>
            <w:vMerge w:val="continue"/>
            <w:tcBorders>
              <w:tl2br w:val="nil"/>
              <w:tr2bl w:val="nil"/>
            </w:tcBorders>
            <w:noWrap w:val="0"/>
            <w:vAlign w:val="center"/>
          </w:tcPr>
          <w:p w14:paraId="31E0B6C2">
            <w:pPr>
              <w:keepNext w:val="0"/>
              <w:keepLines w:val="0"/>
              <w:pageBreakBefore w:val="0"/>
              <w:widowControl/>
              <w:kinsoku/>
              <w:wordWrap/>
              <w:overflowPunct/>
              <w:topLinePunct w:val="0"/>
              <w:autoSpaceDE/>
              <w:autoSpaceDN/>
              <w:bidi w:val="0"/>
              <w:adjustRightInd w:val="0"/>
              <w:snapToGrid w:val="0"/>
              <w:jc w:val="left"/>
              <w:textAlignment w:val="auto"/>
              <w:rPr>
                <w:rFonts w:ascii="宋体" w:hAnsi="宋体" w:cs="宋体"/>
                <w:b w:val="0"/>
                <w:bCs/>
                <w:color w:val="auto"/>
                <w:kern w:val="0"/>
                <w:sz w:val="21"/>
                <w:szCs w:val="21"/>
                <w:highlight w:val="none"/>
                <w:u w:val="none"/>
              </w:rPr>
            </w:pPr>
          </w:p>
        </w:tc>
      </w:tr>
      <w:tr w14:paraId="6C1F66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8" w:hRule="atLeast"/>
          <w:jc w:val="center"/>
        </w:trPr>
        <w:tc>
          <w:tcPr>
            <w:tcW w:w="7622" w:type="dxa"/>
            <w:gridSpan w:val="7"/>
            <w:tcBorders>
              <w:tl2br w:val="nil"/>
              <w:tr2bl w:val="nil"/>
            </w:tcBorders>
            <w:noWrap/>
            <w:vAlign w:val="center"/>
          </w:tcPr>
          <w:p w14:paraId="734B12DE">
            <w:pPr>
              <w:pStyle w:val="45"/>
              <w:bidi w:val="0"/>
              <w:jc w:val="both"/>
              <w:rPr>
                <w:rFonts w:hint="default" w:ascii="Times New Roman" w:hAnsi="Times New Roman"/>
                <w:b w:val="0"/>
                <w:bCs/>
                <w:color w:val="auto"/>
                <w:highlight w:val="none"/>
                <w:lang w:val="en-US" w:eastAsia="zh-CN"/>
              </w:rPr>
            </w:pPr>
            <w:r>
              <w:rPr>
                <w:rFonts w:hint="eastAsia"/>
                <w:b w:val="0"/>
                <w:bCs/>
                <w:color w:val="auto"/>
                <w:highlight w:val="none"/>
                <w:lang w:val="en-US" w:eastAsia="zh-CN"/>
              </w:rPr>
              <w:t>备注：</w:t>
            </w:r>
            <w:r>
              <w:rPr>
                <w:rFonts w:hint="eastAsia" w:ascii="Times New Roman" w:hAnsi="Times New Roman"/>
                <w:b w:val="0"/>
                <w:bCs/>
                <w:color w:val="auto"/>
                <w:highlight w:val="none"/>
                <w:lang w:val="zh-CN" w:eastAsia="zh-CN"/>
              </w:rPr>
              <w:t>祁东县马杜桥乡</w:t>
            </w:r>
            <w:r>
              <w:rPr>
                <w:rFonts w:hint="eastAsia"/>
                <w:b w:val="0"/>
                <w:bCs/>
                <w:color w:val="auto"/>
                <w:highlight w:val="none"/>
                <w:lang w:val="zh-CN" w:eastAsia="zh-CN"/>
              </w:rPr>
              <w:t>石门山村③受到相邻的</w:t>
            </w:r>
            <w:r>
              <w:rPr>
                <w:rFonts w:hint="eastAsia"/>
                <w:b w:val="0"/>
                <w:bCs/>
                <w:color w:val="auto"/>
                <w:highlight w:val="none"/>
                <w:lang w:val="en-US" w:eastAsia="zh-CN"/>
              </w:rPr>
              <w:t>17#、18#2个风机噪声的叠加影响。</w:t>
            </w:r>
          </w:p>
        </w:tc>
        <w:tc>
          <w:tcPr>
            <w:tcW w:w="899" w:type="dxa"/>
            <w:vMerge w:val="continue"/>
            <w:tcBorders>
              <w:tl2br w:val="nil"/>
              <w:tr2bl w:val="nil"/>
            </w:tcBorders>
            <w:noWrap w:val="0"/>
            <w:vAlign w:val="center"/>
          </w:tcPr>
          <w:p w14:paraId="598205CA">
            <w:pPr>
              <w:keepNext w:val="0"/>
              <w:keepLines w:val="0"/>
              <w:pageBreakBefore w:val="0"/>
              <w:widowControl/>
              <w:kinsoku/>
              <w:wordWrap/>
              <w:overflowPunct/>
              <w:topLinePunct w:val="0"/>
              <w:autoSpaceDE/>
              <w:autoSpaceDN/>
              <w:bidi w:val="0"/>
              <w:adjustRightInd w:val="0"/>
              <w:snapToGrid w:val="0"/>
              <w:jc w:val="left"/>
              <w:textAlignment w:val="auto"/>
              <w:rPr>
                <w:rFonts w:ascii="宋体" w:hAnsi="宋体" w:cs="宋体"/>
                <w:b w:val="0"/>
                <w:bCs/>
                <w:color w:val="auto"/>
                <w:kern w:val="0"/>
                <w:sz w:val="21"/>
                <w:szCs w:val="21"/>
                <w:highlight w:val="none"/>
                <w:u w:val="none"/>
              </w:rPr>
            </w:pPr>
          </w:p>
        </w:tc>
      </w:tr>
    </w:tbl>
    <w:p w14:paraId="0754D70A">
      <w:pPr>
        <w:pStyle w:val="29"/>
        <w:spacing w:before="156" w:beforeLines="50" w:line="240" w:lineRule="auto"/>
        <w:ind w:firstLine="0" w:firstLineChars="0"/>
        <w:jc w:val="center"/>
        <w:rPr>
          <w:rFonts w:hint="eastAsia" w:hAnsi="宋体" w:cs="Times New Roman"/>
          <w:b/>
          <w:color w:val="auto"/>
          <w:sz w:val="24"/>
          <w:szCs w:val="24"/>
          <w:highlight w:val="none"/>
        </w:rPr>
      </w:pPr>
      <w:r>
        <w:rPr>
          <w:rFonts w:hAnsi="宋体" w:cs="Times New Roman"/>
          <w:b/>
          <w:color w:val="auto"/>
          <w:sz w:val="24"/>
          <w:szCs w:val="24"/>
          <w:highlight w:val="none"/>
        </w:rPr>
        <w:t>表</w:t>
      </w:r>
      <w:r>
        <w:rPr>
          <w:rFonts w:hint="eastAsia" w:hAnsi="宋体" w:cs="Times New Roman"/>
          <w:b/>
          <w:color w:val="auto"/>
          <w:sz w:val="24"/>
          <w:szCs w:val="24"/>
          <w:highlight w:val="none"/>
          <w:lang w:val="en-US" w:eastAsia="zh-CN"/>
        </w:rPr>
        <w:t xml:space="preserve">6.2.3-3  </w:t>
      </w:r>
      <w:r>
        <w:rPr>
          <w:rFonts w:hint="eastAsia" w:hAnsi="宋体" w:cs="Times New Roman"/>
          <w:b/>
          <w:color w:val="auto"/>
          <w:sz w:val="24"/>
          <w:szCs w:val="24"/>
          <w:highlight w:val="none"/>
        </w:rPr>
        <w:t>本项目噪声敏感点预测结果</w:t>
      </w:r>
    </w:p>
    <w:tbl>
      <w:tblPr>
        <w:tblStyle w:val="1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36"/>
        <w:gridCol w:w="1814"/>
        <w:gridCol w:w="1127"/>
        <w:gridCol w:w="1255"/>
        <w:gridCol w:w="1091"/>
        <w:gridCol w:w="1199"/>
        <w:gridCol w:w="1200"/>
      </w:tblGrid>
      <w:tr w14:paraId="758D2D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dxa"/>
            <w:vMerge w:val="restart"/>
            <w:tcBorders>
              <w:tl2br w:val="nil"/>
              <w:tr2bl w:val="nil"/>
            </w:tcBorders>
            <w:noWrap/>
            <w:vAlign w:val="center"/>
          </w:tcPr>
          <w:p w14:paraId="07152C57">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rPr>
              <w:t>序号</w:t>
            </w:r>
          </w:p>
        </w:tc>
        <w:tc>
          <w:tcPr>
            <w:tcW w:w="1771" w:type="dxa"/>
            <w:vMerge w:val="restart"/>
            <w:tcBorders>
              <w:tl2br w:val="nil"/>
              <w:tr2bl w:val="nil"/>
            </w:tcBorders>
            <w:noWrap/>
            <w:vAlign w:val="center"/>
          </w:tcPr>
          <w:p w14:paraId="0E96500B">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rPr>
              <w:t>敏感点名称</w:t>
            </w:r>
          </w:p>
        </w:tc>
        <w:tc>
          <w:tcPr>
            <w:tcW w:w="1100" w:type="dxa"/>
            <w:vMerge w:val="restart"/>
            <w:tcBorders>
              <w:tl2br w:val="nil"/>
              <w:tr2bl w:val="nil"/>
            </w:tcBorders>
            <w:noWrap/>
            <w:vAlign w:val="center"/>
          </w:tcPr>
          <w:p w14:paraId="70F9CD08">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rPr>
              <w:t>噪声贡献值</w:t>
            </w:r>
          </w:p>
        </w:tc>
        <w:tc>
          <w:tcPr>
            <w:tcW w:w="2290" w:type="dxa"/>
            <w:gridSpan w:val="2"/>
            <w:tcBorders>
              <w:tl2br w:val="nil"/>
              <w:tr2bl w:val="nil"/>
            </w:tcBorders>
            <w:noWrap/>
            <w:vAlign w:val="center"/>
          </w:tcPr>
          <w:p w14:paraId="088A599C">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rPr>
              <w:t>噪声背景值</w:t>
            </w:r>
          </w:p>
        </w:tc>
        <w:tc>
          <w:tcPr>
            <w:tcW w:w="2343" w:type="dxa"/>
            <w:gridSpan w:val="2"/>
            <w:tcBorders>
              <w:tl2br w:val="nil"/>
              <w:tr2bl w:val="nil"/>
            </w:tcBorders>
            <w:noWrap w:val="0"/>
            <w:vAlign w:val="center"/>
          </w:tcPr>
          <w:p w14:paraId="5E1F35FB">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rPr>
              <w:t>噪声预测值</w:t>
            </w:r>
          </w:p>
        </w:tc>
      </w:tr>
      <w:tr w14:paraId="10D2F8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dxa"/>
            <w:vMerge w:val="continue"/>
            <w:tcBorders>
              <w:tl2br w:val="nil"/>
              <w:tr2bl w:val="nil"/>
            </w:tcBorders>
            <w:noWrap w:val="0"/>
            <w:vAlign w:val="center"/>
          </w:tcPr>
          <w:p w14:paraId="5E5EE95D">
            <w:pPr>
              <w:pStyle w:val="45"/>
              <w:bidi w:val="0"/>
              <w:rPr>
                <w:rFonts w:ascii="Times New Roman" w:hAnsi="Times New Roman"/>
                <w:b w:val="0"/>
                <w:bCs/>
                <w:color w:val="auto"/>
                <w:highlight w:val="none"/>
                <w:lang w:val="zh-CN"/>
              </w:rPr>
            </w:pPr>
          </w:p>
        </w:tc>
        <w:tc>
          <w:tcPr>
            <w:tcW w:w="1771" w:type="dxa"/>
            <w:vMerge w:val="continue"/>
            <w:tcBorders>
              <w:tl2br w:val="nil"/>
              <w:tr2bl w:val="nil"/>
            </w:tcBorders>
            <w:noWrap w:val="0"/>
            <w:vAlign w:val="center"/>
          </w:tcPr>
          <w:p w14:paraId="5AC240D3">
            <w:pPr>
              <w:pStyle w:val="45"/>
              <w:bidi w:val="0"/>
              <w:rPr>
                <w:rFonts w:ascii="Times New Roman" w:hAnsi="Times New Roman"/>
                <w:b w:val="0"/>
                <w:bCs/>
                <w:color w:val="auto"/>
                <w:highlight w:val="none"/>
                <w:lang w:val="zh-CN"/>
              </w:rPr>
            </w:pPr>
          </w:p>
        </w:tc>
        <w:tc>
          <w:tcPr>
            <w:tcW w:w="1100" w:type="dxa"/>
            <w:vMerge w:val="continue"/>
            <w:tcBorders>
              <w:tl2br w:val="nil"/>
              <w:tr2bl w:val="nil"/>
            </w:tcBorders>
            <w:noWrap w:val="0"/>
            <w:vAlign w:val="center"/>
          </w:tcPr>
          <w:p w14:paraId="7A4ACD6E">
            <w:pPr>
              <w:pStyle w:val="45"/>
              <w:bidi w:val="0"/>
              <w:rPr>
                <w:rFonts w:ascii="Times New Roman" w:hAnsi="Times New Roman"/>
                <w:b w:val="0"/>
                <w:bCs/>
                <w:color w:val="auto"/>
                <w:highlight w:val="none"/>
                <w:lang w:val="zh-CN"/>
              </w:rPr>
            </w:pPr>
          </w:p>
        </w:tc>
        <w:tc>
          <w:tcPr>
            <w:tcW w:w="1225" w:type="dxa"/>
            <w:tcBorders>
              <w:tl2br w:val="nil"/>
              <w:tr2bl w:val="nil"/>
            </w:tcBorders>
            <w:noWrap w:val="0"/>
            <w:vAlign w:val="center"/>
          </w:tcPr>
          <w:p w14:paraId="71AAB802">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rPr>
              <w:t>昼间</w:t>
            </w:r>
          </w:p>
        </w:tc>
        <w:tc>
          <w:tcPr>
            <w:tcW w:w="1065" w:type="dxa"/>
            <w:tcBorders>
              <w:tl2br w:val="nil"/>
              <w:tr2bl w:val="nil"/>
            </w:tcBorders>
            <w:noWrap w:val="0"/>
            <w:vAlign w:val="center"/>
          </w:tcPr>
          <w:p w14:paraId="4A7FD7EB">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rPr>
              <w:t>夜间</w:t>
            </w:r>
          </w:p>
        </w:tc>
        <w:tc>
          <w:tcPr>
            <w:tcW w:w="1171" w:type="dxa"/>
            <w:tcBorders>
              <w:tl2br w:val="nil"/>
              <w:tr2bl w:val="nil"/>
            </w:tcBorders>
            <w:noWrap w:val="0"/>
            <w:vAlign w:val="center"/>
          </w:tcPr>
          <w:p w14:paraId="7D6D8B5F">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rPr>
              <w:t>昼间</w:t>
            </w:r>
          </w:p>
        </w:tc>
        <w:tc>
          <w:tcPr>
            <w:tcW w:w="1172" w:type="dxa"/>
            <w:tcBorders>
              <w:tl2br w:val="nil"/>
              <w:tr2bl w:val="nil"/>
            </w:tcBorders>
            <w:noWrap w:val="0"/>
            <w:vAlign w:val="center"/>
          </w:tcPr>
          <w:p w14:paraId="43AEE4DF">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rPr>
              <w:t>夜间</w:t>
            </w:r>
          </w:p>
        </w:tc>
      </w:tr>
      <w:tr w14:paraId="2A1F2F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dxa"/>
            <w:tcBorders>
              <w:tl2br w:val="nil"/>
              <w:tr2bl w:val="nil"/>
            </w:tcBorders>
            <w:noWrap/>
            <w:vAlign w:val="center"/>
          </w:tcPr>
          <w:p w14:paraId="401D59BB">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1</w:t>
            </w:r>
          </w:p>
        </w:tc>
        <w:tc>
          <w:tcPr>
            <w:tcW w:w="1771" w:type="dxa"/>
            <w:tcBorders>
              <w:tl2br w:val="nil"/>
              <w:tr2bl w:val="nil"/>
            </w:tcBorders>
            <w:noWrap/>
            <w:vAlign w:val="center"/>
          </w:tcPr>
          <w:p w14:paraId="4F8BD0D9">
            <w:pPr>
              <w:pStyle w:val="45"/>
              <w:bidi w:val="0"/>
              <w:rPr>
                <w:rFonts w:ascii="Times New Roman" w:hAnsi="Times New Roman"/>
                <w:b w:val="0"/>
                <w:bCs/>
                <w:color w:val="auto"/>
                <w:highlight w:val="none"/>
                <w:lang w:val="zh-CN"/>
              </w:rPr>
            </w:pPr>
            <w:r>
              <w:rPr>
                <w:rFonts w:hint="eastAsia"/>
                <w:b w:val="0"/>
                <w:bCs/>
                <w:color w:val="auto"/>
                <w:highlight w:val="none"/>
                <w:lang w:val="zh-CN" w:eastAsia="zh-CN"/>
              </w:rPr>
              <w:t>祁东县黄土铺镇双溪村</w:t>
            </w:r>
          </w:p>
        </w:tc>
        <w:tc>
          <w:tcPr>
            <w:tcW w:w="1100" w:type="dxa"/>
            <w:tcBorders>
              <w:tl2br w:val="nil"/>
              <w:tr2bl w:val="nil"/>
            </w:tcBorders>
            <w:noWrap/>
            <w:vAlign w:val="center"/>
          </w:tcPr>
          <w:p w14:paraId="376B53B4">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45.</w:t>
            </w:r>
            <w:r>
              <w:rPr>
                <w:rFonts w:hint="eastAsia"/>
                <w:b w:val="0"/>
                <w:bCs/>
                <w:color w:val="auto"/>
                <w:highlight w:val="none"/>
                <w:lang w:val="en-US" w:eastAsia="zh-CN"/>
              </w:rPr>
              <w:t>9</w:t>
            </w:r>
          </w:p>
        </w:tc>
        <w:tc>
          <w:tcPr>
            <w:tcW w:w="1225" w:type="dxa"/>
            <w:tcBorders>
              <w:tl2br w:val="nil"/>
              <w:tr2bl w:val="nil"/>
            </w:tcBorders>
            <w:noWrap w:val="0"/>
            <w:vAlign w:val="center"/>
          </w:tcPr>
          <w:p w14:paraId="7A599611">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53</w:t>
            </w:r>
          </w:p>
        </w:tc>
        <w:tc>
          <w:tcPr>
            <w:tcW w:w="1065" w:type="dxa"/>
            <w:tcBorders>
              <w:tl2br w:val="nil"/>
              <w:tr2bl w:val="nil"/>
            </w:tcBorders>
            <w:noWrap w:val="0"/>
            <w:vAlign w:val="center"/>
          </w:tcPr>
          <w:p w14:paraId="0FF2FD2B">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44</w:t>
            </w:r>
          </w:p>
        </w:tc>
        <w:tc>
          <w:tcPr>
            <w:tcW w:w="1171" w:type="dxa"/>
            <w:tcBorders>
              <w:tl2br w:val="nil"/>
              <w:tr2bl w:val="nil"/>
            </w:tcBorders>
            <w:noWrap/>
            <w:vAlign w:val="center"/>
          </w:tcPr>
          <w:p w14:paraId="48C1C70F">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53.</w:t>
            </w:r>
            <w:r>
              <w:rPr>
                <w:rFonts w:hint="eastAsia"/>
                <w:b w:val="0"/>
                <w:bCs/>
                <w:color w:val="auto"/>
                <w:highlight w:val="none"/>
                <w:lang w:val="en-US" w:eastAsia="zh-CN"/>
              </w:rPr>
              <w:t>8</w:t>
            </w:r>
          </w:p>
        </w:tc>
        <w:tc>
          <w:tcPr>
            <w:tcW w:w="1172" w:type="dxa"/>
            <w:tcBorders>
              <w:tl2br w:val="nil"/>
              <w:tr2bl w:val="nil"/>
            </w:tcBorders>
            <w:noWrap/>
            <w:vAlign w:val="center"/>
          </w:tcPr>
          <w:p w14:paraId="1B95C091">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4</w:t>
            </w:r>
            <w:r>
              <w:rPr>
                <w:rFonts w:hint="eastAsia"/>
                <w:b w:val="0"/>
                <w:bCs/>
                <w:color w:val="auto"/>
                <w:highlight w:val="none"/>
                <w:lang w:val="en-US" w:eastAsia="zh-CN"/>
              </w:rPr>
              <w:t>8.1</w:t>
            </w:r>
          </w:p>
        </w:tc>
      </w:tr>
      <w:tr w14:paraId="44D06AD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dxa"/>
            <w:tcBorders>
              <w:tl2br w:val="nil"/>
              <w:tr2bl w:val="nil"/>
            </w:tcBorders>
            <w:noWrap/>
            <w:vAlign w:val="center"/>
          </w:tcPr>
          <w:p w14:paraId="38EEFAEA">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2</w:t>
            </w:r>
          </w:p>
        </w:tc>
        <w:tc>
          <w:tcPr>
            <w:tcW w:w="1771" w:type="dxa"/>
            <w:tcBorders>
              <w:tl2br w:val="nil"/>
              <w:tr2bl w:val="nil"/>
            </w:tcBorders>
            <w:noWrap/>
            <w:vAlign w:val="center"/>
          </w:tcPr>
          <w:p w14:paraId="6451A1E1">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eastAsia="zh-CN"/>
              </w:rPr>
              <w:t>祁东县马杜桥乡</w:t>
            </w:r>
            <w:r>
              <w:rPr>
                <w:rFonts w:hint="eastAsia"/>
                <w:b w:val="0"/>
                <w:bCs/>
                <w:color w:val="auto"/>
                <w:highlight w:val="none"/>
                <w:lang w:val="zh-CN" w:eastAsia="zh-CN"/>
              </w:rPr>
              <w:t>石门山村</w:t>
            </w:r>
            <w:r>
              <w:rPr>
                <w:rFonts w:hint="eastAsia" w:ascii="Times New Roman" w:hAnsi="Times New Roman"/>
                <w:b w:val="0"/>
                <w:bCs/>
                <w:color w:val="auto"/>
                <w:highlight w:val="none"/>
                <w:lang w:val="zh-CN" w:eastAsia="zh-CN"/>
              </w:rPr>
              <w:t>李家屋</w:t>
            </w:r>
          </w:p>
        </w:tc>
        <w:tc>
          <w:tcPr>
            <w:tcW w:w="1100" w:type="dxa"/>
            <w:tcBorders>
              <w:tl2br w:val="nil"/>
              <w:tr2bl w:val="nil"/>
            </w:tcBorders>
            <w:noWrap/>
            <w:vAlign w:val="center"/>
          </w:tcPr>
          <w:p w14:paraId="05ADB545">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47.2</w:t>
            </w:r>
          </w:p>
        </w:tc>
        <w:tc>
          <w:tcPr>
            <w:tcW w:w="1225" w:type="dxa"/>
            <w:tcBorders>
              <w:tl2br w:val="nil"/>
              <w:tr2bl w:val="nil"/>
            </w:tcBorders>
            <w:noWrap w:val="0"/>
            <w:vAlign w:val="center"/>
          </w:tcPr>
          <w:p w14:paraId="30D3CBE5">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53</w:t>
            </w:r>
          </w:p>
        </w:tc>
        <w:tc>
          <w:tcPr>
            <w:tcW w:w="1065" w:type="dxa"/>
            <w:tcBorders>
              <w:tl2br w:val="nil"/>
              <w:tr2bl w:val="nil"/>
            </w:tcBorders>
            <w:noWrap w:val="0"/>
            <w:vAlign w:val="center"/>
          </w:tcPr>
          <w:p w14:paraId="1E0111DD">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44</w:t>
            </w:r>
          </w:p>
        </w:tc>
        <w:tc>
          <w:tcPr>
            <w:tcW w:w="1171" w:type="dxa"/>
            <w:tcBorders>
              <w:tl2br w:val="nil"/>
              <w:tr2bl w:val="nil"/>
            </w:tcBorders>
            <w:noWrap/>
            <w:vAlign w:val="center"/>
          </w:tcPr>
          <w:p w14:paraId="5A99136F">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54.0</w:t>
            </w:r>
          </w:p>
        </w:tc>
        <w:tc>
          <w:tcPr>
            <w:tcW w:w="1172" w:type="dxa"/>
            <w:tcBorders>
              <w:tl2br w:val="nil"/>
              <w:tr2bl w:val="nil"/>
            </w:tcBorders>
            <w:noWrap/>
            <w:vAlign w:val="center"/>
          </w:tcPr>
          <w:p w14:paraId="2AD24383">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48.9</w:t>
            </w:r>
          </w:p>
        </w:tc>
      </w:tr>
      <w:tr w14:paraId="672780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dxa"/>
            <w:tcBorders>
              <w:tl2br w:val="nil"/>
              <w:tr2bl w:val="nil"/>
            </w:tcBorders>
            <w:noWrap/>
            <w:vAlign w:val="center"/>
          </w:tcPr>
          <w:p w14:paraId="3F2EA608">
            <w:pPr>
              <w:pStyle w:val="45"/>
              <w:bidi w:val="0"/>
              <w:rPr>
                <w:rFonts w:hint="eastAsia" w:ascii="Times New Roman" w:hAnsi="Times New Roman"/>
                <w:b w:val="0"/>
                <w:bCs/>
                <w:color w:val="auto"/>
                <w:highlight w:val="none"/>
                <w:lang w:val="zh-CN" w:eastAsia="zh-CN"/>
              </w:rPr>
            </w:pPr>
            <w:r>
              <w:rPr>
                <w:rFonts w:hint="eastAsia" w:ascii="Times New Roman" w:hAnsi="Times New Roman"/>
                <w:b w:val="0"/>
                <w:bCs/>
                <w:color w:val="auto"/>
                <w:highlight w:val="none"/>
                <w:lang w:val="en-US" w:eastAsia="zh-CN"/>
              </w:rPr>
              <w:t>3</w:t>
            </w:r>
          </w:p>
        </w:tc>
        <w:tc>
          <w:tcPr>
            <w:tcW w:w="1771" w:type="dxa"/>
            <w:tcBorders>
              <w:tl2br w:val="nil"/>
              <w:tr2bl w:val="nil"/>
            </w:tcBorders>
            <w:noWrap/>
            <w:vAlign w:val="center"/>
          </w:tcPr>
          <w:p w14:paraId="4E79244D">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eastAsia="zh-CN"/>
              </w:rPr>
              <w:t>祁东县马杜桥乡</w:t>
            </w:r>
            <w:r>
              <w:rPr>
                <w:rFonts w:hint="eastAsia"/>
                <w:b w:val="0"/>
                <w:bCs/>
                <w:color w:val="auto"/>
                <w:highlight w:val="none"/>
                <w:lang w:val="zh-CN" w:eastAsia="zh-CN"/>
              </w:rPr>
              <w:t>石门山村②</w:t>
            </w:r>
          </w:p>
        </w:tc>
        <w:tc>
          <w:tcPr>
            <w:tcW w:w="1100" w:type="dxa"/>
            <w:tcBorders>
              <w:tl2br w:val="nil"/>
              <w:tr2bl w:val="nil"/>
            </w:tcBorders>
            <w:noWrap/>
            <w:vAlign w:val="center"/>
          </w:tcPr>
          <w:p w14:paraId="42C0163B">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47.4</w:t>
            </w:r>
          </w:p>
        </w:tc>
        <w:tc>
          <w:tcPr>
            <w:tcW w:w="1225" w:type="dxa"/>
            <w:tcBorders>
              <w:tl2br w:val="nil"/>
              <w:tr2bl w:val="nil"/>
            </w:tcBorders>
            <w:noWrap w:val="0"/>
            <w:vAlign w:val="center"/>
          </w:tcPr>
          <w:p w14:paraId="6EA74B62">
            <w:pPr>
              <w:pStyle w:val="45"/>
              <w:bidi w:val="0"/>
              <w:rPr>
                <w:rFonts w:hint="default" w:ascii="Times New Roman" w:hAnsi="Times New Roman"/>
                <w:b w:val="0"/>
                <w:bCs/>
                <w:color w:val="auto"/>
                <w:highlight w:val="none"/>
                <w:lang w:val="en-US"/>
              </w:rPr>
            </w:pPr>
            <w:r>
              <w:rPr>
                <w:rFonts w:hint="eastAsia" w:ascii="Times New Roman" w:hAnsi="Times New Roman"/>
                <w:b w:val="0"/>
                <w:bCs/>
                <w:color w:val="auto"/>
                <w:highlight w:val="none"/>
                <w:lang w:val="en-US" w:eastAsia="zh-CN"/>
              </w:rPr>
              <w:t>53</w:t>
            </w:r>
          </w:p>
        </w:tc>
        <w:tc>
          <w:tcPr>
            <w:tcW w:w="1065" w:type="dxa"/>
            <w:tcBorders>
              <w:tl2br w:val="nil"/>
              <w:tr2bl w:val="nil"/>
            </w:tcBorders>
            <w:noWrap w:val="0"/>
            <w:vAlign w:val="center"/>
          </w:tcPr>
          <w:p w14:paraId="49B6ACC1">
            <w:pPr>
              <w:pStyle w:val="45"/>
              <w:bidi w:val="0"/>
              <w:rPr>
                <w:rFonts w:hint="default" w:ascii="Times New Roman" w:hAnsi="Times New Roman"/>
                <w:b w:val="0"/>
                <w:bCs/>
                <w:color w:val="auto"/>
                <w:highlight w:val="none"/>
                <w:lang w:val="en-US"/>
              </w:rPr>
            </w:pPr>
            <w:r>
              <w:rPr>
                <w:rFonts w:hint="eastAsia" w:ascii="Times New Roman" w:hAnsi="Times New Roman"/>
                <w:b w:val="0"/>
                <w:bCs/>
                <w:color w:val="auto"/>
                <w:highlight w:val="none"/>
                <w:lang w:val="en-US" w:eastAsia="zh-CN"/>
              </w:rPr>
              <w:t>44</w:t>
            </w:r>
          </w:p>
        </w:tc>
        <w:tc>
          <w:tcPr>
            <w:tcW w:w="1171" w:type="dxa"/>
            <w:tcBorders>
              <w:tl2br w:val="nil"/>
              <w:tr2bl w:val="nil"/>
            </w:tcBorders>
            <w:noWrap/>
            <w:vAlign w:val="center"/>
          </w:tcPr>
          <w:p w14:paraId="5DA490F4">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54.1</w:t>
            </w:r>
          </w:p>
        </w:tc>
        <w:tc>
          <w:tcPr>
            <w:tcW w:w="1172" w:type="dxa"/>
            <w:tcBorders>
              <w:tl2br w:val="nil"/>
              <w:tr2bl w:val="nil"/>
            </w:tcBorders>
            <w:noWrap/>
            <w:vAlign w:val="center"/>
          </w:tcPr>
          <w:p w14:paraId="32C4587D">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49.0</w:t>
            </w:r>
          </w:p>
        </w:tc>
      </w:tr>
      <w:tr w14:paraId="3817DAA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dxa"/>
            <w:tcBorders>
              <w:tl2br w:val="nil"/>
              <w:tr2bl w:val="nil"/>
            </w:tcBorders>
            <w:noWrap/>
            <w:vAlign w:val="center"/>
          </w:tcPr>
          <w:p w14:paraId="6787978C">
            <w:pPr>
              <w:pStyle w:val="45"/>
              <w:bidi w:val="0"/>
              <w:rPr>
                <w:rFonts w:hint="eastAsia" w:ascii="Times New Roman" w:hAnsi="Times New Roman"/>
                <w:b w:val="0"/>
                <w:bCs/>
                <w:color w:val="auto"/>
                <w:highlight w:val="none"/>
                <w:lang w:val="zh-CN" w:eastAsia="zh-CN"/>
              </w:rPr>
            </w:pPr>
            <w:r>
              <w:rPr>
                <w:rFonts w:hint="eastAsia" w:ascii="Times New Roman" w:hAnsi="Times New Roman"/>
                <w:b w:val="0"/>
                <w:bCs/>
                <w:color w:val="auto"/>
                <w:highlight w:val="none"/>
                <w:lang w:val="en-US" w:eastAsia="zh-CN"/>
              </w:rPr>
              <w:t>4</w:t>
            </w:r>
          </w:p>
        </w:tc>
        <w:tc>
          <w:tcPr>
            <w:tcW w:w="1771" w:type="dxa"/>
            <w:tcBorders>
              <w:tl2br w:val="nil"/>
              <w:tr2bl w:val="nil"/>
            </w:tcBorders>
            <w:noWrap/>
            <w:vAlign w:val="center"/>
          </w:tcPr>
          <w:p w14:paraId="100EA2F2">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eastAsia="zh-CN"/>
              </w:rPr>
              <w:t>祁东县马杜桥乡</w:t>
            </w:r>
            <w:r>
              <w:rPr>
                <w:rFonts w:hint="eastAsia"/>
                <w:b w:val="0"/>
                <w:bCs/>
                <w:color w:val="auto"/>
                <w:highlight w:val="none"/>
                <w:lang w:val="zh-CN" w:eastAsia="zh-CN"/>
              </w:rPr>
              <w:t>石门山村③</w:t>
            </w:r>
          </w:p>
        </w:tc>
        <w:tc>
          <w:tcPr>
            <w:tcW w:w="1100" w:type="dxa"/>
            <w:tcBorders>
              <w:tl2br w:val="nil"/>
              <w:tr2bl w:val="nil"/>
            </w:tcBorders>
            <w:noWrap/>
            <w:vAlign w:val="center"/>
          </w:tcPr>
          <w:p w14:paraId="06BAB6D9">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48.6</w:t>
            </w:r>
          </w:p>
        </w:tc>
        <w:tc>
          <w:tcPr>
            <w:tcW w:w="1225" w:type="dxa"/>
            <w:tcBorders>
              <w:tl2br w:val="nil"/>
              <w:tr2bl w:val="nil"/>
            </w:tcBorders>
            <w:noWrap w:val="0"/>
            <w:vAlign w:val="center"/>
          </w:tcPr>
          <w:p w14:paraId="48BEACA6">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53</w:t>
            </w:r>
          </w:p>
        </w:tc>
        <w:tc>
          <w:tcPr>
            <w:tcW w:w="1065" w:type="dxa"/>
            <w:tcBorders>
              <w:tl2br w:val="nil"/>
              <w:tr2bl w:val="nil"/>
            </w:tcBorders>
            <w:noWrap w:val="0"/>
            <w:vAlign w:val="center"/>
          </w:tcPr>
          <w:p w14:paraId="10F4B83B">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44</w:t>
            </w:r>
          </w:p>
        </w:tc>
        <w:tc>
          <w:tcPr>
            <w:tcW w:w="1171" w:type="dxa"/>
            <w:tcBorders>
              <w:tl2br w:val="nil"/>
              <w:tr2bl w:val="nil"/>
            </w:tcBorders>
            <w:noWrap/>
            <w:vAlign w:val="center"/>
          </w:tcPr>
          <w:p w14:paraId="20268A5F">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54.4</w:t>
            </w:r>
          </w:p>
        </w:tc>
        <w:tc>
          <w:tcPr>
            <w:tcW w:w="1172" w:type="dxa"/>
            <w:tcBorders>
              <w:tl2br w:val="nil"/>
              <w:tr2bl w:val="nil"/>
            </w:tcBorders>
            <w:noWrap/>
            <w:vAlign w:val="center"/>
          </w:tcPr>
          <w:p w14:paraId="355FFE1F">
            <w:pPr>
              <w:pStyle w:val="45"/>
              <w:bidi w:val="0"/>
              <w:rPr>
                <w:rFonts w:hint="default" w:ascii="Times New Roman" w:hAnsi="Times New Roman"/>
                <w:b w:val="0"/>
                <w:bCs/>
                <w:color w:val="auto"/>
                <w:highlight w:val="none"/>
                <w:lang w:val="en-US" w:eastAsia="zh-CN"/>
              </w:rPr>
            </w:pPr>
            <w:r>
              <w:rPr>
                <w:rFonts w:hint="eastAsia"/>
                <w:b w:val="0"/>
                <w:bCs/>
                <w:color w:val="auto"/>
                <w:highlight w:val="none"/>
                <w:lang w:val="en-US" w:eastAsia="zh-CN"/>
              </w:rPr>
              <w:t>49.9</w:t>
            </w:r>
          </w:p>
        </w:tc>
      </w:tr>
    </w:tbl>
    <w:p w14:paraId="512059D1">
      <w:pPr>
        <w:pStyle w:val="29"/>
        <w:ind w:firstLine="0" w:firstLineChars="0"/>
        <w:jc w:val="left"/>
        <w:rPr>
          <w:rFonts w:hint="default" w:hAnsi="宋体" w:eastAsia="宋体" w:cs="Times New Roman"/>
          <w:color w:val="auto"/>
          <w:sz w:val="18"/>
          <w:szCs w:val="18"/>
          <w:highlight w:val="none"/>
          <w:lang w:val="en-US" w:eastAsia="zh-CN"/>
        </w:rPr>
      </w:pPr>
      <w:r>
        <w:rPr>
          <w:rFonts w:hint="eastAsia" w:hAnsi="宋体" w:cs="Times New Roman"/>
          <w:color w:val="auto"/>
          <w:sz w:val="18"/>
          <w:szCs w:val="18"/>
          <w:highlight w:val="none"/>
        </w:rPr>
        <w:t>注：r2=（r1</w:t>
      </w:r>
      <w:r>
        <w:rPr>
          <w:rFonts w:hint="eastAsia" w:hAnsi="宋体" w:cs="Times New Roman"/>
          <w:color w:val="auto"/>
          <w:sz w:val="18"/>
          <w:szCs w:val="18"/>
          <w:highlight w:val="none"/>
          <w:vertAlign w:val="superscript"/>
        </w:rPr>
        <w:t>2</w:t>
      </w:r>
      <w:r>
        <w:rPr>
          <w:rFonts w:hint="eastAsia" w:hAnsi="宋体" w:cs="Times New Roman"/>
          <w:color w:val="auto"/>
          <w:sz w:val="18"/>
          <w:szCs w:val="18"/>
          <w:highlight w:val="none"/>
        </w:rPr>
        <w:t>+(△h+1</w:t>
      </w:r>
      <w:r>
        <w:rPr>
          <w:rFonts w:hAnsi="宋体" w:cs="Times New Roman"/>
          <w:color w:val="auto"/>
          <w:sz w:val="18"/>
          <w:szCs w:val="18"/>
          <w:highlight w:val="none"/>
        </w:rPr>
        <w:t>1</w:t>
      </w:r>
      <w:r>
        <w:rPr>
          <w:rFonts w:hint="eastAsia" w:hAnsi="宋体" w:cs="Times New Roman"/>
          <w:color w:val="auto"/>
          <w:sz w:val="18"/>
          <w:szCs w:val="18"/>
          <w:highlight w:val="none"/>
          <w:lang w:val="en-US" w:eastAsia="zh-CN"/>
        </w:rPr>
        <w:t>5</w:t>
      </w:r>
      <w:r>
        <w:rPr>
          <w:rFonts w:hint="eastAsia" w:hAnsi="宋体" w:cs="Times New Roman"/>
          <w:color w:val="auto"/>
          <w:sz w:val="18"/>
          <w:szCs w:val="18"/>
          <w:highlight w:val="none"/>
        </w:rPr>
        <w:t>)</w:t>
      </w:r>
      <w:r>
        <w:rPr>
          <w:rFonts w:hint="eastAsia" w:hAnsi="宋体" w:cs="Times New Roman"/>
          <w:color w:val="auto"/>
          <w:sz w:val="18"/>
          <w:szCs w:val="18"/>
          <w:highlight w:val="none"/>
          <w:vertAlign w:val="superscript"/>
        </w:rPr>
        <w:t>2</w:t>
      </w:r>
      <w:r>
        <w:rPr>
          <w:rFonts w:hint="eastAsia" w:hAnsi="宋体" w:cs="Times New Roman"/>
          <w:color w:val="auto"/>
          <w:sz w:val="18"/>
          <w:szCs w:val="18"/>
          <w:highlight w:val="none"/>
        </w:rPr>
        <w:t>）</w:t>
      </w:r>
      <w:r>
        <w:rPr>
          <w:rFonts w:hint="eastAsia" w:hAnsi="宋体" w:cs="Times New Roman"/>
          <w:color w:val="auto"/>
          <w:sz w:val="18"/>
          <w:szCs w:val="18"/>
          <w:highlight w:val="none"/>
          <w:vertAlign w:val="superscript"/>
        </w:rPr>
        <w:t>1/2</w:t>
      </w:r>
      <w:r>
        <w:rPr>
          <w:rFonts w:hint="eastAsia" w:hAnsi="宋体" w:cs="Times New Roman"/>
          <w:color w:val="auto"/>
          <w:sz w:val="18"/>
          <w:szCs w:val="18"/>
          <w:highlight w:val="none"/>
          <w:vertAlign w:val="baseline"/>
          <w:lang w:val="en-US" w:eastAsia="zh-CN"/>
        </w:rPr>
        <w:t>。</w:t>
      </w:r>
    </w:p>
    <w:p w14:paraId="2711C211">
      <w:pPr>
        <w:pStyle w:val="50"/>
        <w:ind w:firstLine="480"/>
        <w:rPr>
          <w:rFonts w:hAnsi="宋体" w:cs="Times New Roman"/>
          <w:color w:val="auto"/>
          <w:spacing w:val="0"/>
          <w:kern w:val="2"/>
          <w:szCs w:val="20"/>
          <w:highlight w:val="none"/>
        </w:rPr>
      </w:pPr>
      <w:r>
        <w:rPr>
          <w:rFonts w:hint="eastAsia" w:hAnsi="宋体" w:cs="Times New Roman"/>
          <w:color w:val="auto"/>
          <w:spacing w:val="0"/>
          <w:kern w:val="2"/>
          <w:szCs w:val="20"/>
          <w:highlight w:val="none"/>
        </w:rPr>
        <w:t>根据噪声预测结果可知，本项目周边5</w:t>
      </w:r>
      <w:r>
        <w:rPr>
          <w:rFonts w:hAnsi="宋体" w:cs="Times New Roman"/>
          <w:color w:val="auto"/>
          <w:spacing w:val="0"/>
          <w:kern w:val="2"/>
          <w:szCs w:val="20"/>
          <w:highlight w:val="none"/>
        </w:rPr>
        <w:t>00</w:t>
      </w:r>
      <w:r>
        <w:rPr>
          <w:rFonts w:hint="eastAsia" w:hAnsi="宋体" w:cs="Times New Roman"/>
          <w:color w:val="auto"/>
          <w:spacing w:val="0"/>
          <w:kern w:val="2"/>
          <w:szCs w:val="20"/>
          <w:highlight w:val="none"/>
        </w:rPr>
        <w:t>m范围居民点噪声预测结果均满足</w:t>
      </w:r>
      <w:r>
        <w:rPr>
          <w:rFonts w:hAnsi="宋体" w:cs="Times New Roman"/>
          <w:color w:val="auto"/>
          <w:spacing w:val="0"/>
          <w:kern w:val="2"/>
          <w:szCs w:val="20"/>
          <w:highlight w:val="none"/>
        </w:rPr>
        <w:t>《声环境质量标准》（GB3096-2008）中2类标准</w:t>
      </w:r>
      <w:r>
        <w:rPr>
          <w:rFonts w:hint="eastAsia" w:hAnsi="宋体" w:cs="Times New Roman"/>
          <w:color w:val="auto"/>
          <w:spacing w:val="0"/>
          <w:kern w:val="2"/>
          <w:szCs w:val="20"/>
          <w:highlight w:val="none"/>
        </w:rPr>
        <w:t>要求（昼间</w:t>
      </w:r>
      <w:r>
        <w:rPr>
          <w:rFonts w:hAnsi="宋体" w:cs="Times New Roman"/>
          <w:color w:val="auto"/>
          <w:spacing w:val="0"/>
          <w:kern w:val="2"/>
          <w:szCs w:val="20"/>
          <w:highlight w:val="none"/>
        </w:rPr>
        <w:t>60dB</w:t>
      </w:r>
      <w:r>
        <w:rPr>
          <w:rFonts w:hint="eastAsia" w:hAnsi="宋体" w:cs="Times New Roman"/>
          <w:color w:val="auto"/>
          <w:spacing w:val="0"/>
          <w:kern w:val="2"/>
          <w:szCs w:val="20"/>
          <w:highlight w:val="none"/>
        </w:rPr>
        <w:t>，夜间5</w:t>
      </w:r>
      <w:r>
        <w:rPr>
          <w:rFonts w:hAnsi="宋体" w:cs="Times New Roman"/>
          <w:color w:val="auto"/>
          <w:spacing w:val="0"/>
          <w:kern w:val="2"/>
          <w:szCs w:val="20"/>
          <w:highlight w:val="none"/>
        </w:rPr>
        <w:t>0</w:t>
      </w:r>
      <w:r>
        <w:rPr>
          <w:rFonts w:hint="eastAsia" w:hAnsi="宋体" w:cs="Times New Roman"/>
          <w:color w:val="auto"/>
          <w:spacing w:val="0"/>
          <w:kern w:val="2"/>
          <w:szCs w:val="20"/>
          <w:highlight w:val="none"/>
        </w:rPr>
        <w:t>dB）。</w:t>
      </w:r>
    </w:p>
    <w:p w14:paraId="673BB75D">
      <w:pPr>
        <w:pStyle w:val="29"/>
        <w:ind w:firstLine="480"/>
        <w:rPr>
          <w:rFonts w:hAnsi="宋体" w:cs="Times New Roman"/>
          <w:b/>
          <w:bCs/>
          <w:color w:val="auto"/>
          <w:highlight w:val="none"/>
        </w:rPr>
      </w:pPr>
      <w:r>
        <w:rPr>
          <w:rFonts w:hint="eastAsia" w:hAnsi="宋体" w:cs="Times New Roman"/>
          <w:b/>
          <w:bCs/>
          <w:color w:val="auto"/>
          <w:highlight w:val="none"/>
          <w:lang w:eastAsia="zh-CN"/>
        </w:rPr>
        <w:t>⑦</w:t>
      </w:r>
      <w:r>
        <w:rPr>
          <w:rFonts w:hAnsi="宋体" w:cs="Times New Roman"/>
          <w:b/>
          <w:bCs/>
          <w:color w:val="auto"/>
          <w:highlight w:val="none"/>
        </w:rPr>
        <w:t>偏航系统运行单个风电机组突发噪声预测</w:t>
      </w:r>
    </w:p>
    <w:p w14:paraId="5954DBD2">
      <w:pPr>
        <w:pStyle w:val="29"/>
        <w:ind w:firstLine="480"/>
        <w:rPr>
          <w:rFonts w:hAnsi="宋体" w:cs="Times New Roman"/>
          <w:color w:val="auto"/>
          <w:highlight w:val="none"/>
        </w:rPr>
      </w:pPr>
      <w:r>
        <w:rPr>
          <w:rFonts w:hAnsi="宋体" w:cs="Times New Roman"/>
          <w:color w:val="auto"/>
          <w:highlight w:val="none"/>
        </w:rPr>
        <w:t>偏航系统运行时噪声来源于刹车系统产生的刹车噪声、液压及润滑油冷却系统噪声。偏航系统运行单个风电机组突发噪声最大预</w:t>
      </w:r>
      <w:r>
        <w:rPr>
          <w:rFonts w:hint="eastAsia" w:hAnsi="宋体" w:cs="Times New Roman"/>
          <w:color w:val="auto"/>
          <w:highlight w:val="none"/>
        </w:rPr>
        <w:t>测</w:t>
      </w:r>
      <w:r>
        <w:rPr>
          <w:rFonts w:hAnsi="宋体" w:cs="Times New Roman"/>
          <w:color w:val="auto"/>
          <w:highlight w:val="none"/>
        </w:rPr>
        <w:t>值见</w:t>
      </w:r>
      <w:r>
        <w:rPr>
          <w:rFonts w:hint="eastAsia" w:hAnsi="宋体" w:cs="Times New Roman"/>
          <w:color w:val="auto"/>
          <w:highlight w:val="none"/>
        </w:rPr>
        <w:t>下表</w:t>
      </w:r>
      <w:r>
        <w:rPr>
          <w:rFonts w:hAnsi="宋体" w:cs="Times New Roman"/>
          <w:color w:val="auto"/>
          <w:highlight w:val="none"/>
        </w:rPr>
        <w:t>。</w:t>
      </w:r>
    </w:p>
    <w:p w14:paraId="36A4F2C2">
      <w:pPr>
        <w:pStyle w:val="29"/>
        <w:spacing w:line="240" w:lineRule="auto"/>
        <w:ind w:firstLine="0" w:firstLineChars="0"/>
        <w:jc w:val="center"/>
        <w:rPr>
          <w:rFonts w:hAnsi="宋体" w:cs="Times New Roman"/>
          <w:b/>
          <w:color w:val="auto"/>
          <w:sz w:val="21"/>
          <w:szCs w:val="21"/>
          <w:highlight w:val="none"/>
        </w:rPr>
      </w:pPr>
      <w:r>
        <w:rPr>
          <w:rFonts w:hAnsi="宋体" w:cs="Times New Roman"/>
          <w:b/>
          <w:color w:val="auto"/>
          <w:sz w:val="24"/>
          <w:szCs w:val="24"/>
          <w:highlight w:val="none"/>
        </w:rPr>
        <w:t>表</w:t>
      </w:r>
      <w:r>
        <w:rPr>
          <w:rFonts w:hint="eastAsia" w:hAnsi="宋体" w:cs="Times New Roman"/>
          <w:b/>
          <w:color w:val="auto"/>
          <w:sz w:val="24"/>
          <w:szCs w:val="24"/>
          <w:highlight w:val="none"/>
          <w:lang w:val="en-US" w:eastAsia="zh-CN"/>
        </w:rPr>
        <w:t xml:space="preserve">6.2.3-4  </w:t>
      </w:r>
      <w:r>
        <w:rPr>
          <w:rFonts w:hAnsi="宋体" w:cs="Times New Roman"/>
          <w:b/>
          <w:color w:val="auto"/>
          <w:sz w:val="24"/>
          <w:szCs w:val="24"/>
          <w:highlight w:val="none"/>
        </w:rPr>
        <w:t>单个风电机组突发噪声衰减计算结果</w:t>
      </w:r>
    </w:p>
    <w:tbl>
      <w:tblPr>
        <w:tblStyle w:val="1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59"/>
        <w:gridCol w:w="939"/>
        <w:gridCol w:w="779"/>
        <w:gridCol w:w="779"/>
        <w:gridCol w:w="779"/>
        <w:gridCol w:w="779"/>
        <w:gridCol w:w="779"/>
        <w:gridCol w:w="779"/>
        <w:gridCol w:w="779"/>
        <w:gridCol w:w="771"/>
      </w:tblGrid>
      <w:tr w14:paraId="7FBB960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797" w:type="pct"/>
            <w:tcBorders>
              <w:tl2br w:val="nil"/>
              <w:tr2bl w:val="nil"/>
            </w:tcBorders>
            <w:noWrap w:val="0"/>
            <w:vAlign w:val="center"/>
          </w:tcPr>
          <w:p w14:paraId="55CE81A5">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rPr>
              <w:t>距声源水平距离</w:t>
            </w:r>
            <w:r>
              <w:rPr>
                <w:rFonts w:ascii="Times New Roman" w:hAnsi="Times New Roman"/>
                <w:b w:val="0"/>
                <w:bCs/>
                <w:color w:val="auto"/>
                <w:highlight w:val="none"/>
                <w:lang w:val="zh-CN"/>
              </w:rPr>
              <w:t>r1</w:t>
            </w:r>
            <w:r>
              <w:rPr>
                <w:rFonts w:hint="eastAsia" w:ascii="Times New Roman" w:hAnsi="Times New Roman"/>
                <w:b w:val="0"/>
                <w:bCs/>
                <w:color w:val="auto"/>
                <w:highlight w:val="none"/>
                <w:lang w:val="zh-CN"/>
              </w:rPr>
              <w:t>（</w:t>
            </w:r>
            <w:r>
              <w:rPr>
                <w:rFonts w:ascii="Times New Roman" w:hAnsi="Times New Roman"/>
                <w:b w:val="0"/>
                <w:bCs/>
                <w:color w:val="auto"/>
                <w:highlight w:val="none"/>
                <w:lang w:val="zh-CN"/>
              </w:rPr>
              <w:t>m</w:t>
            </w:r>
            <w:r>
              <w:rPr>
                <w:rFonts w:hint="eastAsia" w:ascii="Times New Roman" w:hAnsi="Times New Roman"/>
                <w:b w:val="0"/>
                <w:bCs/>
                <w:color w:val="auto"/>
                <w:highlight w:val="none"/>
                <w:lang w:val="zh-CN"/>
              </w:rPr>
              <w:t>）</w:t>
            </w:r>
          </w:p>
        </w:tc>
        <w:tc>
          <w:tcPr>
            <w:tcW w:w="551" w:type="pct"/>
            <w:tcBorders>
              <w:tl2br w:val="nil"/>
              <w:tr2bl w:val="nil"/>
            </w:tcBorders>
            <w:noWrap w:val="0"/>
            <w:vAlign w:val="center"/>
          </w:tcPr>
          <w:p w14:paraId="1D83F593">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50</w:t>
            </w:r>
          </w:p>
        </w:tc>
        <w:tc>
          <w:tcPr>
            <w:tcW w:w="457" w:type="pct"/>
            <w:tcBorders>
              <w:tl2br w:val="nil"/>
              <w:tr2bl w:val="nil"/>
            </w:tcBorders>
            <w:noWrap w:val="0"/>
            <w:vAlign w:val="center"/>
          </w:tcPr>
          <w:p w14:paraId="2AC8A514">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100</w:t>
            </w:r>
          </w:p>
        </w:tc>
        <w:tc>
          <w:tcPr>
            <w:tcW w:w="457" w:type="pct"/>
            <w:tcBorders>
              <w:tl2br w:val="nil"/>
              <w:tr2bl w:val="nil"/>
            </w:tcBorders>
            <w:noWrap w:val="0"/>
            <w:vAlign w:val="center"/>
          </w:tcPr>
          <w:p w14:paraId="76447F67">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150</w:t>
            </w:r>
          </w:p>
        </w:tc>
        <w:tc>
          <w:tcPr>
            <w:tcW w:w="457" w:type="pct"/>
            <w:tcBorders>
              <w:tl2br w:val="nil"/>
              <w:tr2bl w:val="nil"/>
            </w:tcBorders>
            <w:noWrap w:val="0"/>
            <w:vAlign w:val="center"/>
          </w:tcPr>
          <w:p w14:paraId="1EAC1189">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200</w:t>
            </w:r>
          </w:p>
        </w:tc>
        <w:tc>
          <w:tcPr>
            <w:tcW w:w="457" w:type="pct"/>
            <w:tcBorders>
              <w:tl2br w:val="nil"/>
              <w:tr2bl w:val="nil"/>
            </w:tcBorders>
            <w:noWrap w:val="0"/>
            <w:vAlign w:val="center"/>
          </w:tcPr>
          <w:p w14:paraId="258F23BE">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250</w:t>
            </w:r>
          </w:p>
        </w:tc>
        <w:tc>
          <w:tcPr>
            <w:tcW w:w="457" w:type="pct"/>
            <w:tcBorders>
              <w:tl2br w:val="nil"/>
              <w:tr2bl w:val="nil"/>
            </w:tcBorders>
            <w:noWrap w:val="0"/>
            <w:vAlign w:val="center"/>
          </w:tcPr>
          <w:p w14:paraId="45A66120">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300</w:t>
            </w:r>
          </w:p>
        </w:tc>
        <w:tc>
          <w:tcPr>
            <w:tcW w:w="457" w:type="pct"/>
            <w:tcBorders>
              <w:tl2br w:val="nil"/>
              <w:tr2bl w:val="nil"/>
            </w:tcBorders>
            <w:noWrap w:val="0"/>
            <w:vAlign w:val="center"/>
          </w:tcPr>
          <w:p w14:paraId="7E3B6618">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350</w:t>
            </w:r>
          </w:p>
        </w:tc>
        <w:tc>
          <w:tcPr>
            <w:tcW w:w="457" w:type="pct"/>
            <w:tcBorders>
              <w:tl2br w:val="nil"/>
              <w:tr2bl w:val="nil"/>
            </w:tcBorders>
            <w:noWrap w:val="0"/>
            <w:vAlign w:val="center"/>
          </w:tcPr>
          <w:p w14:paraId="57B0FACD">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400</w:t>
            </w:r>
          </w:p>
        </w:tc>
        <w:tc>
          <w:tcPr>
            <w:tcW w:w="452" w:type="pct"/>
            <w:tcBorders>
              <w:tl2br w:val="nil"/>
              <w:tr2bl w:val="nil"/>
            </w:tcBorders>
            <w:noWrap w:val="0"/>
            <w:vAlign w:val="center"/>
          </w:tcPr>
          <w:p w14:paraId="402A9E05">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500</w:t>
            </w:r>
          </w:p>
        </w:tc>
      </w:tr>
      <w:tr w14:paraId="55BF92E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9" w:hRule="atLeast"/>
          <w:jc w:val="center"/>
        </w:trPr>
        <w:tc>
          <w:tcPr>
            <w:tcW w:w="797" w:type="pct"/>
            <w:tcBorders>
              <w:tl2br w:val="nil"/>
              <w:tr2bl w:val="nil"/>
            </w:tcBorders>
            <w:noWrap w:val="0"/>
            <w:vAlign w:val="center"/>
          </w:tcPr>
          <w:p w14:paraId="69F16CE4">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zh-CN"/>
              </w:rPr>
              <w:t>对应距声源几何距离</w:t>
            </w:r>
            <w:r>
              <w:rPr>
                <w:rFonts w:ascii="Times New Roman" w:hAnsi="Times New Roman"/>
                <w:b w:val="0"/>
                <w:bCs/>
                <w:color w:val="auto"/>
                <w:highlight w:val="none"/>
                <w:lang w:val="zh-CN"/>
              </w:rPr>
              <w:t>r2</w:t>
            </w:r>
            <w:r>
              <w:rPr>
                <w:rFonts w:hint="eastAsia" w:ascii="Times New Roman" w:hAnsi="Times New Roman"/>
                <w:b w:val="0"/>
                <w:bCs/>
                <w:color w:val="auto"/>
                <w:highlight w:val="none"/>
                <w:lang w:val="zh-CN"/>
              </w:rPr>
              <w:t>（</w:t>
            </w:r>
            <w:r>
              <w:rPr>
                <w:rFonts w:ascii="Times New Roman" w:hAnsi="Times New Roman"/>
                <w:b w:val="0"/>
                <w:bCs/>
                <w:color w:val="auto"/>
                <w:highlight w:val="none"/>
                <w:lang w:val="zh-CN"/>
              </w:rPr>
              <w:t>m</w:t>
            </w:r>
            <w:r>
              <w:rPr>
                <w:rFonts w:hint="eastAsia" w:ascii="Times New Roman" w:hAnsi="Times New Roman"/>
                <w:b w:val="0"/>
                <w:bCs/>
                <w:color w:val="auto"/>
                <w:highlight w:val="none"/>
                <w:lang w:val="zh-CN"/>
              </w:rPr>
              <w:t>）</w:t>
            </w:r>
          </w:p>
        </w:tc>
        <w:tc>
          <w:tcPr>
            <w:tcW w:w="889" w:type="dxa"/>
            <w:tcBorders>
              <w:tl2br w:val="nil"/>
              <w:tr2bl w:val="nil"/>
            </w:tcBorders>
            <w:noWrap w:val="0"/>
            <w:vAlign w:val="center"/>
          </w:tcPr>
          <w:p w14:paraId="70829FD8">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en-US" w:eastAsia="zh-CN"/>
              </w:rPr>
              <w:t>125.4</w:t>
            </w:r>
          </w:p>
        </w:tc>
        <w:tc>
          <w:tcPr>
            <w:tcW w:w="738" w:type="dxa"/>
            <w:tcBorders>
              <w:tl2br w:val="nil"/>
              <w:tr2bl w:val="nil"/>
            </w:tcBorders>
            <w:noWrap w:val="0"/>
            <w:vAlign w:val="center"/>
          </w:tcPr>
          <w:p w14:paraId="10EAC991">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en-US" w:eastAsia="zh-CN"/>
              </w:rPr>
              <w:t>152.4</w:t>
            </w:r>
          </w:p>
        </w:tc>
        <w:tc>
          <w:tcPr>
            <w:tcW w:w="738" w:type="dxa"/>
            <w:tcBorders>
              <w:tl2br w:val="nil"/>
              <w:tr2bl w:val="nil"/>
            </w:tcBorders>
            <w:noWrap w:val="0"/>
            <w:vAlign w:val="center"/>
          </w:tcPr>
          <w:p w14:paraId="1FE83FF0">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en-US" w:eastAsia="zh-CN"/>
              </w:rPr>
              <w:t>189.0</w:t>
            </w:r>
          </w:p>
        </w:tc>
        <w:tc>
          <w:tcPr>
            <w:tcW w:w="738" w:type="dxa"/>
            <w:tcBorders>
              <w:tl2br w:val="nil"/>
              <w:tr2bl w:val="nil"/>
            </w:tcBorders>
            <w:noWrap w:val="0"/>
            <w:vAlign w:val="center"/>
          </w:tcPr>
          <w:p w14:paraId="1E4A5BA3">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en-US" w:eastAsia="zh-CN"/>
              </w:rPr>
              <w:t>230.7</w:t>
            </w:r>
          </w:p>
        </w:tc>
        <w:tc>
          <w:tcPr>
            <w:tcW w:w="738" w:type="dxa"/>
            <w:tcBorders>
              <w:tl2br w:val="nil"/>
              <w:tr2bl w:val="nil"/>
            </w:tcBorders>
            <w:noWrap w:val="0"/>
            <w:vAlign w:val="center"/>
          </w:tcPr>
          <w:p w14:paraId="048EDF96">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2</w:t>
            </w:r>
            <w:r>
              <w:rPr>
                <w:rFonts w:hint="eastAsia" w:ascii="Times New Roman" w:hAnsi="Times New Roman"/>
                <w:b w:val="0"/>
                <w:bCs/>
                <w:color w:val="auto"/>
                <w:highlight w:val="none"/>
                <w:lang w:val="en-US" w:eastAsia="zh-CN"/>
              </w:rPr>
              <w:t>75.2</w:t>
            </w:r>
          </w:p>
        </w:tc>
        <w:tc>
          <w:tcPr>
            <w:tcW w:w="738" w:type="dxa"/>
            <w:tcBorders>
              <w:tl2br w:val="nil"/>
              <w:tr2bl w:val="nil"/>
            </w:tcBorders>
            <w:noWrap w:val="0"/>
            <w:vAlign w:val="center"/>
          </w:tcPr>
          <w:p w14:paraId="270A9D26">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en-US" w:eastAsia="zh-CN"/>
              </w:rPr>
              <w:t>321.3</w:t>
            </w:r>
          </w:p>
        </w:tc>
        <w:tc>
          <w:tcPr>
            <w:tcW w:w="738" w:type="dxa"/>
            <w:tcBorders>
              <w:tl2br w:val="nil"/>
              <w:tr2bl w:val="nil"/>
            </w:tcBorders>
            <w:noWrap w:val="0"/>
            <w:vAlign w:val="center"/>
          </w:tcPr>
          <w:p w14:paraId="6D7596BD">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en-US" w:eastAsia="zh-CN"/>
              </w:rPr>
              <w:t>368.4</w:t>
            </w:r>
          </w:p>
        </w:tc>
        <w:tc>
          <w:tcPr>
            <w:tcW w:w="738" w:type="dxa"/>
            <w:tcBorders>
              <w:tl2br w:val="nil"/>
              <w:tr2bl w:val="nil"/>
            </w:tcBorders>
            <w:noWrap w:val="0"/>
            <w:vAlign w:val="center"/>
          </w:tcPr>
          <w:p w14:paraId="11449BE0">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en-US" w:eastAsia="zh-CN"/>
              </w:rPr>
              <w:t>416.2</w:t>
            </w:r>
          </w:p>
        </w:tc>
        <w:tc>
          <w:tcPr>
            <w:tcW w:w="729" w:type="dxa"/>
            <w:tcBorders>
              <w:tl2br w:val="nil"/>
              <w:tr2bl w:val="nil"/>
            </w:tcBorders>
            <w:noWrap w:val="0"/>
            <w:vAlign w:val="center"/>
          </w:tcPr>
          <w:p w14:paraId="188579E4">
            <w:pPr>
              <w:pStyle w:val="45"/>
              <w:bidi w:val="0"/>
              <w:rPr>
                <w:rFonts w:ascii="Times New Roman" w:hAnsi="Times New Roman"/>
                <w:b w:val="0"/>
                <w:bCs/>
                <w:color w:val="auto"/>
                <w:highlight w:val="none"/>
                <w:lang w:val="zh-CN"/>
              </w:rPr>
            </w:pPr>
            <w:r>
              <w:rPr>
                <w:rFonts w:hint="eastAsia" w:ascii="Times New Roman" w:hAnsi="Times New Roman"/>
                <w:b w:val="0"/>
                <w:bCs/>
                <w:color w:val="auto"/>
                <w:highlight w:val="none"/>
                <w:lang w:val="en-US" w:eastAsia="zh-CN"/>
              </w:rPr>
              <w:t>513.1</w:t>
            </w:r>
          </w:p>
        </w:tc>
      </w:tr>
      <w:tr w14:paraId="0BB5792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797" w:type="pct"/>
            <w:tcBorders>
              <w:tl2br w:val="nil"/>
              <w:tr2bl w:val="nil"/>
            </w:tcBorders>
            <w:noWrap w:val="0"/>
            <w:vAlign w:val="center"/>
          </w:tcPr>
          <w:p w14:paraId="0292EFBF">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L(r)dB(A)</w:t>
            </w:r>
          </w:p>
        </w:tc>
        <w:tc>
          <w:tcPr>
            <w:tcW w:w="551" w:type="pct"/>
            <w:tcBorders>
              <w:tl2br w:val="nil"/>
              <w:tr2bl w:val="nil"/>
            </w:tcBorders>
            <w:noWrap w:val="0"/>
            <w:vAlign w:val="center"/>
          </w:tcPr>
          <w:p w14:paraId="7801EE96">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70.0</w:t>
            </w:r>
          </w:p>
        </w:tc>
        <w:tc>
          <w:tcPr>
            <w:tcW w:w="457" w:type="pct"/>
            <w:tcBorders>
              <w:tl2br w:val="nil"/>
              <w:tr2bl w:val="nil"/>
            </w:tcBorders>
            <w:noWrap w:val="0"/>
            <w:vAlign w:val="center"/>
          </w:tcPr>
          <w:p w14:paraId="2D2EAA8C">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68.3</w:t>
            </w:r>
          </w:p>
        </w:tc>
        <w:tc>
          <w:tcPr>
            <w:tcW w:w="457" w:type="pct"/>
            <w:tcBorders>
              <w:tl2br w:val="nil"/>
              <w:tr2bl w:val="nil"/>
            </w:tcBorders>
            <w:noWrap w:val="0"/>
            <w:vAlign w:val="center"/>
          </w:tcPr>
          <w:p w14:paraId="3913300A">
            <w:pPr>
              <w:pStyle w:val="45"/>
              <w:bidi w:val="0"/>
              <w:rPr>
                <w:rFonts w:hint="eastAsia" w:ascii="Times New Roman" w:hAnsi="Times New Roman"/>
                <w:b w:val="0"/>
                <w:bCs/>
                <w:color w:val="auto"/>
                <w:highlight w:val="none"/>
                <w:lang w:val="zh-CN" w:eastAsia="zh-CN"/>
              </w:rPr>
            </w:pPr>
            <w:r>
              <w:rPr>
                <w:rFonts w:hint="eastAsia" w:ascii="Times New Roman" w:hAnsi="Times New Roman"/>
                <w:b w:val="0"/>
                <w:bCs/>
                <w:color w:val="auto"/>
                <w:highlight w:val="none"/>
                <w:lang w:val="en-US" w:eastAsia="zh-CN"/>
              </w:rPr>
              <w:t>66.5</w:t>
            </w:r>
          </w:p>
        </w:tc>
        <w:tc>
          <w:tcPr>
            <w:tcW w:w="457" w:type="pct"/>
            <w:tcBorders>
              <w:tl2br w:val="nil"/>
              <w:tr2bl w:val="nil"/>
            </w:tcBorders>
            <w:noWrap w:val="0"/>
            <w:vAlign w:val="center"/>
          </w:tcPr>
          <w:p w14:paraId="1081DFB8">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64.7</w:t>
            </w:r>
          </w:p>
        </w:tc>
        <w:tc>
          <w:tcPr>
            <w:tcW w:w="457" w:type="pct"/>
            <w:tcBorders>
              <w:tl2br w:val="nil"/>
              <w:tr2bl w:val="nil"/>
            </w:tcBorders>
            <w:noWrap w:val="0"/>
            <w:vAlign w:val="center"/>
          </w:tcPr>
          <w:p w14:paraId="5268F7F7">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63.2</w:t>
            </w:r>
          </w:p>
        </w:tc>
        <w:tc>
          <w:tcPr>
            <w:tcW w:w="457" w:type="pct"/>
            <w:tcBorders>
              <w:tl2br w:val="nil"/>
              <w:tr2bl w:val="nil"/>
            </w:tcBorders>
            <w:noWrap w:val="0"/>
            <w:vAlign w:val="center"/>
          </w:tcPr>
          <w:p w14:paraId="3DB64172">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61.9</w:t>
            </w:r>
          </w:p>
        </w:tc>
        <w:tc>
          <w:tcPr>
            <w:tcW w:w="457" w:type="pct"/>
            <w:tcBorders>
              <w:tl2br w:val="nil"/>
              <w:tr2bl w:val="nil"/>
            </w:tcBorders>
            <w:noWrap w:val="0"/>
            <w:vAlign w:val="center"/>
          </w:tcPr>
          <w:p w14:paraId="7994A912">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60.7</w:t>
            </w:r>
          </w:p>
        </w:tc>
        <w:tc>
          <w:tcPr>
            <w:tcW w:w="457" w:type="pct"/>
            <w:tcBorders>
              <w:tl2br w:val="nil"/>
              <w:tr2bl w:val="nil"/>
            </w:tcBorders>
            <w:noWrap w:val="0"/>
            <w:vAlign w:val="center"/>
          </w:tcPr>
          <w:p w14:paraId="30C10764">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59.6</w:t>
            </w:r>
          </w:p>
        </w:tc>
        <w:tc>
          <w:tcPr>
            <w:tcW w:w="452" w:type="pct"/>
            <w:tcBorders>
              <w:tl2br w:val="nil"/>
              <w:tr2bl w:val="nil"/>
            </w:tcBorders>
            <w:noWrap w:val="0"/>
            <w:vAlign w:val="center"/>
          </w:tcPr>
          <w:p w14:paraId="3C85EA67">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57.8</w:t>
            </w:r>
          </w:p>
        </w:tc>
      </w:tr>
    </w:tbl>
    <w:p w14:paraId="791F4BAA">
      <w:pPr>
        <w:pStyle w:val="50"/>
        <w:ind w:firstLine="404"/>
        <w:rPr>
          <w:rFonts w:eastAsia="宋体" w:cs="Times New Roman"/>
          <w:bCs/>
          <w:color w:val="auto"/>
          <w:sz w:val="21"/>
          <w:szCs w:val="21"/>
          <w:highlight w:val="none"/>
        </w:rPr>
      </w:pPr>
      <w:r>
        <w:rPr>
          <w:rFonts w:eastAsia="宋体" w:cs="Times New Roman"/>
          <w:bCs/>
          <w:color w:val="auto"/>
          <w:sz w:val="21"/>
          <w:szCs w:val="21"/>
          <w:highlight w:val="none"/>
        </w:rPr>
        <w:t>注：r2=（r1</w:t>
      </w:r>
      <w:r>
        <w:rPr>
          <w:rFonts w:eastAsia="宋体" w:cs="Times New Roman"/>
          <w:bCs/>
          <w:color w:val="auto"/>
          <w:sz w:val="21"/>
          <w:szCs w:val="21"/>
          <w:highlight w:val="none"/>
          <w:vertAlign w:val="superscript"/>
        </w:rPr>
        <w:t>2</w:t>
      </w:r>
      <w:r>
        <w:rPr>
          <w:rFonts w:eastAsia="宋体" w:cs="Times New Roman"/>
          <w:bCs/>
          <w:color w:val="auto"/>
          <w:sz w:val="21"/>
          <w:szCs w:val="21"/>
          <w:highlight w:val="none"/>
        </w:rPr>
        <w:t>+11</w:t>
      </w:r>
      <w:r>
        <w:rPr>
          <w:rFonts w:hint="eastAsia" w:eastAsia="宋体" w:cs="Times New Roman"/>
          <w:bCs/>
          <w:color w:val="auto"/>
          <w:sz w:val="21"/>
          <w:szCs w:val="21"/>
          <w:highlight w:val="none"/>
          <w:lang w:val="en-US" w:eastAsia="zh-CN"/>
        </w:rPr>
        <w:t>5</w:t>
      </w:r>
      <w:r>
        <w:rPr>
          <w:rFonts w:eastAsia="宋体" w:cs="Times New Roman"/>
          <w:bCs/>
          <w:color w:val="auto"/>
          <w:sz w:val="21"/>
          <w:szCs w:val="21"/>
          <w:highlight w:val="none"/>
          <w:vertAlign w:val="superscript"/>
        </w:rPr>
        <w:t>2</w:t>
      </w:r>
      <w:r>
        <w:rPr>
          <w:rFonts w:eastAsia="宋体" w:cs="Times New Roman"/>
          <w:bCs/>
          <w:color w:val="auto"/>
          <w:sz w:val="21"/>
          <w:szCs w:val="21"/>
          <w:highlight w:val="none"/>
        </w:rPr>
        <w:t>）</w:t>
      </w:r>
      <w:r>
        <w:rPr>
          <w:rFonts w:eastAsia="宋体" w:cs="Times New Roman"/>
          <w:bCs/>
          <w:color w:val="auto"/>
          <w:sz w:val="21"/>
          <w:szCs w:val="21"/>
          <w:highlight w:val="none"/>
          <w:vertAlign w:val="superscript"/>
        </w:rPr>
        <w:t>1/2</w:t>
      </w:r>
    </w:p>
    <w:p w14:paraId="421820A6">
      <w:pPr>
        <w:pStyle w:val="29"/>
        <w:ind w:firstLine="480"/>
        <w:rPr>
          <w:rFonts w:hAnsi="宋体" w:cs="Times New Roman"/>
          <w:color w:val="auto"/>
          <w:highlight w:val="none"/>
        </w:rPr>
      </w:pPr>
      <w:r>
        <w:rPr>
          <w:rFonts w:hAnsi="宋体" w:cs="Times New Roman"/>
          <w:color w:val="auto"/>
          <w:highlight w:val="none"/>
        </w:rPr>
        <w:t>从</w:t>
      </w:r>
      <w:r>
        <w:rPr>
          <w:rFonts w:hint="eastAsia" w:hAnsi="宋体" w:cs="Times New Roman"/>
          <w:color w:val="auto"/>
          <w:highlight w:val="none"/>
        </w:rPr>
        <w:t>上表</w:t>
      </w:r>
      <w:r>
        <w:rPr>
          <w:rFonts w:hAnsi="宋体" w:cs="Times New Roman"/>
          <w:color w:val="auto"/>
          <w:highlight w:val="none"/>
        </w:rPr>
        <w:t>结果可以看出，不考虑敏感点与风电机组基础处高程差的情况下，昼</w:t>
      </w:r>
      <w:r>
        <w:rPr>
          <w:rFonts w:hint="eastAsia" w:hAnsi="宋体" w:cs="Times New Roman"/>
          <w:color w:val="auto"/>
          <w:highlight w:val="none"/>
        </w:rPr>
        <w:t>间</w:t>
      </w:r>
      <w:r>
        <w:rPr>
          <w:rFonts w:hAnsi="宋体" w:cs="Times New Roman"/>
          <w:color w:val="auto"/>
          <w:highlight w:val="none"/>
        </w:rPr>
        <w:t>水平距离400m处</w:t>
      </w:r>
      <w:r>
        <w:rPr>
          <w:rFonts w:hint="eastAsia" w:hAnsi="宋体" w:cs="Times New Roman"/>
          <w:color w:val="auto"/>
          <w:highlight w:val="none"/>
        </w:rPr>
        <w:t>，</w:t>
      </w:r>
      <w:r>
        <w:rPr>
          <w:rFonts w:hAnsi="宋体" w:cs="Times New Roman"/>
          <w:color w:val="auto"/>
          <w:highlight w:val="none"/>
        </w:rPr>
        <w:t>夜间水平距离200m处的噪声能满足《声环境质量标准》(GB3096-2008)</w:t>
      </w:r>
      <w:r>
        <w:rPr>
          <w:rFonts w:hint="eastAsia" w:hAnsi="宋体" w:cs="Times New Roman"/>
          <w:color w:val="auto"/>
          <w:highlight w:val="none"/>
        </w:rPr>
        <w:t>2</w:t>
      </w:r>
      <w:r>
        <w:rPr>
          <w:rFonts w:hAnsi="宋体" w:cs="Times New Roman"/>
          <w:color w:val="auto"/>
          <w:highlight w:val="none"/>
        </w:rPr>
        <w:t>类声环境功能区</w:t>
      </w:r>
      <w:r>
        <w:rPr>
          <w:rFonts w:hint="eastAsia" w:hAnsi="宋体" w:cs="Times New Roman"/>
          <w:color w:val="auto"/>
          <w:highlight w:val="none"/>
        </w:rPr>
        <w:t>突发</w:t>
      </w:r>
      <w:r>
        <w:rPr>
          <w:rFonts w:hAnsi="宋体" w:cs="Times New Roman"/>
          <w:color w:val="auto"/>
          <w:highlight w:val="none"/>
        </w:rPr>
        <w:t>噪声限值（昼间</w:t>
      </w:r>
      <w:r>
        <w:rPr>
          <w:rFonts w:hint="eastAsia" w:hAnsi="宋体" w:cs="Times New Roman"/>
          <w:color w:val="auto"/>
          <w:highlight w:val="none"/>
        </w:rPr>
        <w:t>60</w:t>
      </w:r>
      <w:r>
        <w:rPr>
          <w:rFonts w:hAnsi="宋体" w:cs="Times New Roman"/>
          <w:color w:val="auto"/>
          <w:highlight w:val="none"/>
        </w:rPr>
        <w:t>dB(A)、夜间</w:t>
      </w:r>
      <w:r>
        <w:rPr>
          <w:rFonts w:hint="eastAsia" w:hAnsi="宋体" w:cs="Times New Roman"/>
          <w:color w:val="auto"/>
          <w:highlight w:val="none"/>
        </w:rPr>
        <w:t>65</w:t>
      </w:r>
      <w:r>
        <w:rPr>
          <w:rFonts w:hAnsi="宋体" w:cs="Times New Roman"/>
          <w:color w:val="auto"/>
          <w:highlight w:val="none"/>
        </w:rPr>
        <w:t>dB(A)）的要求。</w:t>
      </w:r>
      <w:r>
        <w:rPr>
          <w:rFonts w:hint="eastAsia" w:hAnsi="宋体" w:cs="Times New Roman"/>
          <w:color w:val="auto"/>
          <w:highlight w:val="none"/>
        </w:rPr>
        <w:t>因突发噪声产生的影响较小，由于突发噪声持续时间短，且考虑有高程差，噪声进一步削减，因而突发噪声总体影响不大。</w:t>
      </w:r>
    </w:p>
    <w:p w14:paraId="702B0843">
      <w:pPr>
        <w:pStyle w:val="29"/>
        <w:ind w:firstLine="480"/>
        <w:rPr>
          <w:rFonts w:hAnsi="宋体" w:cs="Times New Roman"/>
          <w:color w:val="auto"/>
          <w:highlight w:val="none"/>
        </w:rPr>
      </w:pPr>
      <w:r>
        <w:rPr>
          <w:rFonts w:hAnsi="宋体" w:cs="Times New Roman"/>
          <w:color w:val="auto"/>
          <w:highlight w:val="none"/>
        </w:rPr>
        <w:t>为了减小偏航系统产生的刹车噪声对噪声敏感建筑物的影响，本环评建议，风电机组在运行过程中应加强偏航系统的维护保养并应尽量避免运行偏航系统，将风电机组对噪声敏感建筑物的影响降低至最小。</w:t>
      </w:r>
    </w:p>
    <w:p w14:paraId="79D26701">
      <w:pPr>
        <w:pStyle w:val="29"/>
        <w:ind w:firstLine="480"/>
        <w:rPr>
          <w:rFonts w:hAnsi="宋体" w:cs="Times New Roman"/>
          <w:b/>
          <w:bCs/>
          <w:color w:val="auto"/>
          <w:highlight w:val="none"/>
        </w:rPr>
      </w:pPr>
      <w:r>
        <w:rPr>
          <w:rFonts w:hAnsi="宋体" w:cs="Times New Roman"/>
          <w:b/>
          <w:bCs/>
          <w:color w:val="auto"/>
          <w:highlight w:val="none"/>
        </w:rPr>
        <w:t>（</w:t>
      </w:r>
      <w:r>
        <w:rPr>
          <w:rFonts w:hint="eastAsia" w:hAnsi="宋体" w:cs="Times New Roman"/>
          <w:b/>
          <w:bCs/>
          <w:color w:val="auto"/>
          <w:highlight w:val="none"/>
          <w:lang w:val="en-US" w:eastAsia="zh-CN"/>
        </w:rPr>
        <w:t>2</w:t>
      </w:r>
      <w:r>
        <w:rPr>
          <w:rFonts w:hAnsi="宋体" w:cs="Times New Roman"/>
          <w:b/>
          <w:bCs/>
          <w:color w:val="auto"/>
          <w:highlight w:val="none"/>
        </w:rPr>
        <w:t>）升压站</w:t>
      </w:r>
    </w:p>
    <w:p w14:paraId="301A326F">
      <w:pPr>
        <w:spacing w:line="360" w:lineRule="auto"/>
        <w:ind w:firstLine="480" w:firstLineChars="200"/>
        <w:rPr>
          <w:color w:val="auto"/>
          <w:sz w:val="24"/>
          <w:highlight w:val="none"/>
        </w:rPr>
      </w:pPr>
      <w:r>
        <w:rPr>
          <w:rFonts w:hint="eastAsia" w:ascii="Times New Roman" w:hAnsi="Times New Roman" w:cs="Times New Roman"/>
          <w:b w:val="0"/>
          <w:bCs w:val="0"/>
          <w:color w:val="auto"/>
          <w:kern w:val="0"/>
          <w:sz w:val="24"/>
          <w:szCs w:val="24"/>
          <w:highlight w:val="none"/>
          <w:u w:val="none"/>
          <w:lang w:val="en-US" w:eastAsia="zh-CN"/>
        </w:rPr>
        <w:t>本工程营运期拟接入已建大马风电场110kV升压站，并对大马风电场升压站进行扩建，增加1台</w:t>
      </w:r>
      <w:r>
        <w:rPr>
          <w:rFonts w:hint="default" w:ascii="Times New Roman" w:hAnsi="Times New Roman" w:cs="Times New Roman"/>
          <w:color w:val="auto"/>
          <w:kern w:val="0"/>
          <w:sz w:val="24"/>
          <w:szCs w:val="24"/>
          <w:highlight w:val="none"/>
          <w:lang w:val="en-US" w:eastAsia="zh-CN"/>
        </w:rPr>
        <w:t>主</w:t>
      </w:r>
      <w:r>
        <w:rPr>
          <w:rFonts w:hint="eastAsia" w:ascii="Times New Roman" w:hAnsi="Times New Roman" w:cs="Times New Roman"/>
          <w:color w:val="auto"/>
          <w:kern w:val="0"/>
          <w:sz w:val="24"/>
          <w:szCs w:val="24"/>
          <w:highlight w:val="none"/>
          <w:lang w:val="en-US" w:eastAsia="zh-CN"/>
        </w:rPr>
        <w:t>变压器</w:t>
      </w:r>
      <w:r>
        <w:rPr>
          <w:rFonts w:hint="eastAsia" w:ascii="Times New Roman" w:hAnsi="Times New Roman" w:cs="Times New Roman"/>
          <w:b w:val="0"/>
          <w:bCs w:val="0"/>
          <w:color w:val="auto"/>
          <w:kern w:val="0"/>
          <w:sz w:val="24"/>
          <w:szCs w:val="24"/>
          <w:highlight w:val="none"/>
          <w:u w:val="none"/>
          <w:lang w:val="en-US" w:eastAsia="zh-CN"/>
        </w:rPr>
        <w:t>。</w:t>
      </w:r>
      <w:r>
        <w:rPr>
          <w:rFonts w:hint="eastAsia"/>
          <w:color w:val="auto"/>
          <w:sz w:val="24"/>
          <w:highlight w:val="none"/>
        </w:rPr>
        <w:t>升压</w:t>
      </w:r>
      <w:r>
        <w:rPr>
          <w:color w:val="auto"/>
          <w:sz w:val="24"/>
          <w:highlight w:val="none"/>
        </w:rPr>
        <w:t>站</w:t>
      </w:r>
      <w:r>
        <w:rPr>
          <w:rFonts w:hint="eastAsia"/>
          <w:color w:val="auto"/>
          <w:sz w:val="24"/>
          <w:highlight w:val="none"/>
          <w:lang w:eastAsia="zh-CN"/>
        </w:rPr>
        <w:t>内现有</w:t>
      </w:r>
      <w:r>
        <w:rPr>
          <w:rFonts w:hint="eastAsia"/>
          <w:color w:val="auto"/>
          <w:sz w:val="24"/>
          <w:highlight w:val="none"/>
          <w:lang w:val="en-US" w:eastAsia="zh-CN"/>
        </w:rPr>
        <w:t>1台主变压器，</w:t>
      </w:r>
      <w:r>
        <w:rPr>
          <w:color w:val="auto"/>
          <w:sz w:val="24"/>
          <w:highlight w:val="none"/>
        </w:rPr>
        <w:t>主变压器噪声源强约65dB(A)</w:t>
      </w:r>
      <w:r>
        <w:rPr>
          <w:rFonts w:hint="eastAsia"/>
          <w:color w:val="auto"/>
          <w:sz w:val="24"/>
          <w:highlight w:val="none"/>
          <w:lang w:eastAsia="zh-CN"/>
        </w:rPr>
        <w:t>，升压站扩建后，两台主变压器的噪声源强为</w:t>
      </w:r>
      <w:r>
        <w:rPr>
          <w:rFonts w:hint="eastAsia"/>
          <w:color w:val="auto"/>
          <w:sz w:val="24"/>
          <w:highlight w:val="none"/>
          <w:lang w:val="en-US" w:eastAsia="zh-CN"/>
        </w:rPr>
        <w:t>68dB（A）</w:t>
      </w:r>
      <w:r>
        <w:rPr>
          <w:color w:val="auto"/>
          <w:sz w:val="24"/>
          <w:highlight w:val="none"/>
        </w:rPr>
        <w:t>。根据</w:t>
      </w:r>
      <w:r>
        <w:rPr>
          <w:rFonts w:hint="eastAsia"/>
          <w:color w:val="auto"/>
          <w:sz w:val="24"/>
          <w:highlight w:val="none"/>
        </w:rPr>
        <w:t>升压</w:t>
      </w:r>
      <w:r>
        <w:rPr>
          <w:color w:val="auto"/>
          <w:sz w:val="24"/>
          <w:highlight w:val="none"/>
        </w:rPr>
        <w:t>站平面布置图，主变压器与厂界的位置关系见表4</w:t>
      </w:r>
      <w:r>
        <w:rPr>
          <w:rFonts w:hint="eastAsia"/>
          <w:color w:val="auto"/>
          <w:sz w:val="24"/>
          <w:highlight w:val="none"/>
          <w:lang w:val="en-US" w:eastAsia="zh-CN"/>
        </w:rPr>
        <w:t>-10</w:t>
      </w:r>
      <w:r>
        <w:rPr>
          <w:color w:val="auto"/>
          <w:sz w:val="24"/>
          <w:highlight w:val="none"/>
        </w:rPr>
        <w:t>。采用《环境影响评价技术导则声环境》（HJ2.4-2021)工业噪声预测模式预测升压站厂界噪声排放情况，预测结果见</w:t>
      </w:r>
      <w:r>
        <w:rPr>
          <w:rFonts w:hint="eastAsia"/>
          <w:color w:val="auto"/>
          <w:sz w:val="24"/>
          <w:highlight w:val="none"/>
          <w:lang w:eastAsia="zh-CN"/>
        </w:rPr>
        <w:t>下表</w:t>
      </w:r>
      <w:r>
        <w:rPr>
          <w:rFonts w:hint="eastAsia"/>
          <w:color w:val="auto"/>
          <w:sz w:val="24"/>
          <w:highlight w:val="none"/>
        </w:rPr>
        <w:t>。</w:t>
      </w:r>
    </w:p>
    <w:p w14:paraId="7B62E7CD">
      <w:pPr>
        <w:pStyle w:val="46"/>
        <w:bidi w:val="0"/>
      </w:pPr>
      <w:r>
        <w:t>表</w:t>
      </w:r>
      <w:r>
        <w:rPr>
          <w:rFonts w:hint="eastAsia"/>
          <w:lang w:val="en-US" w:eastAsia="zh-CN"/>
        </w:rPr>
        <w:t xml:space="preserve">6.2.3-5 </w:t>
      </w:r>
      <w:r>
        <w:t xml:space="preserve"> </w:t>
      </w:r>
      <w:r>
        <w:rPr>
          <w:rFonts w:hint="eastAsia"/>
        </w:rPr>
        <w:t>升压</w:t>
      </w:r>
      <w:r>
        <w:t>站主变压器与厂界位置关系一览表</w:t>
      </w:r>
    </w:p>
    <w:tbl>
      <w:tblPr>
        <w:tblStyle w:val="20"/>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03"/>
        <w:gridCol w:w="1703"/>
        <w:gridCol w:w="1704"/>
        <w:gridCol w:w="1704"/>
        <w:gridCol w:w="1708"/>
      </w:tblGrid>
      <w:tr w14:paraId="665C61B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65" w:hRule="atLeast"/>
          <w:jc w:val="center"/>
        </w:trPr>
        <w:tc>
          <w:tcPr>
            <w:tcW w:w="1656" w:type="dxa"/>
            <w:vMerge w:val="restart"/>
            <w:tcBorders>
              <w:tl2br w:val="nil"/>
              <w:tr2bl w:val="nil"/>
            </w:tcBorders>
            <w:noWrap w:val="0"/>
            <w:vAlign w:val="center"/>
          </w:tcPr>
          <w:p w14:paraId="084C606A">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噪声源</w:t>
            </w:r>
          </w:p>
        </w:tc>
        <w:tc>
          <w:tcPr>
            <w:tcW w:w="6628" w:type="dxa"/>
            <w:gridSpan w:val="4"/>
            <w:tcBorders>
              <w:tl2br w:val="nil"/>
              <w:tr2bl w:val="nil"/>
            </w:tcBorders>
            <w:noWrap w:val="0"/>
            <w:vAlign w:val="center"/>
          </w:tcPr>
          <w:p w14:paraId="58D11AFA">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与厂界距离（m）</w:t>
            </w:r>
          </w:p>
        </w:tc>
      </w:tr>
      <w:tr w14:paraId="7B040C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1656" w:type="dxa"/>
            <w:vMerge w:val="continue"/>
            <w:tcBorders>
              <w:tl2br w:val="nil"/>
              <w:tr2bl w:val="nil"/>
            </w:tcBorders>
            <w:noWrap w:val="0"/>
            <w:vAlign w:val="center"/>
          </w:tcPr>
          <w:p w14:paraId="33ED60C7">
            <w:pPr>
              <w:pStyle w:val="45"/>
              <w:bidi w:val="0"/>
              <w:rPr>
                <w:rFonts w:ascii="Times New Roman" w:hAnsi="Times New Roman"/>
                <w:b w:val="0"/>
                <w:bCs/>
                <w:color w:val="auto"/>
                <w:highlight w:val="none"/>
                <w:lang w:val="zh-CN"/>
              </w:rPr>
            </w:pPr>
          </w:p>
        </w:tc>
        <w:tc>
          <w:tcPr>
            <w:tcW w:w="1656" w:type="dxa"/>
            <w:tcBorders>
              <w:tl2br w:val="nil"/>
              <w:tr2bl w:val="nil"/>
            </w:tcBorders>
            <w:noWrap w:val="0"/>
            <w:vAlign w:val="center"/>
          </w:tcPr>
          <w:p w14:paraId="6643156F">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东</w:t>
            </w:r>
          </w:p>
        </w:tc>
        <w:tc>
          <w:tcPr>
            <w:tcW w:w="1656" w:type="dxa"/>
            <w:tcBorders>
              <w:tl2br w:val="nil"/>
              <w:tr2bl w:val="nil"/>
            </w:tcBorders>
            <w:noWrap w:val="0"/>
            <w:vAlign w:val="center"/>
          </w:tcPr>
          <w:p w14:paraId="2C58F194">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南</w:t>
            </w:r>
          </w:p>
        </w:tc>
        <w:tc>
          <w:tcPr>
            <w:tcW w:w="1656" w:type="dxa"/>
            <w:tcBorders>
              <w:tl2br w:val="nil"/>
              <w:tr2bl w:val="nil"/>
            </w:tcBorders>
            <w:noWrap w:val="0"/>
            <w:vAlign w:val="center"/>
          </w:tcPr>
          <w:p w14:paraId="63C875A9">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西</w:t>
            </w:r>
          </w:p>
        </w:tc>
        <w:tc>
          <w:tcPr>
            <w:tcW w:w="1657" w:type="dxa"/>
            <w:tcBorders>
              <w:tl2br w:val="nil"/>
              <w:tr2bl w:val="nil"/>
            </w:tcBorders>
            <w:noWrap w:val="0"/>
            <w:vAlign w:val="center"/>
          </w:tcPr>
          <w:p w14:paraId="3DE6B475">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北</w:t>
            </w:r>
          </w:p>
        </w:tc>
      </w:tr>
      <w:tr w14:paraId="63816A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50" w:hRule="atLeast"/>
          <w:jc w:val="center"/>
        </w:trPr>
        <w:tc>
          <w:tcPr>
            <w:tcW w:w="1656" w:type="dxa"/>
            <w:tcBorders>
              <w:tl2br w:val="nil"/>
              <w:tr2bl w:val="nil"/>
            </w:tcBorders>
            <w:noWrap w:val="0"/>
            <w:vAlign w:val="center"/>
          </w:tcPr>
          <w:p w14:paraId="198130D2">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主变压器</w:t>
            </w:r>
          </w:p>
        </w:tc>
        <w:tc>
          <w:tcPr>
            <w:tcW w:w="1656" w:type="dxa"/>
            <w:tcBorders>
              <w:tl2br w:val="nil"/>
              <w:tr2bl w:val="nil"/>
            </w:tcBorders>
            <w:noWrap w:val="0"/>
            <w:vAlign w:val="center"/>
          </w:tcPr>
          <w:p w14:paraId="57647710">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46</w:t>
            </w:r>
          </w:p>
        </w:tc>
        <w:tc>
          <w:tcPr>
            <w:tcW w:w="1656" w:type="dxa"/>
            <w:tcBorders>
              <w:tl2br w:val="nil"/>
              <w:tr2bl w:val="nil"/>
            </w:tcBorders>
            <w:noWrap w:val="0"/>
            <w:vAlign w:val="center"/>
          </w:tcPr>
          <w:p w14:paraId="10EBDA27">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25</w:t>
            </w:r>
          </w:p>
        </w:tc>
        <w:tc>
          <w:tcPr>
            <w:tcW w:w="1656" w:type="dxa"/>
            <w:tcBorders>
              <w:tl2br w:val="nil"/>
              <w:tr2bl w:val="nil"/>
            </w:tcBorders>
            <w:noWrap w:val="0"/>
            <w:vAlign w:val="center"/>
          </w:tcPr>
          <w:p w14:paraId="4E7D28EB">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16</w:t>
            </w:r>
          </w:p>
        </w:tc>
        <w:tc>
          <w:tcPr>
            <w:tcW w:w="1657" w:type="dxa"/>
            <w:tcBorders>
              <w:tl2br w:val="nil"/>
              <w:tr2bl w:val="nil"/>
            </w:tcBorders>
            <w:noWrap w:val="0"/>
            <w:vAlign w:val="center"/>
          </w:tcPr>
          <w:p w14:paraId="3AE25A16">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22</w:t>
            </w:r>
          </w:p>
        </w:tc>
      </w:tr>
    </w:tbl>
    <w:p w14:paraId="286C174B">
      <w:pPr>
        <w:pStyle w:val="46"/>
        <w:bidi w:val="0"/>
      </w:pPr>
    </w:p>
    <w:p w14:paraId="471C0998">
      <w:pPr>
        <w:pStyle w:val="46"/>
        <w:bidi w:val="0"/>
      </w:pPr>
      <w:r>
        <w:t>表</w:t>
      </w:r>
      <w:r>
        <w:rPr>
          <w:rFonts w:hint="eastAsia"/>
          <w:lang w:val="en-US" w:eastAsia="zh-CN"/>
        </w:rPr>
        <w:t xml:space="preserve">6.2.3-6 </w:t>
      </w:r>
      <w:r>
        <w:t xml:space="preserve"> </w:t>
      </w:r>
      <w:r>
        <w:rPr>
          <w:rFonts w:hint="eastAsia"/>
          <w:lang w:eastAsia="zh-CN"/>
        </w:rPr>
        <w:t>扩建后</w:t>
      </w:r>
      <w:r>
        <w:rPr>
          <w:rFonts w:hint="eastAsia"/>
        </w:rPr>
        <w:t>升压</w:t>
      </w:r>
      <w:r>
        <w:t>站厂界噪声预测结果  单位：dB(A)</w:t>
      </w:r>
    </w:p>
    <w:tbl>
      <w:tblPr>
        <w:tblStyle w:val="20"/>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448"/>
        <w:gridCol w:w="2384"/>
        <w:gridCol w:w="1260"/>
        <w:gridCol w:w="1116"/>
        <w:gridCol w:w="1182"/>
        <w:gridCol w:w="1131"/>
      </w:tblGrid>
      <w:tr w14:paraId="07C720A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57" w:hRule="atLeast"/>
          <w:jc w:val="center"/>
        </w:trPr>
        <w:tc>
          <w:tcPr>
            <w:tcW w:w="3757" w:type="dxa"/>
            <w:gridSpan w:val="2"/>
            <w:vMerge w:val="restart"/>
            <w:tcBorders>
              <w:tl2br w:val="nil"/>
              <w:tr2bl w:val="nil"/>
            </w:tcBorders>
            <w:noWrap w:val="0"/>
            <w:vAlign w:val="center"/>
          </w:tcPr>
          <w:p w14:paraId="02A4065C">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项目</w:t>
            </w:r>
          </w:p>
        </w:tc>
        <w:tc>
          <w:tcPr>
            <w:tcW w:w="4588" w:type="dxa"/>
            <w:gridSpan w:val="4"/>
            <w:tcBorders>
              <w:tl2br w:val="nil"/>
              <w:tr2bl w:val="nil"/>
            </w:tcBorders>
            <w:noWrap w:val="0"/>
            <w:vAlign w:val="center"/>
          </w:tcPr>
          <w:p w14:paraId="52407729">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厂界</w:t>
            </w:r>
          </w:p>
        </w:tc>
      </w:tr>
      <w:tr w14:paraId="09F5681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3757" w:type="dxa"/>
            <w:gridSpan w:val="2"/>
            <w:vMerge w:val="continue"/>
            <w:tcBorders>
              <w:tl2br w:val="nil"/>
              <w:tr2bl w:val="nil"/>
            </w:tcBorders>
            <w:noWrap w:val="0"/>
            <w:vAlign w:val="center"/>
          </w:tcPr>
          <w:p w14:paraId="765C8C6D">
            <w:pPr>
              <w:pStyle w:val="45"/>
              <w:bidi w:val="0"/>
              <w:rPr>
                <w:rFonts w:ascii="Times New Roman" w:hAnsi="Times New Roman"/>
                <w:b w:val="0"/>
                <w:bCs/>
                <w:color w:val="auto"/>
                <w:highlight w:val="none"/>
                <w:lang w:val="zh-CN"/>
              </w:rPr>
            </w:pPr>
          </w:p>
        </w:tc>
        <w:tc>
          <w:tcPr>
            <w:tcW w:w="1233" w:type="dxa"/>
            <w:tcBorders>
              <w:tl2br w:val="nil"/>
              <w:tr2bl w:val="nil"/>
            </w:tcBorders>
            <w:noWrap w:val="0"/>
            <w:vAlign w:val="center"/>
          </w:tcPr>
          <w:p w14:paraId="0920F8BA">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东</w:t>
            </w:r>
          </w:p>
        </w:tc>
        <w:tc>
          <w:tcPr>
            <w:tcW w:w="1092" w:type="dxa"/>
            <w:tcBorders>
              <w:tl2br w:val="nil"/>
              <w:tr2bl w:val="nil"/>
            </w:tcBorders>
            <w:noWrap w:val="0"/>
            <w:vAlign w:val="center"/>
          </w:tcPr>
          <w:p w14:paraId="1460FB0B">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南</w:t>
            </w:r>
          </w:p>
        </w:tc>
        <w:tc>
          <w:tcPr>
            <w:tcW w:w="1157" w:type="dxa"/>
            <w:tcBorders>
              <w:tl2br w:val="nil"/>
              <w:tr2bl w:val="nil"/>
            </w:tcBorders>
            <w:noWrap w:val="0"/>
            <w:vAlign w:val="center"/>
          </w:tcPr>
          <w:p w14:paraId="1270391F">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西</w:t>
            </w:r>
          </w:p>
        </w:tc>
        <w:tc>
          <w:tcPr>
            <w:tcW w:w="1106" w:type="dxa"/>
            <w:tcBorders>
              <w:tl2br w:val="nil"/>
              <w:tr2bl w:val="nil"/>
            </w:tcBorders>
            <w:noWrap w:val="0"/>
            <w:vAlign w:val="center"/>
          </w:tcPr>
          <w:p w14:paraId="530EFC50">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北</w:t>
            </w:r>
          </w:p>
        </w:tc>
      </w:tr>
      <w:tr w14:paraId="33B4CD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3" w:hRule="atLeast"/>
          <w:jc w:val="center"/>
        </w:trPr>
        <w:tc>
          <w:tcPr>
            <w:tcW w:w="3757" w:type="dxa"/>
            <w:gridSpan w:val="2"/>
            <w:tcBorders>
              <w:tl2br w:val="nil"/>
              <w:tr2bl w:val="nil"/>
            </w:tcBorders>
            <w:noWrap w:val="0"/>
            <w:vAlign w:val="center"/>
          </w:tcPr>
          <w:p w14:paraId="0FD6A871">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主变压器贡献值</w:t>
            </w:r>
          </w:p>
        </w:tc>
        <w:tc>
          <w:tcPr>
            <w:tcW w:w="1233" w:type="dxa"/>
            <w:tcBorders>
              <w:tl2br w:val="nil"/>
              <w:tr2bl w:val="nil"/>
            </w:tcBorders>
            <w:noWrap w:val="0"/>
            <w:vAlign w:val="center"/>
          </w:tcPr>
          <w:p w14:paraId="774758A3">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34.7</w:t>
            </w:r>
          </w:p>
        </w:tc>
        <w:tc>
          <w:tcPr>
            <w:tcW w:w="1092" w:type="dxa"/>
            <w:tcBorders>
              <w:tl2br w:val="nil"/>
              <w:tr2bl w:val="nil"/>
            </w:tcBorders>
            <w:noWrap w:val="0"/>
            <w:vAlign w:val="center"/>
          </w:tcPr>
          <w:p w14:paraId="5684592A">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40.0</w:t>
            </w:r>
          </w:p>
        </w:tc>
        <w:tc>
          <w:tcPr>
            <w:tcW w:w="1157" w:type="dxa"/>
            <w:tcBorders>
              <w:tl2br w:val="nil"/>
              <w:tr2bl w:val="nil"/>
            </w:tcBorders>
            <w:noWrap w:val="0"/>
            <w:vAlign w:val="center"/>
          </w:tcPr>
          <w:p w14:paraId="371E8DCD">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43.9</w:t>
            </w:r>
          </w:p>
        </w:tc>
        <w:tc>
          <w:tcPr>
            <w:tcW w:w="1106" w:type="dxa"/>
            <w:tcBorders>
              <w:tl2br w:val="nil"/>
              <w:tr2bl w:val="nil"/>
            </w:tcBorders>
            <w:noWrap w:val="0"/>
            <w:vAlign w:val="center"/>
          </w:tcPr>
          <w:p w14:paraId="286490BB">
            <w:pPr>
              <w:pStyle w:val="45"/>
              <w:bidi w:val="0"/>
              <w:rPr>
                <w:rFonts w:hint="default" w:ascii="Times New Roman" w:hAnsi="Times New Roman"/>
                <w:b w:val="0"/>
                <w:bCs/>
                <w:color w:val="auto"/>
                <w:highlight w:val="none"/>
                <w:lang w:val="en-US" w:eastAsia="zh-CN"/>
              </w:rPr>
            </w:pPr>
            <w:r>
              <w:rPr>
                <w:rFonts w:hint="eastAsia" w:ascii="Times New Roman" w:hAnsi="Times New Roman"/>
                <w:b w:val="0"/>
                <w:bCs/>
                <w:color w:val="auto"/>
                <w:highlight w:val="none"/>
                <w:lang w:val="en-US" w:eastAsia="zh-CN"/>
              </w:rPr>
              <w:t>41.2</w:t>
            </w:r>
          </w:p>
        </w:tc>
      </w:tr>
      <w:tr w14:paraId="528A2B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57" w:hRule="atLeast"/>
          <w:jc w:val="center"/>
        </w:trPr>
        <w:tc>
          <w:tcPr>
            <w:tcW w:w="1418" w:type="dxa"/>
            <w:vMerge w:val="restart"/>
            <w:tcBorders>
              <w:tl2br w:val="nil"/>
              <w:tr2bl w:val="nil"/>
            </w:tcBorders>
            <w:noWrap w:val="0"/>
            <w:vAlign w:val="center"/>
          </w:tcPr>
          <w:p w14:paraId="66EB79BE">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标准值限值</w:t>
            </w:r>
          </w:p>
        </w:tc>
        <w:tc>
          <w:tcPr>
            <w:tcW w:w="2339" w:type="dxa"/>
            <w:tcBorders>
              <w:tl2br w:val="nil"/>
              <w:tr2bl w:val="nil"/>
            </w:tcBorders>
            <w:noWrap w:val="0"/>
            <w:vAlign w:val="center"/>
          </w:tcPr>
          <w:p w14:paraId="40AC8413">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昼间</w:t>
            </w:r>
          </w:p>
        </w:tc>
        <w:tc>
          <w:tcPr>
            <w:tcW w:w="4588" w:type="dxa"/>
            <w:gridSpan w:val="4"/>
            <w:tcBorders>
              <w:tl2br w:val="nil"/>
              <w:tr2bl w:val="nil"/>
            </w:tcBorders>
            <w:noWrap w:val="0"/>
            <w:vAlign w:val="center"/>
          </w:tcPr>
          <w:p w14:paraId="21CB3D78">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60</w:t>
            </w:r>
          </w:p>
        </w:tc>
      </w:tr>
      <w:tr w14:paraId="279102A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1418" w:type="dxa"/>
            <w:vMerge w:val="continue"/>
            <w:tcBorders>
              <w:tl2br w:val="nil"/>
              <w:tr2bl w:val="nil"/>
            </w:tcBorders>
            <w:noWrap w:val="0"/>
            <w:vAlign w:val="center"/>
          </w:tcPr>
          <w:p w14:paraId="38CD7A6F">
            <w:pPr>
              <w:pStyle w:val="45"/>
              <w:bidi w:val="0"/>
              <w:rPr>
                <w:rFonts w:ascii="Times New Roman" w:hAnsi="Times New Roman"/>
                <w:b w:val="0"/>
                <w:bCs/>
                <w:color w:val="auto"/>
                <w:highlight w:val="none"/>
                <w:lang w:val="zh-CN"/>
              </w:rPr>
            </w:pPr>
          </w:p>
        </w:tc>
        <w:tc>
          <w:tcPr>
            <w:tcW w:w="2339" w:type="dxa"/>
            <w:tcBorders>
              <w:tl2br w:val="nil"/>
              <w:tr2bl w:val="nil"/>
            </w:tcBorders>
            <w:noWrap w:val="0"/>
            <w:vAlign w:val="center"/>
          </w:tcPr>
          <w:p w14:paraId="77C42B4C">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夜间</w:t>
            </w:r>
          </w:p>
        </w:tc>
        <w:tc>
          <w:tcPr>
            <w:tcW w:w="4588" w:type="dxa"/>
            <w:gridSpan w:val="4"/>
            <w:tcBorders>
              <w:tl2br w:val="nil"/>
              <w:tr2bl w:val="nil"/>
            </w:tcBorders>
            <w:noWrap w:val="0"/>
            <w:vAlign w:val="center"/>
          </w:tcPr>
          <w:p w14:paraId="311E4278">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50</w:t>
            </w:r>
          </w:p>
        </w:tc>
      </w:tr>
      <w:tr w14:paraId="05A11F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57" w:hRule="atLeast"/>
          <w:jc w:val="center"/>
        </w:trPr>
        <w:tc>
          <w:tcPr>
            <w:tcW w:w="3757" w:type="dxa"/>
            <w:gridSpan w:val="2"/>
            <w:tcBorders>
              <w:tl2br w:val="nil"/>
              <w:tr2bl w:val="nil"/>
            </w:tcBorders>
            <w:noWrap w:val="0"/>
            <w:vAlign w:val="center"/>
          </w:tcPr>
          <w:p w14:paraId="7D5500F8">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达标情况</w:t>
            </w:r>
          </w:p>
        </w:tc>
        <w:tc>
          <w:tcPr>
            <w:tcW w:w="1233" w:type="dxa"/>
            <w:tcBorders>
              <w:tl2br w:val="nil"/>
              <w:tr2bl w:val="nil"/>
            </w:tcBorders>
            <w:noWrap w:val="0"/>
            <w:vAlign w:val="center"/>
          </w:tcPr>
          <w:p w14:paraId="1FA8A4D7">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达标</w:t>
            </w:r>
          </w:p>
        </w:tc>
        <w:tc>
          <w:tcPr>
            <w:tcW w:w="1092" w:type="dxa"/>
            <w:tcBorders>
              <w:tl2br w:val="nil"/>
              <w:tr2bl w:val="nil"/>
            </w:tcBorders>
            <w:noWrap w:val="0"/>
            <w:vAlign w:val="center"/>
          </w:tcPr>
          <w:p w14:paraId="51856D26">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达标</w:t>
            </w:r>
          </w:p>
        </w:tc>
        <w:tc>
          <w:tcPr>
            <w:tcW w:w="1157" w:type="dxa"/>
            <w:tcBorders>
              <w:tl2br w:val="nil"/>
              <w:tr2bl w:val="nil"/>
            </w:tcBorders>
            <w:noWrap w:val="0"/>
            <w:vAlign w:val="center"/>
          </w:tcPr>
          <w:p w14:paraId="3D1CA7F9">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达标</w:t>
            </w:r>
          </w:p>
        </w:tc>
        <w:tc>
          <w:tcPr>
            <w:tcW w:w="1106" w:type="dxa"/>
            <w:tcBorders>
              <w:tl2br w:val="nil"/>
              <w:tr2bl w:val="nil"/>
            </w:tcBorders>
            <w:noWrap w:val="0"/>
            <w:vAlign w:val="center"/>
          </w:tcPr>
          <w:p w14:paraId="1ADC032C">
            <w:pPr>
              <w:pStyle w:val="45"/>
              <w:bidi w:val="0"/>
              <w:rPr>
                <w:rFonts w:ascii="Times New Roman" w:hAnsi="Times New Roman"/>
                <w:b w:val="0"/>
                <w:bCs/>
                <w:color w:val="auto"/>
                <w:highlight w:val="none"/>
                <w:lang w:val="zh-CN"/>
              </w:rPr>
            </w:pPr>
            <w:r>
              <w:rPr>
                <w:rFonts w:ascii="Times New Roman" w:hAnsi="Times New Roman"/>
                <w:b w:val="0"/>
                <w:bCs/>
                <w:color w:val="auto"/>
                <w:highlight w:val="none"/>
                <w:lang w:val="zh-CN"/>
              </w:rPr>
              <w:t>达标</w:t>
            </w:r>
          </w:p>
        </w:tc>
      </w:tr>
    </w:tbl>
    <w:p w14:paraId="1909CBDB">
      <w:pPr>
        <w:spacing w:line="360" w:lineRule="auto"/>
        <w:ind w:firstLine="480" w:firstLineChars="200"/>
        <w:rPr>
          <w:color w:val="auto"/>
          <w:sz w:val="24"/>
          <w:highlight w:val="none"/>
        </w:rPr>
      </w:pPr>
      <w:r>
        <w:rPr>
          <w:color w:val="auto"/>
          <w:sz w:val="24"/>
          <w:highlight w:val="none"/>
        </w:rPr>
        <w:t>预测结果表明：</w:t>
      </w:r>
      <w:r>
        <w:rPr>
          <w:rFonts w:hint="eastAsia"/>
          <w:color w:val="auto"/>
          <w:sz w:val="24"/>
          <w:highlight w:val="none"/>
        </w:rPr>
        <w:t>升压站</w:t>
      </w:r>
      <w:r>
        <w:rPr>
          <w:rFonts w:hint="eastAsia"/>
          <w:color w:val="auto"/>
          <w:sz w:val="24"/>
          <w:highlight w:val="none"/>
          <w:lang w:eastAsia="zh-CN"/>
        </w:rPr>
        <w:t>扩建后，厂</w:t>
      </w:r>
      <w:r>
        <w:rPr>
          <w:color w:val="auto"/>
          <w:sz w:val="24"/>
          <w:highlight w:val="none"/>
        </w:rPr>
        <w:t>界噪声排放满足《工业企业厂界环境噪声排放标准》（GB12348-2008）2类标准要求。</w:t>
      </w:r>
    </w:p>
    <w:p w14:paraId="1CA7563B">
      <w:pPr>
        <w:spacing w:line="360" w:lineRule="auto"/>
        <w:ind w:firstLine="480" w:firstLineChars="200"/>
        <w:rPr>
          <w:color w:val="auto"/>
          <w:sz w:val="24"/>
          <w:highlight w:val="none"/>
        </w:rPr>
      </w:pPr>
      <w:r>
        <w:rPr>
          <w:color w:val="auto"/>
          <w:sz w:val="24"/>
          <w:highlight w:val="none"/>
        </w:rPr>
        <w:t>本项目最近敏感点为</w:t>
      </w:r>
      <w:r>
        <w:rPr>
          <w:rFonts w:hint="eastAsia"/>
          <w:color w:val="auto"/>
          <w:sz w:val="24"/>
          <w:highlight w:val="none"/>
        </w:rPr>
        <w:t>升压</w:t>
      </w:r>
      <w:r>
        <w:rPr>
          <w:color w:val="auto"/>
          <w:sz w:val="24"/>
          <w:highlight w:val="none"/>
        </w:rPr>
        <w:t>站</w:t>
      </w:r>
      <w:r>
        <w:rPr>
          <w:rFonts w:hint="eastAsia"/>
          <w:color w:val="auto"/>
          <w:sz w:val="24"/>
          <w:highlight w:val="none"/>
        </w:rPr>
        <w:t>东南</w:t>
      </w:r>
      <w:r>
        <w:rPr>
          <w:color w:val="auto"/>
          <w:sz w:val="24"/>
          <w:highlight w:val="none"/>
        </w:rPr>
        <w:t>侧12</w:t>
      </w:r>
      <w:r>
        <w:rPr>
          <w:rFonts w:hint="eastAsia"/>
          <w:color w:val="auto"/>
          <w:sz w:val="24"/>
          <w:highlight w:val="none"/>
          <w:lang w:val="en-US" w:eastAsia="zh-CN"/>
        </w:rPr>
        <w:t>5</w:t>
      </w:r>
      <w:r>
        <w:rPr>
          <w:color w:val="auto"/>
          <w:sz w:val="24"/>
          <w:highlight w:val="none"/>
        </w:rPr>
        <w:t>m</w:t>
      </w:r>
      <w:r>
        <w:rPr>
          <w:rFonts w:hint="eastAsia"/>
          <w:color w:val="auto"/>
          <w:sz w:val="24"/>
          <w:highlight w:val="none"/>
        </w:rPr>
        <w:t>的</w:t>
      </w:r>
      <w:r>
        <w:rPr>
          <w:rFonts w:hint="eastAsia"/>
          <w:color w:val="auto"/>
          <w:sz w:val="24"/>
          <w:highlight w:val="none"/>
          <w:lang w:eastAsia="zh-CN"/>
        </w:rPr>
        <w:t>观音亭</w:t>
      </w:r>
      <w:r>
        <w:rPr>
          <w:color w:val="auto"/>
          <w:sz w:val="24"/>
          <w:highlight w:val="none"/>
        </w:rPr>
        <w:t>居民点。根据</w:t>
      </w:r>
      <w:r>
        <w:rPr>
          <w:rFonts w:hint="eastAsia"/>
          <w:color w:val="auto"/>
          <w:sz w:val="24"/>
          <w:highlight w:val="none"/>
          <w:lang w:eastAsia="zh-CN"/>
        </w:rPr>
        <w:t>本次新增</w:t>
      </w:r>
      <w:r>
        <w:rPr>
          <w:rFonts w:hint="eastAsia"/>
          <w:color w:val="auto"/>
          <w:sz w:val="24"/>
          <w:highlight w:val="none"/>
          <w:lang w:val="en-US" w:eastAsia="zh-CN"/>
        </w:rPr>
        <w:t>1台主变压器的</w:t>
      </w:r>
      <w:r>
        <w:rPr>
          <w:color w:val="auto"/>
          <w:sz w:val="24"/>
          <w:highlight w:val="none"/>
        </w:rPr>
        <w:t>噪声贡献值</w:t>
      </w:r>
      <w:r>
        <w:rPr>
          <w:rFonts w:hint="eastAsia"/>
          <w:color w:val="auto"/>
          <w:sz w:val="24"/>
          <w:highlight w:val="none"/>
          <w:lang w:val="en-US" w:eastAsia="zh-CN"/>
        </w:rPr>
        <w:t>65dB（A）</w:t>
      </w:r>
      <w:r>
        <w:rPr>
          <w:color w:val="auto"/>
          <w:sz w:val="24"/>
          <w:highlight w:val="none"/>
        </w:rPr>
        <w:t>，叠加敏感点噪声</w:t>
      </w:r>
      <w:r>
        <w:rPr>
          <w:rFonts w:hint="eastAsia"/>
          <w:color w:val="auto"/>
          <w:sz w:val="24"/>
          <w:highlight w:val="none"/>
          <w:lang w:eastAsia="zh-CN"/>
        </w:rPr>
        <w:t>现状值（现状值包含了背景值和现有</w:t>
      </w:r>
      <w:r>
        <w:rPr>
          <w:rFonts w:hint="eastAsia"/>
          <w:color w:val="auto"/>
          <w:sz w:val="24"/>
          <w:highlight w:val="none"/>
          <w:lang w:val="en-US" w:eastAsia="zh-CN"/>
        </w:rPr>
        <w:t>1台主变的噪声贡献值</w:t>
      </w:r>
      <w:r>
        <w:rPr>
          <w:rFonts w:hint="eastAsia"/>
          <w:color w:val="auto"/>
          <w:sz w:val="24"/>
          <w:highlight w:val="none"/>
          <w:lang w:eastAsia="zh-CN"/>
        </w:rPr>
        <w:t>）</w:t>
      </w:r>
      <w:r>
        <w:rPr>
          <w:color w:val="auto"/>
          <w:sz w:val="24"/>
          <w:highlight w:val="none"/>
        </w:rPr>
        <w:t>后得出预测值，敏感点预测结果见表</w:t>
      </w:r>
      <w:r>
        <w:rPr>
          <w:rFonts w:hint="eastAsia"/>
          <w:color w:val="auto"/>
          <w:sz w:val="24"/>
          <w:highlight w:val="none"/>
          <w:lang w:val="en-US" w:eastAsia="zh-CN"/>
        </w:rPr>
        <w:t>6.2.3-7</w:t>
      </w:r>
      <w:r>
        <w:rPr>
          <w:color w:val="auto"/>
          <w:sz w:val="24"/>
          <w:highlight w:val="none"/>
        </w:rPr>
        <w:t>。</w:t>
      </w:r>
    </w:p>
    <w:p w14:paraId="7F5DF1C3">
      <w:pPr>
        <w:pStyle w:val="46"/>
        <w:bidi w:val="0"/>
      </w:pPr>
      <w:r>
        <w:t>表</w:t>
      </w:r>
      <w:r>
        <w:rPr>
          <w:rFonts w:hint="eastAsia"/>
          <w:lang w:val="en-US" w:eastAsia="zh-CN"/>
        </w:rPr>
        <w:t>6.2.3-7</w:t>
      </w:r>
      <w:r>
        <w:t xml:space="preserve">  敏感点噪声影响预测结果  单位 dB(A)</w:t>
      </w:r>
    </w:p>
    <w:tbl>
      <w:tblPr>
        <w:tblStyle w:val="1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563"/>
        <w:gridCol w:w="1563"/>
        <w:gridCol w:w="832"/>
        <w:gridCol w:w="818"/>
        <w:gridCol w:w="886"/>
        <w:gridCol w:w="671"/>
        <w:gridCol w:w="595"/>
        <w:gridCol w:w="704"/>
        <w:gridCol w:w="704"/>
      </w:tblGrid>
      <w:tr w14:paraId="24C2BA6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67" w:hRule="atLeast"/>
          <w:jc w:val="center"/>
        </w:trPr>
        <w:tc>
          <w:tcPr>
            <w:tcW w:w="1560" w:type="dxa"/>
            <w:vMerge w:val="restart"/>
            <w:tcBorders>
              <w:tl2br w:val="nil"/>
              <w:tr2bl w:val="nil"/>
            </w:tcBorders>
            <w:noWrap w:val="0"/>
            <w:vAlign w:val="center"/>
          </w:tcPr>
          <w:p w14:paraId="3E1BD02B">
            <w:pPr>
              <w:pStyle w:val="45"/>
              <w:bidi w:val="0"/>
              <w:rPr>
                <w:b w:val="0"/>
                <w:bCs/>
                <w:color w:val="auto"/>
                <w:highlight w:val="none"/>
                <w:lang w:val="zh-CN"/>
              </w:rPr>
            </w:pPr>
            <w:r>
              <w:rPr>
                <w:b w:val="0"/>
                <w:bCs/>
                <w:color w:val="auto"/>
                <w:highlight w:val="none"/>
                <w:lang w:val="zh-CN"/>
              </w:rPr>
              <w:t>敏感点</w:t>
            </w:r>
          </w:p>
        </w:tc>
        <w:tc>
          <w:tcPr>
            <w:tcW w:w="1560" w:type="dxa"/>
            <w:vMerge w:val="restart"/>
            <w:tcBorders>
              <w:tl2br w:val="nil"/>
              <w:tr2bl w:val="nil"/>
            </w:tcBorders>
            <w:noWrap w:val="0"/>
            <w:vAlign w:val="center"/>
          </w:tcPr>
          <w:p w14:paraId="4987F820">
            <w:pPr>
              <w:pStyle w:val="45"/>
              <w:bidi w:val="0"/>
              <w:rPr>
                <w:b w:val="0"/>
                <w:bCs/>
                <w:color w:val="auto"/>
                <w:highlight w:val="none"/>
                <w:lang w:val="zh-CN"/>
              </w:rPr>
            </w:pPr>
            <w:r>
              <w:rPr>
                <w:b w:val="0"/>
                <w:bCs/>
                <w:color w:val="auto"/>
                <w:highlight w:val="none"/>
                <w:lang w:val="zh-CN"/>
              </w:rPr>
              <w:t>与项目位置关系</w:t>
            </w:r>
          </w:p>
        </w:tc>
        <w:tc>
          <w:tcPr>
            <w:tcW w:w="1646" w:type="dxa"/>
            <w:gridSpan w:val="2"/>
            <w:tcBorders>
              <w:tl2br w:val="nil"/>
              <w:tr2bl w:val="nil"/>
            </w:tcBorders>
            <w:noWrap w:val="0"/>
            <w:vAlign w:val="center"/>
          </w:tcPr>
          <w:p w14:paraId="22CE63F4">
            <w:pPr>
              <w:pStyle w:val="45"/>
              <w:bidi w:val="0"/>
              <w:rPr>
                <w:b w:val="0"/>
                <w:bCs/>
                <w:color w:val="auto"/>
                <w:highlight w:val="none"/>
                <w:lang w:val="zh-CN"/>
              </w:rPr>
            </w:pPr>
            <w:r>
              <w:rPr>
                <w:b w:val="0"/>
                <w:bCs/>
                <w:color w:val="auto"/>
                <w:highlight w:val="none"/>
                <w:lang w:val="zh-CN"/>
              </w:rPr>
              <w:t>背景值</w:t>
            </w:r>
          </w:p>
        </w:tc>
        <w:tc>
          <w:tcPr>
            <w:tcW w:w="884" w:type="dxa"/>
            <w:vMerge w:val="restart"/>
            <w:tcBorders>
              <w:tl2br w:val="nil"/>
              <w:tr2bl w:val="nil"/>
            </w:tcBorders>
            <w:noWrap w:val="0"/>
            <w:vAlign w:val="center"/>
          </w:tcPr>
          <w:p w14:paraId="002F5CBF">
            <w:pPr>
              <w:pStyle w:val="45"/>
              <w:bidi w:val="0"/>
              <w:rPr>
                <w:b w:val="0"/>
                <w:bCs/>
                <w:color w:val="auto"/>
                <w:highlight w:val="none"/>
                <w:lang w:val="zh-CN"/>
              </w:rPr>
            </w:pPr>
            <w:r>
              <w:rPr>
                <w:b w:val="0"/>
                <w:bCs/>
                <w:color w:val="auto"/>
                <w:highlight w:val="none"/>
                <w:lang w:val="zh-CN"/>
              </w:rPr>
              <w:t>贡献值</w:t>
            </w:r>
          </w:p>
        </w:tc>
        <w:tc>
          <w:tcPr>
            <w:tcW w:w="1263" w:type="dxa"/>
            <w:gridSpan w:val="2"/>
            <w:tcBorders>
              <w:tl2br w:val="nil"/>
              <w:tr2bl w:val="nil"/>
            </w:tcBorders>
            <w:noWrap w:val="0"/>
            <w:vAlign w:val="center"/>
          </w:tcPr>
          <w:p w14:paraId="7E0D8262">
            <w:pPr>
              <w:pStyle w:val="45"/>
              <w:bidi w:val="0"/>
              <w:rPr>
                <w:b w:val="0"/>
                <w:bCs/>
                <w:color w:val="auto"/>
                <w:highlight w:val="none"/>
                <w:lang w:val="zh-CN"/>
              </w:rPr>
            </w:pPr>
            <w:r>
              <w:rPr>
                <w:b w:val="0"/>
                <w:bCs/>
                <w:color w:val="auto"/>
                <w:highlight w:val="none"/>
                <w:lang w:val="zh-CN"/>
              </w:rPr>
              <w:t>预测值</w:t>
            </w:r>
          </w:p>
        </w:tc>
        <w:tc>
          <w:tcPr>
            <w:tcW w:w="1404" w:type="dxa"/>
            <w:gridSpan w:val="2"/>
            <w:tcBorders>
              <w:tl2br w:val="nil"/>
              <w:tr2bl w:val="nil"/>
            </w:tcBorders>
            <w:noWrap w:val="0"/>
            <w:vAlign w:val="center"/>
          </w:tcPr>
          <w:p w14:paraId="101806F9">
            <w:pPr>
              <w:pStyle w:val="45"/>
              <w:bidi w:val="0"/>
              <w:rPr>
                <w:b w:val="0"/>
                <w:bCs/>
                <w:color w:val="auto"/>
                <w:highlight w:val="none"/>
                <w:lang w:val="zh-CN"/>
              </w:rPr>
            </w:pPr>
            <w:r>
              <w:rPr>
                <w:b w:val="0"/>
                <w:bCs/>
                <w:color w:val="auto"/>
                <w:highlight w:val="none"/>
                <w:lang w:val="zh-CN"/>
              </w:rPr>
              <w:t>标准限值</w:t>
            </w:r>
          </w:p>
        </w:tc>
      </w:tr>
      <w:tr w14:paraId="14559B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50" w:hRule="atLeast"/>
          <w:jc w:val="center"/>
        </w:trPr>
        <w:tc>
          <w:tcPr>
            <w:tcW w:w="1560" w:type="dxa"/>
            <w:vMerge w:val="continue"/>
            <w:tcBorders>
              <w:tl2br w:val="nil"/>
              <w:tr2bl w:val="nil"/>
            </w:tcBorders>
            <w:noWrap w:val="0"/>
            <w:vAlign w:val="center"/>
          </w:tcPr>
          <w:p w14:paraId="5E698061">
            <w:pPr>
              <w:pStyle w:val="45"/>
              <w:bidi w:val="0"/>
              <w:rPr>
                <w:b w:val="0"/>
                <w:bCs/>
                <w:color w:val="auto"/>
                <w:highlight w:val="none"/>
                <w:lang w:val="zh-CN"/>
              </w:rPr>
            </w:pPr>
          </w:p>
        </w:tc>
        <w:tc>
          <w:tcPr>
            <w:tcW w:w="1560" w:type="dxa"/>
            <w:vMerge w:val="continue"/>
            <w:tcBorders>
              <w:tl2br w:val="nil"/>
              <w:tr2bl w:val="nil"/>
            </w:tcBorders>
            <w:noWrap w:val="0"/>
            <w:vAlign w:val="center"/>
          </w:tcPr>
          <w:p w14:paraId="61825345">
            <w:pPr>
              <w:pStyle w:val="45"/>
              <w:bidi w:val="0"/>
              <w:rPr>
                <w:b w:val="0"/>
                <w:bCs/>
                <w:color w:val="auto"/>
                <w:highlight w:val="none"/>
                <w:lang w:val="zh-CN"/>
              </w:rPr>
            </w:pPr>
          </w:p>
        </w:tc>
        <w:tc>
          <w:tcPr>
            <w:tcW w:w="830" w:type="dxa"/>
            <w:tcBorders>
              <w:tl2br w:val="nil"/>
              <w:tr2bl w:val="nil"/>
            </w:tcBorders>
            <w:noWrap w:val="0"/>
            <w:vAlign w:val="center"/>
          </w:tcPr>
          <w:p w14:paraId="7C2561D4">
            <w:pPr>
              <w:pStyle w:val="45"/>
              <w:bidi w:val="0"/>
              <w:rPr>
                <w:b w:val="0"/>
                <w:bCs/>
                <w:color w:val="auto"/>
                <w:highlight w:val="none"/>
                <w:lang w:val="zh-CN"/>
              </w:rPr>
            </w:pPr>
            <w:r>
              <w:rPr>
                <w:b w:val="0"/>
                <w:bCs/>
                <w:color w:val="auto"/>
                <w:highlight w:val="none"/>
                <w:lang w:val="zh-CN"/>
              </w:rPr>
              <w:t>昼</w:t>
            </w:r>
          </w:p>
        </w:tc>
        <w:tc>
          <w:tcPr>
            <w:tcW w:w="816" w:type="dxa"/>
            <w:tcBorders>
              <w:tl2br w:val="nil"/>
              <w:tr2bl w:val="nil"/>
            </w:tcBorders>
            <w:noWrap w:val="0"/>
            <w:vAlign w:val="center"/>
          </w:tcPr>
          <w:p w14:paraId="252DA3F6">
            <w:pPr>
              <w:pStyle w:val="45"/>
              <w:bidi w:val="0"/>
              <w:rPr>
                <w:b w:val="0"/>
                <w:bCs/>
                <w:color w:val="auto"/>
                <w:highlight w:val="none"/>
                <w:lang w:val="zh-CN"/>
              </w:rPr>
            </w:pPr>
            <w:r>
              <w:rPr>
                <w:b w:val="0"/>
                <w:bCs/>
                <w:color w:val="auto"/>
                <w:highlight w:val="none"/>
                <w:lang w:val="zh-CN"/>
              </w:rPr>
              <w:t>夜</w:t>
            </w:r>
          </w:p>
        </w:tc>
        <w:tc>
          <w:tcPr>
            <w:tcW w:w="884" w:type="dxa"/>
            <w:vMerge w:val="continue"/>
            <w:tcBorders>
              <w:tl2br w:val="nil"/>
              <w:tr2bl w:val="nil"/>
            </w:tcBorders>
            <w:noWrap w:val="0"/>
            <w:vAlign w:val="center"/>
          </w:tcPr>
          <w:p w14:paraId="6BF6BA50">
            <w:pPr>
              <w:pStyle w:val="45"/>
              <w:bidi w:val="0"/>
              <w:rPr>
                <w:b w:val="0"/>
                <w:bCs/>
                <w:color w:val="auto"/>
                <w:highlight w:val="none"/>
                <w:lang w:val="zh-CN"/>
              </w:rPr>
            </w:pPr>
          </w:p>
        </w:tc>
        <w:tc>
          <w:tcPr>
            <w:tcW w:w="669" w:type="dxa"/>
            <w:tcBorders>
              <w:tl2br w:val="nil"/>
              <w:tr2bl w:val="nil"/>
            </w:tcBorders>
            <w:noWrap w:val="0"/>
            <w:vAlign w:val="center"/>
          </w:tcPr>
          <w:p w14:paraId="39B8B111">
            <w:pPr>
              <w:pStyle w:val="45"/>
              <w:bidi w:val="0"/>
              <w:rPr>
                <w:b w:val="0"/>
                <w:bCs/>
                <w:color w:val="auto"/>
                <w:highlight w:val="none"/>
                <w:lang w:val="zh-CN"/>
              </w:rPr>
            </w:pPr>
            <w:r>
              <w:rPr>
                <w:b w:val="0"/>
                <w:bCs/>
                <w:color w:val="auto"/>
                <w:highlight w:val="none"/>
                <w:lang w:val="zh-CN"/>
              </w:rPr>
              <w:t>昼</w:t>
            </w:r>
          </w:p>
        </w:tc>
        <w:tc>
          <w:tcPr>
            <w:tcW w:w="593" w:type="dxa"/>
            <w:tcBorders>
              <w:tl2br w:val="nil"/>
              <w:tr2bl w:val="nil"/>
            </w:tcBorders>
            <w:noWrap w:val="0"/>
            <w:vAlign w:val="center"/>
          </w:tcPr>
          <w:p w14:paraId="1E3DCDDA">
            <w:pPr>
              <w:pStyle w:val="45"/>
              <w:bidi w:val="0"/>
              <w:rPr>
                <w:b w:val="0"/>
                <w:bCs/>
                <w:color w:val="auto"/>
                <w:highlight w:val="none"/>
                <w:lang w:val="zh-CN"/>
              </w:rPr>
            </w:pPr>
            <w:r>
              <w:rPr>
                <w:b w:val="0"/>
                <w:bCs/>
                <w:color w:val="auto"/>
                <w:highlight w:val="none"/>
                <w:lang w:val="zh-CN"/>
              </w:rPr>
              <w:t>夜</w:t>
            </w:r>
          </w:p>
        </w:tc>
        <w:tc>
          <w:tcPr>
            <w:tcW w:w="702" w:type="dxa"/>
            <w:tcBorders>
              <w:tl2br w:val="nil"/>
              <w:tr2bl w:val="nil"/>
            </w:tcBorders>
            <w:noWrap w:val="0"/>
            <w:vAlign w:val="center"/>
          </w:tcPr>
          <w:p w14:paraId="27FF83DA">
            <w:pPr>
              <w:pStyle w:val="45"/>
              <w:bidi w:val="0"/>
              <w:rPr>
                <w:b w:val="0"/>
                <w:bCs/>
                <w:color w:val="auto"/>
                <w:highlight w:val="none"/>
                <w:lang w:val="zh-CN"/>
              </w:rPr>
            </w:pPr>
            <w:r>
              <w:rPr>
                <w:b w:val="0"/>
                <w:bCs/>
                <w:color w:val="auto"/>
                <w:highlight w:val="none"/>
                <w:lang w:val="zh-CN"/>
              </w:rPr>
              <w:t>昼</w:t>
            </w:r>
          </w:p>
        </w:tc>
        <w:tc>
          <w:tcPr>
            <w:tcW w:w="701" w:type="dxa"/>
            <w:tcBorders>
              <w:tl2br w:val="nil"/>
              <w:tr2bl w:val="nil"/>
            </w:tcBorders>
            <w:noWrap w:val="0"/>
            <w:vAlign w:val="center"/>
          </w:tcPr>
          <w:p w14:paraId="6362B59C">
            <w:pPr>
              <w:pStyle w:val="45"/>
              <w:bidi w:val="0"/>
              <w:rPr>
                <w:b w:val="0"/>
                <w:bCs/>
                <w:color w:val="auto"/>
                <w:highlight w:val="none"/>
                <w:lang w:val="zh-CN"/>
              </w:rPr>
            </w:pPr>
            <w:r>
              <w:rPr>
                <w:b w:val="0"/>
                <w:bCs/>
                <w:color w:val="auto"/>
                <w:highlight w:val="none"/>
                <w:lang w:val="zh-CN"/>
              </w:rPr>
              <w:t>夜</w:t>
            </w:r>
          </w:p>
        </w:tc>
      </w:tr>
      <w:tr w14:paraId="66AF44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45" w:hRule="atLeast"/>
          <w:jc w:val="center"/>
        </w:trPr>
        <w:tc>
          <w:tcPr>
            <w:tcW w:w="1560" w:type="dxa"/>
            <w:tcBorders>
              <w:tl2br w:val="nil"/>
              <w:tr2bl w:val="nil"/>
            </w:tcBorders>
            <w:noWrap w:val="0"/>
            <w:vAlign w:val="center"/>
          </w:tcPr>
          <w:p w14:paraId="22909404">
            <w:pPr>
              <w:pStyle w:val="45"/>
              <w:bidi w:val="0"/>
              <w:rPr>
                <w:rFonts w:hint="eastAsia"/>
                <w:b w:val="0"/>
                <w:bCs/>
                <w:color w:val="auto"/>
                <w:highlight w:val="none"/>
                <w:lang w:eastAsia="zh-CN"/>
              </w:rPr>
            </w:pPr>
            <w:r>
              <w:rPr>
                <w:rFonts w:hint="eastAsia"/>
                <w:b w:val="0"/>
                <w:bCs/>
                <w:color w:val="auto"/>
                <w:highlight w:val="none"/>
                <w:lang w:eastAsia="zh-CN"/>
              </w:rPr>
              <w:t>观音亭</w:t>
            </w:r>
          </w:p>
        </w:tc>
        <w:tc>
          <w:tcPr>
            <w:tcW w:w="1560" w:type="dxa"/>
            <w:tcBorders>
              <w:tl2br w:val="nil"/>
              <w:tr2bl w:val="nil"/>
            </w:tcBorders>
            <w:noWrap w:val="0"/>
            <w:vAlign w:val="center"/>
          </w:tcPr>
          <w:p w14:paraId="1AD3D0BC">
            <w:pPr>
              <w:pStyle w:val="45"/>
              <w:bidi w:val="0"/>
              <w:rPr>
                <w:b w:val="0"/>
                <w:bCs/>
                <w:color w:val="auto"/>
                <w:highlight w:val="none"/>
                <w:lang w:val="zh-CN"/>
              </w:rPr>
            </w:pPr>
            <w:r>
              <w:rPr>
                <w:rFonts w:hint="eastAsia"/>
                <w:b w:val="0"/>
                <w:bCs/>
                <w:color w:val="auto"/>
                <w:highlight w:val="none"/>
                <w:lang w:eastAsia="zh-CN"/>
              </w:rPr>
              <w:t>西南</w:t>
            </w:r>
            <w:r>
              <w:rPr>
                <w:rFonts w:hint="eastAsia"/>
                <w:b w:val="0"/>
                <w:bCs/>
                <w:color w:val="auto"/>
                <w:highlight w:val="none"/>
                <w:lang w:val="en-US" w:eastAsia="zh-CN"/>
              </w:rPr>
              <w:t>125</w:t>
            </w:r>
            <w:r>
              <w:rPr>
                <w:b w:val="0"/>
                <w:bCs/>
                <w:color w:val="auto"/>
                <w:highlight w:val="none"/>
              </w:rPr>
              <w:t>m</w:t>
            </w:r>
          </w:p>
        </w:tc>
        <w:tc>
          <w:tcPr>
            <w:tcW w:w="830" w:type="dxa"/>
            <w:tcBorders>
              <w:tl2br w:val="nil"/>
              <w:tr2bl w:val="nil"/>
            </w:tcBorders>
            <w:noWrap w:val="0"/>
            <w:vAlign w:val="center"/>
          </w:tcPr>
          <w:p w14:paraId="5DDB65BF">
            <w:pPr>
              <w:pStyle w:val="45"/>
              <w:bidi w:val="0"/>
              <w:rPr>
                <w:rFonts w:hint="default"/>
                <w:b w:val="0"/>
                <w:bCs/>
                <w:color w:val="auto"/>
                <w:highlight w:val="none"/>
                <w:lang w:val="en-US" w:eastAsia="zh-CN"/>
              </w:rPr>
            </w:pPr>
            <w:r>
              <w:rPr>
                <w:rFonts w:hint="eastAsia"/>
                <w:b w:val="0"/>
                <w:bCs/>
                <w:color w:val="auto"/>
                <w:highlight w:val="none"/>
                <w:lang w:val="en-US" w:eastAsia="zh-CN"/>
              </w:rPr>
              <w:t>51</w:t>
            </w:r>
          </w:p>
        </w:tc>
        <w:tc>
          <w:tcPr>
            <w:tcW w:w="816" w:type="dxa"/>
            <w:tcBorders>
              <w:tl2br w:val="nil"/>
              <w:tr2bl w:val="nil"/>
            </w:tcBorders>
            <w:noWrap w:val="0"/>
            <w:vAlign w:val="center"/>
          </w:tcPr>
          <w:p w14:paraId="735A924C">
            <w:pPr>
              <w:pStyle w:val="45"/>
              <w:bidi w:val="0"/>
              <w:rPr>
                <w:rFonts w:hint="default"/>
                <w:b w:val="0"/>
                <w:bCs/>
                <w:color w:val="auto"/>
                <w:highlight w:val="none"/>
                <w:lang w:val="en-US" w:eastAsia="zh-CN"/>
              </w:rPr>
            </w:pPr>
            <w:r>
              <w:rPr>
                <w:rFonts w:hint="eastAsia"/>
                <w:b w:val="0"/>
                <w:bCs/>
                <w:color w:val="auto"/>
                <w:highlight w:val="none"/>
                <w:lang w:val="en-US" w:eastAsia="zh-CN"/>
              </w:rPr>
              <w:t>42</w:t>
            </w:r>
          </w:p>
        </w:tc>
        <w:tc>
          <w:tcPr>
            <w:tcW w:w="884" w:type="dxa"/>
            <w:tcBorders>
              <w:tl2br w:val="nil"/>
              <w:tr2bl w:val="nil"/>
            </w:tcBorders>
            <w:noWrap w:val="0"/>
            <w:vAlign w:val="center"/>
          </w:tcPr>
          <w:p w14:paraId="18ACCB41">
            <w:pPr>
              <w:pStyle w:val="45"/>
              <w:bidi w:val="0"/>
              <w:rPr>
                <w:b w:val="0"/>
                <w:bCs/>
                <w:color w:val="auto"/>
                <w:highlight w:val="none"/>
              </w:rPr>
            </w:pPr>
            <w:r>
              <w:rPr>
                <w:b w:val="0"/>
                <w:bCs/>
                <w:color w:val="auto"/>
                <w:highlight w:val="none"/>
              </w:rPr>
              <w:t>23.1</w:t>
            </w:r>
          </w:p>
        </w:tc>
        <w:tc>
          <w:tcPr>
            <w:tcW w:w="669" w:type="dxa"/>
            <w:tcBorders>
              <w:tl2br w:val="nil"/>
              <w:tr2bl w:val="nil"/>
            </w:tcBorders>
            <w:noWrap w:val="0"/>
            <w:vAlign w:val="center"/>
          </w:tcPr>
          <w:p w14:paraId="7FF9F22E">
            <w:pPr>
              <w:pStyle w:val="45"/>
              <w:bidi w:val="0"/>
              <w:rPr>
                <w:rFonts w:hint="default"/>
                <w:b w:val="0"/>
                <w:bCs/>
                <w:color w:val="auto"/>
                <w:highlight w:val="none"/>
                <w:lang w:val="en-US" w:eastAsia="zh-CN"/>
              </w:rPr>
            </w:pPr>
            <w:r>
              <w:rPr>
                <w:rFonts w:hint="eastAsia"/>
                <w:b w:val="0"/>
                <w:bCs/>
                <w:color w:val="auto"/>
                <w:highlight w:val="none"/>
                <w:lang w:val="en-US" w:eastAsia="zh-CN"/>
              </w:rPr>
              <w:t>51.01</w:t>
            </w:r>
          </w:p>
        </w:tc>
        <w:tc>
          <w:tcPr>
            <w:tcW w:w="593" w:type="dxa"/>
            <w:tcBorders>
              <w:tl2br w:val="nil"/>
              <w:tr2bl w:val="nil"/>
            </w:tcBorders>
            <w:noWrap w:val="0"/>
            <w:vAlign w:val="center"/>
          </w:tcPr>
          <w:p w14:paraId="631889BA">
            <w:pPr>
              <w:pStyle w:val="45"/>
              <w:bidi w:val="0"/>
              <w:rPr>
                <w:rFonts w:hint="default"/>
                <w:b w:val="0"/>
                <w:bCs/>
                <w:color w:val="auto"/>
                <w:highlight w:val="none"/>
                <w:lang w:val="en-US" w:eastAsia="zh-CN"/>
              </w:rPr>
            </w:pPr>
            <w:r>
              <w:rPr>
                <w:rFonts w:hint="eastAsia"/>
                <w:b w:val="0"/>
                <w:bCs/>
                <w:color w:val="auto"/>
                <w:highlight w:val="none"/>
                <w:lang w:val="en-US" w:eastAsia="zh-CN"/>
              </w:rPr>
              <w:t>42.06</w:t>
            </w:r>
          </w:p>
        </w:tc>
        <w:tc>
          <w:tcPr>
            <w:tcW w:w="702" w:type="dxa"/>
            <w:tcBorders>
              <w:tl2br w:val="nil"/>
              <w:tr2bl w:val="nil"/>
            </w:tcBorders>
            <w:noWrap w:val="0"/>
            <w:vAlign w:val="center"/>
          </w:tcPr>
          <w:p w14:paraId="1EF97F79">
            <w:pPr>
              <w:pStyle w:val="45"/>
              <w:bidi w:val="0"/>
              <w:rPr>
                <w:b w:val="0"/>
                <w:bCs/>
                <w:color w:val="auto"/>
                <w:highlight w:val="none"/>
              </w:rPr>
            </w:pPr>
            <w:r>
              <w:rPr>
                <w:rFonts w:hint="eastAsia"/>
                <w:b w:val="0"/>
                <w:bCs/>
                <w:color w:val="auto"/>
                <w:highlight w:val="none"/>
              </w:rPr>
              <w:t>60</w:t>
            </w:r>
          </w:p>
        </w:tc>
        <w:tc>
          <w:tcPr>
            <w:tcW w:w="701" w:type="dxa"/>
            <w:tcBorders>
              <w:tl2br w:val="nil"/>
              <w:tr2bl w:val="nil"/>
            </w:tcBorders>
            <w:noWrap w:val="0"/>
            <w:vAlign w:val="center"/>
          </w:tcPr>
          <w:p w14:paraId="1F3204E6">
            <w:pPr>
              <w:pStyle w:val="45"/>
              <w:bidi w:val="0"/>
              <w:rPr>
                <w:b w:val="0"/>
                <w:bCs/>
                <w:color w:val="auto"/>
                <w:highlight w:val="none"/>
              </w:rPr>
            </w:pPr>
            <w:r>
              <w:rPr>
                <w:rFonts w:hint="eastAsia"/>
                <w:b w:val="0"/>
                <w:bCs/>
                <w:color w:val="auto"/>
                <w:highlight w:val="none"/>
              </w:rPr>
              <w:t>50</w:t>
            </w:r>
          </w:p>
        </w:tc>
      </w:tr>
    </w:tbl>
    <w:p w14:paraId="749D9582">
      <w:pPr>
        <w:pStyle w:val="29"/>
        <w:spacing w:before="156" w:beforeLines="50"/>
        <w:ind w:firstLine="480"/>
        <w:jc w:val="left"/>
        <w:rPr>
          <w:rFonts w:ascii="Times New Roman" w:hAnsi="Times New Roman" w:eastAsia="宋体" w:cs="Times New Roman"/>
          <w:color w:val="auto"/>
          <w:highlight w:val="none"/>
        </w:rPr>
      </w:pPr>
      <w:r>
        <w:rPr>
          <w:rFonts w:cs="Times New Roman"/>
          <w:color w:val="auto"/>
          <w:szCs w:val="24"/>
          <w:highlight w:val="none"/>
        </w:rPr>
        <w:t>预测结果</w:t>
      </w:r>
      <w:r>
        <w:rPr>
          <w:rFonts w:cs="Times New Roman"/>
          <w:color w:val="auto"/>
          <w:highlight w:val="none"/>
        </w:rPr>
        <w:t>表明</w:t>
      </w:r>
      <w:r>
        <w:rPr>
          <w:rFonts w:cs="Times New Roman"/>
          <w:color w:val="auto"/>
          <w:szCs w:val="24"/>
          <w:highlight w:val="none"/>
        </w:rPr>
        <w:t>，敏感点噪声预测值能满足</w:t>
      </w:r>
      <w:r>
        <w:rPr>
          <w:rFonts w:hint="eastAsia" w:cs="Times New Roman"/>
          <w:color w:val="auto"/>
          <w:szCs w:val="24"/>
          <w:highlight w:val="none"/>
          <w:lang w:eastAsia="zh-CN"/>
        </w:rPr>
        <w:t>《</w:t>
      </w:r>
      <w:r>
        <w:rPr>
          <w:rFonts w:cs="Times New Roman"/>
          <w:color w:val="auto"/>
          <w:szCs w:val="24"/>
          <w:highlight w:val="none"/>
        </w:rPr>
        <w:t>声环境质量标准》</w:t>
      </w:r>
      <w:r>
        <w:rPr>
          <w:rFonts w:hint="eastAsia" w:cs="Times New Roman"/>
          <w:color w:val="auto"/>
          <w:szCs w:val="24"/>
          <w:highlight w:val="none"/>
          <w:lang w:val="en-US" w:eastAsia="zh-CN"/>
        </w:rPr>
        <w:t>(</w:t>
      </w:r>
      <w:r>
        <w:rPr>
          <w:rFonts w:cs="Times New Roman"/>
          <w:color w:val="auto"/>
          <w:szCs w:val="24"/>
          <w:highlight w:val="none"/>
        </w:rPr>
        <w:t>GB3096-2008</w:t>
      </w:r>
      <w:r>
        <w:rPr>
          <w:rFonts w:hint="eastAsia" w:cs="Times New Roman"/>
          <w:color w:val="auto"/>
          <w:szCs w:val="24"/>
          <w:highlight w:val="none"/>
          <w:lang w:val="en-US" w:eastAsia="zh-CN"/>
        </w:rPr>
        <w:t>)</w:t>
      </w:r>
      <w:r>
        <w:rPr>
          <w:rFonts w:cs="Times New Roman"/>
          <w:color w:val="auto"/>
          <w:szCs w:val="24"/>
          <w:highlight w:val="none"/>
        </w:rPr>
        <w:t>中2类要求，本项目的实施对周围敏感目标的声环境影响较小。</w:t>
      </w:r>
    </w:p>
    <w:p w14:paraId="1803BC78">
      <w:pPr>
        <w:pStyle w:val="5"/>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大气环境影响预测与评价</w:t>
      </w:r>
    </w:p>
    <w:p w14:paraId="50AF6977">
      <w:pPr>
        <w:bidi w:val="0"/>
        <w:rPr>
          <w:color w:val="auto"/>
          <w:highlight w:val="none"/>
        </w:rPr>
      </w:pPr>
      <w:r>
        <w:rPr>
          <w:rFonts w:hint="default" w:ascii="Times New Roman" w:hAnsi="Times New Roman" w:cs="Times New Roman"/>
          <w:color w:val="auto"/>
          <w:sz w:val="24"/>
          <w:szCs w:val="24"/>
          <w:highlight w:val="none"/>
        </w:rPr>
        <w:t>风电为清洁能源，工程营运期无废气污染物排放。</w:t>
      </w:r>
      <w:r>
        <w:rPr>
          <w:rFonts w:hint="eastAsia" w:cs="Times New Roman"/>
          <w:color w:val="auto"/>
          <w:sz w:val="24"/>
          <w:szCs w:val="24"/>
          <w:highlight w:val="none"/>
          <w:lang w:eastAsia="zh-CN"/>
        </w:rPr>
        <w:t>扩建后</w:t>
      </w:r>
      <w:r>
        <w:rPr>
          <w:rFonts w:hint="default" w:ascii="Times New Roman" w:hAnsi="Times New Roman" w:cs="Times New Roman"/>
          <w:color w:val="auto"/>
          <w:sz w:val="24"/>
          <w:szCs w:val="24"/>
          <w:highlight w:val="none"/>
          <w:lang w:eastAsia="zh-CN"/>
        </w:rPr>
        <w:t>营运期不新增员工，因此不新增食堂油烟。因此，本项目营运期不会向大气中排放污染物，不会对环境空气质量造成影响。</w:t>
      </w:r>
      <w:r>
        <w:rPr>
          <w:rFonts w:hint="eastAsia" w:ascii="Times New Roman" w:hAnsi="Times New Roman" w:cs="Times New Roman"/>
          <w:color w:val="auto"/>
          <w:sz w:val="24"/>
          <w:szCs w:val="24"/>
          <w:highlight w:val="none"/>
          <w:lang w:eastAsia="zh-CN"/>
        </w:rPr>
        <w:t>同时，</w:t>
      </w:r>
      <w:r>
        <w:rPr>
          <w:rFonts w:hint="default" w:ascii="Times New Roman" w:hAnsi="Times New Roman" w:cs="Times New Roman"/>
          <w:color w:val="auto"/>
          <w:sz w:val="24"/>
          <w:szCs w:val="24"/>
          <w:highlight w:val="none"/>
          <w:lang w:eastAsia="zh-CN"/>
        </w:rPr>
        <w:t>本项目对缓解全球化石能源危机及温室气体排放对环境空气造成的不良影响具有正效应。</w:t>
      </w:r>
    </w:p>
    <w:p w14:paraId="1FDF4DEC">
      <w:pPr>
        <w:pStyle w:val="5"/>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固废</w:t>
      </w:r>
      <w:r>
        <w:rPr>
          <w:rFonts w:hint="eastAsia" w:ascii="Times New Roman" w:hAnsi="Times New Roman" w:cs="Times New Roman"/>
          <w:color w:val="auto"/>
          <w:highlight w:val="none"/>
          <w:lang w:val="en-US" w:eastAsia="zh-CN"/>
        </w:rPr>
        <w:t>影响预测与评价</w:t>
      </w:r>
    </w:p>
    <w:p w14:paraId="4BAAD38C">
      <w:pPr>
        <w:bidi w:val="0"/>
        <w:rPr>
          <w:rFonts w:hint="default"/>
          <w:color w:val="auto"/>
          <w:highlight w:val="none"/>
          <w:lang w:eastAsia="zh-CN"/>
        </w:rPr>
      </w:pPr>
      <w:r>
        <w:rPr>
          <w:rFonts w:hint="default"/>
          <w:color w:val="auto"/>
          <w:highlight w:val="none"/>
        </w:rPr>
        <w:t>运营期固体废物主要为运行维护人员产生的生活垃圾及风电机组</w:t>
      </w:r>
      <w:r>
        <w:rPr>
          <w:rFonts w:hint="default"/>
          <w:color w:val="auto"/>
          <w:highlight w:val="none"/>
          <w:lang w:eastAsia="zh-CN"/>
        </w:rPr>
        <w:t>运行和维修过程中</w:t>
      </w:r>
      <w:r>
        <w:rPr>
          <w:rFonts w:hint="default"/>
          <w:color w:val="auto"/>
          <w:highlight w:val="none"/>
        </w:rPr>
        <w:t>产生的</w:t>
      </w:r>
      <w:r>
        <w:rPr>
          <w:rFonts w:hint="default"/>
          <w:color w:val="auto"/>
          <w:highlight w:val="none"/>
          <w:lang w:eastAsia="zh-CN"/>
        </w:rPr>
        <w:t>固废。</w:t>
      </w:r>
    </w:p>
    <w:p w14:paraId="579A4907">
      <w:pPr>
        <w:bidi w:val="0"/>
        <w:rPr>
          <w:rFonts w:hint="default"/>
          <w:b/>
          <w:bCs/>
          <w:color w:val="auto"/>
          <w:highlight w:val="none"/>
          <w:lang w:val="en-US" w:eastAsia="zh-CN"/>
        </w:rPr>
      </w:pPr>
      <w:r>
        <w:rPr>
          <w:rFonts w:hint="default"/>
          <w:b/>
          <w:bCs/>
          <w:color w:val="auto"/>
          <w:highlight w:val="none"/>
          <w:lang w:val="en-US" w:eastAsia="zh-CN"/>
        </w:rPr>
        <w:t>（1）生活垃圾</w:t>
      </w:r>
    </w:p>
    <w:p w14:paraId="0015D4C5">
      <w:pPr>
        <w:bidi w:val="0"/>
        <w:rPr>
          <w:rFonts w:hint="default"/>
          <w:color w:val="auto"/>
          <w:highlight w:val="none"/>
        </w:rPr>
      </w:pPr>
      <w:r>
        <w:rPr>
          <w:rFonts w:hint="default"/>
          <w:color w:val="auto"/>
          <w:highlight w:val="none"/>
        </w:rPr>
        <w:t>本工程运营期间</w:t>
      </w:r>
      <w:r>
        <w:rPr>
          <w:rFonts w:hint="default"/>
          <w:color w:val="auto"/>
          <w:highlight w:val="none"/>
          <w:lang w:eastAsia="zh-CN"/>
        </w:rPr>
        <w:t>不新增员工，因此不新增生活垃圾。</w:t>
      </w:r>
    </w:p>
    <w:p w14:paraId="75FA4724">
      <w:pPr>
        <w:bidi w:val="0"/>
        <w:rPr>
          <w:rFonts w:hint="default"/>
          <w:b/>
          <w:bCs/>
          <w:color w:val="auto"/>
          <w:highlight w:val="none"/>
          <w:lang w:val="en-US" w:eastAsia="zh-CN"/>
        </w:rPr>
      </w:pPr>
      <w:r>
        <w:rPr>
          <w:rFonts w:hint="default"/>
          <w:b/>
          <w:bCs/>
          <w:color w:val="auto"/>
          <w:highlight w:val="none"/>
          <w:lang w:val="en-US" w:eastAsia="zh-CN"/>
        </w:rPr>
        <w:t>（2）废机油</w:t>
      </w:r>
    </w:p>
    <w:p w14:paraId="40A0D827">
      <w:pPr>
        <w:bidi w:val="0"/>
        <w:rPr>
          <w:rFonts w:hint="default"/>
          <w:color w:val="auto"/>
          <w:highlight w:val="none"/>
        </w:rPr>
      </w:pPr>
      <w:r>
        <w:rPr>
          <w:rFonts w:hint="default"/>
          <w:color w:val="auto"/>
          <w:highlight w:val="none"/>
        </w:rPr>
        <w:t>废机油在风机故障检修维修时产生，主要为风力发电机润滑油。风力发电机润滑油循环使用，检修过程中仅进行少量的补加工作，废润滑油的产生量约为5kg/a·台，按每年有1台风机因故障需要检修，产生废润滑油油量约5kg，</w:t>
      </w:r>
      <w:r>
        <w:rPr>
          <w:rFonts w:hint="default"/>
          <w:color w:val="auto"/>
          <w:highlight w:val="none"/>
          <w:lang w:val="en-US" w:eastAsia="zh-CN"/>
        </w:rPr>
        <w:t>经对照《国家危险废物名录》（2021年版），属HW08废矿物油与含矿物油废物，危废代码900-218-08。</w:t>
      </w:r>
      <w:r>
        <w:rPr>
          <w:rFonts w:hint="default"/>
          <w:color w:val="auto"/>
          <w:highlight w:val="none"/>
        </w:rPr>
        <w:t>交由具有相应资质的单位进行处置。检修过程中，还会产生少量含油污的棉纱、手套等废弃物。</w:t>
      </w:r>
    </w:p>
    <w:p w14:paraId="4569FC77">
      <w:pPr>
        <w:bidi w:val="0"/>
        <w:rPr>
          <w:rFonts w:hint="default"/>
          <w:color w:val="auto"/>
          <w:highlight w:val="none"/>
          <w:lang w:val="en-US" w:eastAsia="zh-CN"/>
        </w:rPr>
      </w:pPr>
      <w:r>
        <w:rPr>
          <w:rFonts w:hint="default"/>
          <w:b/>
          <w:bCs/>
          <w:color w:val="auto"/>
          <w:highlight w:val="none"/>
          <w:lang w:val="en-US" w:eastAsia="zh-CN"/>
        </w:rPr>
        <w:t>（3）废液压油</w:t>
      </w:r>
    </w:p>
    <w:p w14:paraId="6EB21A7F">
      <w:pPr>
        <w:bidi w:val="0"/>
        <w:rPr>
          <w:rFonts w:hint="default"/>
          <w:color w:val="auto"/>
          <w:highlight w:val="none"/>
        </w:rPr>
      </w:pPr>
      <w:r>
        <w:rPr>
          <w:rFonts w:hint="default"/>
          <w:color w:val="auto"/>
          <w:highlight w:val="none"/>
        </w:rPr>
        <w:t>本项目风机叶片转动采用液压调节，不采用机械齿轮运转，根据建设单位提供，液压油更换周期较长，一般6~10年更换一次，该废液压油属于危险废物，</w:t>
      </w:r>
      <w:r>
        <w:rPr>
          <w:rFonts w:hint="default"/>
          <w:color w:val="auto"/>
          <w:highlight w:val="none"/>
          <w:lang w:val="en-US" w:eastAsia="zh-CN"/>
        </w:rPr>
        <w:t>经对照《国家危险废物名录》（2021年版），属HW08废矿物油与含矿物油废物，危废代码900-218-08。</w:t>
      </w:r>
      <w:r>
        <w:rPr>
          <w:rFonts w:hint="default"/>
          <w:color w:val="auto"/>
          <w:highlight w:val="none"/>
        </w:rPr>
        <w:t>类比其他风电场项目估算，该油产生量约3t/次，应按《危险废物贮存污染控制标准》（GB18597-2001）及修改清单中的要求进行临时贮存，并定期及时交给有资质的单位进行处理。</w:t>
      </w:r>
    </w:p>
    <w:p w14:paraId="1893FBD6">
      <w:pPr>
        <w:bidi w:val="0"/>
        <w:rPr>
          <w:rFonts w:hint="default"/>
          <w:b/>
          <w:bCs/>
          <w:color w:val="auto"/>
          <w:highlight w:val="none"/>
          <w:lang w:val="en-US" w:eastAsia="zh-CN"/>
        </w:rPr>
      </w:pPr>
      <w:r>
        <w:rPr>
          <w:rFonts w:hint="default"/>
          <w:b/>
          <w:bCs/>
          <w:color w:val="auto"/>
          <w:highlight w:val="none"/>
          <w:lang w:val="en-US" w:eastAsia="zh-CN"/>
        </w:rPr>
        <w:t>（</w:t>
      </w:r>
      <w:r>
        <w:rPr>
          <w:rFonts w:hint="eastAsia"/>
          <w:b/>
          <w:bCs/>
          <w:color w:val="auto"/>
          <w:highlight w:val="none"/>
          <w:lang w:val="en-US" w:eastAsia="zh-CN"/>
        </w:rPr>
        <w:t>4</w:t>
      </w:r>
      <w:r>
        <w:rPr>
          <w:rFonts w:hint="default"/>
          <w:b/>
          <w:bCs/>
          <w:color w:val="auto"/>
          <w:highlight w:val="none"/>
          <w:lang w:val="en-US" w:eastAsia="zh-CN"/>
        </w:rPr>
        <w:t>）废旧</w:t>
      </w:r>
      <w:r>
        <w:rPr>
          <w:rFonts w:hint="eastAsia"/>
          <w:b/>
          <w:bCs/>
          <w:color w:val="auto"/>
          <w:highlight w:val="none"/>
          <w:lang w:val="en-US" w:eastAsia="zh-CN"/>
        </w:rPr>
        <w:t>铅蓄电池</w:t>
      </w:r>
    </w:p>
    <w:p w14:paraId="1E25A896">
      <w:pPr>
        <w:bidi w:val="0"/>
        <w:rPr>
          <w:rFonts w:hint="default"/>
          <w:color w:val="auto"/>
          <w:highlight w:val="none"/>
          <w:lang w:val="en-US" w:eastAsia="zh-CN"/>
        </w:rPr>
      </w:pPr>
      <w:r>
        <w:rPr>
          <w:rFonts w:hint="default"/>
          <w:color w:val="auto"/>
          <w:highlight w:val="none"/>
          <w:lang w:val="en-US" w:eastAsia="zh-CN"/>
        </w:rPr>
        <w:t>本项目升压站的</w:t>
      </w:r>
      <w:r>
        <w:rPr>
          <w:rFonts w:hint="eastAsia"/>
          <w:color w:val="auto"/>
          <w:highlight w:val="none"/>
          <w:lang w:val="en-US" w:eastAsia="zh-CN"/>
        </w:rPr>
        <w:t>铅蓄电池</w:t>
      </w:r>
      <w:r>
        <w:rPr>
          <w:rFonts w:hint="default"/>
          <w:color w:val="auto"/>
          <w:highlight w:val="none"/>
          <w:lang w:val="en-US" w:eastAsia="zh-CN"/>
        </w:rPr>
        <w:t>免维护，使用寿命约8年，更换后暂存于危废暂存间内，由厂家回收处置。</w:t>
      </w:r>
    </w:p>
    <w:p w14:paraId="5E18EB46">
      <w:pPr>
        <w:bidi w:val="0"/>
        <w:rPr>
          <w:rFonts w:hint="default"/>
          <w:color w:val="auto"/>
          <w:highlight w:val="none"/>
          <w:lang w:val="en-US" w:eastAsia="zh-CN"/>
        </w:rPr>
      </w:pPr>
      <w:r>
        <w:rPr>
          <w:rFonts w:hint="default"/>
          <w:color w:val="auto"/>
          <w:highlight w:val="none"/>
          <w:lang w:val="en-US" w:eastAsia="zh-CN"/>
        </w:rPr>
        <w:t>根据《国家危险废物名录》（2021年），风力发电机组产生的废旧</w:t>
      </w:r>
      <w:r>
        <w:rPr>
          <w:rFonts w:hint="eastAsia"/>
          <w:color w:val="auto"/>
          <w:highlight w:val="none"/>
          <w:lang w:val="en-US" w:eastAsia="zh-CN"/>
        </w:rPr>
        <w:t>铅蓄电池</w:t>
      </w:r>
      <w:r>
        <w:rPr>
          <w:rFonts w:hint="default"/>
          <w:color w:val="auto"/>
          <w:highlight w:val="none"/>
          <w:lang w:val="en-US" w:eastAsia="zh-CN"/>
        </w:rPr>
        <w:t>属于HW49其他废物类危险废物，废物代码为900-044-49，危险特性为毒性。</w:t>
      </w:r>
    </w:p>
    <w:p w14:paraId="249FBAC9">
      <w:pPr>
        <w:bidi w:val="0"/>
        <w:rPr>
          <w:color w:val="auto"/>
          <w:highlight w:val="none"/>
        </w:rPr>
      </w:pPr>
      <w:r>
        <w:rPr>
          <w:color w:val="auto"/>
          <w:highlight w:val="none"/>
        </w:rPr>
        <w:t>本项目固体废物产生情况见表</w:t>
      </w:r>
      <w:r>
        <w:rPr>
          <w:rFonts w:hint="eastAsia"/>
          <w:color w:val="auto"/>
          <w:highlight w:val="none"/>
          <w:lang w:val="en-US" w:eastAsia="zh-CN"/>
        </w:rPr>
        <w:t>6.2.5-1</w:t>
      </w:r>
      <w:r>
        <w:rPr>
          <w:color w:val="auto"/>
          <w:highlight w:val="none"/>
        </w:rPr>
        <w:t>。</w:t>
      </w:r>
    </w:p>
    <w:p w14:paraId="5641763F">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b/>
          <w:bCs/>
          <w:color w:val="auto"/>
          <w:szCs w:val="21"/>
          <w:highlight w:val="none"/>
        </w:rPr>
      </w:pPr>
      <w:r>
        <w:rPr>
          <w:b/>
          <w:bCs/>
          <w:color w:val="auto"/>
          <w:szCs w:val="21"/>
          <w:highlight w:val="none"/>
        </w:rPr>
        <w:t>表</w:t>
      </w:r>
      <w:r>
        <w:rPr>
          <w:rFonts w:hint="eastAsia"/>
          <w:b/>
          <w:bCs/>
          <w:color w:val="auto"/>
          <w:szCs w:val="21"/>
          <w:highlight w:val="none"/>
          <w:lang w:val="en-US" w:eastAsia="zh-CN"/>
        </w:rPr>
        <w:t xml:space="preserve">6.2.5-1  </w:t>
      </w:r>
      <w:r>
        <w:rPr>
          <w:b/>
          <w:bCs/>
          <w:color w:val="auto"/>
          <w:szCs w:val="21"/>
          <w:highlight w:val="none"/>
        </w:rPr>
        <w:t>营运期</w:t>
      </w:r>
      <w:r>
        <w:rPr>
          <w:rFonts w:hint="eastAsia"/>
          <w:b/>
          <w:bCs/>
          <w:color w:val="auto"/>
          <w:szCs w:val="21"/>
          <w:highlight w:val="none"/>
        </w:rPr>
        <w:t>危险</w:t>
      </w:r>
      <w:r>
        <w:rPr>
          <w:b/>
          <w:bCs/>
          <w:color w:val="auto"/>
          <w:szCs w:val="21"/>
          <w:highlight w:val="none"/>
        </w:rPr>
        <w:t>废物产生情况</w:t>
      </w:r>
    </w:p>
    <w:tbl>
      <w:tblPr>
        <w:tblStyle w:val="1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64"/>
        <w:gridCol w:w="2104"/>
        <w:gridCol w:w="1145"/>
        <w:gridCol w:w="1075"/>
        <w:gridCol w:w="1075"/>
        <w:gridCol w:w="463"/>
        <w:gridCol w:w="2007"/>
      </w:tblGrid>
      <w:tr w14:paraId="6F35A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78" w:type="pct"/>
            <w:tcBorders>
              <w:top w:val="single" w:color="auto" w:sz="12" w:space="0"/>
              <w:left w:val="single" w:color="auto" w:sz="12" w:space="0"/>
            </w:tcBorders>
            <w:noWrap w:val="0"/>
            <w:vAlign w:val="center"/>
          </w:tcPr>
          <w:p w14:paraId="58BA0FD8">
            <w:pPr>
              <w:pStyle w:val="45"/>
              <w:bidi w:val="0"/>
              <w:rPr>
                <w:rFonts w:hint="default"/>
                <w:b w:val="0"/>
                <w:bCs/>
                <w:color w:val="auto"/>
                <w:highlight w:val="none"/>
              </w:rPr>
            </w:pPr>
            <w:r>
              <w:rPr>
                <w:rFonts w:hint="default"/>
                <w:b w:val="0"/>
                <w:bCs/>
                <w:color w:val="auto"/>
                <w:highlight w:val="none"/>
              </w:rPr>
              <w:t>序号</w:t>
            </w:r>
          </w:p>
        </w:tc>
        <w:tc>
          <w:tcPr>
            <w:tcW w:w="1261" w:type="pct"/>
            <w:tcBorders>
              <w:top w:val="single" w:color="auto" w:sz="12" w:space="0"/>
            </w:tcBorders>
            <w:noWrap w:val="0"/>
            <w:vAlign w:val="center"/>
          </w:tcPr>
          <w:p w14:paraId="20A30D35">
            <w:pPr>
              <w:pStyle w:val="45"/>
              <w:bidi w:val="0"/>
              <w:rPr>
                <w:rFonts w:hint="default"/>
                <w:b w:val="0"/>
                <w:bCs/>
                <w:color w:val="auto"/>
                <w:highlight w:val="none"/>
              </w:rPr>
            </w:pPr>
            <w:r>
              <w:rPr>
                <w:rFonts w:hint="default"/>
                <w:b w:val="0"/>
                <w:bCs/>
                <w:color w:val="auto"/>
                <w:highlight w:val="none"/>
              </w:rPr>
              <w:t>名称</w:t>
            </w:r>
          </w:p>
        </w:tc>
        <w:tc>
          <w:tcPr>
            <w:tcW w:w="687" w:type="pct"/>
            <w:tcBorders>
              <w:top w:val="single" w:color="auto" w:sz="12" w:space="0"/>
            </w:tcBorders>
            <w:noWrap w:val="0"/>
            <w:vAlign w:val="center"/>
          </w:tcPr>
          <w:p w14:paraId="0E1DAF95">
            <w:pPr>
              <w:pStyle w:val="45"/>
              <w:bidi w:val="0"/>
              <w:rPr>
                <w:rFonts w:hint="default"/>
                <w:b w:val="0"/>
                <w:bCs/>
                <w:color w:val="auto"/>
                <w:highlight w:val="none"/>
              </w:rPr>
            </w:pPr>
            <w:r>
              <w:rPr>
                <w:rFonts w:hint="default"/>
                <w:b w:val="0"/>
                <w:bCs/>
                <w:color w:val="auto"/>
                <w:highlight w:val="none"/>
              </w:rPr>
              <w:t>危废类别</w:t>
            </w:r>
          </w:p>
        </w:tc>
        <w:tc>
          <w:tcPr>
            <w:tcW w:w="645" w:type="pct"/>
            <w:tcBorders>
              <w:top w:val="single" w:color="auto" w:sz="12" w:space="0"/>
            </w:tcBorders>
            <w:noWrap w:val="0"/>
            <w:vAlign w:val="center"/>
          </w:tcPr>
          <w:p w14:paraId="67D101C9">
            <w:pPr>
              <w:pStyle w:val="45"/>
              <w:bidi w:val="0"/>
              <w:rPr>
                <w:rFonts w:hint="default"/>
                <w:b w:val="0"/>
                <w:bCs/>
                <w:color w:val="auto"/>
                <w:highlight w:val="none"/>
              </w:rPr>
            </w:pPr>
            <w:r>
              <w:rPr>
                <w:rFonts w:hint="default"/>
                <w:b w:val="0"/>
                <w:bCs/>
                <w:color w:val="auto"/>
                <w:highlight w:val="none"/>
              </w:rPr>
              <w:t>废物代码</w:t>
            </w:r>
          </w:p>
        </w:tc>
        <w:tc>
          <w:tcPr>
            <w:tcW w:w="645" w:type="pct"/>
            <w:tcBorders>
              <w:top w:val="single" w:color="auto" w:sz="12" w:space="0"/>
            </w:tcBorders>
            <w:noWrap w:val="0"/>
            <w:vAlign w:val="center"/>
          </w:tcPr>
          <w:p w14:paraId="33A8C18D">
            <w:pPr>
              <w:pStyle w:val="45"/>
              <w:bidi w:val="0"/>
              <w:rPr>
                <w:rFonts w:hint="default"/>
                <w:b w:val="0"/>
                <w:bCs/>
                <w:color w:val="auto"/>
                <w:highlight w:val="none"/>
              </w:rPr>
            </w:pPr>
            <w:r>
              <w:rPr>
                <w:rFonts w:hint="default"/>
                <w:b w:val="0"/>
                <w:bCs/>
                <w:color w:val="auto"/>
                <w:highlight w:val="none"/>
              </w:rPr>
              <w:t>产生量</w:t>
            </w:r>
          </w:p>
        </w:tc>
        <w:tc>
          <w:tcPr>
            <w:tcW w:w="278" w:type="pct"/>
            <w:tcBorders>
              <w:top w:val="single" w:color="auto" w:sz="12" w:space="0"/>
            </w:tcBorders>
            <w:noWrap w:val="0"/>
            <w:vAlign w:val="center"/>
          </w:tcPr>
          <w:p w14:paraId="1CE81E9D">
            <w:pPr>
              <w:pStyle w:val="45"/>
              <w:bidi w:val="0"/>
              <w:rPr>
                <w:rFonts w:hint="default"/>
                <w:b w:val="0"/>
                <w:bCs/>
                <w:color w:val="auto"/>
                <w:highlight w:val="none"/>
              </w:rPr>
            </w:pPr>
            <w:r>
              <w:rPr>
                <w:rFonts w:hint="default"/>
                <w:b w:val="0"/>
                <w:bCs/>
                <w:color w:val="auto"/>
                <w:highlight w:val="none"/>
              </w:rPr>
              <w:t>性状</w:t>
            </w:r>
          </w:p>
        </w:tc>
        <w:tc>
          <w:tcPr>
            <w:tcW w:w="1204" w:type="pct"/>
            <w:tcBorders>
              <w:top w:val="single" w:color="auto" w:sz="12" w:space="0"/>
              <w:right w:val="single" w:color="auto" w:sz="12" w:space="0"/>
            </w:tcBorders>
            <w:noWrap w:val="0"/>
            <w:vAlign w:val="center"/>
          </w:tcPr>
          <w:p w14:paraId="2DD74694">
            <w:pPr>
              <w:pStyle w:val="45"/>
              <w:bidi w:val="0"/>
              <w:rPr>
                <w:rFonts w:hint="default"/>
                <w:b w:val="0"/>
                <w:bCs/>
                <w:color w:val="auto"/>
                <w:highlight w:val="none"/>
              </w:rPr>
            </w:pPr>
            <w:r>
              <w:rPr>
                <w:rFonts w:hint="default"/>
                <w:b w:val="0"/>
                <w:bCs/>
                <w:color w:val="auto"/>
                <w:highlight w:val="none"/>
              </w:rPr>
              <w:t>处置方式</w:t>
            </w:r>
          </w:p>
        </w:tc>
      </w:tr>
      <w:tr w14:paraId="5E919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6" w:hRule="atLeast"/>
          <w:jc w:val="center"/>
        </w:trPr>
        <w:tc>
          <w:tcPr>
            <w:tcW w:w="278" w:type="pct"/>
            <w:tcBorders>
              <w:left w:val="single" w:color="auto" w:sz="12" w:space="0"/>
            </w:tcBorders>
            <w:noWrap w:val="0"/>
            <w:vAlign w:val="center"/>
          </w:tcPr>
          <w:p w14:paraId="4FE9DF9F">
            <w:pPr>
              <w:pStyle w:val="45"/>
              <w:bidi w:val="0"/>
              <w:rPr>
                <w:rFonts w:hint="default"/>
                <w:b w:val="0"/>
                <w:bCs/>
                <w:color w:val="auto"/>
                <w:highlight w:val="none"/>
              </w:rPr>
            </w:pPr>
            <w:r>
              <w:rPr>
                <w:rFonts w:hint="default"/>
                <w:b w:val="0"/>
                <w:bCs/>
                <w:color w:val="auto"/>
                <w:highlight w:val="none"/>
              </w:rPr>
              <w:t>1</w:t>
            </w:r>
          </w:p>
        </w:tc>
        <w:tc>
          <w:tcPr>
            <w:tcW w:w="1261" w:type="pct"/>
            <w:noWrap w:val="0"/>
            <w:vAlign w:val="center"/>
          </w:tcPr>
          <w:p w14:paraId="496FE0EF">
            <w:pPr>
              <w:pStyle w:val="45"/>
              <w:bidi w:val="0"/>
              <w:rPr>
                <w:rFonts w:hint="eastAsia" w:eastAsia="宋体"/>
                <w:b w:val="0"/>
                <w:bCs/>
                <w:color w:val="auto"/>
                <w:highlight w:val="none"/>
                <w:lang w:eastAsia="zh-CN"/>
              </w:rPr>
            </w:pPr>
            <w:r>
              <w:rPr>
                <w:rFonts w:hint="default"/>
                <w:b w:val="0"/>
                <w:bCs/>
                <w:color w:val="auto"/>
                <w:highlight w:val="none"/>
              </w:rPr>
              <w:t>废</w:t>
            </w:r>
            <w:r>
              <w:rPr>
                <w:rFonts w:hint="eastAsia"/>
                <w:b w:val="0"/>
                <w:bCs/>
                <w:color w:val="auto"/>
                <w:highlight w:val="none"/>
                <w:lang w:eastAsia="zh-CN"/>
              </w:rPr>
              <w:t>铅蓄电池</w:t>
            </w:r>
          </w:p>
        </w:tc>
        <w:tc>
          <w:tcPr>
            <w:tcW w:w="687" w:type="pct"/>
            <w:noWrap w:val="0"/>
            <w:vAlign w:val="center"/>
          </w:tcPr>
          <w:p w14:paraId="41CCC8F2">
            <w:pPr>
              <w:pStyle w:val="45"/>
              <w:bidi w:val="0"/>
              <w:rPr>
                <w:rFonts w:hint="default"/>
                <w:b w:val="0"/>
                <w:bCs/>
                <w:color w:val="auto"/>
                <w:highlight w:val="none"/>
              </w:rPr>
            </w:pPr>
            <w:r>
              <w:rPr>
                <w:rFonts w:hint="default"/>
                <w:b w:val="0"/>
                <w:bCs/>
                <w:color w:val="auto"/>
                <w:highlight w:val="none"/>
              </w:rPr>
              <w:t>HW49</w:t>
            </w:r>
          </w:p>
        </w:tc>
        <w:tc>
          <w:tcPr>
            <w:tcW w:w="645" w:type="pct"/>
            <w:noWrap w:val="0"/>
            <w:vAlign w:val="center"/>
          </w:tcPr>
          <w:p w14:paraId="1CABA0CA">
            <w:pPr>
              <w:pStyle w:val="45"/>
              <w:bidi w:val="0"/>
              <w:rPr>
                <w:rFonts w:hint="default"/>
                <w:b w:val="0"/>
                <w:bCs/>
                <w:color w:val="auto"/>
                <w:highlight w:val="none"/>
              </w:rPr>
            </w:pPr>
            <w:r>
              <w:rPr>
                <w:rFonts w:hint="default"/>
                <w:b w:val="0"/>
                <w:bCs/>
                <w:color w:val="auto"/>
                <w:highlight w:val="none"/>
              </w:rPr>
              <w:t>900-044-49</w:t>
            </w:r>
          </w:p>
        </w:tc>
        <w:tc>
          <w:tcPr>
            <w:tcW w:w="645" w:type="pct"/>
            <w:noWrap w:val="0"/>
            <w:vAlign w:val="center"/>
          </w:tcPr>
          <w:p w14:paraId="56885F0F">
            <w:pPr>
              <w:pStyle w:val="45"/>
              <w:bidi w:val="0"/>
              <w:rPr>
                <w:rFonts w:hint="default"/>
                <w:b w:val="0"/>
                <w:bCs/>
                <w:color w:val="auto"/>
                <w:highlight w:val="none"/>
              </w:rPr>
            </w:pPr>
            <w:r>
              <w:rPr>
                <w:rFonts w:hint="default"/>
                <w:b w:val="0"/>
                <w:bCs/>
                <w:color w:val="auto"/>
                <w:highlight w:val="none"/>
              </w:rPr>
              <w:t>8年更换</w:t>
            </w:r>
          </w:p>
        </w:tc>
        <w:tc>
          <w:tcPr>
            <w:tcW w:w="278" w:type="pct"/>
            <w:noWrap w:val="0"/>
            <w:vAlign w:val="center"/>
          </w:tcPr>
          <w:p w14:paraId="5576C061">
            <w:pPr>
              <w:pStyle w:val="45"/>
              <w:bidi w:val="0"/>
              <w:rPr>
                <w:rFonts w:hint="default"/>
                <w:b w:val="0"/>
                <w:bCs/>
                <w:color w:val="auto"/>
                <w:highlight w:val="none"/>
              </w:rPr>
            </w:pPr>
            <w:r>
              <w:rPr>
                <w:rFonts w:hint="default"/>
                <w:b w:val="0"/>
                <w:bCs/>
                <w:color w:val="auto"/>
                <w:highlight w:val="none"/>
              </w:rPr>
              <w:t>固体</w:t>
            </w:r>
          </w:p>
        </w:tc>
        <w:tc>
          <w:tcPr>
            <w:tcW w:w="1204" w:type="pct"/>
            <w:tcBorders>
              <w:right w:val="single" w:color="auto" w:sz="12" w:space="0"/>
            </w:tcBorders>
            <w:noWrap w:val="0"/>
            <w:vAlign w:val="center"/>
          </w:tcPr>
          <w:p w14:paraId="171102B8">
            <w:pPr>
              <w:pStyle w:val="45"/>
              <w:bidi w:val="0"/>
              <w:rPr>
                <w:rFonts w:hint="default"/>
                <w:b w:val="0"/>
                <w:bCs/>
                <w:color w:val="auto"/>
                <w:highlight w:val="none"/>
              </w:rPr>
            </w:pPr>
            <w:r>
              <w:rPr>
                <w:rFonts w:hint="default"/>
                <w:b w:val="0"/>
                <w:bCs/>
                <w:color w:val="auto"/>
                <w:highlight w:val="none"/>
              </w:rPr>
              <w:t>由厂家回收处置</w:t>
            </w:r>
          </w:p>
        </w:tc>
      </w:tr>
      <w:tr w14:paraId="03E57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78" w:type="pct"/>
            <w:tcBorders>
              <w:left w:val="single" w:color="auto" w:sz="12" w:space="0"/>
            </w:tcBorders>
            <w:noWrap w:val="0"/>
            <w:vAlign w:val="center"/>
          </w:tcPr>
          <w:p w14:paraId="22BCA4DF">
            <w:pPr>
              <w:pStyle w:val="45"/>
              <w:bidi w:val="0"/>
              <w:rPr>
                <w:rFonts w:hint="default"/>
                <w:b w:val="0"/>
                <w:bCs/>
                <w:color w:val="auto"/>
                <w:highlight w:val="none"/>
              </w:rPr>
            </w:pPr>
            <w:r>
              <w:rPr>
                <w:rFonts w:hint="default"/>
                <w:b w:val="0"/>
                <w:bCs/>
                <w:color w:val="auto"/>
                <w:highlight w:val="none"/>
              </w:rPr>
              <w:t>2</w:t>
            </w:r>
          </w:p>
        </w:tc>
        <w:tc>
          <w:tcPr>
            <w:tcW w:w="1261" w:type="pct"/>
            <w:noWrap w:val="0"/>
            <w:vAlign w:val="center"/>
          </w:tcPr>
          <w:p w14:paraId="7983F479">
            <w:pPr>
              <w:pStyle w:val="45"/>
              <w:bidi w:val="0"/>
              <w:rPr>
                <w:rFonts w:hint="default"/>
                <w:b w:val="0"/>
                <w:bCs/>
                <w:color w:val="auto"/>
                <w:highlight w:val="none"/>
              </w:rPr>
            </w:pPr>
            <w:r>
              <w:rPr>
                <w:rFonts w:hint="default"/>
                <w:b w:val="0"/>
                <w:bCs/>
                <w:color w:val="auto"/>
                <w:highlight w:val="none"/>
              </w:rPr>
              <w:t>废</w:t>
            </w:r>
            <w:r>
              <w:rPr>
                <w:rFonts w:hint="eastAsia"/>
                <w:b w:val="0"/>
                <w:bCs/>
                <w:color w:val="auto"/>
                <w:highlight w:val="none"/>
                <w:lang w:eastAsia="zh-CN"/>
              </w:rPr>
              <w:t>液压</w:t>
            </w:r>
            <w:r>
              <w:rPr>
                <w:rFonts w:hint="default"/>
                <w:b w:val="0"/>
                <w:bCs/>
                <w:color w:val="auto"/>
                <w:highlight w:val="none"/>
              </w:rPr>
              <w:t>油</w:t>
            </w:r>
          </w:p>
        </w:tc>
        <w:tc>
          <w:tcPr>
            <w:tcW w:w="687" w:type="pct"/>
            <w:noWrap w:val="0"/>
            <w:vAlign w:val="center"/>
          </w:tcPr>
          <w:p w14:paraId="04F780C5">
            <w:pPr>
              <w:pStyle w:val="45"/>
              <w:bidi w:val="0"/>
              <w:rPr>
                <w:rFonts w:hint="default"/>
                <w:b w:val="0"/>
                <w:bCs/>
                <w:color w:val="auto"/>
                <w:highlight w:val="none"/>
              </w:rPr>
            </w:pPr>
            <w:r>
              <w:rPr>
                <w:rFonts w:hint="default"/>
                <w:b w:val="0"/>
                <w:bCs/>
                <w:color w:val="auto"/>
                <w:highlight w:val="none"/>
              </w:rPr>
              <w:t>HW08</w:t>
            </w:r>
          </w:p>
        </w:tc>
        <w:tc>
          <w:tcPr>
            <w:tcW w:w="645" w:type="pct"/>
            <w:noWrap w:val="0"/>
            <w:vAlign w:val="center"/>
          </w:tcPr>
          <w:p w14:paraId="617FAB6B">
            <w:pPr>
              <w:pStyle w:val="45"/>
              <w:bidi w:val="0"/>
              <w:rPr>
                <w:rFonts w:hint="default"/>
                <w:b w:val="0"/>
                <w:bCs/>
                <w:color w:val="auto"/>
                <w:highlight w:val="none"/>
              </w:rPr>
            </w:pPr>
            <w:r>
              <w:rPr>
                <w:rFonts w:hint="default"/>
                <w:b w:val="0"/>
                <w:bCs/>
                <w:color w:val="auto"/>
                <w:highlight w:val="none"/>
              </w:rPr>
              <w:t>900-220-08</w:t>
            </w:r>
          </w:p>
        </w:tc>
        <w:tc>
          <w:tcPr>
            <w:tcW w:w="645" w:type="pct"/>
            <w:noWrap w:val="0"/>
            <w:vAlign w:val="center"/>
          </w:tcPr>
          <w:p w14:paraId="72C92330">
            <w:pPr>
              <w:pStyle w:val="45"/>
              <w:bidi w:val="0"/>
              <w:rPr>
                <w:rFonts w:hint="default"/>
                <w:b w:val="0"/>
                <w:bCs/>
                <w:color w:val="auto"/>
                <w:highlight w:val="none"/>
              </w:rPr>
            </w:pPr>
            <w:r>
              <w:rPr>
                <w:rFonts w:hint="eastAsia"/>
                <w:b w:val="0"/>
                <w:bCs/>
                <w:color w:val="auto"/>
                <w:highlight w:val="none"/>
                <w:lang w:val="en-US" w:eastAsia="zh-CN"/>
              </w:rPr>
              <w:t>3t</w:t>
            </w:r>
            <w:r>
              <w:rPr>
                <w:rFonts w:hint="default"/>
                <w:b w:val="0"/>
                <w:bCs/>
                <w:color w:val="auto"/>
                <w:highlight w:val="none"/>
              </w:rPr>
              <w:t>/次</w:t>
            </w:r>
          </w:p>
        </w:tc>
        <w:tc>
          <w:tcPr>
            <w:tcW w:w="278" w:type="pct"/>
            <w:noWrap w:val="0"/>
            <w:vAlign w:val="center"/>
          </w:tcPr>
          <w:p w14:paraId="1A5EDB26">
            <w:pPr>
              <w:pStyle w:val="45"/>
              <w:bidi w:val="0"/>
              <w:rPr>
                <w:rFonts w:hint="default"/>
                <w:b w:val="0"/>
                <w:bCs/>
                <w:color w:val="auto"/>
                <w:highlight w:val="none"/>
              </w:rPr>
            </w:pPr>
            <w:r>
              <w:rPr>
                <w:rFonts w:hint="default"/>
                <w:b w:val="0"/>
                <w:bCs/>
                <w:color w:val="auto"/>
                <w:highlight w:val="none"/>
              </w:rPr>
              <w:t>液态</w:t>
            </w:r>
          </w:p>
        </w:tc>
        <w:tc>
          <w:tcPr>
            <w:tcW w:w="1204" w:type="pct"/>
            <w:tcBorders>
              <w:right w:val="single" w:color="auto" w:sz="12" w:space="0"/>
            </w:tcBorders>
            <w:noWrap w:val="0"/>
            <w:vAlign w:val="center"/>
          </w:tcPr>
          <w:p w14:paraId="659C5577">
            <w:pPr>
              <w:pStyle w:val="45"/>
              <w:bidi w:val="0"/>
              <w:rPr>
                <w:rFonts w:hint="default"/>
                <w:b w:val="0"/>
                <w:bCs/>
                <w:color w:val="auto"/>
                <w:highlight w:val="none"/>
              </w:rPr>
            </w:pPr>
            <w:r>
              <w:rPr>
                <w:rFonts w:hint="default"/>
                <w:b w:val="0"/>
                <w:bCs/>
                <w:color w:val="auto"/>
                <w:highlight w:val="none"/>
              </w:rPr>
              <w:t>委托有资质单位处理</w:t>
            </w:r>
          </w:p>
        </w:tc>
      </w:tr>
      <w:tr w14:paraId="5D6B3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78" w:type="pct"/>
            <w:tcBorders>
              <w:left w:val="single" w:color="auto" w:sz="12" w:space="0"/>
              <w:bottom w:val="single" w:color="auto" w:sz="12" w:space="0"/>
            </w:tcBorders>
            <w:noWrap w:val="0"/>
            <w:vAlign w:val="center"/>
          </w:tcPr>
          <w:p w14:paraId="7537C4DA">
            <w:pPr>
              <w:pStyle w:val="45"/>
              <w:bidi w:val="0"/>
              <w:rPr>
                <w:rFonts w:hint="default"/>
                <w:b w:val="0"/>
                <w:bCs/>
                <w:color w:val="auto"/>
                <w:highlight w:val="none"/>
              </w:rPr>
            </w:pPr>
            <w:r>
              <w:rPr>
                <w:rFonts w:hint="default"/>
                <w:b w:val="0"/>
                <w:bCs/>
                <w:color w:val="auto"/>
                <w:highlight w:val="none"/>
              </w:rPr>
              <w:t>3</w:t>
            </w:r>
          </w:p>
        </w:tc>
        <w:tc>
          <w:tcPr>
            <w:tcW w:w="1261" w:type="pct"/>
            <w:tcBorders>
              <w:bottom w:val="single" w:color="auto" w:sz="12" w:space="0"/>
            </w:tcBorders>
            <w:noWrap w:val="0"/>
            <w:vAlign w:val="center"/>
          </w:tcPr>
          <w:p w14:paraId="28B8B5AB">
            <w:pPr>
              <w:pStyle w:val="45"/>
              <w:bidi w:val="0"/>
              <w:rPr>
                <w:rFonts w:hint="eastAsia"/>
                <w:b w:val="0"/>
                <w:bCs/>
                <w:color w:val="auto"/>
                <w:highlight w:val="none"/>
                <w:lang w:eastAsia="zh-CN"/>
              </w:rPr>
            </w:pPr>
            <w:r>
              <w:rPr>
                <w:rFonts w:hint="default"/>
                <w:b w:val="0"/>
                <w:bCs/>
                <w:color w:val="auto"/>
                <w:highlight w:val="none"/>
              </w:rPr>
              <w:t>废</w:t>
            </w:r>
            <w:r>
              <w:rPr>
                <w:rFonts w:hint="eastAsia"/>
                <w:b w:val="0"/>
                <w:bCs/>
                <w:color w:val="auto"/>
                <w:highlight w:val="none"/>
                <w:lang w:eastAsia="zh-CN"/>
              </w:rPr>
              <w:t>机油</w:t>
            </w:r>
          </w:p>
        </w:tc>
        <w:tc>
          <w:tcPr>
            <w:tcW w:w="687" w:type="pct"/>
            <w:tcBorders>
              <w:bottom w:val="single" w:color="auto" w:sz="12" w:space="0"/>
            </w:tcBorders>
            <w:noWrap w:val="0"/>
            <w:vAlign w:val="center"/>
          </w:tcPr>
          <w:p w14:paraId="2A4528EC">
            <w:pPr>
              <w:pStyle w:val="45"/>
              <w:bidi w:val="0"/>
              <w:rPr>
                <w:rFonts w:hint="default"/>
                <w:b w:val="0"/>
                <w:bCs/>
                <w:color w:val="auto"/>
                <w:highlight w:val="none"/>
              </w:rPr>
            </w:pPr>
            <w:r>
              <w:rPr>
                <w:rFonts w:hint="default"/>
                <w:b w:val="0"/>
                <w:bCs/>
                <w:color w:val="auto"/>
                <w:highlight w:val="none"/>
              </w:rPr>
              <w:t>HW08</w:t>
            </w:r>
          </w:p>
        </w:tc>
        <w:tc>
          <w:tcPr>
            <w:tcW w:w="645" w:type="pct"/>
            <w:tcBorders>
              <w:bottom w:val="single" w:color="auto" w:sz="12" w:space="0"/>
            </w:tcBorders>
            <w:noWrap w:val="0"/>
            <w:vAlign w:val="center"/>
          </w:tcPr>
          <w:p w14:paraId="6E52AFDA">
            <w:pPr>
              <w:pStyle w:val="45"/>
              <w:bidi w:val="0"/>
              <w:rPr>
                <w:rFonts w:hint="default"/>
                <w:b w:val="0"/>
                <w:bCs/>
                <w:color w:val="auto"/>
                <w:highlight w:val="none"/>
              </w:rPr>
            </w:pPr>
            <w:r>
              <w:rPr>
                <w:rFonts w:hint="default"/>
                <w:b w:val="0"/>
                <w:bCs/>
                <w:color w:val="auto"/>
                <w:highlight w:val="none"/>
              </w:rPr>
              <w:t>900-214-08</w:t>
            </w:r>
          </w:p>
        </w:tc>
        <w:tc>
          <w:tcPr>
            <w:tcW w:w="645" w:type="pct"/>
            <w:tcBorders>
              <w:bottom w:val="single" w:color="auto" w:sz="12" w:space="0"/>
            </w:tcBorders>
            <w:noWrap w:val="0"/>
            <w:vAlign w:val="center"/>
          </w:tcPr>
          <w:p w14:paraId="64D4880F">
            <w:pPr>
              <w:pStyle w:val="45"/>
              <w:bidi w:val="0"/>
              <w:rPr>
                <w:rFonts w:hint="default"/>
                <w:b w:val="0"/>
                <w:bCs/>
                <w:color w:val="auto"/>
                <w:highlight w:val="none"/>
              </w:rPr>
            </w:pPr>
            <w:r>
              <w:rPr>
                <w:rFonts w:hint="default"/>
                <w:b w:val="0"/>
                <w:bCs/>
                <w:color w:val="auto"/>
                <w:highlight w:val="none"/>
              </w:rPr>
              <w:t>0.5</w:t>
            </w:r>
            <w:r>
              <w:rPr>
                <w:rFonts w:hint="eastAsia"/>
                <w:b w:val="0"/>
                <w:bCs/>
                <w:color w:val="auto"/>
                <w:highlight w:val="none"/>
                <w:lang w:val="en-US" w:eastAsia="zh-CN"/>
              </w:rPr>
              <w:t>kg</w:t>
            </w:r>
            <w:r>
              <w:rPr>
                <w:rFonts w:hint="default"/>
                <w:b w:val="0"/>
                <w:bCs/>
                <w:color w:val="auto"/>
                <w:highlight w:val="none"/>
              </w:rPr>
              <w:t>/a</w:t>
            </w:r>
          </w:p>
        </w:tc>
        <w:tc>
          <w:tcPr>
            <w:tcW w:w="278" w:type="pct"/>
            <w:tcBorders>
              <w:bottom w:val="single" w:color="auto" w:sz="12" w:space="0"/>
            </w:tcBorders>
            <w:noWrap w:val="0"/>
            <w:vAlign w:val="center"/>
          </w:tcPr>
          <w:p w14:paraId="1DF404BA">
            <w:pPr>
              <w:pStyle w:val="45"/>
              <w:bidi w:val="0"/>
              <w:rPr>
                <w:rFonts w:hint="default"/>
                <w:b w:val="0"/>
                <w:bCs/>
                <w:color w:val="auto"/>
                <w:highlight w:val="none"/>
              </w:rPr>
            </w:pPr>
            <w:r>
              <w:rPr>
                <w:rFonts w:hint="default"/>
                <w:b w:val="0"/>
                <w:bCs/>
                <w:color w:val="auto"/>
                <w:highlight w:val="none"/>
              </w:rPr>
              <w:t>液态</w:t>
            </w:r>
          </w:p>
        </w:tc>
        <w:tc>
          <w:tcPr>
            <w:tcW w:w="1204" w:type="pct"/>
            <w:tcBorders>
              <w:bottom w:val="single" w:color="auto" w:sz="12" w:space="0"/>
              <w:right w:val="single" w:color="auto" w:sz="12" w:space="0"/>
            </w:tcBorders>
            <w:noWrap w:val="0"/>
            <w:vAlign w:val="center"/>
          </w:tcPr>
          <w:p w14:paraId="6C333ED8">
            <w:pPr>
              <w:pStyle w:val="45"/>
              <w:bidi w:val="0"/>
              <w:rPr>
                <w:rFonts w:hint="default"/>
                <w:b w:val="0"/>
                <w:bCs/>
                <w:color w:val="auto"/>
                <w:highlight w:val="none"/>
              </w:rPr>
            </w:pPr>
            <w:r>
              <w:rPr>
                <w:rFonts w:hint="default"/>
                <w:b w:val="0"/>
                <w:bCs/>
                <w:color w:val="auto"/>
                <w:highlight w:val="none"/>
              </w:rPr>
              <w:t>委托有资质单位处理</w:t>
            </w:r>
          </w:p>
        </w:tc>
      </w:tr>
    </w:tbl>
    <w:p w14:paraId="2E5BC83A">
      <w:pPr>
        <w:bidi w:val="0"/>
        <w:rPr>
          <w:color w:val="auto"/>
          <w:highlight w:val="none"/>
        </w:rPr>
      </w:pPr>
      <w:r>
        <w:rPr>
          <w:rFonts w:hint="eastAsia"/>
          <w:color w:val="auto"/>
          <w:sz w:val="24"/>
          <w:highlight w:val="none"/>
        </w:rPr>
        <w:t>综上所述，本项目危险废物均得到妥善处置，不会对环境产生不利影响。</w:t>
      </w:r>
    </w:p>
    <w:p w14:paraId="09614C56">
      <w:pPr>
        <w:pStyle w:val="5"/>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电磁环境</w:t>
      </w:r>
      <w:r>
        <w:rPr>
          <w:rFonts w:hint="eastAsia" w:ascii="Times New Roman" w:hAnsi="Times New Roman" w:cs="Times New Roman"/>
          <w:color w:val="auto"/>
          <w:highlight w:val="none"/>
          <w:lang w:val="en-US" w:eastAsia="zh-CN"/>
        </w:rPr>
        <w:t>影响预测与评价</w:t>
      </w:r>
    </w:p>
    <w:p w14:paraId="08C58530">
      <w:pPr>
        <w:bidi w:val="0"/>
        <w:rPr>
          <w:rFonts w:ascii="Times New Roman" w:hAnsi="Times New Roman" w:eastAsia="宋体" w:cs="Times New Roman"/>
          <w:color w:val="auto"/>
          <w:highlight w:val="none"/>
        </w:rPr>
      </w:pPr>
      <w:r>
        <w:rPr>
          <w:rFonts w:hint="eastAsia" w:cs="Times New Roman"/>
          <w:color w:val="auto"/>
          <w:highlight w:val="none"/>
          <w:lang w:val="en-US" w:eastAsia="zh-CN"/>
        </w:rPr>
        <w:t>祁东县南冲风电场（大马二期）工程（110kV升压站）</w:t>
      </w:r>
      <w:r>
        <w:rPr>
          <w:rFonts w:hint="default" w:ascii="Times New Roman" w:hAnsi="Times New Roman" w:cs="Times New Roman"/>
          <w:color w:val="auto"/>
          <w:highlight w:val="none"/>
          <w:lang w:val="en-US" w:eastAsia="zh-CN"/>
        </w:rPr>
        <w:t>电磁环境影响评价等级为二级，因此，电磁环境影响预测采用类比监测来分析、预测和评价工程投运后产生的电磁环境影响。</w:t>
      </w:r>
    </w:p>
    <w:p w14:paraId="4187B86E">
      <w:pPr>
        <w:pStyle w:val="6"/>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类比对象</w:t>
      </w:r>
    </w:p>
    <w:p w14:paraId="2E4E3659">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eastAsia" w:ascii="Times New Roman" w:hAnsi="Times New Roman" w:eastAsia="宋体" w:cs="Times New Roman"/>
          <w:b/>
          <w:bCs/>
          <w:color w:val="auto"/>
          <w:sz w:val="24"/>
          <w:szCs w:val="24"/>
          <w:highlight w:val="none"/>
          <w:u w:val="none"/>
          <w:lang w:val="en-US" w:eastAsia="zh-CN"/>
        </w:rPr>
      </w:pPr>
      <w:r>
        <w:rPr>
          <w:rFonts w:hint="eastAsia" w:ascii="Times New Roman" w:hAnsi="Times New Roman" w:eastAsia="宋体" w:cs="Times New Roman"/>
          <w:b/>
          <w:bCs/>
          <w:color w:val="auto"/>
          <w:sz w:val="24"/>
          <w:szCs w:val="24"/>
          <w:highlight w:val="none"/>
          <w:u w:val="none"/>
          <w:lang w:val="en-US" w:eastAsia="zh-CN"/>
        </w:rPr>
        <w:t>类比对象的选择原则</w:t>
      </w:r>
    </w:p>
    <w:p w14:paraId="33BF6AB6">
      <w:pPr>
        <w:pStyle w:val="61"/>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从严格意义讲，选取具有完全相同的主设备配置和布置情况的升压站进行电磁环境类比分析是最理想的，即选取的类比升压站不仅有相同的主变数和容量，而且一次主接线也相同，布置情况及环境条件也相同。但是要满足这样的条件是很困难的，要解决这一实际困难，可以在关键部分相同，而达到进行类比的条件。所谓关键部分，就是主要的工频电场、工频磁感应强度产生源。</w:t>
      </w:r>
    </w:p>
    <w:p w14:paraId="21544E90">
      <w:pPr>
        <w:pStyle w:val="61"/>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根据电磁场理论：</w:t>
      </w:r>
    </w:p>
    <w:p w14:paraId="02BD6C95">
      <w:pPr>
        <w:pStyle w:val="61"/>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①电荷或者带电导体周围存在着电场；有规则地运动的电荷或者流过电流的导体周围存在着磁场。亦即电压产生电场而电流则产生磁场。</w:t>
      </w:r>
    </w:p>
    <w:p w14:paraId="6A10ABAA">
      <w:pPr>
        <w:pStyle w:val="61"/>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②工频电场和工频磁场随距离衰减很快，即随距离的平方和三次方衰减，是工频电场和工频磁场的基本衰减特性。</w:t>
      </w:r>
    </w:p>
    <w:p w14:paraId="6A939C94">
      <w:pPr>
        <w:pStyle w:val="61"/>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 xml:space="preserve">工频电场强度主要取决于电压等级及关心点与源的距离，并与环境湿度、植被及地理地形因子等屏蔽条件相关；工频磁感应强度主要取决于电流及关心点与源的距离。 </w:t>
      </w:r>
    </w:p>
    <w:p w14:paraId="2CF42E3D">
      <w:pPr>
        <w:pStyle w:val="61"/>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对于升压站围墙外的工频电场，要求距离围墙最近的高压带电构架或电气设备布置一致、电压相同，此时就可以认为具有可比性；同样对于升压站围墙外的工频磁场，也要求最近的通流导体的布置和电流相同才具有可比性。实际情况是，工频电场的类比条件相对容易实现，因为升压站主设备和母线电压是基本稳定的，不会随时间和负荷的变化而产生大的变化；但是产生工频磁场的电流却是随负荷变化而有较大的变化。因此，对于升压站围墙外的工频电场，要求主变容量相同或相近、进出线形式相似、电压等级相同、变电站布置方式一致；而工频磁场，则要求通流导体的布置和电流相近才具有可比性，但是类比监测是类比站的实际电流往往与负荷大小相关，因此，工频磁感应强度的类别预测结果还需要对类比监测值进行适当修正。</w:t>
      </w:r>
    </w:p>
    <w:p w14:paraId="38D8A84A">
      <w:pPr>
        <w:bidi w:val="0"/>
        <w:rPr>
          <w:rFonts w:ascii="Times New Roman" w:hAnsi="Times New Roman" w:eastAsia="宋体" w:cs="Times New Roman"/>
          <w:color w:val="auto"/>
          <w:highlight w:val="none"/>
        </w:rPr>
      </w:pPr>
      <w:r>
        <w:rPr>
          <w:rFonts w:hint="default" w:ascii="Times New Roman" w:hAnsi="Times New Roman" w:cs="Times New Roman"/>
          <w:color w:val="auto"/>
          <w:highlight w:val="none"/>
          <w:lang w:val="en-US" w:eastAsia="zh-CN"/>
        </w:rPr>
        <w:t>根据以往对诸多升压站的电磁环境的类比监测结果，升压站周围的工频磁感应强度远小于100μT 的限值标准，因此本工程主要针对工频电场选取类比对象。</w:t>
      </w:r>
    </w:p>
    <w:p w14:paraId="75706C91">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eastAsia" w:ascii="Times New Roman" w:hAnsi="Times New Roman" w:eastAsia="宋体" w:cs="Times New Roman"/>
          <w:b/>
          <w:bCs/>
          <w:color w:val="auto"/>
          <w:sz w:val="24"/>
          <w:szCs w:val="24"/>
          <w:highlight w:val="none"/>
          <w:u w:val="none"/>
          <w:lang w:val="en-US" w:eastAsia="zh-CN"/>
        </w:rPr>
      </w:pPr>
      <w:r>
        <w:rPr>
          <w:rFonts w:hint="eastAsia" w:ascii="Times New Roman" w:hAnsi="Times New Roman" w:eastAsia="宋体" w:cs="Times New Roman"/>
          <w:b/>
          <w:bCs/>
          <w:color w:val="auto"/>
          <w:sz w:val="24"/>
          <w:szCs w:val="24"/>
          <w:highlight w:val="none"/>
          <w:u w:val="none"/>
          <w:lang w:val="en-US" w:eastAsia="zh-CN"/>
        </w:rPr>
        <w:t>类比对象及可比性分析</w:t>
      </w:r>
    </w:p>
    <w:p w14:paraId="4EEB7D12">
      <w:pPr>
        <w:pStyle w:val="61"/>
        <w:bidi w:val="0"/>
        <w:rPr>
          <w:rFonts w:hint="default" w:ascii="Times New Roman" w:hAnsi="Times New Roman" w:cs="Times New Roman"/>
          <w:color w:val="auto"/>
          <w:highlight w:val="none"/>
          <w:u w:val="none"/>
          <w:lang w:val="en-US" w:eastAsia="zh-CN"/>
        </w:rPr>
      </w:pPr>
      <w:r>
        <w:rPr>
          <w:rFonts w:hint="default" w:ascii="Times New Roman" w:hAnsi="Times New Roman" w:cs="Times New Roman"/>
          <w:color w:val="auto"/>
          <w:highlight w:val="none"/>
          <w:u w:val="none"/>
          <w:lang w:val="en-US" w:eastAsia="zh-CN"/>
        </w:rPr>
        <w:t>为准确、客观地做好</w:t>
      </w:r>
      <w:r>
        <w:rPr>
          <w:rFonts w:hint="eastAsia" w:cs="Times New Roman"/>
          <w:color w:val="auto"/>
          <w:highlight w:val="none"/>
          <w:u w:val="none"/>
          <w:lang w:val="en-US" w:eastAsia="zh-CN"/>
        </w:rPr>
        <w:t>南冲风电场</w:t>
      </w:r>
      <w:r>
        <w:rPr>
          <w:rFonts w:hint="default" w:ascii="Times New Roman" w:hAnsi="Times New Roman" w:cs="Times New Roman"/>
          <w:color w:val="auto"/>
          <w:highlight w:val="none"/>
          <w:u w:val="none"/>
          <w:lang w:val="en-US" w:eastAsia="zh-CN"/>
        </w:rPr>
        <w:t>110kV升压站的</w:t>
      </w:r>
      <w:r>
        <w:rPr>
          <w:rFonts w:hint="eastAsia" w:cs="Times New Roman"/>
          <w:color w:val="auto"/>
          <w:highlight w:val="none"/>
          <w:u w:val="none"/>
          <w:lang w:val="en-US" w:eastAsia="zh-CN"/>
        </w:rPr>
        <w:t>电磁</w:t>
      </w:r>
      <w:r>
        <w:rPr>
          <w:rFonts w:hint="default" w:ascii="Times New Roman" w:hAnsi="Times New Roman" w:cs="Times New Roman"/>
          <w:color w:val="auto"/>
          <w:highlight w:val="none"/>
          <w:u w:val="none"/>
          <w:lang w:val="en-US" w:eastAsia="zh-CN"/>
        </w:rPr>
        <w:t>环境影响评价工作，根据环评对象的电压等级、主要设备容量、设备布置及规模情况，选择了与本项目输变电工程建设规模、电压等级、容量、布置形式相似的升压站作为类比监测和调查的对象。本项目选择</w:t>
      </w:r>
      <w:r>
        <w:rPr>
          <w:rFonts w:hint="eastAsia" w:cs="Times New Roman"/>
          <w:color w:val="auto"/>
          <w:highlight w:val="none"/>
          <w:u w:val="none"/>
          <w:lang w:val="en-US" w:eastAsia="zh-CN"/>
        </w:rPr>
        <w:t>国电电力城步金紫山风电场工程</w:t>
      </w:r>
      <w:r>
        <w:rPr>
          <w:rFonts w:hint="default" w:ascii="Times New Roman" w:hAnsi="Times New Roman" w:cs="Times New Roman"/>
          <w:color w:val="auto"/>
          <w:highlight w:val="none"/>
          <w:u w:val="none"/>
          <w:lang w:val="en-US" w:eastAsia="zh-CN"/>
        </w:rPr>
        <w:t>110kV升压站作为类比对象，进行工频电场、工频磁场环境影响类比预测与评价。</w:t>
      </w:r>
    </w:p>
    <w:p w14:paraId="7650BF7C">
      <w:pPr>
        <w:pStyle w:val="61"/>
        <w:bidi w:val="0"/>
        <w:rPr>
          <w:rFonts w:hint="default" w:ascii="Times New Roman" w:hAnsi="Times New Roman" w:cs="Times New Roman"/>
          <w:color w:val="auto"/>
          <w:highlight w:val="none"/>
          <w:u w:val="none"/>
          <w:lang w:val="en-US" w:eastAsia="zh-CN"/>
        </w:rPr>
      </w:pPr>
      <w:r>
        <w:rPr>
          <w:rFonts w:hint="default" w:ascii="Times New Roman" w:hAnsi="Times New Roman" w:cs="Times New Roman"/>
          <w:color w:val="auto"/>
          <w:highlight w:val="none"/>
          <w:u w:val="none"/>
          <w:lang w:val="en-US" w:eastAsia="zh-CN"/>
        </w:rPr>
        <w:t>以下数据来源引用《</w:t>
      </w:r>
      <w:r>
        <w:rPr>
          <w:rFonts w:hint="eastAsia" w:cs="Times New Roman"/>
          <w:color w:val="auto"/>
          <w:highlight w:val="none"/>
          <w:u w:val="none"/>
          <w:lang w:val="en-US" w:eastAsia="zh-CN"/>
        </w:rPr>
        <w:t>国电电力城步金紫山风电场工程</w:t>
      </w:r>
      <w:r>
        <w:rPr>
          <w:rFonts w:hint="default" w:ascii="Times New Roman" w:hAnsi="Times New Roman" w:cs="Times New Roman"/>
          <w:color w:val="auto"/>
          <w:highlight w:val="none"/>
          <w:u w:val="none"/>
          <w:lang w:val="en-US" w:eastAsia="zh-CN"/>
        </w:rPr>
        <w:t>竣工环境保护验收监测报告》(202</w:t>
      </w:r>
      <w:r>
        <w:rPr>
          <w:rFonts w:hint="eastAsia" w:cs="Times New Roman"/>
          <w:color w:val="auto"/>
          <w:highlight w:val="none"/>
          <w:u w:val="none"/>
          <w:lang w:val="en-US" w:eastAsia="zh-CN"/>
        </w:rPr>
        <w:t>1</w:t>
      </w:r>
      <w:r>
        <w:rPr>
          <w:rFonts w:hint="default" w:ascii="Times New Roman" w:hAnsi="Times New Roman" w:cs="Times New Roman"/>
          <w:color w:val="auto"/>
          <w:highlight w:val="none"/>
          <w:u w:val="none"/>
          <w:lang w:val="en-US" w:eastAsia="zh-CN"/>
        </w:rPr>
        <w:t>年</w:t>
      </w:r>
      <w:r>
        <w:rPr>
          <w:rFonts w:hint="eastAsia" w:cs="Times New Roman"/>
          <w:color w:val="auto"/>
          <w:highlight w:val="none"/>
          <w:u w:val="none"/>
          <w:lang w:val="en-US" w:eastAsia="zh-CN"/>
        </w:rPr>
        <w:t>11</w:t>
      </w:r>
      <w:r>
        <w:rPr>
          <w:rFonts w:hint="default" w:ascii="Times New Roman" w:hAnsi="Times New Roman" w:cs="Times New Roman"/>
          <w:color w:val="auto"/>
          <w:highlight w:val="none"/>
          <w:u w:val="none"/>
          <w:lang w:val="en-US" w:eastAsia="zh-CN"/>
        </w:rPr>
        <w:t>月)。</w:t>
      </w:r>
    </w:p>
    <w:p w14:paraId="778EB0F3">
      <w:pPr>
        <w:pStyle w:val="61"/>
        <w:bidi w:val="0"/>
        <w:rPr>
          <w:rFonts w:hint="default" w:ascii="Times New Roman" w:hAnsi="Times New Roman" w:cs="Times New Roman"/>
          <w:color w:val="auto"/>
          <w:highlight w:val="none"/>
          <w:u w:val="none"/>
          <w:lang w:val="en-US" w:eastAsia="zh-CN"/>
        </w:rPr>
      </w:pPr>
      <w:r>
        <w:rPr>
          <w:rFonts w:hint="eastAsia" w:cs="Times New Roman"/>
          <w:color w:val="auto"/>
          <w:highlight w:val="none"/>
          <w:u w:val="none"/>
          <w:lang w:val="en-US" w:eastAsia="zh-CN"/>
        </w:rPr>
        <w:t>国电电力城步金紫山风电场工程</w:t>
      </w:r>
      <w:r>
        <w:rPr>
          <w:rFonts w:hint="default" w:ascii="Times New Roman" w:hAnsi="Times New Roman" w:cs="Times New Roman"/>
          <w:color w:val="auto"/>
          <w:highlight w:val="none"/>
          <w:u w:val="none"/>
          <w:lang w:val="en-US" w:eastAsia="zh-CN"/>
        </w:rPr>
        <w:t>位于</w:t>
      </w:r>
      <w:r>
        <w:rPr>
          <w:rFonts w:hint="eastAsia" w:cs="Times New Roman"/>
          <w:color w:val="auto"/>
          <w:highlight w:val="none"/>
          <w:u w:val="none"/>
          <w:lang w:val="en-US" w:eastAsia="zh-CN"/>
        </w:rPr>
        <w:t>湖南省邵阳市城步县境内，与新宁县黄金瑶族乡接壤</w:t>
      </w:r>
      <w:r>
        <w:rPr>
          <w:rFonts w:hint="default" w:ascii="Times New Roman" w:hAnsi="Times New Roman" w:cs="Times New Roman"/>
          <w:color w:val="auto"/>
          <w:highlight w:val="none"/>
          <w:u w:val="none"/>
          <w:lang w:val="en-US" w:eastAsia="zh-CN"/>
        </w:rPr>
        <w:t>。</w:t>
      </w:r>
      <w:r>
        <w:rPr>
          <w:rFonts w:hint="eastAsia" w:cs="Times New Roman"/>
          <w:color w:val="auto"/>
          <w:highlight w:val="none"/>
          <w:u w:val="none"/>
          <w:lang w:val="en-US" w:eastAsia="zh-CN"/>
        </w:rPr>
        <w:t>该</w:t>
      </w:r>
      <w:r>
        <w:rPr>
          <w:rFonts w:hint="default" w:ascii="Times New Roman" w:hAnsi="Times New Roman" w:cs="Times New Roman"/>
          <w:color w:val="auto"/>
          <w:highlight w:val="none"/>
          <w:u w:val="none"/>
          <w:lang w:val="en-US" w:eastAsia="zh-CN"/>
        </w:rPr>
        <w:t>项目110kV升压站主变容量为</w:t>
      </w:r>
      <w:r>
        <w:rPr>
          <w:rFonts w:hint="eastAsia" w:cs="Times New Roman"/>
          <w:color w:val="auto"/>
          <w:highlight w:val="none"/>
          <w:u w:val="none"/>
          <w:lang w:val="en-US" w:eastAsia="zh-CN"/>
        </w:rPr>
        <w:t>150</w:t>
      </w:r>
      <w:r>
        <w:rPr>
          <w:rFonts w:hint="default" w:ascii="Times New Roman" w:hAnsi="Times New Roman" w:cs="Times New Roman"/>
          <w:color w:val="auto"/>
          <w:highlight w:val="none"/>
          <w:u w:val="none"/>
          <w:lang w:val="en-US" w:eastAsia="zh-CN"/>
        </w:rPr>
        <w:t>MVA</w:t>
      </w:r>
      <w:r>
        <w:rPr>
          <w:rFonts w:hint="eastAsia" w:cs="Times New Roman"/>
          <w:color w:val="auto"/>
          <w:highlight w:val="none"/>
          <w:u w:val="none"/>
          <w:lang w:val="en-US" w:eastAsia="zh-CN"/>
        </w:rPr>
        <w:t>，电压等级为110kV/35kV，</w:t>
      </w:r>
      <w:r>
        <w:rPr>
          <w:rFonts w:hint="default" w:ascii="Times New Roman" w:hAnsi="Times New Roman" w:cs="Times New Roman"/>
          <w:color w:val="auto"/>
          <w:highlight w:val="none"/>
          <w:u w:val="none"/>
          <w:lang w:val="en-US" w:eastAsia="zh-CN"/>
        </w:rPr>
        <w:t>出线间隔1个。</w:t>
      </w:r>
    </w:p>
    <w:p w14:paraId="49B6E474">
      <w:pPr>
        <w:pStyle w:val="61"/>
        <w:bidi w:val="0"/>
        <w:rPr>
          <w:rFonts w:hint="default" w:ascii="Times New Roman" w:hAnsi="Times New Roman" w:cs="Times New Roman"/>
          <w:color w:val="auto"/>
          <w:highlight w:val="none"/>
          <w:u w:val="none"/>
          <w:lang w:val="en-US" w:eastAsia="zh-CN"/>
        </w:rPr>
      </w:pPr>
      <w:r>
        <w:rPr>
          <w:rFonts w:hint="default" w:ascii="Times New Roman" w:hAnsi="Times New Roman" w:cs="Times New Roman"/>
          <w:color w:val="auto"/>
          <w:highlight w:val="none"/>
          <w:u w:val="none"/>
          <w:lang w:val="en-US" w:eastAsia="zh-CN"/>
        </w:rPr>
        <w:t>本项目升压站与类比</w:t>
      </w:r>
      <w:r>
        <w:rPr>
          <w:rFonts w:hint="eastAsia" w:cs="Times New Roman"/>
          <w:color w:val="auto"/>
          <w:highlight w:val="none"/>
          <w:u w:val="none"/>
          <w:lang w:val="en-US" w:eastAsia="zh-CN"/>
        </w:rPr>
        <w:t>升压站</w:t>
      </w:r>
      <w:r>
        <w:rPr>
          <w:rFonts w:hint="default" w:ascii="Times New Roman" w:hAnsi="Times New Roman" w:cs="Times New Roman"/>
          <w:color w:val="auto"/>
          <w:highlight w:val="none"/>
          <w:u w:val="none"/>
          <w:lang w:val="en-US" w:eastAsia="zh-CN"/>
        </w:rPr>
        <w:t>情况对比见表</w:t>
      </w:r>
      <w:r>
        <w:rPr>
          <w:rFonts w:hint="eastAsia" w:cs="Times New Roman"/>
          <w:color w:val="auto"/>
          <w:highlight w:val="none"/>
          <w:u w:val="none"/>
          <w:lang w:val="en-US" w:eastAsia="zh-CN"/>
        </w:rPr>
        <w:t>6.2.6</w:t>
      </w:r>
      <w:r>
        <w:rPr>
          <w:rFonts w:hint="default" w:ascii="Times New Roman" w:hAnsi="Times New Roman" w:cs="Times New Roman"/>
          <w:color w:val="auto"/>
          <w:highlight w:val="none"/>
          <w:u w:val="none"/>
          <w:lang w:val="en-US" w:eastAsia="zh-CN"/>
        </w:rPr>
        <w:t>-1。</w:t>
      </w:r>
    </w:p>
    <w:p w14:paraId="3F1EF61C">
      <w:pPr>
        <w:pStyle w:val="46"/>
        <w:bidi w:val="0"/>
        <w:rPr>
          <w:rFonts w:hint="default" w:ascii="Times New Roman" w:hAnsi="Times New Roman" w:cs="Times New Roman"/>
          <w:color w:val="auto"/>
          <w:highlight w:val="none"/>
          <w:u w:val="none"/>
          <w:lang w:val="en-US" w:eastAsia="zh-CN"/>
        </w:rPr>
      </w:pPr>
      <w:r>
        <w:rPr>
          <w:rFonts w:hint="default"/>
          <w:lang w:val="en-US" w:eastAsia="zh-CN"/>
        </w:rPr>
        <w:t>表</w:t>
      </w:r>
      <w:r>
        <w:rPr>
          <w:rFonts w:hint="eastAsia"/>
          <w:lang w:val="en-US" w:eastAsia="zh-CN"/>
        </w:rPr>
        <w:t>6.2.6-1</w:t>
      </w:r>
      <w:r>
        <w:rPr>
          <w:rFonts w:hint="default"/>
          <w:lang w:val="en-US" w:eastAsia="zh-CN"/>
        </w:rPr>
        <w:t>本项目升压站与类比对象情况对比</w:t>
      </w:r>
    </w:p>
    <w:tbl>
      <w:tblPr>
        <w:tblStyle w:val="38"/>
        <w:tblW w:w="5000" w:type="pct"/>
        <w:tblInd w:w="39"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fixed"/>
        <w:tblCellMar>
          <w:top w:w="0" w:type="dxa"/>
          <w:left w:w="0" w:type="dxa"/>
          <w:bottom w:w="0" w:type="dxa"/>
          <w:right w:w="0" w:type="dxa"/>
        </w:tblCellMar>
      </w:tblPr>
      <w:tblGrid>
        <w:gridCol w:w="1317"/>
        <w:gridCol w:w="3094"/>
        <w:gridCol w:w="2549"/>
        <w:gridCol w:w="1376"/>
      </w:tblGrid>
      <w:tr w14:paraId="1821453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340" w:hRule="atLeast"/>
        </w:trPr>
        <w:tc>
          <w:tcPr>
            <w:tcW w:w="1340" w:type="dxa"/>
            <w:tcBorders>
              <w:tl2br w:val="nil"/>
              <w:tr2bl w:val="nil"/>
            </w:tcBorders>
            <w:shd w:val="clear" w:color="auto" w:fill="auto"/>
            <w:vAlign w:val="center"/>
          </w:tcPr>
          <w:p w14:paraId="39F936B0">
            <w:pPr>
              <w:pStyle w:val="23"/>
              <w:bidi w:val="0"/>
              <w:rPr>
                <w:rFonts w:hint="default"/>
                <w:color w:val="auto"/>
                <w:highlight w:val="none"/>
              </w:rPr>
            </w:pPr>
            <w:r>
              <w:rPr>
                <w:rFonts w:hint="default"/>
                <w:color w:val="auto"/>
                <w:highlight w:val="none"/>
              </w:rPr>
              <w:t>主要指标</w:t>
            </w:r>
          </w:p>
        </w:tc>
        <w:tc>
          <w:tcPr>
            <w:tcW w:w="3150" w:type="dxa"/>
            <w:tcBorders>
              <w:tl2br w:val="nil"/>
              <w:tr2bl w:val="nil"/>
            </w:tcBorders>
            <w:shd w:val="clear" w:color="auto" w:fill="auto"/>
            <w:vAlign w:val="center"/>
          </w:tcPr>
          <w:p w14:paraId="34249EDA">
            <w:pPr>
              <w:pStyle w:val="23"/>
              <w:bidi w:val="0"/>
              <w:rPr>
                <w:rFonts w:hint="default"/>
                <w:color w:val="auto"/>
                <w:highlight w:val="none"/>
              </w:rPr>
            </w:pPr>
            <w:r>
              <w:rPr>
                <w:rFonts w:hint="default"/>
                <w:color w:val="auto"/>
                <w:highlight w:val="none"/>
                <w:lang w:eastAsia="zh-CN"/>
              </w:rPr>
              <w:t>祁东县南冲风电场（大马二期）工程</w:t>
            </w:r>
            <w:r>
              <w:rPr>
                <w:rFonts w:hint="default"/>
                <w:color w:val="auto"/>
                <w:highlight w:val="none"/>
              </w:rPr>
              <w:t>110kV升压站(评价)</w:t>
            </w:r>
          </w:p>
        </w:tc>
        <w:tc>
          <w:tcPr>
            <w:tcW w:w="2595" w:type="dxa"/>
            <w:tcBorders>
              <w:tl2br w:val="nil"/>
              <w:tr2bl w:val="nil"/>
            </w:tcBorders>
            <w:shd w:val="clear" w:color="auto" w:fill="auto"/>
            <w:vAlign w:val="center"/>
          </w:tcPr>
          <w:p w14:paraId="37C200C8">
            <w:pPr>
              <w:pStyle w:val="23"/>
              <w:bidi w:val="0"/>
              <w:rPr>
                <w:rFonts w:hint="default"/>
                <w:color w:val="auto"/>
                <w:highlight w:val="none"/>
              </w:rPr>
            </w:pPr>
            <w:r>
              <w:rPr>
                <w:rFonts w:hint="eastAsia"/>
                <w:color w:val="auto"/>
                <w:highlight w:val="none"/>
                <w:lang w:val="en-US" w:eastAsia="zh-CN"/>
              </w:rPr>
              <w:t>国电电力城步金紫山风电场工程</w:t>
            </w:r>
            <w:r>
              <w:rPr>
                <w:rFonts w:hint="default"/>
                <w:color w:val="auto"/>
                <w:highlight w:val="none"/>
              </w:rPr>
              <w:t>110kV升压站(类比)</w:t>
            </w:r>
          </w:p>
        </w:tc>
        <w:tc>
          <w:tcPr>
            <w:tcW w:w="1400" w:type="dxa"/>
            <w:tcBorders>
              <w:tl2br w:val="nil"/>
              <w:tr2bl w:val="nil"/>
            </w:tcBorders>
            <w:shd w:val="clear" w:color="auto" w:fill="auto"/>
            <w:vAlign w:val="center"/>
          </w:tcPr>
          <w:p w14:paraId="747A5381">
            <w:pPr>
              <w:pStyle w:val="23"/>
              <w:bidi w:val="0"/>
              <w:rPr>
                <w:rFonts w:hint="eastAsia"/>
                <w:color w:val="auto"/>
                <w:highlight w:val="none"/>
                <w:lang w:val="en-US" w:eastAsia="zh-CN"/>
              </w:rPr>
            </w:pPr>
            <w:r>
              <w:rPr>
                <w:rFonts w:hint="eastAsia"/>
                <w:color w:val="auto"/>
                <w:highlight w:val="none"/>
                <w:lang w:val="en-US" w:eastAsia="zh-CN"/>
              </w:rPr>
              <w:t>可类比性</w:t>
            </w:r>
          </w:p>
        </w:tc>
      </w:tr>
      <w:tr w14:paraId="0C95BB3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340" w:hRule="atLeast"/>
        </w:trPr>
        <w:tc>
          <w:tcPr>
            <w:tcW w:w="1340" w:type="dxa"/>
            <w:tcBorders>
              <w:tl2br w:val="nil"/>
              <w:tr2bl w:val="nil"/>
            </w:tcBorders>
            <w:shd w:val="clear" w:color="auto" w:fill="auto"/>
            <w:vAlign w:val="center"/>
          </w:tcPr>
          <w:p w14:paraId="0B03A396">
            <w:pPr>
              <w:pStyle w:val="23"/>
              <w:bidi w:val="0"/>
              <w:rPr>
                <w:rFonts w:hint="default"/>
                <w:color w:val="auto"/>
                <w:highlight w:val="none"/>
              </w:rPr>
            </w:pPr>
            <w:r>
              <w:rPr>
                <w:rFonts w:hint="default"/>
                <w:color w:val="auto"/>
                <w:highlight w:val="none"/>
              </w:rPr>
              <w:t>建设规模</w:t>
            </w:r>
          </w:p>
        </w:tc>
        <w:tc>
          <w:tcPr>
            <w:tcW w:w="3150" w:type="dxa"/>
            <w:tcBorders>
              <w:tl2br w:val="nil"/>
              <w:tr2bl w:val="nil"/>
            </w:tcBorders>
            <w:shd w:val="clear" w:color="auto" w:fill="auto"/>
            <w:vAlign w:val="center"/>
          </w:tcPr>
          <w:p w14:paraId="0E38BC95">
            <w:pPr>
              <w:pStyle w:val="23"/>
              <w:bidi w:val="0"/>
              <w:rPr>
                <w:rFonts w:hint="default"/>
                <w:color w:val="auto"/>
                <w:highlight w:val="none"/>
              </w:rPr>
            </w:pPr>
            <w:r>
              <w:rPr>
                <w:rFonts w:hint="default"/>
                <w:color w:val="auto"/>
                <w:highlight w:val="none"/>
              </w:rPr>
              <w:t>升压站1座：主变规模</w:t>
            </w:r>
          </w:p>
          <w:p w14:paraId="4ED52EC6">
            <w:pPr>
              <w:pStyle w:val="23"/>
              <w:bidi w:val="0"/>
              <w:rPr>
                <w:rFonts w:hint="default"/>
                <w:color w:val="auto"/>
                <w:highlight w:val="none"/>
              </w:rPr>
            </w:pPr>
            <w:r>
              <w:rPr>
                <w:rFonts w:hint="default"/>
                <w:color w:val="auto"/>
                <w:highlight w:val="none"/>
              </w:rPr>
              <w:t>1×50MVA+1×</w:t>
            </w:r>
            <w:r>
              <w:rPr>
                <w:rFonts w:hint="eastAsia"/>
                <w:color w:val="auto"/>
                <w:highlight w:val="none"/>
                <w:lang w:val="en-US" w:eastAsia="zh-CN"/>
              </w:rPr>
              <w:t>100</w:t>
            </w:r>
            <w:r>
              <w:rPr>
                <w:rFonts w:hint="default"/>
                <w:color w:val="auto"/>
                <w:highlight w:val="none"/>
              </w:rPr>
              <w:t>MVA</w:t>
            </w:r>
            <w:r>
              <w:rPr>
                <w:rFonts w:hint="eastAsia"/>
                <w:color w:val="auto"/>
                <w:highlight w:val="none"/>
                <w:lang w:eastAsia="zh-CN"/>
              </w:rPr>
              <w:t>，</w:t>
            </w:r>
            <w:r>
              <w:rPr>
                <w:rFonts w:hint="default"/>
                <w:color w:val="auto"/>
                <w:highlight w:val="none"/>
              </w:rPr>
              <w:t>110kV出线间隔1个</w:t>
            </w:r>
          </w:p>
        </w:tc>
        <w:tc>
          <w:tcPr>
            <w:tcW w:w="2595" w:type="dxa"/>
            <w:tcBorders>
              <w:tl2br w:val="nil"/>
              <w:tr2bl w:val="nil"/>
            </w:tcBorders>
            <w:shd w:val="clear" w:color="auto" w:fill="auto"/>
            <w:vAlign w:val="center"/>
          </w:tcPr>
          <w:p w14:paraId="240F1DB8">
            <w:pPr>
              <w:pStyle w:val="23"/>
              <w:bidi w:val="0"/>
              <w:rPr>
                <w:rFonts w:hint="default"/>
                <w:color w:val="auto"/>
                <w:highlight w:val="none"/>
              </w:rPr>
            </w:pPr>
            <w:r>
              <w:rPr>
                <w:rFonts w:hint="default"/>
                <w:color w:val="auto"/>
                <w:highlight w:val="none"/>
              </w:rPr>
              <w:t>升压站1座：主变规模1×50MVA+1×</w:t>
            </w:r>
            <w:r>
              <w:rPr>
                <w:rFonts w:hint="eastAsia"/>
                <w:color w:val="auto"/>
                <w:highlight w:val="none"/>
                <w:lang w:val="en-US" w:eastAsia="zh-CN"/>
              </w:rPr>
              <w:t>100</w:t>
            </w:r>
            <w:r>
              <w:rPr>
                <w:rFonts w:hint="default"/>
                <w:color w:val="auto"/>
                <w:highlight w:val="none"/>
              </w:rPr>
              <w:t>MVA</w:t>
            </w:r>
            <w:r>
              <w:rPr>
                <w:rFonts w:hint="eastAsia"/>
                <w:color w:val="auto"/>
                <w:highlight w:val="none"/>
                <w:lang w:eastAsia="zh-CN"/>
              </w:rPr>
              <w:t>，</w:t>
            </w:r>
            <w:r>
              <w:rPr>
                <w:rFonts w:hint="default"/>
                <w:color w:val="auto"/>
                <w:highlight w:val="none"/>
              </w:rPr>
              <w:t>110kV出线间隔1个</w:t>
            </w:r>
          </w:p>
        </w:tc>
        <w:tc>
          <w:tcPr>
            <w:tcW w:w="1400" w:type="dxa"/>
            <w:tcBorders>
              <w:tl2br w:val="nil"/>
              <w:tr2bl w:val="nil"/>
            </w:tcBorders>
            <w:shd w:val="clear" w:color="auto" w:fill="auto"/>
            <w:vAlign w:val="center"/>
          </w:tcPr>
          <w:p w14:paraId="7B9E9101">
            <w:pPr>
              <w:pStyle w:val="23"/>
              <w:bidi w:val="0"/>
              <w:rPr>
                <w:rFonts w:hint="eastAsia"/>
                <w:color w:val="auto"/>
                <w:highlight w:val="none"/>
                <w:lang w:eastAsia="zh-CN"/>
              </w:rPr>
            </w:pPr>
            <w:r>
              <w:rPr>
                <w:rFonts w:hint="eastAsia"/>
                <w:color w:val="auto"/>
                <w:highlight w:val="none"/>
                <w:lang w:eastAsia="zh-CN"/>
              </w:rPr>
              <w:t>建设规模一致</w:t>
            </w:r>
          </w:p>
        </w:tc>
      </w:tr>
      <w:tr w14:paraId="0B06333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340" w:hRule="atLeast"/>
        </w:trPr>
        <w:tc>
          <w:tcPr>
            <w:tcW w:w="1340" w:type="dxa"/>
            <w:tcBorders>
              <w:tl2br w:val="nil"/>
              <w:tr2bl w:val="nil"/>
            </w:tcBorders>
            <w:shd w:val="clear" w:color="auto" w:fill="auto"/>
            <w:vAlign w:val="center"/>
          </w:tcPr>
          <w:p w14:paraId="5199EACF">
            <w:pPr>
              <w:pStyle w:val="23"/>
              <w:bidi w:val="0"/>
              <w:rPr>
                <w:rFonts w:hint="default"/>
                <w:color w:val="auto"/>
                <w:highlight w:val="none"/>
              </w:rPr>
            </w:pPr>
            <w:r>
              <w:rPr>
                <w:rFonts w:hint="default"/>
                <w:color w:val="auto"/>
                <w:highlight w:val="none"/>
              </w:rPr>
              <w:t>电压等级</w:t>
            </w:r>
          </w:p>
        </w:tc>
        <w:tc>
          <w:tcPr>
            <w:tcW w:w="3150" w:type="dxa"/>
            <w:tcBorders>
              <w:tl2br w:val="nil"/>
              <w:tr2bl w:val="nil"/>
            </w:tcBorders>
            <w:shd w:val="clear" w:color="auto" w:fill="auto"/>
            <w:vAlign w:val="center"/>
          </w:tcPr>
          <w:p w14:paraId="393D2D12">
            <w:pPr>
              <w:pStyle w:val="23"/>
              <w:bidi w:val="0"/>
              <w:rPr>
                <w:rFonts w:hint="default"/>
                <w:color w:val="auto"/>
                <w:highlight w:val="none"/>
              </w:rPr>
            </w:pPr>
            <w:r>
              <w:rPr>
                <w:rFonts w:hint="default"/>
                <w:color w:val="auto"/>
                <w:highlight w:val="none"/>
              </w:rPr>
              <w:t>110kV</w:t>
            </w:r>
          </w:p>
        </w:tc>
        <w:tc>
          <w:tcPr>
            <w:tcW w:w="2595" w:type="dxa"/>
            <w:tcBorders>
              <w:tl2br w:val="nil"/>
              <w:tr2bl w:val="nil"/>
            </w:tcBorders>
            <w:shd w:val="clear" w:color="auto" w:fill="auto"/>
            <w:vAlign w:val="center"/>
          </w:tcPr>
          <w:p w14:paraId="2F1DA46C">
            <w:pPr>
              <w:pStyle w:val="23"/>
              <w:bidi w:val="0"/>
              <w:rPr>
                <w:rFonts w:hint="default"/>
                <w:color w:val="auto"/>
                <w:highlight w:val="none"/>
              </w:rPr>
            </w:pPr>
            <w:r>
              <w:rPr>
                <w:rFonts w:hint="default"/>
                <w:color w:val="auto"/>
                <w:highlight w:val="none"/>
              </w:rPr>
              <w:t>110kV</w:t>
            </w:r>
          </w:p>
        </w:tc>
        <w:tc>
          <w:tcPr>
            <w:tcW w:w="1400" w:type="dxa"/>
            <w:tcBorders>
              <w:tl2br w:val="nil"/>
              <w:tr2bl w:val="nil"/>
            </w:tcBorders>
            <w:shd w:val="clear" w:color="auto" w:fill="auto"/>
            <w:vAlign w:val="center"/>
          </w:tcPr>
          <w:p w14:paraId="7C819364">
            <w:pPr>
              <w:pStyle w:val="23"/>
              <w:bidi w:val="0"/>
              <w:rPr>
                <w:rFonts w:hint="eastAsia"/>
                <w:color w:val="auto"/>
                <w:highlight w:val="none"/>
                <w:lang w:eastAsia="zh-CN"/>
              </w:rPr>
            </w:pPr>
            <w:r>
              <w:rPr>
                <w:rFonts w:hint="eastAsia"/>
                <w:color w:val="auto"/>
                <w:highlight w:val="none"/>
                <w:lang w:eastAsia="zh-CN"/>
              </w:rPr>
              <w:t>电压等级一致</w:t>
            </w:r>
          </w:p>
        </w:tc>
      </w:tr>
      <w:tr w14:paraId="7B51D66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340" w:hRule="atLeast"/>
        </w:trPr>
        <w:tc>
          <w:tcPr>
            <w:tcW w:w="1340" w:type="dxa"/>
            <w:tcBorders>
              <w:tl2br w:val="nil"/>
              <w:tr2bl w:val="nil"/>
            </w:tcBorders>
            <w:shd w:val="clear" w:color="auto" w:fill="auto"/>
            <w:vAlign w:val="center"/>
          </w:tcPr>
          <w:p w14:paraId="4D9C1124">
            <w:pPr>
              <w:pStyle w:val="23"/>
              <w:bidi w:val="0"/>
              <w:rPr>
                <w:rFonts w:hint="default"/>
                <w:color w:val="auto"/>
                <w:highlight w:val="none"/>
              </w:rPr>
            </w:pPr>
            <w:r>
              <w:rPr>
                <w:rFonts w:hint="default"/>
                <w:color w:val="auto"/>
                <w:highlight w:val="none"/>
              </w:rPr>
              <w:t>容量</w:t>
            </w:r>
          </w:p>
        </w:tc>
        <w:tc>
          <w:tcPr>
            <w:tcW w:w="3150" w:type="dxa"/>
            <w:tcBorders>
              <w:tl2br w:val="nil"/>
              <w:tr2bl w:val="nil"/>
            </w:tcBorders>
            <w:shd w:val="clear" w:color="auto" w:fill="auto"/>
            <w:vAlign w:val="center"/>
          </w:tcPr>
          <w:p w14:paraId="7F433186">
            <w:pPr>
              <w:pStyle w:val="23"/>
              <w:bidi w:val="0"/>
              <w:rPr>
                <w:rFonts w:hint="default"/>
                <w:color w:val="auto"/>
                <w:highlight w:val="none"/>
              </w:rPr>
            </w:pPr>
            <w:r>
              <w:rPr>
                <w:rFonts w:hint="eastAsia"/>
                <w:color w:val="auto"/>
                <w:highlight w:val="none"/>
                <w:lang w:val="en-US" w:eastAsia="zh-CN"/>
              </w:rPr>
              <w:t>150</w:t>
            </w:r>
            <w:r>
              <w:rPr>
                <w:rFonts w:hint="default"/>
                <w:color w:val="auto"/>
                <w:highlight w:val="none"/>
              </w:rPr>
              <w:t>MVA</w:t>
            </w:r>
          </w:p>
        </w:tc>
        <w:tc>
          <w:tcPr>
            <w:tcW w:w="2595" w:type="dxa"/>
            <w:tcBorders>
              <w:tl2br w:val="nil"/>
              <w:tr2bl w:val="nil"/>
            </w:tcBorders>
            <w:shd w:val="clear" w:color="auto" w:fill="auto"/>
            <w:vAlign w:val="center"/>
          </w:tcPr>
          <w:p w14:paraId="3BA2659D">
            <w:pPr>
              <w:pStyle w:val="23"/>
              <w:bidi w:val="0"/>
              <w:rPr>
                <w:rFonts w:hint="default"/>
                <w:color w:val="auto"/>
                <w:highlight w:val="none"/>
              </w:rPr>
            </w:pPr>
            <w:r>
              <w:rPr>
                <w:rFonts w:hint="eastAsia"/>
                <w:color w:val="auto"/>
                <w:highlight w:val="none"/>
                <w:lang w:val="en-US" w:eastAsia="zh-CN"/>
              </w:rPr>
              <w:t>150</w:t>
            </w:r>
            <w:r>
              <w:rPr>
                <w:rFonts w:hint="default"/>
                <w:color w:val="auto"/>
                <w:highlight w:val="none"/>
              </w:rPr>
              <w:t>MVA</w:t>
            </w:r>
          </w:p>
        </w:tc>
        <w:tc>
          <w:tcPr>
            <w:tcW w:w="1400" w:type="dxa"/>
            <w:tcBorders>
              <w:tl2br w:val="nil"/>
              <w:tr2bl w:val="nil"/>
            </w:tcBorders>
            <w:shd w:val="clear" w:color="auto" w:fill="auto"/>
            <w:vAlign w:val="center"/>
          </w:tcPr>
          <w:p w14:paraId="324FBAAA">
            <w:pPr>
              <w:pStyle w:val="23"/>
              <w:bidi w:val="0"/>
              <w:rPr>
                <w:rFonts w:hint="eastAsia"/>
                <w:color w:val="auto"/>
                <w:highlight w:val="none"/>
                <w:lang w:val="en-US" w:eastAsia="zh-CN"/>
              </w:rPr>
            </w:pPr>
            <w:r>
              <w:rPr>
                <w:rFonts w:hint="eastAsia"/>
                <w:color w:val="auto"/>
                <w:highlight w:val="none"/>
                <w:lang w:val="en-US" w:eastAsia="zh-CN"/>
              </w:rPr>
              <w:t>容量一致</w:t>
            </w:r>
          </w:p>
        </w:tc>
      </w:tr>
      <w:tr w14:paraId="31DCF27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340" w:hRule="atLeast"/>
        </w:trPr>
        <w:tc>
          <w:tcPr>
            <w:tcW w:w="1340" w:type="dxa"/>
            <w:tcBorders>
              <w:tl2br w:val="nil"/>
              <w:tr2bl w:val="nil"/>
            </w:tcBorders>
            <w:shd w:val="clear" w:color="auto" w:fill="auto"/>
            <w:vAlign w:val="center"/>
          </w:tcPr>
          <w:p w14:paraId="0ECE3B85">
            <w:pPr>
              <w:pStyle w:val="23"/>
              <w:bidi w:val="0"/>
              <w:rPr>
                <w:rFonts w:hint="eastAsia"/>
                <w:color w:val="auto"/>
                <w:highlight w:val="none"/>
                <w:lang w:eastAsia="zh-CN"/>
              </w:rPr>
            </w:pPr>
            <w:r>
              <w:rPr>
                <w:rFonts w:hint="eastAsia"/>
                <w:color w:val="auto"/>
                <w:highlight w:val="none"/>
                <w:lang w:eastAsia="zh-CN"/>
              </w:rPr>
              <w:t>主变型号</w:t>
            </w:r>
          </w:p>
        </w:tc>
        <w:tc>
          <w:tcPr>
            <w:tcW w:w="3150" w:type="dxa"/>
            <w:tcBorders>
              <w:tl2br w:val="nil"/>
              <w:tr2bl w:val="nil"/>
            </w:tcBorders>
            <w:shd w:val="clear" w:color="auto" w:fill="auto"/>
            <w:vAlign w:val="center"/>
          </w:tcPr>
          <w:p w14:paraId="4598EC97">
            <w:pPr>
              <w:pStyle w:val="23"/>
              <w:bidi w:val="0"/>
              <w:rPr>
                <w:rFonts w:hint="default"/>
                <w:color w:val="auto"/>
                <w:highlight w:val="none"/>
                <w:lang w:val="en-US" w:eastAsia="zh-CN"/>
              </w:rPr>
            </w:pPr>
            <w:r>
              <w:rPr>
                <w:rFonts w:hint="eastAsia"/>
                <w:color w:val="auto"/>
                <w:highlight w:val="none"/>
                <w:lang w:val="en-US" w:eastAsia="zh-CN"/>
              </w:rPr>
              <w:t>S11-50MVA/110+S11-100MVA/110</w:t>
            </w:r>
          </w:p>
        </w:tc>
        <w:tc>
          <w:tcPr>
            <w:tcW w:w="2595" w:type="dxa"/>
            <w:tcBorders>
              <w:tl2br w:val="nil"/>
              <w:tr2bl w:val="nil"/>
            </w:tcBorders>
            <w:shd w:val="clear" w:color="auto" w:fill="auto"/>
            <w:vAlign w:val="center"/>
          </w:tcPr>
          <w:p w14:paraId="23C10B09">
            <w:pPr>
              <w:pStyle w:val="23"/>
              <w:bidi w:val="0"/>
              <w:rPr>
                <w:rFonts w:hint="eastAsia"/>
                <w:color w:val="auto"/>
                <w:highlight w:val="none"/>
                <w:lang w:val="en-US" w:eastAsia="zh-CN"/>
              </w:rPr>
            </w:pPr>
            <w:r>
              <w:rPr>
                <w:rFonts w:hint="eastAsia"/>
                <w:color w:val="auto"/>
                <w:highlight w:val="none"/>
                <w:lang w:val="en-US" w:eastAsia="zh-CN"/>
              </w:rPr>
              <w:t>S11-50MVA/110+S11-100MVA/110</w:t>
            </w:r>
          </w:p>
        </w:tc>
        <w:tc>
          <w:tcPr>
            <w:tcW w:w="1400" w:type="dxa"/>
            <w:tcBorders>
              <w:tl2br w:val="nil"/>
              <w:tr2bl w:val="nil"/>
            </w:tcBorders>
            <w:shd w:val="clear" w:color="auto" w:fill="auto"/>
            <w:vAlign w:val="center"/>
          </w:tcPr>
          <w:p w14:paraId="042EE009">
            <w:pPr>
              <w:pStyle w:val="23"/>
              <w:bidi w:val="0"/>
              <w:rPr>
                <w:rFonts w:hint="eastAsia"/>
                <w:color w:val="auto"/>
                <w:highlight w:val="none"/>
                <w:lang w:val="en-US" w:eastAsia="zh-CN"/>
              </w:rPr>
            </w:pPr>
            <w:r>
              <w:rPr>
                <w:rFonts w:hint="eastAsia"/>
                <w:color w:val="auto"/>
                <w:highlight w:val="none"/>
                <w:lang w:val="en-US" w:eastAsia="zh-CN"/>
              </w:rPr>
              <w:t>一致</w:t>
            </w:r>
          </w:p>
        </w:tc>
      </w:tr>
      <w:tr w14:paraId="263C1D8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340" w:hRule="atLeast"/>
        </w:trPr>
        <w:tc>
          <w:tcPr>
            <w:tcW w:w="1340" w:type="dxa"/>
            <w:tcBorders>
              <w:tl2br w:val="nil"/>
              <w:tr2bl w:val="nil"/>
            </w:tcBorders>
            <w:shd w:val="clear" w:color="auto" w:fill="auto"/>
            <w:vAlign w:val="center"/>
          </w:tcPr>
          <w:p w14:paraId="63E7BC40">
            <w:pPr>
              <w:pStyle w:val="23"/>
              <w:bidi w:val="0"/>
              <w:rPr>
                <w:rFonts w:hint="default"/>
                <w:color w:val="auto"/>
                <w:highlight w:val="none"/>
              </w:rPr>
            </w:pPr>
            <w:r>
              <w:rPr>
                <w:rFonts w:hint="default"/>
                <w:color w:val="auto"/>
                <w:highlight w:val="none"/>
              </w:rPr>
              <w:t>总平面布置</w:t>
            </w:r>
          </w:p>
        </w:tc>
        <w:tc>
          <w:tcPr>
            <w:tcW w:w="3150" w:type="dxa"/>
            <w:tcBorders>
              <w:tl2br w:val="nil"/>
              <w:tr2bl w:val="nil"/>
            </w:tcBorders>
            <w:shd w:val="clear" w:color="auto" w:fill="auto"/>
            <w:vAlign w:val="center"/>
          </w:tcPr>
          <w:p w14:paraId="42BA9FB5">
            <w:pPr>
              <w:pStyle w:val="23"/>
              <w:bidi w:val="0"/>
              <w:rPr>
                <w:rFonts w:hint="default"/>
                <w:color w:val="auto"/>
                <w:highlight w:val="none"/>
              </w:rPr>
            </w:pPr>
            <w:r>
              <w:rPr>
                <w:rFonts w:hint="default"/>
                <w:color w:val="auto"/>
                <w:highlight w:val="none"/>
              </w:rPr>
              <w:t>户外布置</w:t>
            </w:r>
          </w:p>
        </w:tc>
        <w:tc>
          <w:tcPr>
            <w:tcW w:w="2595" w:type="dxa"/>
            <w:tcBorders>
              <w:tl2br w:val="nil"/>
              <w:tr2bl w:val="nil"/>
            </w:tcBorders>
            <w:shd w:val="clear" w:color="auto" w:fill="auto"/>
            <w:vAlign w:val="center"/>
          </w:tcPr>
          <w:p w14:paraId="370EF51B">
            <w:pPr>
              <w:pStyle w:val="23"/>
              <w:bidi w:val="0"/>
              <w:rPr>
                <w:rFonts w:hint="default"/>
                <w:color w:val="auto"/>
                <w:highlight w:val="none"/>
              </w:rPr>
            </w:pPr>
            <w:r>
              <w:rPr>
                <w:rFonts w:hint="default"/>
                <w:color w:val="auto"/>
                <w:highlight w:val="none"/>
              </w:rPr>
              <w:t>户外布置</w:t>
            </w:r>
          </w:p>
        </w:tc>
        <w:tc>
          <w:tcPr>
            <w:tcW w:w="1400" w:type="dxa"/>
            <w:tcBorders>
              <w:tl2br w:val="nil"/>
              <w:tr2bl w:val="nil"/>
            </w:tcBorders>
            <w:shd w:val="clear" w:color="auto" w:fill="auto"/>
            <w:vAlign w:val="center"/>
          </w:tcPr>
          <w:p w14:paraId="200FF461">
            <w:pPr>
              <w:pStyle w:val="23"/>
              <w:bidi w:val="0"/>
              <w:rPr>
                <w:rFonts w:hint="eastAsia"/>
                <w:color w:val="auto"/>
                <w:highlight w:val="none"/>
                <w:lang w:eastAsia="zh-CN"/>
              </w:rPr>
            </w:pPr>
            <w:r>
              <w:rPr>
                <w:rFonts w:hint="eastAsia"/>
                <w:color w:val="auto"/>
                <w:highlight w:val="none"/>
                <w:lang w:eastAsia="zh-CN"/>
              </w:rPr>
              <w:t>一致</w:t>
            </w:r>
          </w:p>
        </w:tc>
      </w:tr>
      <w:tr w14:paraId="2EE1AB0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340" w:hRule="atLeast"/>
        </w:trPr>
        <w:tc>
          <w:tcPr>
            <w:tcW w:w="1340" w:type="dxa"/>
            <w:tcBorders>
              <w:tl2br w:val="nil"/>
              <w:tr2bl w:val="nil"/>
            </w:tcBorders>
            <w:shd w:val="clear" w:color="auto" w:fill="auto"/>
            <w:vAlign w:val="center"/>
          </w:tcPr>
          <w:p w14:paraId="62DE0353">
            <w:pPr>
              <w:pStyle w:val="23"/>
              <w:bidi w:val="0"/>
              <w:rPr>
                <w:rFonts w:hint="default"/>
                <w:color w:val="auto"/>
                <w:highlight w:val="none"/>
              </w:rPr>
            </w:pPr>
            <w:r>
              <w:rPr>
                <w:rFonts w:hint="eastAsia"/>
                <w:color w:val="auto"/>
                <w:highlight w:val="none"/>
                <w:lang w:eastAsia="zh-CN"/>
              </w:rPr>
              <w:t>升压站布置形式</w:t>
            </w:r>
          </w:p>
        </w:tc>
        <w:tc>
          <w:tcPr>
            <w:tcW w:w="3150" w:type="dxa"/>
            <w:tcBorders>
              <w:tl2br w:val="nil"/>
              <w:tr2bl w:val="nil"/>
            </w:tcBorders>
            <w:shd w:val="clear" w:color="auto" w:fill="auto"/>
            <w:vAlign w:val="center"/>
          </w:tcPr>
          <w:p w14:paraId="1C456C2D">
            <w:pPr>
              <w:pStyle w:val="23"/>
              <w:bidi w:val="0"/>
              <w:rPr>
                <w:rFonts w:hint="default"/>
                <w:color w:val="auto"/>
                <w:highlight w:val="none"/>
                <w:lang w:val="en-US" w:eastAsia="zh-CN"/>
              </w:rPr>
            </w:pPr>
            <w:r>
              <w:rPr>
                <w:rFonts w:hint="eastAsia"/>
                <w:color w:val="auto"/>
                <w:highlight w:val="none"/>
                <w:lang w:eastAsia="zh-CN"/>
              </w:rPr>
              <w:t>主变压器、</w:t>
            </w:r>
            <w:r>
              <w:rPr>
                <w:rFonts w:hint="eastAsia"/>
                <w:color w:val="auto"/>
                <w:highlight w:val="none"/>
                <w:lang w:val="en-US" w:eastAsia="zh-CN"/>
              </w:rPr>
              <w:t>35kV配电室由北向南依次布置，110kV配电装置设计向西出线。</w:t>
            </w:r>
          </w:p>
        </w:tc>
        <w:tc>
          <w:tcPr>
            <w:tcW w:w="2595" w:type="dxa"/>
            <w:tcBorders>
              <w:tl2br w:val="nil"/>
              <w:tr2bl w:val="nil"/>
            </w:tcBorders>
            <w:shd w:val="clear" w:color="auto" w:fill="auto"/>
            <w:vAlign w:val="center"/>
          </w:tcPr>
          <w:p w14:paraId="4D4D6B7D">
            <w:pPr>
              <w:pStyle w:val="23"/>
              <w:bidi w:val="0"/>
              <w:rPr>
                <w:rFonts w:hint="default"/>
                <w:color w:val="auto"/>
                <w:highlight w:val="none"/>
              </w:rPr>
            </w:pPr>
            <w:r>
              <w:rPr>
                <w:rFonts w:hint="default"/>
                <w:color w:val="auto"/>
                <w:highlight w:val="none"/>
                <w:lang w:val="en-US" w:eastAsia="zh-CN"/>
              </w:rPr>
              <w:t>35kV配电室、主变压器及110kV构架区由北向南依次联合布置，110kV配电装置设计向</w:t>
            </w:r>
            <w:r>
              <w:rPr>
                <w:rFonts w:hint="eastAsia"/>
                <w:color w:val="auto"/>
                <w:highlight w:val="none"/>
                <w:lang w:val="en-US" w:eastAsia="zh-CN"/>
              </w:rPr>
              <w:t>西</w:t>
            </w:r>
            <w:r>
              <w:rPr>
                <w:rFonts w:hint="default"/>
                <w:color w:val="auto"/>
                <w:highlight w:val="none"/>
                <w:lang w:val="en-US" w:eastAsia="zh-CN"/>
              </w:rPr>
              <w:t>北出线</w:t>
            </w:r>
            <w:r>
              <w:rPr>
                <w:rFonts w:hint="eastAsia"/>
                <w:color w:val="auto"/>
                <w:highlight w:val="none"/>
                <w:lang w:val="en-US" w:eastAsia="zh-CN"/>
              </w:rPr>
              <w:t>。</w:t>
            </w:r>
          </w:p>
        </w:tc>
        <w:tc>
          <w:tcPr>
            <w:tcW w:w="1400" w:type="dxa"/>
            <w:tcBorders>
              <w:tl2br w:val="nil"/>
              <w:tr2bl w:val="nil"/>
            </w:tcBorders>
            <w:shd w:val="clear" w:color="auto" w:fill="auto"/>
            <w:vAlign w:val="center"/>
          </w:tcPr>
          <w:p w14:paraId="61B600D7">
            <w:pPr>
              <w:pStyle w:val="23"/>
              <w:bidi w:val="0"/>
              <w:rPr>
                <w:rFonts w:hint="default"/>
                <w:color w:val="auto"/>
                <w:highlight w:val="none"/>
                <w:lang w:val="en-US" w:eastAsia="zh-CN"/>
              </w:rPr>
            </w:pPr>
            <w:r>
              <w:rPr>
                <w:rFonts w:hint="eastAsia"/>
                <w:color w:val="auto"/>
                <w:highlight w:val="none"/>
                <w:lang w:val="en-US" w:eastAsia="zh-CN"/>
              </w:rPr>
              <w:t>主变及110kV 配电装置平面布置南北一致</w:t>
            </w:r>
          </w:p>
        </w:tc>
      </w:tr>
      <w:tr w14:paraId="1BF8EB4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340" w:hRule="atLeast"/>
        </w:trPr>
        <w:tc>
          <w:tcPr>
            <w:tcW w:w="1340" w:type="dxa"/>
            <w:tcBorders>
              <w:tl2br w:val="nil"/>
              <w:tr2bl w:val="nil"/>
            </w:tcBorders>
            <w:shd w:val="clear" w:color="auto" w:fill="auto"/>
            <w:vAlign w:val="center"/>
          </w:tcPr>
          <w:p w14:paraId="3C4EC7C3">
            <w:pPr>
              <w:pStyle w:val="23"/>
              <w:bidi w:val="0"/>
              <w:rPr>
                <w:rFonts w:hint="eastAsia"/>
                <w:color w:val="auto"/>
                <w:highlight w:val="none"/>
                <w:lang w:eastAsia="zh-CN"/>
              </w:rPr>
            </w:pPr>
            <w:r>
              <w:rPr>
                <w:rFonts w:hint="eastAsia"/>
                <w:color w:val="auto"/>
                <w:highlight w:val="none"/>
                <w:lang w:eastAsia="zh-CN"/>
              </w:rPr>
              <w:t>出线方式</w:t>
            </w:r>
          </w:p>
        </w:tc>
        <w:tc>
          <w:tcPr>
            <w:tcW w:w="3150" w:type="dxa"/>
            <w:tcBorders>
              <w:tl2br w:val="nil"/>
              <w:tr2bl w:val="nil"/>
            </w:tcBorders>
            <w:shd w:val="clear" w:color="auto" w:fill="auto"/>
            <w:vAlign w:val="center"/>
          </w:tcPr>
          <w:p w14:paraId="4C5D7BF3">
            <w:pPr>
              <w:pStyle w:val="23"/>
              <w:bidi w:val="0"/>
              <w:rPr>
                <w:rFonts w:hint="eastAsia"/>
                <w:color w:val="auto"/>
                <w:highlight w:val="none"/>
                <w:lang w:eastAsia="zh-CN"/>
              </w:rPr>
            </w:pPr>
            <w:r>
              <w:rPr>
                <w:rFonts w:hint="eastAsia"/>
                <w:color w:val="auto"/>
                <w:highlight w:val="none"/>
                <w:lang w:eastAsia="zh-CN"/>
              </w:rPr>
              <w:t>架空</w:t>
            </w:r>
          </w:p>
        </w:tc>
        <w:tc>
          <w:tcPr>
            <w:tcW w:w="2595" w:type="dxa"/>
            <w:tcBorders>
              <w:tl2br w:val="nil"/>
              <w:tr2bl w:val="nil"/>
            </w:tcBorders>
            <w:shd w:val="clear" w:color="auto" w:fill="auto"/>
            <w:vAlign w:val="center"/>
          </w:tcPr>
          <w:p w14:paraId="7DAFD9D7">
            <w:pPr>
              <w:pStyle w:val="23"/>
              <w:bidi w:val="0"/>
              <w:rPr>
                <w:rFonts w:hint="default"/>
                <w:color w:val="auto"/>
                <w:highlight w:val="none"/>
                <w:lang w:val="en-US" w:eastAsia="zh-CN"/>
              </w:rPr>
            </w:pPr>
            <w:r>
              <w:rPr>
                <w:rFonts w:hint="eastAsia"/>
                <w:color w:val="auto"/>
                <w:highlight w:val="none"/>
                <w:lang w:val="en-US" w:eastAsia="zh-CN"/>
              </w:rPr>
              <w:t>架空</w:t>
            </w:r>
          </w:p>
        </w:tc>
        <w:tc>
          <w:tcPr>
            <w:tcW w:w="1400" w:type="dxa"/>
            <w:tcBorders>
              <w:tl2br w:val="nil"/>
              <w:tr2bl w:val="nil"/>
            </w:tcBorders>
            <w:shd w:val="clear" w:color="auto" w:fill="auto"/>
            <w:vAlign w:val="center"/>
          </w:tcPr>
          <w:p w14:paraId="0852ABB9">
            <w:pPr>
              <w:pStyle w:val="23"/>
              <w:bidi w:val="0"/>
              <w:rPr>
                <w:rFonts w:hint="eastAsia"/>
                <w:color w:val="auto"/>
                <w:highlight w:val="none"/>
                <w:lang w:val="en-US" w:eastAsia="zh-CN"/>
              </w:rPr>
            </w:pPr>
            <w:r>
              <w:rPr>
                <w:rFonts w:hint="eastAsia"/>
                <w:color w:val="auto"/>
                <w:highlight w:val="none"/>
                <w:lang w:val="en-US" w:eastAsia="zh-CN"/>
              </w:rPr>
              <w:t>出线方式一致</w:t>
            </w:r>
          </w:p>
        </w:tc>
      </w:tr>
      <w:tr w14:paraId="3DA10FE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340" w:hRule="atLeast"/>
        </w:trPr>
        <w:tc>
          <w:tcPr>
            <w:tcW w:w="1340" w:type="dxa"/>
            <w:tcBorders>
              <w:tl2br w:val="nil"/>
              <w:tr2bl w:val="nil"/>
            </w:tcBorders>
            <w:shd w:val="clear" w:color="auto" w:fill="auto"/>
            <w:vAlign w:val="center"/>
          </w:tcPr>
          <w:p w14:paraId="7407C442">
            <w:pPr>
              <w:pStyle w:val="23"/>
              <w:bidi w:val="0"/>
              <w:rPr>
                <w:rFonts w:hint="eastAsia"/>
                <w:color w:val="auto"/>
                <w:highlight w:val="none"/>
                <w:lang w:val="en-US" w:eastAsia="zh-CN"/>
              </w:rPr>
            </w:pPr>
            <w:r>
              <w:rPr>
                <w:rFonts w:hint="eastAsia"/>
                <w:color w:val="auto"/>
                <w:highlight w:val="none"/>
                <w:lang w:eastAsia="zh-CN"/>
              </w:rPr>
              <w:t>出线规模</w:t>
            </w:r>
          </w:p>
        </w:tc>
        <w:tc>
          <w:tcPr>
            <w:tcW w:w="3150" w:type="dxa"/>
            <w:tcBorders>
              <w:tl2br w:val="nil"/>
              <w:tr2bl w:val="nil"/>
            </w:tcBorders>
            <w:shd w:val="clear" w:color="auto" w:fill="auto"/>
            <w:vAlign w:val="center"/>
          </w:tcPr>
          <w:p w14:paraId="38B62344">
            <w:pPr>
              <w:pStyle w:val="23"/>
              <w:bidi w:val="0"/>
              <w:rPr>
                <w:rFonts w:hint="eastAsia"/>
                <w:color w:val="auto"/>
                <w:highlight w:val="none"/>
                <w:lang w:val="en-US" w:eastAsia="zh-CN"/>
              </w:rPr>
            </w:pPr>
            <w:r>
              <w:rPr>
                <w:rFonts w:hint="default"/>
                <w:color w:val="auto"/>
                <w:highlight w:val="none"/>
              </w:rPr>
              <w:t>1回</w:t>
            </w:r>
          </w:p>
        </w:tc>
        <w:tc>
          <w:tcPr>
            <w:tcW w:w="2595" w:type="dxa"/>
            <w:tcBorders>
              <w:tl2br w:val="nil"/>
              <w:tr2bl w:val="nil"/>
            </w:tcBorders>
            <w:shd w:val="clear" w:color="auto" w:fill="auto"/>
            <w:vAlign w:val="center"/>
          </w:tcPr>
          <w:p w14:paraId="7BEE5769">
            <w:pPr>
              <w:pStyle w:val="23"/>
              <w:bidi w:val="0"/>
              <w:rPr>
                <w:rFonts w:hint="eastAsia"/>
                <w:color w:val="auto"/>
                <w:highlight w:val="none"/>
                <w:lang w:val="en-US" w:eastAsia="zh-CN"/>
              </w:rPr>
            </w:pPr>
            <w:r>
              <w:rPr>
                <w:rFonts w:hint="default"/>
                <w:color w:val="auto"/>
                <w:highlight w:val="none"/>
              </w:rPr>
              <w:t>1回</w:t>
            </w:r>
          </w:p>
        </w:tc>
        <w:tc>
          <w:tcPr>
            <w:tcW w:w="1400" w:type="dxa"/>
            <w:tcBorders>
              <w:tl2br w:val="nil"/>
              <w:tr2bl w:val="nil"/>
            </w:tcBorders>
            <w:shd w:val="clear" w:color="auto" w:fill="auto"/>
            <w:vAlign w:val="center"/>
          </w:tcPr>
          <w:p w14:paraId="11984EDD">
            <w:pPr>
              <w:pStyle w:val="23"/>
              <w:bidi w:val="0"/>
              <w:rPr>
                <w:rFonts w:hint="eastAsia"/>
                <w:color w:val="auto"/>
                <w:highlight w:val="none"/>
                <w:lang w:eastAsia="zh-CN"/>
              </w:rPr>
            </w:pPr>
            <w:r>
              <w:rPr>
                <w:rFonts w:hint="eastAsia"/>
                <w:color w:val="auto"/>
                <w:highlight w:val="none"/>
                <w:lang w:eastAsia="zh-CN"/>
              </w:rPr>
              <w:t>出线规模一致</w:t>
            </w:r>
          </w:p>
        </w:tc>
      </w:tr>
      <w:tr w14:paraId="250F475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0" w:type="dxa"/>
            <w:bottom w:w="0" w:type="dxa"/>
            <w:right w:w="0" w:type="dxa"/>
          </w:tblCellMar>
        </w:tblPrEx>
        <w:trPr>
          <w:trHeight w:val="340" w:hRule="atLeast"/>
        </w:trPr>
        <w:tc>
          <w:tcPr>
            <w:tcW w:w="1340" w:type="dxa"/>
            <w:tcBorders>
              <w:tl2br w:val="nil"/>
              <w:tr2bl w:val="nil"/>
            </w:tcBorders>
            <w:shd w:val="clear" w:color="auto" w:fill="auto"/>
            <w:vAlign w:val="center"/>
          </w:tcPr>
          <w:p w14:paraId="06864DDE">
            <w:pPr>
              <w:pStyle w:val="23"/>
              <w:bidi w:val="0"/>
              <w:rPr>
                <w:rFonts w:hint="eastAsia"/>
                <w:color w:val="auto"/>
                <w:highlight w:val="none"/>
                <w:lang w:eastAsia="zh-CN"/>
              </w:rPr>
            </w:pPr>
            <w:r>
              <w:rPr>
                <w:rFonts w:hint="eastAsia"/>
                <w:color w:val="auto"/>
                <w:highlight w:val="none"/>
                <w:lang w:eastAsia="zh-CN"/>
              </w:rPr>
              <w:t>占地面积</w:t>
            </w:r>
          </w:p>
        </w:tc>
        <w:tc>
          <w:tcPr>
            <w:tcW w:w="3150" w:type="dxa"/>
            <w:tcBorders>
              <w:tl2br w:val="nil"/>
              <w:tr2bl w:val="nil"/>
            </w:tcBorders>
            <w:shd w:val="clear" w:color="auto" w:fill="auto"/>
            <w:vAlign w:val="center"/>
          </w:tcPr>
          <w:p w14:paraId="335A19CF">
            <w:pPr>
              <w:pStyle w:val="23"/>
              <w:bidi w:val="0"/>
              <w:rPr>
                <w:rFonts w:hint="default"/>
                <w:color w:val="auto"/>
                <w:highlight w:val="none"/>
                <w:lang w:val="en-US" w:eastAsia="zh-CN"/>
              </w:rPr>
            </w:pPr>
            <w:r>
              <w:rPr>
                <w:rFonts w:hint="eastAsia"/>
                <w:color w:val="auto"/>
                <w:highlight w:val="none"/>
                <w:lang w:val="en-US" w:eastAsia="zh-CN"/>
              </w:rPr>
              <w:t>6006m</w:t>
            </w:r>
            <w:r>
              <w:rPr>
                <w:rFonts w:hint="eastAsia"/>
                <w:color w:val="auto"/>
                <w:highlight w:val="none"/>
                <w:vertAlign w:val="superscript"/>
                <w:lang w:val="en-US" w:eastAsia="zh-CN"/>
              </w:rPr>
              <w:t>2</w:t>
            </w:r>
          </w:p>
        </w:tc>
        <w:tc>
          <w:tcPr>
            <w:tcW w:w="2595" w:type="dxa"/>
            <w:tcBorders>
              <w:tl2br w:val="nil"/>
              <w:tr2bl w:val="nil"/>
            </w:tcBorders>
            <w:shd w:val="clear" w:color="auto" w:fill="auto"/>
            <w:vAlign w:val="center"/>
          </w:tcPr>
          <w:p w14:paraId="762A6358">
            <w:pPr>
              <w:pStyle w:val="23"/>
              <w:bidi w:val="0"/>
              <w:rPr>
                <w:rFonts w:hint="default"/>
                <w:color w:val="auto"/>
                <w:highlight w:val="none"/>
                <w:lang w:val="en-US" w:eastAsia="zh-CN"/>
              </w:rPr>
            </w:pPr>
            <w:r>
              <w:rPr>
                <w:rFonts w:hint="eastAsia"/>
                <w:color w:val="auto"/>
                <w:highlight w:val="none"/>
                <w:lang w:val="en-US" w:eastAsia="zh-CN"/>
              </w:rPr>
              <w:t>6615m</w:t>
            </w:r>
            <w:r>
              <w:rPr>
                <w:rFonts w:hint="eastAsia"/>
                <w:color w:val="auto"/>
                <w:highlight w:val="none"/>
                <w:vertAlign w:val="superscript"/>
                <w:lang w:val="en-US" w:eastAsia="zh-CN"/>
              </w:rPr>
              <w:t>2</w:t>
            </w:r>
          </w:p>
        </w:tc>
        <w:tc>
          <w:tcPr>
            <w:tcW w:w="1400" w:type="dxa"/>
            <w:tcBorders>
              <w:tl2br w:val="nil"/>
              <w:tr2bl w:val="nil"/>
            </w:tcBorders>
            <w:shd w:val="clear" w:color="auto" w:fill="auto"/>
            <w:vAlign w:val="center"/>
          </w:tcPr>
          <w:p w14:paraId="2A540992">
            <w:pPr>
              <w:pStyle w:val="23"/>
              <w:bidi w:val="0"/>
              <w:rPr>
                <w:rFonts w:hint="eastAsia"/>
                <w:color w:val="auto"/>
                <w:highlight w:val="none"/>
                <w:lang w:val="en-US" w:eastAsia="zh-CN"/>
              </w:rPr>
            </w:pPr>
            <w:r>
              <w:rPr>
                <w:rFonts w:hint="eastAsia"/>
                <w:color w:val="auto"/>
                <w:highlight w:val="none"/>
                <w:lang w:val="en-US" w:eastAsia="zh-CN"/>
              </w:rPr>
              <w:t>占地面积相当</w:t>
            </w:r>
          </w:p>
        </w:tc>
      </w:tr>
    </w:tbl>
    <w:p w14:paraId="4202D036">
      <w:pPr>
        <w:bidi w:val="0"/>
        <w:rPr>
          <w:rFonts w:ascii="Times New Roman" w:hAnsi="Times New Roman" w:eastAsia="宋体" w:cs="Times New Roman"/>
          <w:color w:val="auto"/>
          <w:highlight w:val="none"/>
        </w:rPr>
      </w:pPr>
      <w:r>
        <w:rPr>
          <w:rFonts w:hint="eastAsia" w:cs="Times New Roman"/>
          <w:color w:val="auto"/>
          <w:highlight w:val="none"/>
          <w:u w:val="none"/>
          <w:lang w:val="en-US" w:eastAsia="zh-CN"/>
        </w:rPr>
        <w:t>根据类比分析可知，</w:t>
      </w:r>
      <w:r>
        <w:rPr>
          <w:rFonts w:hint="eastAsia" w:ascii="Times New Roman" w:hAnsi="Times New Roman" w:cs="Times New Roman"/>
          <w:color w:val="auto"/>
          <w:highlight w:val="none"/>
          <w:u w:val="none"/>
          <w:lang w:val="en-US" w:eastAsia="zh-CN"/>
        </w:rPr>
        <w:t>现有</w:t>
      </w:r>
      <w:r>
        <w:rPr>
          <w:rFonts w:hint="default" w:ascii="Times New Roman" w:hAnsi="Times New Roman" w:cs="Times New Roman"/>
          <w:color w:val="auto"/>
          <w:highlight w:val="none"/>
          <w:u w:val="none"/>
          <w:lang w:val="en-US" w:eastAsia="zh-CN"/>
        </w:rPr>
        <w:t>110kV升压站主变扩建后的建设规模、电压等级、容量、总平面布置、110kV线路回数与</w:t>
      </w:r>
      <w:r>
        <w:rPr>
          <w:rFonts w:hint="eastAsia" w:cs="Times New Roman"/>
          <w:color w:val="auto"/>
          <w:highlight w:val="none"/>
          <w:u w:val="none"/>
          <w:lang w:val="en-US" w:eastAsia="zh-CN"/>
        </w:rPr>
        <w:t>国电电力城步金紫山风电场工程</w:t>
      </w:r>
      <w:r>
        <w:rPr>
          <w:rFonts w:hint="default" w:ascii="Times New Roman" w:hAnsi="Times New Roman" w:cs="Times New Roman"/>
          <w:color w:val="auto"/>
          <w:highlight w:val="none"/>
          <w:u w:val="none"/>
          <w:lang w:val="en-US" w:eastAsia="zh-CN"/>
        </w:rPr>
        <w:t>110kV升压站一致</w:t>
      </w:r>
      <w:r>
        <w:rPr>
          <w:rFonts w:hint="eastAsia" w:ascii="Times New Roman" w:hAnsi="Times New Roman" w:cs="Times New Roman"/>
          <w:color w:val="auto"/>
          <w:highlight w:val="none"/>
          <w:u w:val="none"/>
          <w:lang w:val="en-US" w:eastAsia="zh-CN"/>
        </w:rPr>
        <w:t>，</w:t>
      </w:r>
      <w:r>
        <w:rPr>
          <w:rFonts w:hint="default" w:ascii="Times New Roman" w:hAnsi="Times New Roman" w:cs="Times New Roman"/>
          <w:color w:val="auto"/>
          <w:highlight w:val="none"/>
          <w:u w:val="none"/>
          <w:lang w:val="en-US" w:eastAsia="zh-CN"/>
        </w:rPr>
        <w:t>占地面积</w:t>
      </w:r>
      <w:r>
        <w:rPr>
          <w:rFonts w:hint="eastAsia" w:cs="Times New Roman"/>
          <w:color w:val="auto"/>
          <w:highlight w:val="none"/>
          <w:u w:val="none"/>
          <w:lang w:val="en-US" w:eastAsia="zh-CN"/>
        </w:rPr>
        <w:t>与国电电力城步金紫山风电场工程</w:t>
      </w:r>
      <w:r>
        <w:rPr>
          <w:rFonts w:hint="default" w:ascii="Times New Roman" w:hAnsi="Times New Roman" w:cs="Times New Roman"/>
          <w:color w:val="auto"/>
          <w:highlight w:val="none"/>
          <w:u w:val="none"/>
          <w:lang w:val="en-US" w:eastAsia="zh-CN"/>
        </w:rPr>
        <w:t>110kV升压站</w:t>
      </w:r>
      <w:r>
        <w:rPr>
          <w:rFonts w:hint="eastAsia" w:cs="Times New Roman"/>
          <w:color w:val="auto"/>
          <w:highlight w:val="none"/>
          <w:u w:val="none"/>
          <w:lang w:val="en-US" w:eastAsia="zh-CN"/>
        </w:rPr>
        <w:t>相当</w:t>
      </w:r>
      <w:r>
        <w:rPr>
          <w:rFonts w:hint="default" w:ascii="Times New Roman" w:hAnsi="Times New Roman" w:cs="Times New Roman"/>
          <w:color w:val="auto"/>
          <w:highlight w:val="none"/>
          <w:u w:val="none"/>
          <w:lang w:val="en-US" w:eastAsia="zh-CN"/>
        </w:rPr>
        <w:t>。本项目选择</w:t>
      </w:r>
      <w:r>
        <w:rPr>
          <w:rFonts w:hint="eastAsia" w:cs="Times New Roman"/>
          <w:color w:val="auto"/>
          <w:highlight w:val="none"/>
          <w:u w:val="none"/>
          <w:lang w:val="en-US" w:eastAsia="zh-CN"/>
        </w:rPr>
        <w:t>国电电力城步金紫山风电场工程</w:t>
      </w:r>
      <w:r>
        <w:rPr>
          <w:rFonts w:hint="default" w:ascii="Times New Roman" w:hAnsi="Times New Roman" w:cs="Times New Roman"/>
          <w:color w:val="auto"/>
          <w:highlight w:val="none"/>
          <w:u w:val="none"/>
          <w:lang w:val="en-US" w:eastAsia="zh-CN"/>
        </w:rPr>
        <w:t>110kV升压站作为类比具有一定的可类比性。因此，以</w:t>
      </w:r>
      <w:r>
        <w:rPr>
          <w:rFonts w:hint="eastAsia" w:cs="Times New Roman"/>
          <w:color w:val="auto"/>
          <w:highlight w:val="none"/>
          <w:u w:val="none"/>
          <w:lang w:val="en-US" w:eastAsia="zh-CN"/>
        </w:rPr>
        <w:t>国电电力城步金紫山风电场工程</w:t>
      </w:r>
      <w:r>
        <w:rPr>
          <w:rFonts w:hint="default" w:ascii="Times New Roman" w:hAnsi="Times New Roman" w:cs="Times New Roman"/>
          <w:color w:val="auto"/>
          <w:highlight w:val="none"/>
          <w:u w:val="none"/>
          <w:lang w:val="en-US" w:eastAsia="zh-CN"/>
        </w:rPr>
        <w:t>110kV升压站作类比进行本项目的电磁环境影响预测与评价是可行的。</w:t>
      </w:r>
    </w:p>
    <w:p w14:paraId="41AB724D">
      <w:pPr>
        <w:pStyle w:val="6"/>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类比监测</w:t>
      </w:r>
    </w:p>
    <w:p w14:paraId="3962FB84">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eastAsia" w:ascii="Times New Roman" w:hAnsi="Times New Roman" w:eastAsia="宋体" w:cs="Times New Roman"/>
          <w:b/>
          <w:bCs/>
          <w:color w:val="auto"/>
          <w:sz w:val="24"/>
          <w:szCs w:val="24"/>
          <w:highlight w:val="none"/>
          <w:u w:val="none"/>
          <w:lang w:val="en-US" w:eastAsia="zh-CN"/>
        </w:rPr>
      </w:pPr>
      <w:r>
        <w:rPr>
          <w:rFonts w:hint="eastAsia" w:ascii="Times New Roman" w:hAnsi="Times New Roman" w:eastAsia="宋体" w:cs="Times New Roman"/>
          <w:b/>
          <w:bCs/>
          <w:color w:val="auto"/>
          <w:sz w:val="24"/>
          <w:szCs w:val="24"/>
          <w:highlight w:val="none"/>
          <w:u w:val="none"/>
          <w:lang w:val="en-US" w:eastAsia="zh-CN"/>
        </w:rPr>
        <w:t>监测因子</w:t>
      </w:r>
    </w:p>
    <w:p w14:paraId="0A76DFA7">
      <w:pPr>
        <w:bidi w:val="0"/>
        <w:rPr>
          <w:color w:val="auto"/>
          <w:highlight w:val="none"/>
        </w:rPr>
      </w:pPr>
      <w:r>
        <w:rPr>
          <w:rFonts w:hint="default" w:ascii="Times New Roman" w:hAnsi="Times New Roman" w:cs="Times New Roman"/>
          <w:color w:val="auto"/>
          <w:highlight w:val="none"/>
          <w:lang w:val="en-US" w:eastAsia="zh-CN"/>
        </w:rPr>
        <w:t>工频电场、工频磁感应强度。</w:t>
      </w:r>
    </w:p>
    <w:p w14:paraId="3E2AA27E">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eastAsia" w:ascii="Times New Roman" w:hAnsi="Times New Roman" w:eastAsia="宋体" w:cs="Times New Roman"/>
          <w:b/>
          <w:bCs/>
          <w:color w:val="auto"/>
          <w:sz w:val="24"/>
          <w:szCs w:val="24"/>
          <w:highlight w:val="none"/>
          <w:u w:val="none"/>
          <w:lang w:val="en-US" w:eastAsia="zh-CN"/>
        </w:rPr>
      </w:pPr>
      <w:r>
        <w:rPr>
          <w:rFonts w:hint="eastAsia" w:ascii="Times New Roman" w:hAnsi="Times New Roman" w:eastAsia="宋体" w:cs="Times New Roman"/>
          <w:b/>
          <w:bCs/>
          <w:color w:val="auto"/>
          <w:sz w:val="24"/>
          <w:szCs w:val="24"/>
          <w:highlight w:val="none"/>
          <w:u w:val="none"/>
          <w:lang w:val="en-US" w:eastAsia="zh-CN"/>
        </w:rPr>
        <w:t>监测布点</w:t>
      </w:r>
    </w:p>
    <w:p w14:paraId="39D18327">
      <w:pPr>
        <w:pStyle w:val="61"/>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类比对象</w:t>
      </w:r>
      <w:r>
        <w:rPr>
          <w:rFonts w:hint="eastAsia" w:cs="Times New Roman"/>
          <w:color w:val="auto"/>
          <w:highlight w:val="none"/>
          <w:lang w:val="en-US" w:eastAsia="zh-CN"/>
        </w:rPr>
        <w:t>国电电力城步金紫山风电场工程110kV升压站</w:t>
      </w:r>
      <w:r>
        <w:rPr>
          <w:rFonts w:hint="default" w:ascii="Times New Roman" w:hAnsi="Times New Roman" w:cs="Times New Roman"/>
          <w:color w:val="auto"/>
          <w:highlight w:val="none"/>
          <w:lang w:val="en-US" w:eastAsia="zh-CN"/>
        </w:rPr>
        <w:t>监测布点见表</w:t>
      </w:r>
      <w:r>
        <w:rPr>
          <w:rFonts w:hint="eastAsia" w:cs="Times New Roman"/>
          <w:color w:val="auto"/>
          <w:highlight w:val="none"/>
          <w:lang w:val="en-US" w:eastAsia="zh-CN"/>
        </w:rPr>
        <w:t>6.2.6</w:t>
      </w:r>
      <w:r>
        <w:rPr>
          <w:rFonts w:hint="default" w:ascii="Times New Roman" w:hAnsi="Times New Roman" w:cs="Times New Roman"/>
          <w:color w:val="auto"/>
          <w:highlight w:val="none"/>
          <w:lang w:val="en-US" w:eastAsia="zh-CN"/>
        </w:rPr>
        <w:t>-2及图</w:t>
      </w:r>
      <w:r>
        <w:rPr>
          <w:rFonts w:hint="eastAsia" w:cs="Times New Roman"/>
          <w:color w:val="auto"/>
          <w:highlight w:val="none"/>
          <w:lang w:val="en-US" w:eastAsia="zh-CN"/>
        </w:rPr>
        <w:t>6.2.6-1</w:t>
      </w:r>
      <w:r>
        <w:rPr>
          <w:rFonts w:hint="default" w:ascii="Times New Roman" w:hAnsi="Times New Roman" w:cs="Times New Roman"/>
          <w:color w:val="auto"/>
          <w:highlight w:val="none"/>
          <w:lang w:val="en-US" w:eastAsia="zh-CN"/>
        </w:rPr>
        <w:t>。</w:t>
      </w:r>
    </w:p>
    <w:p w14:paraId="718548D4">
      <w:pPr>
        <w:pStyle w:val="46"/>
        <w:bidi w:val="0"/>
        <w:rPr>
          <w:rFonts w:hint="default" w:ascii="Times New Roman" w:hAnsi="Times New Roman" w:cs="Times New Roman"/>
          <w:color w:val="auto"/>
          <w:highlight w:val="none"/>
          <w:lang w:val="en-US" w:eastAsia="zh-CN"/>
        </w:rPr>
      </w:pPr>
      <w:r>
        <w:rPr>
          <w:rFonts w:hint="default"/>
          <w:lang w:val="en-US" w:eastAsia="zh-CN"/>
        </w:rPr>
        <w:t>表</w:t>
      </w:r>
      <w:r>
        <w:rPr>
          <w:rFonts w:hint="eastAsia"/>
          <w:lang w:val="en-US" w:eastAsia="zh-CN"/>
        </w:rPr>
        <w:t>6.2.6</w:t>
      </w:r>
      <w:r>
        <w:rPr>
          <w:rFonts w:hint="default"/>
          <w:lang w:val="en-US" w:eastAsia="zh-CN"/>
        </w:rPr>
        <w:t>-2</w:t>
      </w:r>
      <w:r>
        <w:rPr>
          <w:rFonts w:hint="eastAsia"/>
          <w:lang w:val="en-US" w:eastAsia="zh-CN"/>
        </w:rPr>
        <w:t xml:space="preserve">  国电电力城步金紫山风电场工程110kV升压站</w:t>
      </w:r>
      <w:r>
        <w:rPr>
          <w:rFonts w:hint="default"/>
          <w:lang w:val="en-US" w:eastAsia="zh-CN"/>
        </w:rPr>
        <w:t>类比监测布点一览表</w:t>
      </w:r>
    </w:p>
    <w:tbl>
      <w:tblPr>
        <w:tblStyle w:val="20"/>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41"/>
        <w:gridCol w:w="4241"/>
        <w:gridCol w:w="2840"/>
      </w:tblGrid>
      <w:tr w14:paraId="30DC49B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682" w:type="dxa"/>
            <w:gridSpan w:val="2"/>
            <w:tcBorders>
              <w:tl2br w:val="nil"/>
              <w:tr2bl w:val="nil"/>
            </w:tcBorders>
            <w:vAlign w:val="center"/>
          </w:tcPr>
          <w:p w14:paraId="08C6D93B">
            <w:pPr>
              <w:pStyle w:val="23"/>
              <w:bidi w:val="0"/>
              <w:rPr>
                <w:rFonts w:hint="default"/>
                <w:color w:val="auto"/>
                <w:highlight w:val="none"/>
                <w:lang w:val="en-US" w:eastAsia="zh-CN"/>
              </w:rPr>
            </w:pPr>
            <w:r>
              <w:rPr>
                <w:rFonts w:hint="default"/>
                <w:color w:val="auto"/>
                <w:highlight w:val="none"/>
                <w:lang w:val="en-US" w:eastAsia="zh-CN"/>
              </w:rPr>
              <w:t>监测点位</w:t>
            </w:r>
          </w:p>
        </w:tc>
        <w:tc>
          <w:tcPr>
            <w:tcW w:w="2840" w:type="dxa"/>
            <w:tcBorders>
              <w:tl2br w:val="nil"/>
              <w:tr2bl w:val="nil"/>
            </w:tcBorders>
            <w:vAlign w:val="center"/>
          </w:tcPr>
          <w:p w14:paraId="4E47F1F5">
            <w:pPr>
              <w:pStyle w:val="23"/>
              <w:bidi w:val="0"/>
              <w:rPr>
                <w:rFonts w:hint="default"/>
                <w:color w:val="auto"/>
                <w:highlight w:val="none"/>
              </w:rPr>
            </w:pPr>
            <w:r>
              <w:rPr>
                <w:rFonts w:hint="default"/>
                <w:color w:val="auto"/>
                <w:highlight w:val="none"/>
                <w:lang w:val="en-US" w:eastAsia="zh-CN"/>
              </w:rPr>
              <w:t>监测因子</w:t>
            </w:r>
          </w:p>
        </w:tc>
      </w:tr>
      <w:tr w14:paraId="2470BD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41" w:type="dxa"/>
            <w:vMerge w:val="restart"/>
            <w:tcBorders>
              <w:tl2br w:val="nil"/>
              <w:tr2bl w:val="nil"/>
            </w:tcBorders>
            <w:vAlign w:val="center"/>
          </w:tcPr>
          <w:p w14:paraId="44314179">
            <w:pPr>
              <w:pStyle w:val="23"/>
              <w:bidi w:val="0"/>
              <w:rPr>
                <w:rFonts w:hint="default"/>
                <w:color w:val="auto"/>
                <w:highlight w:val="none"/>
                <w:lang w:val="en-US" w:eastAsia="zh-CN"/>
              </w:rPr>
            </w:pPr>
            <w:r>
              <w:rPr>
                <w:rFonts w:hint="default"/>
                <w:color w:val="auto"/>
                <w:highlight w:val="none"/>
                <w:lang w:val="en-US" w:eastAsia="zh-CN"/>
              </w:rPr>
              <w:t>厂界</w:t>
            </w:r>
          </w:p>
        </w:tc>
        <w:tc>
          <w:tcPr>
            <w:tcW w:w="4241" w:type="dxa"/>
            <w:tcBorders>
              <w:tl2br w:val="nil"/>
              <w:tr2bl w:val="nil"/>
            </w:tcBorders>
            <w:vAlign w:val="center"/>
          </w:tcPr>
          <w:p w14:paraId="03D12529">
            <w:pPr>
              <w:pStyle w:val="23"/>
              <w:bidi w:val="0"/>
              <w:rPr>
                <w:rFonts w:hint="default"/>
                <w:color w:val="auto"/>
                <w:highlight w:val="none"/>
                <w:lang w:val="en-US" w:eastAsia="zh-CN"/>
              </w:rPr>
            </w:pPr>
            <w:r>
              <w:rPr>
                <w:rFonts w:hint="eastAsia"/>
                <w:color w:val="auto"/>
                <w:highlight w:val="none"/>
                <w:lang w:eastAsia="zh-CN"/>
              </w:rPr>
              <w:t>升压站</w:t>
            </w:r>
            <w:r>
              <w:rPr>
                <w:rFonts w:hint="default"/>
                <w:color w:val="auto"/>
                <w:highlight w:val="none"/>
              </w:rPr>
              <w:t>东</w:t>
            </w:r>
            <w:r>
              <w:rPr>
                <w:rFonts w:hint="eastAsia"/>
                <w:color w:val="auto"/>
                <w:highlight w:val="none"/>
                <w:lang w:eastAsia="zh-CN"/>
              </w:rPr>
              <w:t>南面围墙外</w:t>
            </w:r>
            <w:r>
              <w:rPr>
                <w:rFonts w:hint="eastAsia"/>
                <w:color w:val="auto"/>
                <w:highlight w:val="none"/>
                <w:lang w:val="en-US" w:eastAsia="zh-CN"/>
              </w:rPr>
              <w:t>5m（E1、E2）</w:t>
            </w:r>
          </w:p>
        </w:tc>
        <w:tc>
          <w:tcPr>
            <w:tcW w:w="2840" w:type="dxa"/>
            <w:vMerge w:val="restart"/>
            <w:tcBorders>
              <w:tl2br w:val="nil"/>
              <w:tr2bl w:val="nil"/>
            </w:tcBorders>
            <w:vAlign w:val="center"/>
          </w:tcPr>
          <w:p w14:paraId="32B8545E">
            <w:pPr>
              <w:pStyle w:val="23"/>
              <w:bidi w:val="0"/>
              <w:rPr>
                <w:rFonts w:hint="default"/>
                <w:color w:val="auto"/>
                <w:highlight w:val="none"/>
              </w:rPr>
            </w:pPr>
            <w:r>
              <w:rPr>
                <w:rFonts w:hint="default"/>
                <w:color w:val="auto"/>
                <w:highlight w:val="none"/>
                <w:lang w:val="en-US" w:eastAsia="zh-CN"/>
              </w:rPr>
              <w:t>工频电场强度、工频磁感应强度</w:t>
            </w:r>
          </w:p>
        </w:tc>
      </w:tr>
      <w:tr w14:paraId="080E82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41" w:type="dxa"/>
            <w:vMerge w:val="continue"/>
            <w:tcBorders>
              <w:tl2br w:val="nil"/>
              <w:tr2bl w:val="nil"/>
            </w:tcBorders>
            <w:vAlign w:val="center"/>
          </w:tcPr>
          <w:p w14:paraId="2FE0C960">
            <w:pPr>
              <w:pStyle w:val="23"/>
              <w:bidi w:val="0"/>
              <w:rPr>
                <w:rFonts w:hint="default"/>
                <w:color w:val="auto"/>
                <w:highlight w:val="none"/>
              </w:rPr>
            </w:pPr>
          </w:p>
        </w:tc>
        <w:tc>
          <w:tcPr>
            <w:tcW w:w="4241" w:type="dxa"/>
            <w:tcBorders>
              <w:tl2br w:val="nil"/>
              <w:tr2bl w:val="nil"/>
            </w:tcBorders>
            <w:vAlign w:val="center"/>
          </w:tcPr>
          <w:p w14:paraId="4DE7DDDD">
            <w:pPr>
              <w:pStyle w:val="23"/>
              <w:bidi w:val="0"/>
              <w:rPr>
                <w:rFonts w:hint="default"/>
                <w:color w:val="auto"/>
                <w:highlight w:val="none"/>
                <w:lang w:val="en-US" w:eastAsia="zh-CN"/>
              </w:rPr>
            </w:pPr>
            <w:r>
              <w:rPr>
                <w:rFonts w:hint="eastAsia"/>
                <w:color w:val="auto"/>
                <w:highlight w:val="none"/>
                <w:lang w:eastAsia="zh-CN"/>
              </w:rPr>
              <w:t>升压站西</w:t>
            </w:r>
            <w:r>
              <w:rPr>
                <w:rFonts w:hint="default"/>
                <w:color w:val="auto"/>
                <w:highlight w:val="none"/>
              </w:rPr>
              <w:t>南</w:t>
            </w:r>
            <w:r>
              <w:rPr>
                <w:rFonts w:hint="eastAsia"/>
                <w:color w:val="auto"/>
                <w:highlight w:val="none"/>
                <w:lang w:eastAsia="zh-CN"/>
              </w:rPr>
              <w:t>面围墙外</w:t>
            </w:r>
            <w:r>
              <w:rPr>
                <w:rFonts w:hint="eastAsia"/>
                <w:color w:val="auto"/>
                <w:highlight w:val="none"/>
                <w:lang w:val="en-US" w:eastAsia="zh-CN"/>
              </w:rPr>
              <w:t>5m</w:t>
            </w:r>
            <w:r>
              <w:rPr>
                <w:rFonts w:hint="eastAsia"/>
                <w:color w:val="auto"/>
                <w:highlight w:val="none"/>
                <w:lang w:eastAsia="zh-CN"/>
              </w:rPr>
              <w:t>（</w:t>
            </w:r>
            <w:r>
              <w:rPr>
                <w:rFonts w:hint="eastAsia"/>
                <w:color w:val="auto"/>
                <w:highlight w:val="none"/>
                <w:lang w:val="en-US" w:eastAsia="zh-CN"/>
              </w:rPr>
              <w:t>E3、E4</w:t>
            </w:r>
            <w:r>
              <w:rPr>
                <w:rFonts w:hint="eastAsia"/>
                <w:color w:val="auto"/>
                <w:highlight w:val="none"/>
                <w:lang w:eastAsia="zh-CN"/>
              </w:rPr>
              <w:t>）</w:t>
            </w:r>
          </w:p>
        </w:tc>
        <w:tc>
          <w:tcPr>
            <w:tcW w:w="2840" w:type="dxa"/>
            <w:vMerge w:val="continue"/>
            <w:tcBorders>
              <w:tl2br w:val="nil"/>
              <w:tr2bl w:val="nil"/>
            </w:tcBorders>
            <w:vAlign w:val="center"/>
          </w:tcPr>
          <w:p w14:paraId="395A60C4">
            <w:pPr>
              <w:pStyle w:val="23"/>
              <w:bidi w:val="0"/>
              <w:rPr>
                <w:rFonts w:hint="default"/>
                <w:color w:val="auto"/>
                <w:highlight w:val="none"/>
              </w:rPr>
            </w:pPr>
          </w:p>
        </w:tc>
      </w:tr>
      <w:tr w14:paraId="171530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41" w:type="dxa"/>
            <w:vMerge w:val="continue"/>
            <w:tcBorders>
              <w:tl2br w:val="nil"/>
              <w:tr2bl w:val="nil"/>
            </w:tcBorders>
            <w:vAlign w:val="center"/>
          </w:tcPr>
          <w:p w14:paraId="6536A677">
            <w:pPr>
              <w:pStyle w:val="23"/>
              <w:bidi w:val="0"/>
              <w:rPr>
                <w:rFonts w:hint="default"/>
                <w:color w:val="auto"/>
                <w:highlight w:val="none"/>
              </w:rPr>
            </w:pPr>
          </w:p>
        </w:tc>
        <w:tc>
          <w:tcPr>
            <w:tcW w:w="4241" w:type="dxa"/>
            <w:tcBorders>
              <w:tl2br w:val="nil"/>
              <w:tr2bl w:val="nil"/>
            </w:tcBorders>
            <w:vAlign w:val="center"/>
          </w:tcPr>
          <w:p w14:paraId="2C4265F2">
            <w:pPr>
              <w:pStyle w:val="23"/>
              <w:bidi w:val="0"/>
              <w:rPr>
                <w:rFonts w:hint="default"/>
                <w:color w:val="auto"/>
                <w:highlight w:val="none"/>
                <w:lang w:val="en-US" w:eastAsia="zh-CN"/>
              </w:rPr>
            </w:pPr>
            <w:r>
              <w:rPr>
                <w:rFonts w:hint="eastAsia"/>
                <w:color w:val="auto"/>
                <w:highlight w:val="none"/>
                <w:lang w:eastAsia="zh-CN"/>
              </w:rPr>
              <w:t>升压站</w:t>
            </w:r>
            <w:r>
              <w:rPr>
                <w:rFonts w:hint="default"/>
                <w:color w:val="auto"/>
                <w:highlight w:val="none"/>
              </w:rPr>
              <w:t>西</w:t>
            </w:r>
            <w:r>
              <w:rPr>
                <w:rFonts w:hint="eastAsia"/>
                <w:color w:val="auto"/>
                <w:highlight w:val="none"/>
                <w:lang w:eastAsia="zh-CN"/>
              </w:rPr>
              <w:t>北面围墙外</w:t>
            </w:r>
            <w:r>
              <w:rPr>
                <w:rFonts w:hint="eastAsia"/>
                <w:color w:val="auto"/>
                <w:highlight w:val="none"/>
                <w:lang w:val="en-US" w:eastAsia="zh-CN"/>
              </w:rPr>
              <w:t>5m（E5、E6）</w:t>
            </w:r>
          </w:p>
        </w:tc>
        <w:tc>
          <w:tcPr>
            <w:tcW w:w="2840" w:type="dxa"/>
            <w:vMerge w:val="continue"/>
            <w:tcBorders>
              <w:tl2br w:val="nil"/>
              <w:tr2bl w:val="nil"/>
            </w:tcBorders>
            <w:vAlign w:val="center"/>
          </w:tcPr>
          <w:p w14:paraId="35283CD4">
            <w:pPr>
              <w:pStyle w:val="23"/>
              <w:bidi w:val="0"/>
              <w:rPr>
                <w:rFonts w:hint="default"/>
                <w:color w:val="auto"/>
                <w:highlight w:val="none"/>
              </w:rPr>
            </w:pPr>
          </w:p>
        </w:tc>
      </w:tr>
      <w:tr w14:paraId="48E9674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41" w:type="dxa"/>
            <w:vMerge w:val="continue"/>
            <w:tcBorders>
              <w:tl2br w:val="nil"/>
              <w:tr2bl w:val="nil"/>
            </w:tcBorders>
            <w:vAlign w:val="center"/>
          </w:tcPr>
          <w:p w14:paraId="19456644">
            <w:pPr>
              <w:pStyle w:val="23"/>
              <w:bidi w:val="0"/>
              <w:rPr>
                <w:rFonts w:hint="default"/>
                <w:color w:val="auto"/>
                <w:highlight w:val="none"/>
              </w:rPr>
            </w:pPr>
          </w:p>
        </w:tc>
        <w:tc>
          <w:tcPr>
            <w:tcW w:w="4241" w:type="dxa"/>
            <w:tcBorders>
              <w:tl2br w:val="nil"/>
              <w:tr2bl w:val="nil"/>
            </w:tcBorders>
            <w:vAlign w:val="center"/>
          </w:tcPr>
          <w:p w14:paraId="3E213D5C">
            <w:pPr>
              <w:pStyle w:val="23"/>
              <w:bidi w:val="0"/>
              <w:rPr>
                <w:rFonts w:hint="default"/>
                <w:color w:val="auto"/>
                <w:highlight w:val="none"/>
                <w:lang w:val="en-US" w:eastAsia="zh-CN"/>
              </w:rPr>
            </w:pPr>
            <w:r>
              <w:rPr>
                <w:rFonts w:hint="eastAsia"/>
                <w:color w:val="auto"/>
                <w:highlight w:val="none"/>
                <w:lang w:eastAsia="zh-CN"/>
              </w:rPr>
              <w:t>升压站东</w:t>
            </w:r>
            <w:r>
              <w:rPr>
                <w:rFonts w:hint="default"/>
                <w:color w:val="auto"/>
                <w:highlight w:val="none"/>
              </w:rPr>
              <w:t>北</w:t>
            </w:r>
            <w:r>
              <w:rPr>
                <w:rFonts w:hint="eastAsia"/>
                <w:color w:val="auto"/>
                <w:highlight w:val="none"/>
                <w:lang w:eastAsia="zh-CN"/>
              </w:rPr>
              <w:t>面围墙外</w:t>
            </w:r>
            <w:r>
              <w:rPr>
                <w:rFonts w:hint="eastAsia"/>
                <w:color w:val="auto"/>
                <w:highlight w:val="none"/>
                <w:lang w:val="en-US" w:eastAsia="zh-CN"/>
              </w:rPr>
              <w:t>5m（E7、E8）</w:t>
            </w:r>
          </w:p>
        </w:tc>
        <w:tc>
          <w:tcPr>
            <w:tcW w:w="2840" w:type="dxa"/>
            <w:vMerge w:val="continue"/>
            <w:tcBorders>
              <w:tl2br w:val="nil"/>
              <w:tr2bl w:val="nil"/>
            </w:tcBorders>
            <w:vAlign w:val="center"/>
          </w:tcPr>
          <w:p w14:paraId="1F455827">
            <w:pPr>
              <w:pStyle w:val="23"/>
              <w:bidi w:val="0"/>
              <w:rPr>
                <w:rFonts w:hint="default"/>
                <w:color w:val="auto"/>
                <w:highlight w:val="none"/>
              </w:rPr>
            </w:pPr>
          </w:p>
        </w:tc>
      </w:tr>
      <w:tr w14:paraId="2CEBD00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41" w:type="dxa"/>
            <w:tcBorders>
              <w:tl2br w:val="nil"/>
              <w:tr2bl w:val="nil"/>
            </w:tcBorders>
            <w:vAlign w:val="center"/>
          </w:tcPr>
          <w:p w14:paraId="090977FC">
            <w:pPr>
              <w:pStyle w:val="23"/>
              <w:bidi w:val="0"/>
              <w:rPr>
                <w:rFonts w:hint="default"/>
                <w:color w:val="auto"/>
                <w:highlight w:val="none"/>
                <w:lang w:val="en-US" w:eastAsia="zh-CN"/>
              </w:rPr>
            </w:pPr>
            <w:r>
              <w:rPr>
                <w:rFonts w:hint="default"/>
                <w:color w:val="auto"/>
                <w:highlight w:val="none"/>
                <w:lang w:val="en-US" w:eastAsia="zh-CN"/>
              </w:rPr>
              <w:t>衰减断面</w:t>
            </w:r>
          </w:p>
        </w:tc>
        <w:tc>
          <w:tcPr>
            <w:tcW w:w="4241" w:type="dxa"/>
            <w:tcBorders>
              <w:tl2br w:val="nil"/>
              <w:tr2bl w:val="nil"/>
            </w:tcBorders>
            <w:vAlign w:val="center"/>
          </w:tcPr>
          <w:p w14:paraId="1F516A0D">
            <w:pPr>
              <w:pStyle w:val="23"/>
              <w:bidi w:val="0"/>
              <w:rPr>
                <w:rFonts w:hint="default"/>
                <w:color w:val="auto"/>
                <w:highlight w:val="none"/>
                <w:lang w:val="en-US"/>
              </w:rPr>
            </w:pPr>
            <w:r>
              <w:rPr>
                <w:rFonts w:hint="eastAsia"/>
                <w:color w:val="auto"/>
                <w:highlight w:val="none"/>
                <w:lang w:eastAsia="zh-CN"/>
              </w:rPr>
              <w:t>升压站</w:t>
            </w:r>
            <w:r>
              <w:rPr>
                <w:rFonts w:hint="eastAsia"/>
                <w:color w:val="auto"/>
                <w:highlight w:val="none"/>
                <w:lang w:val="en-US" w:eastAsia="zh-CN"/>
              </w:rPr>
              <w:t>西南面围墙外5m、10m、15m、20m、25m、30m、35m、40m、45m、50m</w:t>
            </w:r>
          </w:p>
        </w:tc>
        <w:tc>
          <w:tcPr>
            <w:tcW w:w="2840" w:type="dxa"/>
            <w:vMerge w:val="continue"/>
            <w:tcBorders>
              <w:tl2br w:val="nil"/>
              <w:tr2bl w:val="nil"/>
            </w:tcBorders>
            <w:vAlign w:val="center"/>
          </w:tcPr>
          <w:p w14:paraId="5AE80C13">
            <w:pPr>
              <w:pStyle w:val="23"/>
              <w:bidi w:val="0"/>
              <w:rPr>
                <w:rFonts w:hint="default"/>
                <w:color w:val="auto"/>
                <w:highlight w:val="none"/>
              </w:rPr>
            </w:pPr>
          </w:p>
        </w:tc>
      </w:tr>
    </w:tbl>
    <w:p w14:paraId="0265FE4F">
      <w:pPr>
        <w:ind w:firstLine="0" w:firstLineChars="0"/>
        <w:jc w:val="center"/>
        <w:rPr>
          <w:rFonts w:hint="default" w:eastAsia="宋体"/>
          <w:lang w:val="en-US" w:eastAsia="zh-CN"/>
        </w:rPr>
      </w:pPr>
      <w:r>
        <w:drawing>
          <wp:inline distT="0" distB="0" distL="114300" distR="114300">
            <wp:extent cx="5274310" cy="4708525"/>
            <wp:effectExtent l="0" t="0" r="13970" b="635"/>
            <wp:docPr id="8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6"/>
                    <pic:cNvPicPr>
                      <a:picLocks noChangeAspect="1"/>
                    </pic:cNvPicPr>
                  </pic:nvPicPr>
                  <pic:blipFill>
                    <a:blip r:embed="rId66"/>
                    <a:stretch>
                      <a:fillRect/>
                    </a:stretch>
                  </pic:blipFill>
                  <pic:spPr>
                    <a:xfrm>
                      <a:off x="0" y="0"/>
                      <a:ext cx="5274310" cy="4708525"/>
                    </a:xfrm>
                    <a:prstGeom prst="rect">
                      <a:avLst/>
                    </a:prstGeom>
                    <a:noFill/>
                    <a:ln>
                      <a:noFill/>
                    </a:ln>
                  </pic:spPr>
                </pic:pic>
              </a:graphicData>
            </a:graphic>
          </wp:inline>
        </w:drawing>
      </w:r>
      <w:r>
        <w:rPr>
          <w:rFonts w:hint="eastAsia"/>
          <w:b/>
          <w:bCs/>
          <w:lang w:eastAsia="zh-CN"/>
        </w:rPr>
        <w:t>图</w:t>
      </w:r>
      <w:r>
        <w:rPr>
          <w:rFonts w:hint="eastAsia"/>
          <w:b/>
          <w:bCs/>
          <w:lang w:val="en-US" w:eastAsia="zh-CN"/>
        </w:rPr>
        <w:t>6.2.6-1  类比对象国电电力金紫山风电场110kv升压站监测布点图</w:t>
      </w:r>
    </w:p>
    <w:p w14:paraId="50C10A8B">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eastAsia" w:ascii="Times New Roman" w:hAnsi="Times New Roman" w:eastAsia="宋体" w:cs="Times New Roman"/>
          <w:b/>
          <w:bCs/>
          <w:color w:val="auto"/>
          <w:sz w:val="24"/>
          <w:szCs w:val="24"/>
          <w:highlight w:val="none"/>
          <w:u w:val="none"/>
          <w:lang w:val="en-US" w:eastAsia="zh-CN"/>
        </w:rPr>
      </w:pPr>
      <w:r>
        <w:rPr>
          <w:rFonts w:hint="eastAsia" w:ascii="Times New Roman" w:hAnsi="Times New Roman" w:eastAsia="宋体" w:cs="Times New Roman"/>
          <w:b/>
          <w:bCs/>
          <w:color w:val="auto"/>
          <w:sz w:val="24"/>
          <w:szCs w:val="24"/>
          <w:highlight w:val="none"/>
          <w:u w:val="none"/>
          <w:lang w:val="en-US" w:eastAsia="zh-CN"/>
        </w:rPr>
        <w:t>监测单位、监测仪器及监测方法</w:t>
      </w:r>
    </w:p>
    <w:p w14:paraId="56C7F7B3">
      <w:pPr>
        <w:widowControl/>
        <w:jc w:val="left"/>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1）监测单位：</w:t>
      </w:r>
      <w:r>
        <w:rPr>
          <w:rFonts w:hint="eastAsia" w:ascii="宋体" w:hAnsi="宋体" w:eastAsia="宋体" w:cs="宋体"/>
          <w:color w:val="000000"/>
          <w:kern w:val="0"/>
          <w:sz w:val="24"/>
          <w:szCs w:val="24"/>
          <w:lang w:val="en-US" w:eastAsia="zh-CN" w:bidi="ar"/>
        </w:rPr>
        <w:t>湖南宝宜工程技术有限公司</w:t>
      </w:r>
      <w:r>
        <w:rPr>
          <w:rFonts w:hint="default" w:ascii="Times New Roman" w:hAnsi="Times New Roman" w:cs="Times New Roman"/>
          <w:color w:val="auto"/>
          <w:highlight w:val="none"/>
          <w:lang w:val="en-US" w:eastAsia="zh-CN"/>
        </w:rPr>
        <w:t>。</w:t>
      </w:r>
    </w:p>
    <w:p w14:paraId="25AC05D5">
      <w:pPr>
        <w:pStyle w:val="61"/>
        <w:bidi w:val="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2）监测仪器及监测方法：见表</w:t>
      </w:r>
      <w:r>
        <w:rPr>
          <w:rFonts w:hint="eastAsia" w:cs="Times New Roman"/>
          <w:color w:val="auto"/>
          <w:highlight w:val="none"/>
          <w:lang w:val="en-US" w:eastAsia="zh-CN"/>
        </w:rPr>
        <w:t>6.2.6</w:t>
      </w:r>
      <w:r>
        <w:rPr>
          <w:rFonts w:hint="default" w:ascii="Times New Roman" w:hAnsi="Times New Roman" w:cs="Times New Roman"/>
          <w:color w:val="auto"/>
          <w:highlight w:val="none"/>
          <w:lang w:val="en-US" w:eastAsia="zh-CN"/>
        </w:rPr>
        <w:t>-3。</w:t>
      </w:r>
    </w:p>
    <w:p w14:paraId="7CB00995">
      <w:pPr>
        <w:pStyle w:val="46"/>
        <w:bidi w:val="0"/>
        <w:rPr>
          <w:rFonts w:hint="default"/>
          <w:lang w:val="en-US" w:eastAsia="zh-CN"/>
        </w:rPr>
      </w:pPr>
      <w:r>
        <w:rPr>
          <w:rFonts w:hint="default"/>
          <w:lang w:val="en-US" w:eastAsia="zh-CN"/>
        </w:rPr>
        <w:t>表</w:t>
      </w:r>
      <w:r>
        <w:rPr>
          <w:rFonts w:hint="eastAsia"/>
          <w:lang w:val="en-US" w:eastAsia="zh-CN"/>
        </w:rPr>
        <w:t>6.2.6</w:t>
      </w:r>
      <w:r>
        <w:rPr>
          <w:rFonts w:hint="default"/>
          <w:lang w:val="en-US" w:eastAsia="zh-CN"/>
        </w:rPr>
        <w:t>-3</w:t>
      </w:r>
      <w:r>
        <w:rPr>
          <w:rFonts w:hint="eastAsia"/>
          <w:lang w:val="en-US" w:eastAsia="zh-CN"/>
        </w:rPr>
        <w:t xml:space="preserve">  </w:t>
      </w:r>
      <w:r>
        <w:rPr>
          <w:rFonts w:hint="default"/>
          <w:lang w:val="en-US" w:eastAsia="zh-CN"/>
        </w:rPr>
        <w:t>监测仪器及监测方法</w:t>
      </w:r>
    </w:p>
    <w:tbl>
      <w:tblPr>
        <w:tblStyle w:val="19"/>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2876"/>
        <w:gridCol w:w="5460"/>
      </w:tblGrid>
      <w:tr w14:paraId="6F6410D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849" w:type="dxa"/>
            <w:tcBorders>
              <w:tl2br w:val="nil"/>
              <w:tr2bl w:val="nil"/>
            </w:tcBorders>
            <w:vAlign w:val="center"/>
          </w:tcPr>
          <w:p w14:paraId="17B8EDEF">
            <w:pPr>
              <w:pStyle w:val="45"/>
              <w:bidi w:val="0"/>
              <w:rPr>
                <w:rFonts w:hint="default"/>
                <w:b w:val="0"/>
                <w:bCs/>
                <w:highlight w:val="none"/>
              </w:rPr>
            </w:pPr>
            <w:r>
              <w:rPr>
                <w:rFonts w:hint="default"/>
                <w:b w:val="0"/>
                <w:bCs/>
                <w:highlight w:val="none"/>
              </w:rPr>
              <w:t>监测仪器</w:t>
            </w:r>
          </w:p>
        </w:tc>
        <w:tc>
          <w:tcPr>
            <w:tcW w:w="3511" w:type="dxa"/>
            <w:tcBorders>
              <w:tl2br w:val="nil"/>
              <w:tr2bl w:val="nil"/>
            </w:tcBorders>
            <w:vAlign w:val="center"/>
          </w:tcPr>
          <w:p w14:paraId="1372AFAA">
            <w:pPr>
              <w:pStyle w:val="45"/>
              <w:bidi w:val="0"/>
              <w:rPr>
                <w:rFonts w:hint="default"/>
                <w:b w:val="0"/>
                <w:bCs/>
                <w:highlight w:val="none"/>
                <w:lang w:val="en-US" w:eastAsia="zh-CN"/>
              </w:rPr>
            </w:pPr>
            <w:r>
              <w:rPr>
                <w:rFonts w:hint="eastAsia"/>
                <w:b w:val="0"/>
                <w:bCs/>
                <w:highlight w:val="none"/>
                <w:lang w:val="en-US" w:eastAsia="zh-CN"/>
              </w:rPr>
              <w:t>工频场强仪</w:t>
            </w:r>
          </w:p>
        </w:tc>
      </w:tr>
      <w:tr w14:paraId="6ED6E2E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849" w:type="dxa"/>
            <w:tcBorders>
              <w:tl2br w:val="nil"/>
              <w:tr2bl w:val="nil"/>
            </w:tcBorders>
            <w:vAlign w:val="center"/>
          </w:tcPr>
          <w:p w14:paraId="77E9A10A">
            <w:pPr>
              <w:pStyle w:val="45"/>
              <w:bidi w:val="0"/>
              <w:rPr>
                <w:rFonts w:hint="default"/>
                <w:b w:val="0"/>
                <w:bCs/>
                <w:highlight w:val="none"/>
                <w:lang w:val="en-US" w:eastAsia="zh-CN"/>
              </w:rPr>
            </w:pPr>
            <w:r>
              <w:rPr>
                <w:rFonts w:hint="eastAsia"/>
                <w:b w:val="0"/>
                <w:bCs/>
                <w:highlight w:val="none"/>
                <w:lang w:val="en-US" w:eastAsia="zh-CN"/>
              </w:rPr>
              <w:t>仪器型号</w:t>
            </w:r>
          </w:p>
        </w:tc>
        <w:tc>
          <w:tcPr>
            <w:tcW w:w="3511" w:type="dxa"/>
            <w:tcBorders>
              <w:tl2br w:val="nil"/>
              <w:tr2bl w:val="nil"/>
            </w:tcBorders>
            <w:vAlign w:val="center"/>
          </w:tcPr>
          <w:p w14:paraId="47F1AA1E">
            <w:pPr>
              <w:pStyle w:val="45"/>
              <w:bidi w:val="0"/>
              <w:rPr>
                <w:rFonts w:hint="default"/>
                <w:b w:val="0"/>
                <w:bCs/>
                <w:highlight w:val="none"/>
                <w:lang w:val="en-US" w:eastAsia="zh-CN"/>
              </w:rPr>
            </w:pPr>
            <w:r>
              <w:rPr>
                <w:rFonts w:hint="default"/>
                <w:b w:val="0"/>
                <w:bCs/>
                <w:highlight w:val="none"/>
                <w:lang w:val="en-US" w:eastAsia="zh-CN"/>
              </w:rPr>
              <w:t>工频场强仪/HI3604</w:t>
            </w:r>
          </w:p>
        </w:tc>
      </w:tr>
      <w:tr w14:paraId="62A60F0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849" w:type="dxa"/>
            <w:tcBorders>
              <w:tl2br w:val="nil"/>
              <w:tr2bl w:val="nil"/>
            </w:tcBorders>
            <w:vAlign w:val="center"/>
          </w:tcPr>
          <w:p w14:paraId="63A50AC9">
            <w:pPr>
              <w:pStyle w:val="45"/>
              <w:bidi w:val="0"/>
              <w:rPr>
                <w:rFonts w:hint="eastAsia"/>
                <w:b w:val="0"/>
                <w:bCs/>
                <w:highlight w:val="none"/>
                <w:lang w:val="en-US" w:eastAsia="zh-CN"/>
              </w:rPr>
            </w:pPr>
            <w:r>
              <w:rPr>
                <w:rFonts w:hint="eastAsia"/>
                <w:b w:val="0"/>
                <w:bCs/>
                <w:highlight w:val="none"/>
                <w:lang w:val="en-US" w:eastAsia="zh-CN"/>
              </w:rPr>
              <w:t>仪器编号</w:t>
            </w:r>
          </w:p>
        </w:tc>
        <w:tc>
          <w:tcPr>
            <w:tcW w:w="3511" w:type="dxa"/>
            <w:tcBorders>
              <w:tl2br w:val="nil"/>
              <w:tr2bl w:val="nil"/>
            </w:tcBorders>
            <w:vAlign w:val="center"/>
          </w:tcPr>
          <w:p w14:paraId="2823A0AD">
            <w:pPr>
              <w:pStyle w:val="45"/>
              <w:bidi w:val="0"/>
              <w:rPr>
                <w:rFonts w:hint="default"/>
                <w:b w:val="0"/>
                <w:bCs/>
                <w:highlight w:val="none"/>
                <w:lang w:val="en-US" w:eastAsia="zh-CN"/>
              </w:rPr>
            </w:pPr>
            <w:r>
              <w:rPr>
                <w:rFonts w:hint="default"/>
                <w:b w:val="0"/>
                <w:bCs/>
                <w:highlight w:val="none"/>
                <w:lang w:val="en-US" w:eastAsia="zh-CN"/>
              </w:rPr>
              <w:t>BYGC/YQ-09</w:t>
            </w:r>
          </w:p>
        </w:tc>
      </w:tr>
      <w:tr w14:paraId="2015FE9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849" w:type="dxa"/>
            <w:tcBorders>
              <w:tl2br w:val="nil"/>
              <w:tr2bl w:val="nil"/>
            </w:tcBorders>
            <w:vAlign w:val="center"/>
          </w:tcPr>
          <w:p w14:paraId="437A0E7E">
            <w:pPr>
              <w:pStyle w:val="45"/>
              <w:bidi w:val="0"/>
              <w:rPr>
                <w:rFonts w:hint="default"/>
                <w:b w:val="0"/>
                <w:bCs/>
                <w:highlight w:val="none"/>
              </w:rPr>
            </w:pPr>
            <w:r>
              <w:rPr>
                <w:rFonts w:hint="eastAsia"/>
                <w:b w:val="0"/>
                <w:bCs/>
                <w:highlight w:val="none"/>
                <w:lang w:val="en-US" w:eastAsia="zh-CN"/>
              </w:rPr>
              <w:t>校准</w:t>
            </w:r>
            <w:r>
              <w:rPr>
                <w:rFonts w:hint="default"/>
                <w:b w:val="0"/>
                <w:bCs/>
                <w:highlight w:val="none"/>
              </w:rPr>
              <w:t>单位</w:t>
            </w:r>
          </w:p>
        </w:tc>
        <w:tc>
          <w:tcPr>
            <w:tcW w:w="3511" w:type="dxa"/>
            <w:tcBorders>
              <w:tl2br w:val="nil"/>
              <w:tr2bl w:val="nil"/>
            </w:tcBorders>
            <w:vAlign w:val="center"/>
          </w:tcPr>
          <w:p w14:paraId="7BF00DC1">
            <w:pPr>
              <w:pStyle w:val="45"/>
              <w:bidi w:val="0"/>
              <w:rPr>
                <w:rFonts w:hint="default"/>
                <w:b w:val="0"/>
                <w:bCs/>
                <w:highlight w:val="none"/>
              </w:rPr>
            </w:pPr>
            <w:r>
              <w:rPr>
                <w:rFonts w:hint="default"/>
                <w:b w:val="0"/>
                <w:bCs/>
                <w:highlight w:val="none"/>
                <w:lang w:val="en-US" w:eastAsia="zh-CN"/>
              </w:rPr>
              <w:t>上海市计量测试技术研究院华东国家计量测试中心</w:t>
            </w:r>
          </w:p>
        </w:tc>
      </w:tr>
      <w:tr w14:paraId="25FE26E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849" w:type="dxa"/>
            <w:tcBorders>
              <w:tl2br w:val="nil"/>
              <w:tr2bl w:val="nil"/>
            </w:tcBorders>
            <w:vAlign w:val="center"/>
          </w:tcPr>
          <w:p w14:paraId="3CC43B78">
            <w:pPr>
              <w:pStyle w:val="45"/>
              <w:bidi w:val="0"/>
              <w:rPr>
                <w:rFonts w:hint="default"/>
                <w:b w:val="0"/>
                <w:bCs/>
                <w:highlight w:val="none"/>
              </w:rPr>
            </w:pPr>
            <w:r>
              <w:rPr>
                <w:rFonts w:hint="default"/>
                <w:b w:val="0"/>
                <w:bCs/>
                <w:highlight w:val="none"/>
              </w:rPr>
              <w:t>证书编号</w:t>
            </w:r>
          </w:p>
        </w:tc>
        <w:tc>
          <w:tcPr>
            <w:tcW w:w="3511" w:type="dxa"/>
            <w:tcBorders>
              <w:tl2br w:val="nil"/>
              <w:tr2bl w:val="nil"/>
            </w:tcBorders>
            <w:vAlign w:val="center"/>
          </w:tcPr>
          <w:p w14:paraId="392406A7">
            <w:pPr>
              <w:pStyle w:val="45"/>
              <w:bidi w:val="0"/>
              <w:rPr>
                <w:rFonts w:hint="default"/>
                <w:b w:val="0"/>
                <w:bCs/>
                <w:highlight w:val="none"/>
                <w:lang w:val="en-US" w:eastAsia="zh-CN"/>
              </w:rPr>
            </w:pPr>
            <w:r>
              <w:rPr>
                <w:rFonts w:hint="default"/>
                <w:b w:val="0"/>
                <w:bCs/>
                <w:highlight w:val="none"/>
                <w:lang w:val="en-US" w:eastAsia="zh-CN"/>
              </w:rPr>
              <w:t>0211101621</w:t>
            </w:r>
          </w:p>
        </w:tc>
      </w:tr>
      <w:tr w14:paraId="0E9FDE8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849" w:type="dxa"/>
            <w:tcBorders>
              <w:tl2br w:val="nil"/>
              <w:tr2bl w:val="nil"/>
            </w:tcBorders>
            <w:vAlign w:val="center"/>
          </w:tcPr>
          <w:p w14:paraId="4D6D5FF5">
            <w:pPr>
              <w:pStyle w:val="45"/>
              <w:bidi w:val="0"/>
              <w:rPr>
                <w:rFonts w:hint="default"/>
                <w:b w:val="0"/>
                <w:bCs/>
                <w:highlight w:val="none"/>
              </w:rPr>
            </w:pPr>
            <w:r>
              <w:rPr>
                <w:rFonts w:hint="eastAsia"/>
                <w:b w:val="0"/>
                <w:bCs/>
                <w:highlight w:val="none"/>
                <w:lang w:val="en-US" w:eastAsia="zh-CN"/>
              </w:rPr>
              <w:t>校准</w:t>
            </w:r>
            <w:r>
              <w:rPr>
                <w:rFonts w:hint="default"/>
                <w:b w:val="0"/>
                <w:bCs/>
                <w:highlight w:val="none"/>
              </w:rPr>
              <w:t>有效期限</w:t>
            </w:r>
          </w:p>
        </w:tc>
        <w:tc>
          <w:tcPr>
            <w:tcW w:w="3511" w:type="dxa"/>
            <w:tcBorders>
              <w:tl2br w:val="nil"/>
              <w:tr2bl w:val="nil"/>
            </w:tcBorders>
            <w:vAlign w:val="center"/>
          </w:tcPr>
          <w:p w14:paraId="4904EBDD">
            <w:pPr>
              <w:pStyle w:val="45"/>
              <w:bidi w:val="0"/>
              <w:rPr>
                <w:rFonts w:hint="default"/>
                <w:b w:val="0"/>
                <w:bCs/>
                <w:highlight w:val="none"/>
                <w:lang w:val="en-US" w:eastAsia="zh-CN"/>
              </w:rPr>
            </w:pPr>
            <w:r>
              <w:rPr>
                <w:rFonts w:hint="default"/>
                <w:b w:val="0"/>
                <w:bCs/>
                <w:highlight w:val="none"/>
                <w:lang w:val="en-US" w:eastAsia="zh-CN"/>
              </w:rPr>
              <w:t>2021.10.14~2022.10.13</w:t>
            </w:r>
          </w:p>
        </w:tc>
      </w:tr>
      <w:tr w14:paraId="4DE2CDE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849" w:type="dxa"/>
            <w:tcBorders>
              <w:tl2br w:val="nil"/>
              <w:tr2bl w:val="nil"/>
            </w:tcBorders>
            <w:vAlign w:val="center"/>
          </w:tcPr>
          <w:p w14:paraId="7BD32220">
            <w:pPr>
              <w:pStyle w:val="45"/>
              <w:bidi w:val="0"/>
              <w:rPr>
                <w:rFonts w:hint="default"/>
                <w:b w:val="0"/>
                <w:bCs/>
                <w:highlight w:val="none"/>
              </w:rPr>
            </w:pPr>
            <w:r>
              <w:rPr>
                <w:rFonts w:hint="default"/>
                <w:b w:val="0"/>
                <w:bCs/>
                <w:highlight w:val="none"/>
              </w:rPr>
              <w:t>监测方法</w:t>
            </w:r>
          </w:p>
        </w:tc>
        <w:tc>
          <w:tcPr>
            <w:tcW w:w="3511" w:type="dxa"/>
            <w:tcBorders>
              <w:tl2br w:val="nil"/>
              <w:tr2bl w:val="nil"/>
            </w:tcBorders>
            <w:vAlign w:val="center"/>
          </w:tcPr>
          <w:p w14:paraId="5F27D88A">
            <w:pPr>
              <w:pStyle w:val="45"/>
              <w:bidi w:val="0"/>
              <w:rPr>
                <w:rFonts w:hint="default"/>
                <w:b w:val="0"/>
                <w:bCs/>
                <w:highlight w:val="none"/>
              </w:rPr>
            </w:pPr>
            <w:r>
              <w:rPr>
                <w:rFonts w:hint="default"/>
                <w:b w:val="0"/>
                <w:bCs/>
                <w:highlight w:val="none"/>
              </w:rPr>
              <w:t>《交流输变电工程电磁环境监测方法（试行）》（HJ681-2013）中规定的方法进行</w:t>
            </w:r>
          </w:p>
        </w:tc>
      </w:tr>
    </w:tbl>
    <w:p w14:paraId="0A426A67">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eastAsia" w:ascii="Times New Roman" w:hAnsi="Times New Roman" w:eastAsia="宋体" w:cs="Times New Roman"/>
          <w:b/>
          <w:bCs/>
          <w:color w:val="auto"/>
          <w:sz w:val="24"/>
          <w:szCs w:val="24"/>
          <w:highlight w:val="none"/>
          <w:u w:val="none"/>
          <w:lang w:val="en-US" w:eastAsia="zh-CN"/>
        </w:rPr>
      </w:pPr>
      <w:r>
        <w:rPr>
          <w:rFonts w:hint="eastAsia" w:ascii="Times New Roman" w:hAnsi="Times New Roman" w:eastAsia="宋体" w:cs="Times New Roman"/>
          <w:b/>
          <w:bCs/>
          <w:color w:val="auto"/>
          <w:sz w:val="24"/>
          <w:szCs w:val="24"/>
          <w:highlight w:val="none"/>
          <w:u w:val="none"/>
          <w:lang w:val="en-US" w:eastAsia="zh-CN"/>
        </w:rPr>
        <w:t>监测工况</w:t>
      </w:r>
    </w:p>
    <w:p w14:paraId="38C53B0A">
      <w:pPr>
        <w:pStyle w:val="61"/>
        <w:bidi w:val="0"/>
        <w:rPr>
          <w:rFonts w:hint="default" w:ascii="Times New Roman" w:hAnsi="Times New Roman" w:cs="Times New Roman"/>
          <w:color w:val="auto"/>
          <w:highlight w:val="none"/>
          <w:lang w:val="en-US" w:eastAsia="zh-CN"/>
        </w:rPr>
      </w:pPr>
      <w:r>
        <w:rPr>
          <w:rFonts w:hint="eastAsia" w:cs="Times New Roman"/>
          <w:color w:val="auto"/>
          <w:highlight w:val="none"/>
          <w:lang w:val="en-US" w:eastAsia="zh-CN"/>
        </w:rPr>
        <w:t>国电电力城步金紫山风电场工程</w:t>
      </w:r>
      <w:r>
        <w:rPr>
          <w:rFonts w:hint="default" w:ascii="Times New Roman" w:hAnsi="Times New Roman" w:cs="Times New Roman"/>
          <w:color w:val="auto"/>
          <w:highlight w:val="none"/>
          <w:lang w:val="en-US" w:eastAsia="zh-CN"/>
        </w:rPr>
        <w:t>110kV升压站</w:t>
      </w:r>
      <w:r>
        <w:rPr>
          <w:rFonts w:hint="eastAsia" w:cs="Times New Roman"/>
          <w:color w:val="auto"/>
          <w:highlight w:val="none"/>
          <w:lang w:val="en-US" w:eastAsia="zh-CN"/>
        </w:rPr>
        <w:t>验收监测工况如下表所示</w:t>
      </w:r>
      <w:r>
        <w:rPr>
          <w:rFonts w:hint="default" w:ascii="Times New Roman" w:hAnsi="Times New Roman" w:cs="Times New Roman"/>
          <w:color w:val="auto"/>
          <w:highlight w:val="none"/>
          <w:lang w:val="en-US" w:eastAsia="zh-CN"/>
        </w:rPr>
        <w:t>。</w:t>
      </w:r>
    </w:p>
    <w:p w14:paraId="5D25E8DB">
      <w:pPr>
        <w:pStyle w:val="46"/>
        <w:bidi w:val="0"/>
        <w:rPr>
          <w:rFonts w:hint="eastAsia" w:cs="Times New Roman"/>
          <w:b/>
          <w:bCs/>
          <w:color w:val="auto"/>
          <w:highlight w:val="none"/>
          <w:lang w:val="en-US" w:eastAsia="zh-CN"/>
        </w:rPr>
      </w:pPr>
      <w:r>
        <w:rPr>
          <w:rFonts w:hint="eastAsia"/>
          <w:lang w:val="en-US" w:eastAsia="zh-CN"/>
        </w:rPr>
        <w:t>表6.2.6-4  国电电力城步金紫山风电场工程110kV升压站验收监测工况一览表</w:t>
      </w:r>
    </w:p>
    <w:tbl>
      <w:tblPr>
        <w:tblStyle w:val="20"/>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161"/>
        <w:gridCol w:w="739"/>
        <w:gridCol w:w="1636"/>
        <w:gridCol w:w="1604"/>
        <w:gridCol w:w="1679"/>
        <w:gridCol w:w="1703"/>
      </w:tblGrid>
      <w:tr w14:paraId="6722D4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61" w:type="dxa"/>
            <w:tcBorders>
              <w:tl2br w:val="nil"/>
              <w:tr2bl w:val="nil"/>
            </w:tcBorders>
            <w:vAlign w:val="center"/>
          </w:tcPr>
          <w:p w14:paraId="7300639C">
            <w:pPr>
              <w:pStyle w:val="45"/>
              <w:rPr>
                <w:rFonts w:hint="default"/>
                <w:b w:val="0"/>
                <w:bCs/>
                <w:lang w:val="en-US" w:eastAsia="zh-CN"/>
              </w:rPr>
            </w:pPr>
            <w:r>
              <w:rPr>
                <w:rFonts w:hint="eastAsia"/>
                <w:b w:val="0"/>
                <w:bCs/>
                <w:lang w:val="en-US" w:eastAsia="zh-CN"/>
              </w:rPr>
              <w:t>检测日期</w:t>
            </w:r>
          </w:p>
        </w:tc>
        <w:tc>
          <w:tcPr>
            <w:tcW w:w="739" w:type="dxa"/>
            <w:tcBorders>
              <w:tl2br w:val="nil"/>
              <w:tr2bl w:val="nil"/>
            </w:tcBorders>
            <w:vAlign w:val="center"/>
          </w:tcPr>
          <w:p w14:paraId="0E16E42E">
            <w:pPr>
              <w:pStyle w:val="45"/>
              <w:rPr>
                <w:rFonts w:hint="eastAsia"/>
                <w:b w:val="0"/>
                <w:bCs/>
                <w:lang w:val="en-US" w:eastAsia="zh-CN"/>
              </w:rPr>
            </w:pPr>
            <w:r>
              <w:rPr>
                <w:rFonts w:hint="eastAsia"/>
                <w:b w:val="0"/>
                <w:bCs/>
                <w:lang w:val="en-US" w:eastAsia="zh-CN"/>
              </w:rPr>
              <w:t>名称</w:t>
            </w:r>
          </w:p>
        </w:tc>
        <w:tc>
          <w:tcPr>
            <w:tcW w:w="1636" w:type="dxa"/>
            <w:tcBorders>
              <w:tl2br w:val="nil"/>
              <w:tr2bl w:val="nil"/>
            </w:tcBorders>
            <w:vAlign w:val="center"/>
          </w:tcPr>
          <w:p w14:paraId="324E4FE5">
            <w:pPr>
              <w:pStyle w:val="45"/>
              <w:rPr>
                <w:rFonts w:hint="default"/>
                <w:b w:val="0"/>
                <w:bCs/>
                <w:lang w:val="en-US" w:eastAsia="zh-CN"/>
              </w:rPr>
            </w:pPr>
            <w:r>
              <w:rPr>
                <w:rFonts w:hint="eastAsia"/>
                <w:b w:val="0"/>
                <w:bCs/>
                <w:lang w:val="en-US" w:eastAsia="zh-CN"/>
              </w:rPr>
              <w:t>电压（kV）</w:t>
            </w:r>
          </w:p>
        </w:tc>
        <w:tc>
          <w:tcPr>
            <w:tcW w:w="1604" w:type="dxa"/>
            <w:tcBorders>
              <w:tl2br w:val="nil"/>
              <w:tr2bl w:val="nil"/>
            </w:tcBorders>
            <w:vAlign w:val="center"/>
          </w:tcPr>
          <w:p w14:paraId="091F444F">
            <w:pPr>
              <w:pStyle w:val="45"/>
              <w:rPr>
                <w:rFonts w:hint="default"/>
                <w:b w:val="0"/>
                <w:bCs/>
                <w:lang w:val="en-US" w:eastAsia="zh-CN"/>
              </w:rPr>
            </w:pPr>
            <w:r>
              <w:rPr>
                <w:rFonts w:hint="eastAsia"/>
                <w:b w:val="0"/>
                <w:bCs/>
                <w:lang w:val="en-US" w:eastAsia="zh-CN"/>
              </w:rPr>
              <w:t>电流（A）</w:t>
            </w:r>
          </w:p>
        </w:tc>
        <w:tc>
          <w:tcPr>
            <w:tcW w:w="1679" w:type="dxa"/>
            <w:tcBorders>
              <w:tl2br w:val="nil"/>
              <w:tr2bl w:val="nil"/>
            </w:tcBorders>
            <w:vAlign w:val="center"/>
          </w:tcPr>
          <w:p w14:paraId="58E38009">
            <w:pPr>
              <w:pStyle w:val="45"/>
              <w:rPr>
                <w:rFonts w:hint="default"/>
                <w:b w:val="0"/>
                <w:bCs/>
                <w:lang w:val="en-US" w:eastAsia="zh-CN"/>
              </w:rPr>
            </w:pPr>
            <w:r>
              <w:rPr>
                <w:rFonts w:hint="eastAsia"/>
                <w:b w:val="0"/>
                <w:bCs/>
                <w:lang w:val="en-US" w:eastAsia="zh-CN"/>
              </w:rPr>
              <w:t>有功功率（MW）</w:t>
            </w:r>
          </w:p>
        </w:tc>
        <w:tc>
          <w:tcPr>
            <w:tcW w:w="1703" w:type="dxa"/>
            <w:tcBorders>
              <w:tl2br w:val="nil"/>
              <w:tr2bl w:val="nil"/>
            </w:tcBorders>
            <w:vAlign w:val="center"/>
          </w:tcPr>
          <w:p w14:paraId="090D37FE">
            <w:pPr>
              <w:pStyle w:val="45"/>
              <w:rPr>
                <w:rFonts w:hint="default"/>
                <w:b w:val="0"/>
                <w:bCs/>
                <w:lang w:val="en-US" w:eastAsia="zh-CN"/>
              </w:rPr>
            </w:pPr>
            <w:r>
              <w:rPr>
                <w:rFonts w:hint="eastAsia"/>
                <w:b w:val="0"/>
                <w:bCs/>
                <w:lang w:val="en-US" w:eastAsia="zh-CN"/>
              </w:rPr>
              <w:t>无功功率（Mvar）</w:t>
            </w:r>
          </w:p>
        </w:tc>
      </w:tr>
      <w:tr w14:paraId="4328EC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61" w:type="dxa"/>
            <w:tcBorders>
              <w:tl2br w:val="nil"/>
              <w:tr2bl w:val="nil"/>
            </w:tcBorders>
            <w:vAlign w:val="center"/>
          </w:tcPr>
          <w:p w14:paraId="620C3F63">
            <w:pPr>
              <w:pStyle w:val="45"/>
              <w:rPr>
                <w:rFonts w:hint="default"/>
                <w:b w:val="0"/>
                <w:bCs/>
                <w:lang w:val="en-US" w:eastAsia="zh-CN"/>
              </w:rPr>
            </w:pPr>
            <w:r>
              <w:rPr>
                <w:rFonts w:hint="eastAsia"/>
                <w:b w:val="0"/>
                <w:bCs/>
                <w:lang w:val="en-US" w:eastAsia="zh-CN"/>
              </w:rPr>
              <w:t>2021.11.10</w:t>
            </w:r>
          </w:p>
        </w:tc>
        <w:tc>
          <w:tcPr>
            <w:tcW w:w="739" w:type="dxa"/>
            <w:tcBorders>
              <w:tl2br w:val="nil"/>
              <w:tr2bl w:val="nil"/>
            </w:tcBorders>
            <w:vAlign w:val="center"/>
          </w:tcPr>
          <w:p w14:paraId="2EA4760B">
            <w:pPr>
              <w:pStyle w:val="45"/>
              <w:rPr>
                <w:rFonts w:hint="eastAsia"/>
                <w:b w:val="0"/>
                <w:bCs/>
                <w:lang w:val="en-US" w:eastAsia="zh-CN"/>
              </w:rPr>
            </w:pPr>
            <w:r>
              <w:rPr>
                <w:rFonts w:hint="eastAsia"/>
                <w:b w:val="0"/>
                <w:bCs/>
                <w:lang w:val="en-US" w:eastAsia="zh-CN"/>
              </w:rPr>
              <w:t>主变</w:t>
            </w:r>
          </w:p>
        </w:tc>
        <w:tc>
          <w:tcPr>
            <w:tcW w:w="1636" w:type="dxa"/>
            <w:tcBorders>
              <w:tl2br w:val="nil"/>
              <w:tr2bl w:val="nil"/>
            </w:tcBorders>
            <w:vAlign w:val="center"/>
          </w:tcPr>
          <w:p w14:paraId="5318A91A">
            <w:pPr>
              <w:pStyle w:val="45"/>
              <w:rPr>
                <w:rFonts w:hint="default"/>
                <w:b w:val="0"/>
                <w:bCs/>
                <w:lang w:val="en-US" w:eastAsia="zh-CN"/>
              </w:rPr>
            </w:pPr>
            <w:r>
              <w:rPr>
                <w:rFonts w:hint="eastAsia"/>
                <w:b w:val="0"/>
                <w:bCs/>
                <w:lang w:val="en-US" w:eastAsia="zh-CN"/>
              </w:rPr>
              <w:t>118.94</w:t>
            </w:r>
          </w:p>
        </w:tc>
        <w:tc>
          <w:tcPr>
            <w:tcW w:w="1604" w:type="dxa"/>
            <w:tcBorders>
              <w:tl2br w:val="nil"/>
              <w:tr2bl w:val="nil"/>
            </w:tcBorders>
            <w:vAlign w:val="center"/>
          </w:tcPr>
          <w:p w14:paraId="2B43EFFA">
            <w:pPr>
              <w:pStyle w:val="45"/>
              <w:rPr>
                <w:rFonts w:hint="default"/>
                <w:b w:val="0"/>
                <w:bCs/>
                <w:lang w:val="en-US" w:eastAsia="zh-CN"/>
              </w:rPr>
            </w:pPr>
            <w:r>
              <w:rPr>
                <w:rFonts w:hint="eastAsia"/>
                <w:b w:val="0"/>
                <w:bCs/>
                <w:lang w:val="en-US" w:eastAsia="zh-CN"/>
              </w:rPr>
              <w:t>24.19</w:t>
            </w:r>
          </w:p>
        </w:tc>
        <w:tc>
          <w:tcPr>
            <w:tcW w:w="1679" w:type="dxa"/>
            <w:tcBorders>
              <w:tl2br w:val="nil"/>
              <w:tr2bl w:val="nil"/>
            </w:tcBorders>
            <w:vAlign w:val="center"/>
          </w:tcPr>
          <w:p w14:paraId="4B2B1ED0">
            <w:pPr>
              <w:pStyle w:val="45"/>
              <w:rPr>
                <w:rFonts w:hint="default"/>
                <w:b w:val="0"/>
                <w:bCs/>
                <w:lang w:val="en-US" w:eastAsia="zh-CN"/>
              </w:rPr>
            </w:pPr>
            <w:r>
              <w:rPr>
                <w:rFonts w:hint="eastAsia"/>
                <w:b w:val="0"/>
                <w:bCs/>
                <w:lang w:val="en-US" w:eastAsia="zh-CN"/>
              </w:rPr>
              <w:t>2.28</w:t>
            </w:r>
          </w:p>
        </w:tc>
        <w:tc>
          <w:tcPr>
            <w:tcW w:w="1703" w:type="dxa"/>
            <w:tcBorders>
              <w:tl2br w:val="nil"/>
              <w:tr2bl w:val="nil"/>
            </w:tcBorders>
            <w:vAlign w:val="center"/>
          </w:tcPr>
          <w:p w14:paraId="5893806E">
            <w:pPr>
              <w:pStyle w:val="45"/>
              <w:rPr>
                <w:rFonts w:hint="default"/>
                <w:b w:val="0"/>
                <w:bCs/>
                <w:lang w:val="en-US" w:eastAsia="zh-CN"/>
              </w:rPr>
            </w:pPr>
            <w:r>
              <w:rPr>
                <w:rFonts w:hint="eastAsia"/>
                <w:b w:val="0"/>
                <w:bCs/>
                <w:lang w:val="en-US" w:eastAsia="zh-CN"/>
              </w:rPr>
              <w:t>-4.33</w:t>
            </w:r>
          </w:p>
        </w:tc>
      </w:tr>
    </w:tbl>
    <w:p w14:paraId="3EA0E2D9">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eastAsia" w:ascii="Times New Roman" w:hAnsi="Times New Roman" w:eastAsia="宋体" w:cs="Times New Roman"/>
          <w:b/>
          <w:bCs/>
          <w:color w:val="auto"/>
          <w:sz w:val="24"/>
          <w:szCs w:val="24"/>
          <w:highlight w:val="none"/>
          <w:u w:val="none"/>
          <w:lang w:val="en-US" w:eastAsia="zh-CN"/>
        </w:rPr>
      </w:pPr>
      <w:r>
        <w:rPr>
          <w:rFonts w:hint="eastAsia" w:ascii="Times New Roman" w:hAnsi="Times New Roman" w:eastAsia="宋体" w:cs="Times New Roman"/>
          <w:b/>
          <w:bCs/>
          <w:color w:val="auto"/>
          <w:sz w:val="24"/>
          <w:szCs w:val="24"/>
          <w:highlight w:val="none"/>
          <w:u w:val="none"/>
          <w:lang w:val="en-US" w:eastAsia="zh-CN"/>
        </w:rPr>
        <w:t>监测时间及气象条件</w:t>
      </w:r>
    </w:p>
    <w:p w14:paraId="3F2C3599">
      <w:pPr>
        <w:pStyle w:val="61"/>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测量时间：20</w:t>
      </w:r>
      <w:r>
        <w:rPr>
          <w:rFonts w:hint="eastAsia" w:cs="Times New Roman"/>
          <w:color w:val="auto"/>
          <w:highlight w:val="none"/>
          <w:lang w:val="en-US" w:eastAsia="zh-CN"/>
        </w:rPr>
        <w:t>21</w:t>
      </w:r>
      <w:r>
        <w:rPr>
          <w:rFonts w:hint="default" w:ascii="Times New Roman" w:hAnsi="Times New Roman" w:cs="Times New Roman"/>
          <w:color w:val="auto"/>
          <w:highlight w:val="none"/>
        </w:rPr>
        <w:t>年</w:t>
      </w:r>
      <w:r>
        <w:rPr>
          <w:rFonts w:hint="eastAsia" w:cs="Times New Roman"/>
          <w:color w:val="auto"/>
          <w:highlight w:val="none"/>
          <w:lang w:val="en-US" w:eastAsia="zh-CN"/>
        </w:rPr>
        <w:t>11</w:t>
      </w:r>
      <w:r>
        <w:rPr>
          <w:rFonts w:hint="default" w:ascii="Times New Roman" w:hAnsi="Times New Roman" w:cs="Times New Roman"/>
          <w:color w:val="auto"/>
          <w:highlight w:val="none"/>
        </w:rPr>
        <w:t>月</w:t>
      </w:r>
      <w:r>
        <w:rPr>
          <w:rFonts w:hint="eastAsia" w:cs="Times New Roman"/>
          <w:color w:val="auto"/>
          <w:highlight w:val="none"/>
          <w:lang w:val="en-US" w:eastAsia="zh-CN"/>
        </w:rPr>
        <w:t>10</w:t>
      </w:r>
      <w:r>
        <w:rPr>
          <w:rFonts w:hint="default" w:ascii="Times New Roman" w:hAnsi="Times New Roman" w:cs="Times New Roman"/>
          <w:color w:val="auto"/>
          <w:highlight w:val="none"/>
        </w:rPr>
        <w:t>日。</w:t>
      </w:r>
    </w:p>
    <w:p w14:paraId="20969FAC">
      <w:pPr>
        <w:bidi w:val="0"/>
        <w:rPr>
          <w:color w:val="auto"/>
          <w:highlight w:val="none"/>
        </w:rPr>
      </w:pPr>
      <w:r>
        <w:rPr>
          <w:rFonts w:hint="default" w:ascii="Times New Roman" w:hAnsi="Times New Roman" w:cs="Times New Roman"/>
          <w:color w:val="auto"/>
          <w:highlight w:val="none"/>
        </w:rPr>
        <w:t>气象条件：天气晴、</w:t>
      </w:r>
      <w:r>
        <w:rPr>
          <w:rFonts w:hint="eastAsia" w:cs="Times New Roman"/>
          <w:color w:val="auto"/>
          <w:highlight w:val="none"/>
          <w:lang w:val="en-US" w:eastAsia="zh-CN"/>
        </w:rPr>
        <w:t>温度5.2~12.5℃、</w:t>
      </w:r>
      <w:r>
        <w:rPr>
          <w:rFonts w:hint="default" w:ascii="Times New Roman" w:hAnsi="Times New Roman" w:cs="Times New Roman"/>
          <w:color w:val="auto"/>
          <w:highlight w:val="none"/>
        </w:rPr>
        <w:t>相对湿度</w:t>
      </w:r>
      <w:r>
        <w:rPr>
          <w:rFonts w:hint="eastAsia" w:cs="Times New Roman"/>
          <w:color w:val="auto"/>
          <w:highlight w:val="none"/>
          <w:lang w:val="en-US" w:eastAsia="zh-CN"/>
        </w:rPr>
        <w:t>54.1~62.5</w:t>
      </w:r>
      <w:r>
        <w:rPr>
          <w:rFonts w:hint="default" w:ascii="Times New Roman" w:hAnsi="Times New Roman" w:cs="Times New Roman"/>
          <w:color w:val="auto"/>
          <w:highlight w:val="none"/>
        </w:rPr>
        <w:t>%。</w:t>
      </w:r>
    </w:p>
    <w:p w14:paraId="70E23B37">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eastAsia" w:ascii="Times New Roman" w:hAnsi="Times New Roman" w:eastAsia="宋体" w:cs="Times New Roman"/>
          <w:b/>
          <w:bCs/>
          <w:color w:val="auto"/>
          <w:sz w:val="24"/>
          <w:szCs w:val="24"/>
          <w:highlight w:val="none"/>
          <w:u w:val="none"/>
          <w:lang w:val="en-US" w:eastAsia="zh-CN"/>
        </w:rPr>
      </w:pPr>
      <w:r>
        <w:rPr>
          <w:rFonts w:hint="eastAsia" w:ascii="Times New Roman" w:hAnsi="Times New Roman" w:eastAsia="宋体" w:cs="Times New Roman"/>
          <w:b/>
          <w:bCs/>
          <w:color w:val="auto"/>
          <w:sz w:val="24"/>
          <w:szCs w:val="24"/>
          <w:highlight w:val="none"/>
          <w:u w:val="none"/>
          <w:lang w:val="en-US" w:eastAsia="zh-CN"/>
        </w:rPr>
        <w:t>类比监测结果</w:t>
      </w:r>
    </w:p>
    <w:p w14:paraId="72335FF5">
      <w:pPr>
        <w:pStyle w:val="61"/>
        <w:bidi w:val="0"/>
        <w:rPr>
          <w:rFonts w:hint="default" w:ascii="Times New Roman" w:hAnsi="Times New Roman" w:cs="Times New Roman"/>
          <w:color w:val="auto"/>
          <w:highlight w:val="none"/>
          <w:u w:val="none"/>
        </w:rPr>
      </w:pPr>
      <w:r>
        <w:rPr>
          <w:rFonts w:hint="eastAsia" w:cs="Times New Roman"/>
          <w:color w:val="auto"/>
          <w:highlight w:val="none"/>
          <w:u w:val="none"/>
          <w:lang w:val="en-US" w:eastAsia="zh-CN"/>
        </w:rPr>
        <w:t>国电电力城步金紫山风电场工程110kV升压站</w:t>
      </w:r>
      <w:r>
        <w:rPr>
          <w:rFonts w:hint="default" w:ascii="Times New Roman" w:hAnsi="Times New Roman" w:cs="Times New Roman"/>
          <w:color w:val="auto"/>
          <w:highlight w:val="none"/>
          <w:u w:val="none"/>
        </w:rPr>
        <w:t>类比监测结果见表</w:t>
      </w:r>
      <w:r>
        <w:rPr>
          <w:rFonts w:hint="eastAsia" w:cs="Times New Roman"/>
          <w:color w:val="auto"/>
          <w:highlight w:val="none"/>
          <w:u w:val="none"/>
          <w:lang w:val="en-US" w:eastAsia="zh-CN"/>
        </w:rPr>
        <w:t>6.2.6</w:t>
      </w:r>
      <w:r>
        <w:rPr>
          <w:rFonts w:hint="default" w:ascii="Times New Roman" w:hAnsi="Times New Roman" w:cs="Times New Roman"/>
          <w:color w:val="auto"/>
          <w:highlight w:val="none"/>
          <w:u w:val="none"/>
          <w:lang w:val="en-US" w:eastAsia="zh-CN"/>
        </w:rPr>
        <w:t>-</w:t>
      </w:r>
      <w:r>
        <w:rPr>
          <w:rFonts w:hint="eastAsia" w:cs="Times New Roman"/>
          <w:color w:val="auto"/>
          <w:highlight w:val="none"/>
          <w:u w:val="none"/>
          <w:lang w:val="en-US" w:eastAsia="zh-CN"/>
        </w:rPr>
        <w:t>5和附件2</w:t>
      </w:r>
      <w:r>
        <w:rPr>
          <w:rFonts w:hint="default" w:ascii="Times New Roman" w:hAnsi="Times New Roman" w:cs="Times New Roman"/>
          <w:color w:val="auto"/>
          <w:highlight w:val="none"/>
          <w:u w:val="none"/>
        </w:rPr>
        <w:t>。</w:t>
      </w:r>
    </w:p>
    <w:p w14:paraId="6E80104E">
      <w:pPr>
        <w:pStyle w:val="46"/>
        <w:bidi w:val="0"/>
        <w:rPr>
          <w:rFonts w:hint="default"/>
        </w:rPr>
      </w:pPr>
      <w:r>
        <w:rPr>
          <w:rFonts w:hint="default"/>
        </w:rPr>
        <w:t xml:space="preserve">表 </w:t>
      </w:r>
      <w:r>
        <w:rPr>
          <w:rFonts w:hint="eastAsia"/>
          <w:lang w:val="en-US" w:eastAsia="zh-CN"/>
        </w:rPr>
        <w:t>6.2.6</w:t>
      </w:r>
      <w:r>
        <w:rPr>
          <w:rFonts w:hint="default"/>
          <w:lang w:val="en-US" w:eastAsia="zh-CN"/>
        </w:rPr>
        <w:t>-</w:t>
      </w:r>
      <w:r>
        <w:rPr>
          <w:rFonts w:hint="eastAsia"/>
          <w:lang w:val="en-US" w:eastAsia="zh-CN"/>
        </w:rPr>
        <w:t>5国电电力城步金紫山风电场工程110kV升压站</w:t>
      </w:r>
      <w:r>
        <w:rPr>
          <w:rFonts w:hint="default"/>
        </w:rPr>
        <w:t>工频电场、工频磁感应强度类比监测结果</w:t>
      </w:r>
    </w:p>
    <w:tbl>
      <w:tblPr>
        <w:tblStyle w:val="19"/>
        <w:tblW w:w="5054"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937"/>
        <w:gridCol w:w="905"/>
        <w:gridCol w:w="2461"/>
        <w:gridCol w:w="947"/>
        <w:gridCol w:w="1148"/>
        <w:gridCol w:w="1044"/>
        <w:gridCol w:w="984"/>
      </w:tblGrid>
      <w:tr w14:paraId="55DC789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56" w:type="pct"/>
            <w:vMerge w:val="restart"/>
            <w:tcBorders>
              <w:tl2br w:val="nil"/>
              <w:tr2bl w:val="nil"/>
            </w:tcBorders>
            <w:vAlign w:val="center"/>
          </w:tcPr>
          <w:p w14:paraId="573D8BB5">
            <w:pPr>
              <w:pStyle w:val="42"/>
              <w:rPr>
                <w:rFonts w:hint="default"/>
                <w:szCs w:val="21"/>
                <w:lang w:val="en-US" w:eastAsia="zh-CN"/>
              </w:rPr>
            </w:pPr>
            <w:r>
              <w:rPr>
                <w:rFonts w:hint="eastAsia"/>
                <w:szCs w:val="21"/>
                <w:lang w:val="en-US" w:eastAsia="zh-CN"/>
              </w:rPr>
              <w:t>编号</w:t>
            </w:r>
          </w:p>
        </w:tc>
        <w:tc>
          <w:tcPr>
            <w:tcW w:w="1997" w:type="pct"/>
            <w:gridSpan w:val="2"/>
            <w:vMerge w:val="restart"/>
            <w:tcBorders>
              <w:tl2br w:val="nil"/>
              <w:tr2bl w:val="nil"/>
            </w:tcBorders>
            <w:vAlign w:val="center"/>
          </w:tcPr>
          <w:p w14:paraId="0AC9CA03">
            <w:pPr>
              <w:pStyle w:val="42"/>
              <w:rPr>
                <w:rFonts w:hint="default"/>
                <w:szCs w:val="21"/>
              </w:rPr>
            </w:pPr>
            <w:r>
              <w:rPr>
                <w:rFonts w:hint="default"/>
                <w:szCs w:val="21"/>
              </w:rPr>
              <w:t>监测点位</w:t>
            </w:r>
          </w:p>
        </w:tc>
        <w:tc>
          <w:tcPr>
            <w:tcW w:w="1243" w:type="pct"/>
            <w:gridSpan w:val="2"/>
            <w:tcBorders>
              <w:tl2br w:val="nil"/>
              <w:tr2bl w:val="nil"/>
            </w:tcBorders>
            <w:vAlign w:val="center"/>
          </w:tcPr>
          <w:p w14:paraId="41B651CC">
            <w:pPr>
              <w:pStyle w:val="42"/>
              <w:rPr>
                <w:rFonts w:hint="default"/>
                <w:szCs w:val="21"/>
              </w:rPr>
            </w:pPr>
            <w:r>
              <w:rPr>
                <w:rFonts w:hint="default"/>
                <w:szCs w:val="21"/>
              </w:rPr>
              <w:t>工频电场强度（V/m）</w:t>
            </w:r>
          </w:p>
        </w:tc>
        <w:tc>
          <w:tcPr>
            <w:tcW w:w="1202" w:type="pct"/>
            <w:gridSpan w:val="2"/>
            <w:tcBorders>
              <w:tl2br w:val="nil"/>
              <w:tr2bl w:val="nil"/>
            </w:tcBorders>
            <w:vAlign w:val="center"/>
          </w:tcPr>
          <w:p w14:paraId="3D158247">
            <w:pPr>
              <w:pStyle w:val="42"/>
              <w:rPr>
                <w:rFonts w:hint="default"/>
                <w:szCs w:val="21"/>
              </w:rPr>
            </w:pPr>
            <w:r>
              <w:rPr>
                <w:rFonts w:hint="default"/>
                <w:szCs w:val="21"/>
              </w:rPr>
              <w:t>工频磁感应强度（μT）</w:t>
            </w:r>
          </w:p>
        </w:tc>
      </w:tr>
      <w:tr w14:paraId="243C4D7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vMerge w:val="continue"/>
            <w:tcBorders>
              <w:tl2br w:val="nil"/>
              <w:tr2bl w:val="nil"/>
            </w:tcBorders>
            <w:vAlign w:val="center"/>
          </w:tcPr>
          <w:p w14:paraId="2EB5F80B">
            <w:pPr>
              <w:pStyle w:val="42"/>
              <w:bidi w:val="0"/>
              <w:rPr>
                <w:rFonts w:hint="default"/>
                <w:szCs w:val="21"/>
                <w:lang w:val="en-US" w:eastAsia="zh-CN"/>
              </w:rPr>
            </w:pPr>
          </w:p>
        </w:tc>
        <w:tc>
          <w:tcPr>
            <w:tcW w:w="1997" w:type="pct"/>
            <w:gridSpan w:val="2"/>
            <w:vMerge w:val="continue"/>
            <w:tcBorders>
              <w:tl2br w:val="nil"/>
              <w:tr2bl w:val="nil"/>
            </w:tcBorders>
            <w:vAlign w:val="center"/>
          </w:tcPr>
          <w:p w14:paraId="5DC0FA2A">
            <w:pPr>
              <w:pStyle w:val="42"/>
              <w:bidi w:val="0"/>
              <w:rPr>
                <w:rFonts w:hint="default"/>
                <w:szCs w:val="21"/>
              </w:rPr>
            </w:pPr>
          </w:p>
        </w:tc>
        <w:tc>
          <w:tcPr>
            <w:tcW w:w="562" w:type="pct"/>
            <w:tcBorders>
              <w:tl2br w:val="nil"/>
              <w:tr2bl w:val="nil"/>
            </w:tcBorders>
            <w:vAlign w:val="center"/>
          </w:tcPr>
          <w:p w14:paraId="43FFF789">
            <w:pPr>
              <w:pStyle w:val="42"/>
              <w:bidi w:val="0"/>
              <w:rPr>
                <w:rFonts w:hint="default"/>
                <w:szCs w:val="21"/>
              </w:rPr>
            </w:pPr>
            <w:r>
              <w:rPr>
                <w:rFonts w:hint="default"/>
                <w:szCs w:val="21"/>
              </w:rPr>
              <w:t>监测值</w:t>
            </w:r>
          </w:p>
        </w:tc>
        <w:tc>
          <w:tcPr>
            <w:tcW w:w="681" w:type="pct"/>
            <w:tcBorders>
              <w:tl2br w:val="nil"/>
              <w:tr2bl w:val="nil"/>
            </w:tcBorders>
            <w:vAlign w:val="center"/>
          </w:tcPr>
          <w:p w14:paraId="0A35737E">
            <w:pPr>
              <w:pStyle w:val="42"/>
              <w:bidi w:val="0"/>
              <w:rPr>
                <w:rFonts w:hint="default"/>
                <w:szCs w:val="21"/>
              </w:rPr>
            </w:pPr>
            <w:r>
              <w:rPr>
                <w:rFonts w:hint="default"/>
                <w:szCs w:val="21"/>
              </w:rPr>
              <w:t>标准值</w:t>
            </w:r>
          </w:p>
        </w:tc>
        <w:tc>
          <w:tcPr>
            <w:tcW w:w="619" w:type="pct"/>
            <w:tcBorders>
              <w:tl2br w:val="nil"/>
              <w:tr2bl w:val="nil"/>
            </w:tcBorders>
            <w:vAlign w:val="center"/>
          </w:tcPr>
          <w:p w14:paraId="2540F418">
            <w:pPr>
              <w:pStyle w:val="42"/>
              <w:bidi w:val="0"/>
              <w:rPr>
                <w:rFonts w:hint="default"/>
                <w:szCs w:val="21"/>
              </w:rPr>
            </w:pPr>
            <w:r>
              <w:rPr>
                <w:rFonts w:hint="default"/>
                <w:szCs w:val="21"/>
              </w:rPr>
              <w:t>监测值</w:t>
            </w:r>
          </w:p>
        </w:tc>
        <w:tc>
          <w:tcPr>
            <w:tcW w:w="582" w:type="pct"/>
            <w:tcBorders>
              <w:tl2br w:val="nil"/>
              <w:tr2bl w:val="nil"/>
            </w:tcBorders>
            <w:vAlign w:val="center"/>
          </w:tcPr>
          <w:p w14:paraId="421B3E33">
            <w:pPr>
              <w:pStyle w:val="42"/>
              <w:bidi w:val="0"/>
              <w:rPr>
                <w:rFonts w:hint="default"/>
                <w:szCs w:val="21"/>
              </w:rPr>
            </w:pPr>
            <w:r>
              <w:rPr>
                <w:rFonts w:hint="default"/>
                <w:szCs w:val="21"/>
              </w:rPr>
              <w:t>标准值</w:t>
            </w:r>
          </w:p>
        </w:tc>
      </w:tr>
      <w:tr w14:paraId="46638AE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14:paraId="4F41C8D0">
            <w:pPr>
              <w:pStyle w:val="42"/>
              <w:rPr>
                <w:rFonts w:hint="default"/>
                <w:szCs w:val="21"/>
                <w:lang w:val="en-US" w:eastAsia="zh-CN"/>
              </w:rPr>
            </w:pPr>
            <w:r>
              <w:rPr>
                <w:rFonts w:hint="eastAsia"/>
                <w:szCs w:val="21"/>
                <w:lang w:val="en-US" w:eastAsia="zh-CN"/>
              </w:rPr>
              <w:t>1</w:t>
            </w:r>
          </w:p>
        </w:tc>
        <w:tc>
          <w:tcPr>
            <w:tcW w:w="537" w:type="pct"/>
            <w:vMerge w:val="restart"/>
            <w:tcBorders>
              <w:tl2br w:val="nil"/>
              <w:tr2bl w:val="nil"/>
            </w:tcBorders>
            <w:vAlign w:val="center"/>
          </w:tcPr>
          <w:p w14:paraId="784C2C25">
            <w:pPr>
              <w:pStyle w:val="42"/>
              <w:rPr>
                <w:rFonts w:hint="default"/>
                <w:szCs w:val="21"/>
              </w:rPr>
            </w:pPr>
            <w:r>
              <w:rPr>
                <w:rFonts w:hint="default"/>
                <w:szCs w:val="21"/>
              </w:rPr>
              <w:t>厂界</w:t>
            </w:r>
          </w:p>
        </w:tc>
        <w:tc>
          <w:tcPr>
            <w:tcW w:w="1460" w:type="pct"/>
            <w:tcBorders>
              <w:tl2br w:val="nil"/>
              <w:tr2bl w:val="nil"/>
            </w:tcBorders>
            <w:vAlign w:val="center"/>
          </w:tcPr>
          <w:p w14:paraId="10C9BE01">
            <w:pPr>
              <w:pStyle w:val="42"/>
              <w:rPr>
                <w:rFonts w:hint="default"/>
                <w:szCs w:val="21"/>
                <w:lang w:val="en-US" w:eastAsia="zh-CN"/>
              </w:rPr>
            </w:pPr>
            <w:r>
              <w:rPr>
                <w:rFonts w:hint="default"/>
                <w:szCs w:val="21"/>
                <w:lang w:val="en-US" w:eastAsia="zh-CN"/>
              </w:rPr>
              <w:t>E1升压站东南面围墙外5m（1#）</w:t>
            </w:r>
          </w:p>
        </w:tc>
        <w:tc>
          <w:tcPr>
            <w:tcW w:w="562" w:type="pct"/>
            <w:tcBorders>
              <w:tl2br w:val="nil"/>
              <w:tr2bl w:val="nil"/>
            </w:tcBorders>
            <w:vAlign w:val="center"/>
          </w:tcPr>
          <w:p w14:paraId="588659BC">
            <w:pPr>
              <w:pStyle w:val="42"/>
              <w:rPr>
                <w:rFonts w:hint="default"/>
                <w:szCs w:val="21"/>
                <w:lang w:val="en-US" w:eastAsia="zh-CN"/>
              </w:rPr>
            </w:pPr>
            <w:r>
              <w:rPr>
                <w:rFonts w:hint="default"/>
                <w:szCs w:val="21"/>
                <w:lang w:val="en-US" w:eastAsia="zh-CN"/>
              </w:rPr>
              <w:t>5.73</w:t>
            </w:r>
          </w:p>
        </w:tc>
        <w:tc>
          <w:tcPr>
            <w:tcW w:w="681" w:type="pct"/>
            <w:vMerge w:val="restart"/>
            <w:tcBorders>
              <w:tl2br w:val="nil"/>
              <w:tr2bl w:val="nil"/>
            </w:tcBorders>
            <w:vAlign w:val="center"/>
          </w:tcPr>
          <w:p w14:paraId="6ABFB9E9">
            <w:pPr>
              <w:pStyle w:val="42"/>
              <w:rPr>
                <w:rFonts w:hint="default"/>
                <w:szCs w:val="21"/>
              </w:rPr>
            </w:pPr>
            <w:r>
              <w:rPr>
                <w:rFonts w:hint="default"/>
                <w:szCs w:val="21"/>
              </w:rPr>
              <w:t>4000</w:t>
            </w:r>
          </w:p>
        </w:tc>
        <w:tc>
          <w:tcPr>
            <w:tcW w:w="619" w:type="pct"/>
            <w:tcBorders>
              <w:tl2br w:val="nil"/>
              <w:tr2bl w:val="nil"/>
            </w:tcBorders>
            <w:vAlign w:val="center"/>
          </w:tcPr>
          <w:p w14:paraId="6EAE0C7E">
            <w:pPr>
              <w:pStyle w:val="42"/>
              <w:rPr>
                <w:rFonts w:hint="default"/>
                <w:szCs w:val="21"/>
                <w:lang w:val="en-US" w:eastAsia="zh-CN"/>
              </w:rPr>
            </w:pPr>
            <w:r>
              <w:rPr>
                <w:rFonts w:hint="default"/>
                <w:szCs w:val="21"/>
                <w:lang w:val="en-US" w:eastAsia="zh-CN"/>
              </w:rPr>
              <w:t>0.0114</w:t>
            </w:r>
          </w:p>
        </w:tc>
        <w:tc>
          <w:tcPr>
            <w:tcW w:w="582" w:type="pct"/>
            <w:vMerge w:val="restart"/>
            <w:tcBorders>
              <w:tl2br w:val="nil"/>
              <w:tr2bl w:val="nil"/>
            </w:tcBorders>
            <w:vAlign w:val="center"/>
          </w:tcPr>
          <w:p w14:paraId="2DDF71CE">
            <w:pPr>
              <w:pStyle w:val="42"/>
              <w:rPr>
                <w:rFonts w:hint="default"/>
                <w:szCs w:val="21"/>
              </w:rPr>
            </w:pPr>
            <w:r>
              <w:rPr>
                <w:rFonts w:hint="default"/>
                <w:szCs w:val="21"/>
              </w:rPr>
              <w:t>100</w:t>
            </w:r>
          </w:p>
        </w:tc>
      </w:tr>
      <w:tr w14:paraId="4F322A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14:paraId="6DE39F59">
            <w:pPr>
              <w:pStyle w:val="42"/>
              <w:rPr>
                <w:rFonts w:hint="default"/>
                <w:szCs w:val="21"/>
                <w:lang w:val="en-US" w:eastAsia="zh-CN"/>
              </w:rPr>
            </w:pPr>
            <w:r>
              <w:rPr>
                <w:rFonts w:hint="eastAsia"/>
                <w:szCs w:val="21"/>
                <w:lang w:val="en-US" w:eastAsia="zh-CN"/>
              </w:rPr>
              <w:t>2</w:t>
            </w:r>
          </w:p>
        </w:tc>
        <w:tc>
          <w:tcPr>
            <w:tcW w:w="537" w:type="pct"/>
            <w:vMerge w:val="continue"/>
            <w:tcBorders>
              <w:tl2br w:val="nil"/>
              <w:tr2bl w:val="nil"/>
            </w:tcBorders>
            <w:vAlign w:val="center"/>
          </w:tcPr>
          <w:p w14:paraId="11CCFD92">
            <w:pPr>
              <w:pStyle w:val="42"/>
              <w:rPr>
                <w:rFonts w:hint="default"/>
                <w:szCs w:val="21"/>
              </w:rPr>
            </w:pPr>
          </w:p>
        </w:tc>
        <w:tc>
          <w:tcPr>
            <w:tcW w:w="1460" w:type="pct"/>
            <w:tcBorders>
              <w:tl2br w:val="nil"/>
              <w:tr2bl w:val="nil"/>
            </w:tcBorders>
            <w:vAlign w:val="center"/>
          </w:tcPr>
          <w:p w14:paraId="1120ADEA">
            <w:pPr>
              <w:pStyle w:val="42"/>
              <w:rPr>
                <w:rFonts w:hint="eastAsia"/>
                <w:szCs w:val="21"/>
                <w:lang w:val="en-US" w:eastAsia="zh-CN"/>
              </w:rPr>
            </w:pPr>
            <w:r>
              <w:rPr>
                <w:rFonts w:hint="eastAsia"/>
                <w:szCs w:val="21"/>
                <w:lang w:val="en-US" w:eastAsia="zh-CN"/>
              </w:rPr>
              <w:t>E2升压站东南面围墙外5m（2#）</w:t>
            </w:r>
          </w:p>
        </w:tc>
        <w:tc>
          <w:tcPr>
            <w:tcW w:w="562" w:type="pct"/>
            <w:tcBorders>
              <w:tl2br w:val="nil"/>
              <w:tr2bl w:val="nil"/>
            </w:tcBorders>
            <w:vAlign w:val="center"/>
          </w:tcPr>
          <w:p w14:paraId="54690C07">
            <w:pPr>
              <w:pStyle w:val="42"/>
              <w:rPr>
                <w:rFonts w:hint="default"/>
                <w:szCs w:val="21"/>
                <w:lang w:val="en-US" w:eastAsia="zh-CN"/>
              </w:rPr>
            </w:pPr>
            <w:r>
              <w:rPr>
                <w:rFonts w:hint="default"/>
                <w:szCs w:val="21"/>
                <w:lang w:val="en-US" w:eastAsia="zh-CN"/>
              </w:rPr>
              <w:t>9.08</w:t>
            </w:r>
          </w:p>
        </w:tc>
        <w:tc>
          <w:tcPr>
            <w:tcW w:w="681" w:type="pct"/>
            <w:vMerge w:val="continue"/>
            <w:tcBorders>
              <w:tl2br w:val="nil"/>
              <w:tr2bl w:val="nil"/>
            </w:tcBorders>
            <w:vAlign w:val="center"/>
          </w:tcPr>
          <w:p w14:paraId="6D8FB7C8">
            <w:pPr>
              <w:pStyle w:val="42"/>
              <w:rPr>
                <w:rFonts w:hint="default"/>
                <w:szCs w:val="21"/>
              </w:rPr>
            </w:pPr>
          </w:p>
        </w:tc>
        <w:tc>
          <w:tcPr>
            <w:tcW w:w="619" w:type="pct"/>
            <w:tcBorders>
              <w:tl2br w:val="nil"/>
              <w:tr2bl w:val="nil"/>
            </w:tcBorders>
            <w:vAlign w:val="center"/>
          </w:tcPr>
          <w:p w14:paraId="7BBB70F2">
            <w:pPr>
              <w:pStyle w:val="42"/>
              <w:rPr>
                <w:rFonts w:hint="default"/>
                <w:szCs w:val="21"/>
                <w:lang w:val="en-US" w:eastAsia="zh-CN"/>
              </w:rPr>
            </w:pPr>
            <w:r>
              <w:rPr>
                <w:rFonts w:hint="default"/>
                <w:szCs w:val="21"/>
                <w:lang w:val="en-US" w:eastAsia="zh-CN"/>
              </w:rPr>
              <w:t>0.0132</w:t>
            </w:r>
          </w:p>
        </w:tc>
        <w:tc>
          <w:tcPr>
            <w:tcW w:w="582" w:type="pct"/>
            <w:vMerge w:val="continue"/>
            <w:tcBorders>
              <w:tl2br w:val="nil"/>
              <w:tr2bl w:val="nil"/>
            </w:tcBorders>
            <w:vAlign w:val="center"/>
          </w:tcPr>
          <w:p w14:paraId="0939845D">
            <w:pPr>
              <w:pStyle w:val="42"/>
              <w:rPr>
                <w:rFonts w:hint="default"/>
                <w:szCs w:val="21"/>
              </w:rPr>
            </w:pPr>
          </w:p>
        </w:tc>
      </w:tr>
      <w:tr w14:paraId="53002D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14:paraId="1BA6DC22">
            <w:pPr>
              <w:pStyle w:val="42"/>
              <w:rPr>
                <w:rFonts w:hint="eastAsia"/>
                <w:szCs w:val="21"/>
                <w:lang w:val="en-US" w:eastAsia="zh-CN"/>
              </w:rPr>
            </w:pPr>
            <w:r>
              <w:rPr>
                <w:rFonts w:hint="eastAsia"/>
                <w:szCs w:val="21"/>
                <w:lang w:val="en-US" w:eastAsia="zh-CN"/>
              </w:rPr>
              <w:t>3</w:t>
            </w:r>
          </w:p>
        </w:tc>
        <w:tc>
          <w:tcPr>
            <w:tcW w:w="537" w:type="pct"/>
            <w:vMerge w:val="continue"/>
            <w:tcBorders>
              <w:tl2br w:val="nil"/>
              <w:tr2bl w:val="nil"/>
            </w:tcBorders>
            <w:vAlign w:val="center"/>
          </w:tcPr>
          <w:p w14:paraId="4C9E38E7">
            <w:pPr>
              <w:pStyle w:val="42"/>
              <w:rPr>
                <w:rFonts w:hint="default"/>
                <w:szCs w:val="21"/>
              </w:rPr>
            </w:pPr>
          </w:p>
        </w:tc>
        <w:tc>
          <w:tcPr>
            <w:tcW w:w="1460" w:type="pct"/>
            <w:tcBorders>
              <w:tl2br w:val="nil"/>
              <w:tr2bl w:val="nil"/>
            </w:tcBorders>
            <w:vAlign w:val="center"/>
          </w:tcPr>
          <w:p w14:paraId="39E50FC9">
            <w:pPr>
              <w:pStyle w:val="42"/>
              <w:rPr>
                <w:rFonts w:hint="eastAsia"/>
                <w:szCs w:val="21"/>
                <w:lang w:eastAsia="zh-CN"/>
              </w:rPr>
            </w:pPr>
            <w:r>
              <w:rPr>
                <w:rFonts w:hint="default"/>
                <w:szCs w:val="21"/>
                <w:lang w:val="en-US" w:eastAsia="zh-CN"/>
              </w:rPr>
              <w:t>E3</w:t>
            </w:r>
            <w:r>
              <w:rPr>
                <w:rFonts w:hint="eastAsia"/>
                <w:szCs w:val="21"/>
                <w:lang w:val="en-US" w:eastAsia="zh-CN"/>
              </w:rPr>
              <w:t>升压站西南面围墙外</w:t>
            </w:r>
            <w:r>
              <w:rPr>
                <w:rFonts w:hint="default"/>
                <w:szCs w:val="21"/>
                <w:lang w:val="en-US" w:eastAsia="zh-CN"/>
              </w:rPr>
              <w:t>5m</w:t>
            </w:r>
            <w:r>
              <w:rPr>
                <w:rFonts w:hint="eastAsia"/>
                <w:szCs w:val="21"/>
                <w:lang w:val="en-US" w:eastAsia="zh-CN"/>
              </w:rPr>
              <w:t>（</w:t>
            </w:r>
            <w:r>
              <w:rPr>
                <w:rFonts w:hint="default"/>
                <w:szCs w:val="21"/>
                <w:lang w:val="en-US" w:eastAsia="zh-CN"/>
              </w:rPr>
              <w:t>1#</w:t>
            </w:r>
            <w:r>
              <w:rPr>
                <w:rFonts w:hint="eastAsia"/>
                <w:szCs w:val="21"/>
                <w:lang w:val="en-US" w:eastAsia="zh-CN"/>
              </w:rPr>
              <w:t>）</w:t>
            </w:r>
          </w:p>
        </w:tc>
        <w:tc>
          <w:tcPr>
            <w:tcW w:w="562" w:type="pct"/>
            <w:tcBorders>
              <w:tl2br w:val="nil"/>
              <w:tr2bl w:val="nil"/>
            </w:tcBorders>
            <w:vAlign w:val="center"/>
          </w:tcPr>
          <w:p w14:paraId="5ACF490D">
            <w:pPr>
              <w:pStyle w:val="42"/>
              <w:rPr>
                <w:rFonts w:hint="default"/>
                <w:szCs w:val="21"/>
                <w:lang w:val="en-US" w:eastAsia="zh-CN"/>
              </w:rPr>
            </w:pPr>
            <w:r>
              <w:rPr>
                <w:rFonts w:hint="default"/>
                <w:szCs w:val="21"/>
                <w:lang w:val="en-US" w:eastAsia="zh-CN"/>
              </w:rPr>
              <w:t>56.4</w:t>
            </w:r>
          </w:p>
        </w:tc>
        <w:tc>
          <w:tcPr>
            <w:tcW w:w="681" w:type="pct"/>
            <w:vMerge w:val="continue"/>
            <w:tcBorders>
              <w:tl2br w:val="nil"/>
              <w:tr2bl w:val="nil"/>
            </w:tcBorders>
            <w:vAlign w:val="center"/>
          </w:tcPr>
          <w:p w14:paraId="7D7CB86D">
            <w:pPr>
              <w:pStyle w:val="42"/>
              <w:rPr>
                <w:rFonts w:hint="default"/>
                <w:szCs w:val="21"/>
              </w:rPr>
            </w:pPr>
          </w:p>
        </w:tc>
        <w:tc>
          <w:tcPr>
            <w:tcW w:w="619" w:type="pct"/>
            <w:tcBorders>
              <w:tl2br w:val="nil"/>
              <w:tr2bl w:val="nil"/>
            </w:tcBorders>
            <w:vAlign w:val="center"/>
          </w:tcPr>
          <w:p w14:paraId="5B664DDF">
            <w:pPr>
              <w:pStyle w:val="42"/>
              <w:rPr>
                <w:rFonts w:hint="default"/>
                <w:szCs w:val="21"/>
                <w:lang w:val="en-US" w:eastAsia="zh-CN"/>
              </w:rPr>
            </w:pPr>
            <w:r>
              <w:rPr>
                <w:rFonts w:hint="default"/>
                <w:szCs w:val="21"/>
                <w:lang w:val="en-US" w:eastAsia="zh-CN"/>
              </w:rPr>
              <w:t>0.0251</w:t>
            </w:r>
          </w:p>
        </w:tc>
        <w:tc>
          <w:tcPr>
            <w:tcW w:w="582" w:type="pct"/>
            <w:vMerge w:val="continue"/>
            <w:tcBorders>
              <w:tl2br w:val="nil"/>
              <w:tr2bl w:val="nil"/>
            </w:tcBorders>
            <w:vAlign w:val="center"/>
          </w:tcPr>
          <w:p w14:paraId="78A69AAD">
            <w:pPr>
              <w:pStyle w:val="42"/>
              <w:rPr>
                <w:rFonts w:hint="default"/>
                <w:szCs w:val="21"/>
              </w:rPr>
            </w:pPr>
          </w:p>
        </w:tc>
      </w:tr>
      <w:tr w14:paraId="31E3B9D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14:paraId="2B08894D">
            <w:pPr>
              <w:pStyle w:val="42"/>
              <w:rPr>
                <w:rFonts w:hint="default"/>
                <w:szCs w:val="21"/>
                <w:lang w:val="en-US" w:eastAsia="zh-CN"/>
              </w:rPr>
            </w:pPr>
            <w:r>
              <w:rPr>
                <w:rFonts w:hint="eastAsia"/>
                <w:szCs w:val="21"/>
                <w:lang w:val="en-US" w:eastAsia="zh-CN"/>
              </w:rPr>
              <w:t>4</w:t>
            </w:r>
          </w:p>
        </w:tc>
        <w:tc>
          <w:tcPr>
            <w:tcW w:w="537" w:type="pct"/>
            <w:vMerge w:val="continue"/>
            <w:tcBorders>
              <w:tl2br w:val="nil"/>
              <w:tr2bl w:val="nil"/>
            </w:tcBorders>
            <w:vAlign w:val="center"/>
          </w:tcPr>
          <w:p w14:paraId="6503EDC7">
            <w:pPr>
              <w:pStyle w:val="42"/>
              <w:rPr>
                <w:rFonts w:hint="default"/>
                <w:szCs w:val="21"/>
              </w:rPr>
            </w:pPr>
          </w:p>
        </w:tc>
        <w:tc>
          <w:tcPr>
            <w:tcW w:w="1460" w:type="pct"/>
            <w:tcBorders>
              <w:tl2br w:val="nil"/>
              <w:tr2bl w:val="nil"/>
            </w:tcBorders>
            <w:vAlign w:val="center"/>
          </w:tcPr>
          <w:p w14:paraId="1EFCEEE7">
            <w:pPr>
              <w:pStyle w:val="42"/>
              <w:rPr>
                <w:rFonts w:hint="default"/>
                <w:szCs w:val="21"/>
                <w:lang w:val="en-US" w:eastAsia="zh-CN"/>
              </w:rPr>
            </w:pPr>
            <w:r>
              <w:rPr>
                <w:rFonts w:hint="default"/>
                <w:szCs w:val="21"/>
                <w:lang w:val="en-US" w:eastAsia="zh-CN"/>
              </w:rPr>
              <w:t>E4</w:t>
            </w:r>
            <w:r>
              <w:rPr>
                <w:rFonts w:hint="eastAsia"/>
                <w:szCs w:val="21"/>
                <w:lang w:val="en-US" w:eastAsia="zh-CN"/>
              </w:rPr>
              <w:t>升压站西南面围墙外</w:t>
            </w:r>
            <w:r>
              <w:rPr>
                <w:rFonts w:hint="default"/>
                <w:szCs w:val="21"/>
                <w:lang w:val="en-US" w:eastAsia="zh-CN"/>
              </w:rPr>
              <w:t>5m</w:t>
            </w:r>
            <w:r>
              <w:rPr>
                <w:rFonts w:hint="eastAsia"/>
                <w:szCs w:val="21"/>
                <w:lang w:val="en-US" w:eastAsia="zh-CN"/>
              </w:rPr>
              <w:t>（</w:t>
            </w:r>
            <w:r>
              <w:rPr>
                <w:rFonts w:hint="default"/>
                <w:szCs w:val="21"/>
                <w:lang w:val="en-US" w:eastAsia="zh-CN"/>
              </w:rPr>
              <w:t>2#</w:t>
            </w:r>
            <w:r>
              <w:rPr>
                <w:rFonts w:hint="eastAsia"/>
                <w:szCs w:val="21"/>
                <w:lang w:val="en-US" w:eastAsia="zh-CN"/>
              </w:rPr>
              <w:t>）</w:t>
            </w:r>
          </w:p>
        </w:tc>
        <w:tc>
          <w:tcPr>
            <w:tcW w:w="562" w:type="pct"/>
            <w:tcBorders>
              <w:tl2br w:val="nil"/>
              <w:tr2bl w:val="nil"/>
            </w:tcBorders>
            <w:vAlign w:val="center"/>
          </w:tcPr>
          <w:p w14:paraId="29B6B1E8">
            <w:pPr>
              <w:pStyle w:val="42"/>
              <w:rPr>
                <w:rFonts w:hint="default"/>
                <w:szCs w:val="21"/>
                <w:lang w:val="en-US" w:eastAsia="zh-CN"/>
              </w:rPr>
            </w:pPr>
            <w:r>
              <w:rPr>
                <w:rFonts w:hint="default"/>
                <w:szCs w:val="21"/>
                <w:lang w:val="en-US" w:eastAsia="zh-CN"/>
              </w:rPr>
              <w:t>608</w:t>
            </w:r>
          </w:p>
        </w:tc>
        <w:tc>
          <w:tcPr>
            <w:tcW w:w="681" w:type="pct"/>
            <w:vMerge w:val="continue"/>
            <w:tcBorders>
              <w:tl2br w:val="nil"/>
              <w:tr2bl w:val="nil"/>
            </w:tcBorders>
            <w:vAlign w:val="center"/>
          </w:tcPr>
          <w:p w14:paraId="4F5BDE5C">
            <w:pPr>
              <w:pStyle w:val="42"/>
              <w:rPr>
                <w:rFonts w:hint="default"/>
                <w:szCs w:val="21"/>
              </w:rPr>
            </w:pPr>
          </w:p>
        </w:tc>
        <w:tc>
          <w:tcPr>
            <w:tcW w:w="619" w:type="pct"/>
            <w:tcBorders>
              <w:tl2br w:val="nil"/>
              <w:tr2bl w:val="nil"/>
            </w:tcBorders>
            <w:vAlign w:val="center"/>
          </w:tcPr>
          <w:p w14:paraId="24295B92">
            <w:pPr>
              <w:pStyle w:val="42"/>
              <w:rPr>
                <w:rFonts w:hint="default"/>
                <w:szCs w:val="21"/>
                <w:lang w:val="en-US" w:eastAsia="zh-CN"/>
              </w:rPr>
            </w:pPr>
            <w:r>
              <w:rPr>
                <w:rFonts w:hint="default"/>
                <w:szCs w:val="21"/>
                <w:lang w:val="en-US" w:eastAsia="zh-CN"/>
              </w:rPr>
              <w:t>0.0689</w:t>
            </w:r>
          </w:p>
        </w:tc>
        <w:tc>
          <w:tcPr>
            <w:tcW w:w="582" w:type="pct"/>
            <w:vMerge w:val="continue"/>
            <w:tcBorders>
              <w:tl2br w:val="nil"/>
              <w:tr2bl w:val="nil"/>
            </w:tcBorders>
            <w:vAlign w:val="center"/>
          </w:tcPr>
          <w:p w14:paraId="13C6A3A0">
            <w:pPr>
              <w:pStyle w:val="42"/>
              <w:rPr>
                <w:rFonts w:hint="default"/>
                <w:szCs w:val="21"/>
              </w:rPr>
            </w:pPr>
          </w:p>
        </w:tc>
      </w:tr>
      <w:tr w14:paraId="5A8952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14:paraId="6E3C69A2">
            <w:pPr>
              <w:pStyle w:val="42"/>
              <w:rPr>
                <w:rFonts w:hint="default"/>
                <w:szCs w:val="21"/>
                <w:lang w:val="en-US" w:eastAsia="zh-CN"/>
              </w:rPr>
            </w:pPr>
            <w:r>
              <w:rPr>
                <w:rFonts w:hint="eastAsia"/>
                <w:szCs w:val="21"/>
                <w:lang w:val="en-US" w:eastAsia="zh-CN"/>
              </w:rPr>
              <w:t>5</w:t>
            </w:r>
          </w:p>
        </w:tc>
        <w:tc>
          <w:tcPr>
            <w:tcW w:w="537" w:type="pct"/>
            <w:vMerge w:val="continue"/>
            <w:tcBorders>
              <w:tl2br w:val="nil"/>
              <w:tr2bl w:val="nil"/>
            </w:tcBorders>
            <w:vAlign w:val="center"/>
          </w:tcPr>
          <w:p w14:paraId="0BD5DD54">
            <w:pPr>
              <w:pStyle w:val="42"/>
              <w:rPr>
                <w:rFonts w:hint="default"/>
                <w:szCs w:val="21"/>
              </w:rPr>
            </w:pPr>
          </w:p>
        </w:tc>
        <w:tc>
          <w:tcPr>
            <w:tcW w:w="1460" w:type="pct"/>
            <w:tcBorders>
              <w:tl2br w:val="nil"/>
              <w:tr2bl w:val="nil"/>
            </w:tcBorders>
            <w:vAlign w:val="center"/>
          </w:tcPr>
          <w:p w14:paraId="3A718973">
            <w:pPr>
              <w:pStyle w:val="42"/>
              <w:rPr>
                <w:rFonts w:hint="default"/>
                <w:szCs w:val="21"/>
                <w:lang w:val="en-US" w:eastAsia="zh-CN"/>
              </w:rPr>
            </w:pPr>
            <w:r>
              <w:rPr>
                <w:rFonts w:hint="default"/>
                <w:szCs w:val="21"/>
                <w:lang w:val="en-US" w:eastAsia="zh-CN"/>
              </w:rPr>
              <w:t>E5</w:t>
            </w:r>
            <w:r>
              <w:rPr>
                <w:rFonts w:hint="eastAsia"/>
                <w:szCs w:val="21"/>
                <w:lang w:val="en-US" w:eastAsia="zh-CN"/>
              </w:rPr>
              <w:t>升压站西北面围墙外</w:t>
            </w:r>
            <w:r>
              <w:rPr>
                <w:rFonts w:hint="default"/>
                <w:szCs w:val="21"/>
                <w:lang w:val="en-US" w:eastAsia="zh-CN"/>
              </w:rPr>
              <w:t>5m</w:t>
            </w:r>
            <w:r>
              <w:rPr>
                <w:rFonts w:hint="eastAsia"/>
                <w:szCs w:val="21"/>
                <w:lang w:val="en-US" w:eastAsia="zh-CN"/>
              </w:rPr>
              <w:t>（</w:t>
            </w:r>
            <w:r>
              <w:rPr>
                <w:rFonts w:hint="default"/>
                <w:szCs w:val="21"/>
                <w:lang w:val="en-US" w:eastAsia="zh-CN"/>
              </w:rPr>
              <w:t>1#</w:t>
            </w:r>
            <w:r>
              <w:rPr>
                <w:rFonts w:hint="eastAsia"/>
                <w:szCs w:val="21"/>
                <w:lang w:val="en-US" w:eastAsia="zh-CN"/>
              </w:rPr>
              <w:t>）</w:t>
            </w:r>
          </w:p>
        </w:tc>
        <w:tc>
          <w:tcPr>
            <w:tcW w:w="562" w:type="pct"/>
            <w:tcBorders>
              <w:tl2br w:val="nil"/>
              <w:tr2bl w:val="nil"/>
            </w:tcBorders>
            <w:vAlign w:val="center"/>
          </w:tcPr>
          <w:p w14:paraId="0E69602A">
            <w:pPr>
              <w:pStyle w:val="42"/>
              <w:rPr>
                <w:rFonts w:hint="default"/>
                <w:szCs w:val="21"/>
                <w:lang w:val="en-US" w:eastAsia="zh-CN"/>
              </w:rPr>
            </w:pPr>
            <w:r>
              <w:rPr>
                <w:rFonts w:hint="default"/>
                <w:szCs w:val="21"/>
                <w:lang w:val="en-US" w:eastAsia="zh-CN"/>
              </w:rPr>
              <w:t>62.5</w:t>
            </w:r>
          </w:p>
        </w:tc>
        <w:tc>
          <w:tcPr>
            <w:tcW w:w="681" w:type="pct"/>
            <w:vMerge w:val="continue"/>
            <w:tcBorders>
              <w:tl2br w:val="nil"/>
              <w:tr2bl w:val="nil"/>
            </w:tcBorders>
            <w:vAlign w:val="center"/>
          </w:tcPr>
          <w:p w14:paraId="30B1C71A">
            <w:pPr>
              <w:pStyle w:val="42"/>
              <w:rPr>
                <w:rFonts w:hint="default"/>
                <w:szCs w:val="21"/>
              </w:rPr>
            </w:pPr>
          </w:p>
        </w:tc>
        <w:tc>
          <w:tcPr>
            <w:tcW w:w="619" w:type="pct"/>
            <w:tcBorders>
              <w:tl2br w:val="nil"/>
              <w:tr2bl w:val="nil"/>
            </w:tcBorders>
            <w:vAlign w:val="center"/>
          </w:tcPr>
          <w:p w14:paraId="01D5BBE5">
            <w:pPr>
              <w:pStyle w:val="42"/>
              <w:rPr>
                <w:rFonts w:hint="default"/>
                <w:szCs w:val="21"/>
                <w:lang w:val="en-US" w:eastAsia="zh-CN"/>
              </w:rPr>
            </w:pPr>
            <w:r>
              <w:rPr>
                <w:rFonts w:hint="default"/>
                <w:szCs w:val="21"/>
                <w:lang w:val="en-US" w:eastAsia="zh-CN"/>
              </w:rPr>
              <w:t>0.0226</w:t>
            </w:r>
          </w:p>
        </w:tc>
        <w:tc>
          <w:tcPr>
            <w:tcW w:w="582" w:type="pct"/>
            <w:vMerge w:val="continue"/>
            <w:tcBorders>
              <w:tl2br w:val="nil"/>
              <w:tr2bl w:val="nil"/>
            </w:tcBorders>
            <w:vAlign w:val="center"/>
          </w:tcPr>
          <w:p w14:paraId="6BD29B3F">
            <w:pPr>
              <w:pStyle w:val="42"/>
              <w:rPr>
                <w:rFonts w:hint="default"/>
                <w:szCs w:val="21"/>
              </w:rPr>
            </w:pPr>
          </w:p>
        </w:tc>
      </w:tr>
      <w:tr w14:paraId="2B307B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14:paraId="67C1DC31">
            <w:pPr>
              <w:pStyle w:val="42"/>
              <w:rPr>
                <w:rFonts w:hint="default"/>
                <w:szCs w:val="21"/>
                <w:lang w:val="en-US" w:eastAsia="zh-CN"/>
              </w:rPr>
            </w:pPr>
            <w:r>
              <w:rPr>
                <w:rFonts w:hint="eastAsia"/>
                <w:szCs w:val="21"/>
                <w:lang w:val="en-US" w:eastAsia="zh-CN"/>
              </w:rPr>
              <w:t>6</w:t>
            </w:r>
          </w:p>
        </w:tc>
        <w:tc>
          <w:tcPr>
            <w:tcW w:w="537" w:type="pct"/>
            <w:vMerge w:val="continue"/>
            <w:tcBorders>
              <w:tl2br w:val="nil"/>
              <w:tr2bl w:val="nil"/>
            </w:tcBorders>
            <w:vAlign w:val="center"/>
          </w:tcPr>
          <w:p w14:paraId="09D51269">
            <w:pPr>
              <w:pStyle w:val="42"/>
              <w:rPr>
                <w:rFonts w:hint="default"/>
                <w:szCs w:val="21"/>
              </w:rPr>
            </w:pPr>
          </w:p>
        </w:tc>
        <w:tc>
          <w:tcPr>
            <w:tcW w:w="1460" w:type="pct"/>
            <w:tcBorders>
              <w:tl2br w:val="nil"/>
              <w:tr2bl w:val="nil"/>
            </w:tcBorders>
            <w:vAlign w:val="center"/>
          </w:tcPr>
          <w:p w14:paraId="11A7EEEF">
            <w:pPr>
              <w:pStyle w:val="42"/>
              <w:rPr>
                <w:rFonts w:hint="eastAsia"/>
                <w:szCs w:val="21"/>
                <w:lang w:eastAsia="zh-CN"/>
              </w:rPr>
            </w:pPr>
            <w:r>
              <w:rPr>
                <w:rFonts w:hint="default"/>
                <w:szCs w:val="21"/>
                <w:lang w:val="en-US" w:eastAsia="zh-CN"/>
              </w:rPr>
              <w:t>E6</w:t>
            </w:r>
            <w:r>
              <w:rPr>
                <w:rFonts w:hint="eastAsia"/>
                <w:szCs w:val="21"/>
                <w:lang w:val="en-US" w:eastAsia="zh-CN"/>
              </w:rPr>
              <w:t>升压站西北面围墙外</w:t>
            </w:r>
            <w:r>
              <w:rPr>
                <w:rFonts w:hint="default"/>
                <w:szCs w:val="21"/>
                <w:lang w:val="en-US" w:eastAsia="zh-CN"/>
              </w:rPr>
              <w:t>5m</w:t>
            </w:r>
            <w:r>
              <w:rPr>
                <w:rFonts w:hint="eastAsia"/>
                <w:szCs w:val="21"/>
                <w:lang w:val="en-US" w:eastAsia="zh-CN"/>
              </w:rPr>
              <w:t>（</w:t>
            </w:r>
            <w:r>
              <w:rPr>
                <w:rFonts w:hint="default"/>
                <w:szCs w:val="21"/>
                <w:lang w:val="en-US" w:eastAsia="zh-CN"/>
              </w:rPr>
              <w:t>2#</w:t>
            </w:r>
            <w:r>
              <w:rPr>
                <w:rFonts w:hint="eastAsia"/>
                <w:szCs w:val="21"/>
                <w:lang w:val="en-US" w:eastAsia="zh-CN"/>
              </w:rPr>
              <w:t>）</w:t>
            </w:r>
          </w:p>
        </w:tc>
        <w:tc>
          <w:tcPr>
            <w:tcW w:w="562" w:type="pct"/>
            <w:tcBorders>
              <w:tl2br w:val="nil"/>
              <w:tr2bl w:val="nil"/>
            </w:tcBorders>
            <w:vAlign w:val="center"/>
          </w:tcPr>
          <w:p w14:paraId="34BA3C44">
            <w:pPr>
              <w:pStyle w:val="42"/>
              <w:rPr>
                <w:rFonts w:hint="default"/>
                <w:szCs w:val="21"/>
                <w:lang w:val="en-US" w:eastAsia="zh-CN"/>
              </w:rPr>
            </w:pPr>
            <w:r>
              <w:rPr>
                <w:rFonts w:hint="default"/>
                <w:szCs w:val="21"/>
                <w:lang w:val="en-US" w:eastAsia="zh-CN"/>
              </w:rPr>
              <w:t>15.9</w:t>
            </w:r>
          </w:p>
        </w:tc>
        <w:tc>
          <w:tcPr>
            <w:tcW w:w="681" w:type="pct"/>
            <w:vMerge w:val="continue"/>
            <w:tcBorders>
              <w:tl2br w:val="nil"/>
              <w:tr2bl w:val="nil"/>
            </w:tcBorders>
            <w:vAlign w:val="center"/>
          </w:tcPr>
          <w:p w14:paraId="3DC1FB75">
            <w:pPr>
              <w:pStyle w:val="42"/>
              <w:rPr>
                <w:rFonts w:hint="default"/>
                <w:szCs w:val="21"/>
              </w:rPr>
            </w:pPr>
          </w:p>
        </w:tc>
        <w:tc>
          <w:tcPr>
            <w:tcW w:w="619" w:type="pct"/>
            <w:tcBorders>
              <w:tl2br w:val="nil"/>
              <w:tr2bl w:val="nil"/>
            </w:tcBorders>
            <w:vAlign w:val="center"/>
          </w:tcPr>
          <w:p w14:paraId="3E9D51A7">
            <w:pPr>
              <w:pStyle w:val="42"/>
              <w:rPr>
                <w:rFonts w:hint="default"/>
                <w:szCs w:val="21"/>
                <w:lang w:val="en-US" w:eastAsia="zh-CN"/>
              </w:rPr>
            </w:pPr>
            <w:r>
              <w:rPr>
                <w:rFonts w:hint="default"/>
                <w:szCs w:val="21"/>
                <w:lang w:val="en-US" w:eastAsia="zh-CN"/>
              </w:rPr>
              <w:t>0.0175</w:t>
            </w:r>
          </w:p>
        </w:tc>
        <w:tc>
          <w:tcPr>
            <w:tcW w:w="582" w:type="pct"/>
            <w:vMerge w:val="continue"/>
            <w:tcBorders>
              <w:tl2br w:val="nil"/>
              <w:tr2bl w:val="nil"/>
            </w:tcBorders>
            <w:vAlign w:val="center"/>
          </w:tcPr>
          <w:p w14:paraId="051427BB">
            <w:pPr>
              <w:pStyle w:val="42"/>
              <w:rPr>
                <w:rFonts w:hint="default"/>
                <w:szCs w:val="21"/>
              </w:rPr>
            </w:pPr>
          </w:p>
        </w:tc>
      </w:tr>
      <w:tr w14:paraId="694816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14:paraId="4AA4866B">
            <w:pPr>
              <w:pStyle w:val="42"/>
              <w:rPr>
                <w:rFonts w:hint="default"/>
                <w:szCs w:val="21"/>
                <w:lang w:val="en-US" w:eastAsia="zh-CN"/>
              </w:rPr>
            </w:pPr>
            <w:r>
              <w:rPr>
                <w:rFonts w:hint="eastAsia"/>
                <w:szCs w:val="21"/>
                <w:lang w:val="en-US" w:eastAsia="zh-CN"/>
              </w:rPr>
              <w:t>7</w:t>
            </w:r>
          </w:p>
        </w:tc>
        <w:tc>
          <w:tcPr>
            <w:tcW w:w="537" w:type="pct"/>
            <w:vMerge w:val="continue"/>
            <w:tcBorders>
              <w:tl2br w:val="nil"/>
              <w:tr2bl w:val="nil"/>
            </w:tcBorders>
            <w:vAlign w:val="center"/>
          </w:tcPr>
          <w:p w14:paraId="373F1B04">
            <w:pPr>
              <w:pStyle w:val="42"/>
              <w:rPr>
                <w:rFonts w:hint="default"/>
                <w:szCs w:val="21"/>
              </w:rPr>
            </w:pPr>
          </w:p>
        </w:tc>
        <w:tc>
          <w:tcPr>
            <w:tcW w:w="1460" w:type="pct"/>
            <w:tcBorders>
              <w:tl2br w:val="nil"/>
              <w:tr2bl w:val="nil"/>
            </w:tcBorders>
            <w:vAlign w:val="center"/>
          </w:tcPr>
          <w:p w14:paraId="7B049A8D">
            <w:pPr>
              <w:pStyle w:val="42"/>
              <w:rPr>
                <w:rFonts w:hint="eastAsia"/>
                <w:szCs w:val="21"/>
                <w:lang w:eastAsia="zh-CN"/>
              </w:rPr>
            </w:pPr>
            <w:r>
              <w:rPr>
                <w:rFonts w:hint="default"/>
                <w:szCs w:val="21"/>
                <w:lang w:val="en-US" w:eastAsia="zh-CN"/>
              </w:rPr>
              <w:t>E7</w:t>
            </w:r>
            <w:r>
              <w:rPr>
                <w:rFonts w:hint="eastAsia"/>
                <w:szCs w:val="21"/>
                <w:lang w:val="en-US" w:eastAsia="zh-CN"/>
              </w:rPr>
              <w:t>升压站东北面围墙外</w:t>
            </w:r>
            <w:r>
              <w:rPr>
                <w:rFonts w:hint="default"/>
                <w:szCs w:val="21"/>
                <w:lang w:val="en-US" w:eastAsia="zh-CN"/>
              </w:rPr>
              <w:t>5m</w:t>
            </w:r>
            <w:r>
              <w:rPr>
                <w:rFonts w:hint="eastAsia"/>
                <w:szCs w:val="21"/>
                <w:lang w:val="en-US" w:eastAsia="zh-CN"/>
              </w:rPr>
              <w:t>（</w:t>
            </w:r>
            <w:r>
              <w:rPr>
                <w:rFonts w:hint="default"/>
                <w:szCs w:val="21"/>
                <w:lang w:val="en-US" w:eastAsia="zh-CN"/>
              </w:rPr>
              <w:t>1#</w:t>
            </w:r>
            <w:r>
              <w:rPr>
                <w:rFonts w:hint="eastAsia"/>
                <w:szCs w:val="21"/>
                <w:lang w:val="en-US" w:eastAsia="zh-CN"/>
              </w:rPr>
              <w:t>）</w:t>
            </w:r>
          </w:p>
        </w:tc>
        <w:tc>
          <w:tcPr>
            <w:tcW w:w="562" w:type="pct"/>
            <w:tcBorders>
              <w:tl2br w:val="nil"/>
              <w:tr2bl w:val="nil"/>
            </w:tcBorders>
            <w:vAlign w:val="center"/>
          </w:tcPr>
          <w:p w14:paraId="7D4F8C46">
            <w:pPr>
              <w:pStyle w:val="42"/>
              <w:rPr>
                <w:rFonts w:hint="eastAsia"/>
                <w:szCs w:val="21"/>
                <w:lang w:val="en-US" w:eastAsia="zh-CN"/>
              </w:rPr>
            </w:pPr>
            <w:r>
              <w:rPr>
                <w:rFonts w:hint="default"/>
                <w:szCs w:val="21"/>
                <w:lang w:val="en-US" w:eastAsia="zh-CN"/>
              </w:rPr>
              <w:t>45.7</w:t>
            </w:r>
          </w:p>
        </w:tc>
        <w:tc>
          <w:tcPr>
            <w:tcW w:w="681" w:type="pct"/>
            <w:vMerge w:val="continue"/>
            <w:tcBorders>
              <w:tl2br w:val="nil"/>
              <w:tr2bl w:val="nil"/>
            </w:tcBorders>
            <w:vAlign w:val="center"/>
          </w:tcPr>
          <w:p w14:paraId="63D77D4E">
            <w:pPr>
              <w:pStyle w:val="42"/>
              <w:rPr>
                <w:rFonts w:hint="default"/>
                <w:szCs w:val="21"/>
              </w:rPr>
            </w:pPr>
          </w:p>
        </w:tc>
        <w:tc>
          <w:tcPr>
            <w:tcW w:w="619" w:type="pct"/>
            <w:tcBorders>
              <w:tl2br w:val="nil"/>
              <w:tr2bl w:val="nil"/>
            </w:tcBorders>
            <w:vAlign w:val="center"/>
          </w:tcPr>
          <w:p w14:paraId="72B7FE13">
            <w:pPr>
              <w:pStyle w:val="42"/>
              <w:rPr>
                <w:rFonts w:hint="eastAsia"/>
                <w:szCs w:val="21"/>
                <w:lang w:val="en-US" w:eastAsia="zh-CN"/>
              </w:rPr>
            </w:pPr>
            <w:r>
              <w:rPr>
                <w:rFonts w:hint="default"/>
                <w:szCs w:val="21"/>
                <w:lang w:val="en-US" w:eastAsia="zh-CN"/>
              </w:rPr>
              <w:t>0.0433</w:t>
            </w:r>
          </w:p>
        </w:tc>
        <w:tc>
          <w:tcPr>
            <w:tcW w:w="582" w:type="pct"/>
            <w:vMerge w:val="continue"/>
            <w:tcBorders>
              <w:tl2br w:val="nil"/>
              <w:tr2bl w:val="nil"/>
            </w:tcBorders>
            <w:vAlign w:val="center"/>
          </w:tcPr>
          <w:p w14:paraId="2D69D67B">
            <w:pPr>
              <w:pStyle w:val="42"/>
              <w:rPr>
                <w:rFonts w:hint="default"/>
                <w:szCs w:val="21"/>
              </w:rPr>
            </w:pPr>
          </w:p>
        </w:tc>
      </w:tr>
      <w:tr w14:paraId="19A7C5E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14:paraId="18751A06">
            <w:pPr>
              <w:pStyle w:val="42"/>
              <w:rPr>
                <w:rFonts w:hint="default"/>
                <w:szCs w:val="21"/>
                <w:lang w:val="en-US" w:eastAsia="zh-CN"/>
              </w:rPr>
            </w:pPr>
            <w:r>
              <w:rPr>
                <w:rFonts w:hint="eastAsia"/>
                <w:szCs w:val="21"/>
                <w:lang w:val="en-US" w:eastAsia="zh-CN"/>
              </w:rPr>
              <w:t>8</w:t>
            </w:r>
          </w:p>
        </w:tc>
        <w:tc>
          <w:tcPr>
            <w:tcW w:w="537" w:type="pct"/>
            <w:vMerge w:val="continue"/>
            <w:tcBorders>
              <w:tl2br w:val="nil"/>
              <w:tr2bl w:val="nil"/>
            </w:tcBorders>
            <w:vAlign w:val="center"/>
          </w:tcPr>
          <w:p w14:paraId="40F812F4">
            <w:pPr>
              <w:pStyle w:val="42"/>
              <w:rPr>
                <w:rFonts w:hint="default"/>
                <w:szCs w:val="21"/>
              </w:rPr>
            </w:pPr>
          </w:p>
        </w:tc>
        <w:tc>
          <w:tcPr>
            <w:tcW w:w="1460" w:type="pct"/>
            <w:tcBorders>
              <w:tl2br w:val="nil"/>
              <w:tr2bl w:val="nil"/>
            </w:tcBorders>
            <w:vAlign w:val="center"/>
          </w:tcPr>
          <w:p w14:paraId="6377189F">
            <w:pPr>
              <w:pStyle w:val="42"/>
              <w:rPr>
                <w:rFonts w:hint="eastAsia"/>
                <w:szCs w:val="21"/>
                <w:lang w:eastAsia="zh-CN"/>
              </w:rPr>
            </w:pPr>
            <w:r>
              <w:rPr>
                <w:rFonts w:hint="default"/>
                <w:szCs w:val="21"/>
                <w:lang w:val="en-US" w:eastAsia="zh-CN"/>
              </w:rPr>
              <w:t>E8</w:t>
            </w:r>
            <w:r>
              <w:rPr>
                <w:rFonts w:hint="eastAsia"/>
                <w:szCs w:val="21"/>
                <w:lang w:val="en-US" w:eastAsia="zh-CN"/>
              </w:rPr>
              <w:t>升压站东北面围墙外</w:t>
            </w:r>
            <w:r>
              <w:rPr>
                <w:rFonts w:hint="default"/>
                <w:szCs w:val="21"/>
                <w:lang w:val="en-US" w:eastAsia="zh-CN"/>
              </w:rPr>
              <w:t>5m</w:t>
            </w:r>
            <w:r>
              <w:rPr>
                <w:rFonts w:hint="eastAsia"/>
                <w:szCs w:val="21"/>
                <w:lang w:val="en-US" w:eastAsia="zh-CN"/>
              </w:rPr>
              <w:t>（</w:t>
            </w:r>
            <w:r>
              <w:rPr>
                <w:rFonts w:hint="default"/>
                <w:szCs w:val="21"/>
                <w:lang w:val="en-US" w:eastAsia="zh-CN"/>
              </w:rPr>
              <w:t>2#</w:t>
            </w:r>
            <w:r>
              <w:rPr>
                <w:rFonts w:hint="eastAsia"/>
                <w:szCs w:val="21"/>
                <w:lang w:val="en-US" w:eastAsia="zh-CN"/>
              </w:rPr>
              <w:t>）</w:t>
            </w:r>
          </w:p>
        </w:tc>
        <w:tc>
          <w:tcPr>
            <w:tcW w:w="562" w:type="pct"/>
            <w:tcBorders>
              <w:tl2br w:val="nil"/>
              <w:tr2bl w:val="nil"/>
            </w:tcBorders>
            <w:vAlign w:val="center"/>
          </w:tcPr>
          <w:p w14:paraId="12573D60">
            <w:pPr>
              <w:pStyle w:val="42"/>
              <w:rPr>
                <w:rFonts w:hint="eastAsia"/>
                <w:szCs w:val="21"/>
                <w:lang w:val="en-US" w:eastAsia="zh-CN"/>
              </w:rPr>
            </w:pPr>
            <w:r>
              <w:rPr>
                <w:rFonts w:hint="default"/>
                <w:szCs w:val="21"/>
                <w:lang w:val="en-US" w:eastAsia="zh-CN"/>
              </w:rPr>
              <w:t>16.9</w:t>
            </w:r>
          </w:p>
        </w:tc>
        <w:tc>
          <w:tcPr>
            <w:tcW w:w="681" w:type="pct"/>
            <w:vMerge w:val="continue"/>
            <w:tcBorders>
              <w:tl2br w:val="nil"/>
              <w:tr2bl w:val="nil"/>
            </w:tcBorders>
            <w:vAlign w:val="center"/>
          </w:tcPr>
          <w:p w14:paraId="39252871">
            <w:pPr>
              <w:pStyle w:val="42"/>
              <w:rPr>
                <w:rFonts w:hint="default"/>
                <w:szCs w:val="21"/>
              </w:rPr>
            </w:pPr>
          </w:p>
        </w:tc>
        <w:tc>
          <w:tcPr>
            <w:tcW w:w="619" w:type="pct"/>
            <w:tcBorders>
              <w:tl2br w:val="nil"/>
              <w:tr2bl w:val="nil"/>
            </w:tcBorders>
            <w:vAlign w:val="center"/>
          </w:tcPr>
          <w:p w14:paraId="17F0D516">
            <w:pPr>
              <w:pStyle w:val="42"/>
              <w:rPr>
                <w:rFonts w:hint="eastAsia"/>
                <w:szCs w:val="21"/>
                <w:lang w:val="en-US" w:eastAsia="zh-CN"/>
              </w:rPr>
            </w:pPr>
            <w:r>
              <w:rPr>
                <w:rFonts w:hint="default"/>
                <w:szCs w:val="21"/>
                <w:lang w:val="en-US" w:eastAsia="zh-CN"/>
              </w:rPr>
              <w:t>0.0132</w:t>
            </w:r>
          </w:p>
        </w:tc>
        <w:tc>
          <w:tcPr>
            <w:tcW w:w="582" w:type="pct"/>
            <w:vMerge w:val="continue"/>
            <w:tcBorders>
              <w:tl2br w:val="nil"/>
              <w:tr2bl w:val="nil"/>
            </w:tcBorders>
            <w:vAlign w:val="center"/>
          </w:tcPr>
          <w:p w14:paraId="5961E44E">
            <w:pPr>
              <w:pStyle w:val="42"/>
              <w:rPr>
                <w:rFonts w:hint="default"/>
                <w:szCs w:val="21"/>
              </w:rPr>
            </w:pPr>
          </w:p>
        </w:tc>
      </w:tr>
      <w:tr w14:paraId="375A564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14:paraId="379F436A">
            <w:pPr>
              <w:pStyle w:val="42"/>
              <w:rPr>
                <w:rFonts w:hint="default"/>
                <w:szCs w:val="21"/>
                <w:lang w:val="en-US" w:eastAsia="zh-CN"/>
              </w:rPr>
            </w:pPr>
            <w:r>
              <w:rPr>
                <w:rFonts w:hint="eastAsia"/>
                <w:szCs w:val="21"/>
                <w:lang w:val="en-US" w:eastAsia="zh-CN"/>
              </w:rPr>
              <w:t>9</w:t>
            </w:r>
          </w:p>
        </w:tc>
        <w:tc>
          <w:tcPr>
            <w:tcW w:w="537" w:type="pct"/>
            <w:vMerge w:val="restart"/>
            <w:tcBorders>
              <w:tl2br w:val="nil"/>
              <w:tr2bl w:val="nil"/>
            </w:tcBorders>
            <w:vAlign w:val="center"/>
          </w:tcPr>
          <w:p w14:paraId="62C400D0">
            <w:pPr>
              <w:pStyle w:val="42"/>
              <w:rPr>
                <w:rFonts w:hint="default"/>
                <w:szCs w:val="21"/>
              </w:rPr>
            </w:pPr>
            <w:r>
              <w:rPr>
                <w:rFonts w:hint="default"/>
                <w:szCs w:val="21"/>
              </w:rPr>
              <w:t>电磁环境监测断面</w:t>
            </w:r>
          </w:p>
        </w:tc>
        <w:tc>
          <w:tcPr>
            <w:tcW w:w="1460" w:type="pct"/>
            <w:tcBorders>
              <w:tl2br w:val="nil"/>
              <w:tr2bl w:val="nil"/>
            </w:tcBorders>
            <w:vAlign w:val="center"/>
          </w:tcPr>
          <w:p w14:paraId="5A49C30E">
            <w:pPr>
              <w:pStyle w:val="42"/>
              <w:rPr>
                <w:rFonts w:hint="default"/>
                <w:szCs w:val="21"/>
                <w:lang w:val="en-US" w:eastAsia="zh-CN"/>
              </w:rPr>
            </w:pPr>
            <w:r>
              <w:rPr>
                <w:rFonts w:hint="eastAsia"/>
                <w:szCs w:val="21"/>
                <w:lang w:eastAsia="zh-CN"/>
              </w:rPr>
              <w:t>升压站西南面围墙外</w:t>
            </w:r>
            <w:r>
              <w:rPr>
                <w:rFonts w:hint="eastAsia"/>
                <w:szCs w:val="21"/>
                <w:lang w:val="en-US" w:eastAsia="zh-CN"/>
              </w:rPr>
              <w:t>5m</w:t>
            </w:r>
          </w:p>
        </w:tc>
        <w:tc>
          <w:tcPr>
            <w:tcW w:w="562" w:type="pct"/>
            <w:tcBorders>
              <w:tl2br w:val="nil"/>
              <w:tr2bl w:val="nil"/>
            </w:tcBorders>
            <w:vAlign w:val="center"/>
          </w:tcPr>
          <w:p w14:paraId="2201CA11">
            <w:pPr>
              <w:pStyle w:val="42"/>
              <w:rPr>
                <w:rFonts w:hint="default"/>
                <w:szCs w:val="21"/>
                <w:lang w:val="en-US" w:eastAsia="zh-CN"/>
              </w:rPr>
            </w:pPr>
            <w:r>
              <w:rPr>
                <w:rFonts w:hint="default"/>
                <w:szCs w:val="21"/>
                <w:lang w:val="en-US" w:eastAsia="zh-CN"/>
              </w:rPr>
              <w:t>806</w:t>
            </w:r>
          </w:p>
        </w:tc>
        <w:tc>
          <w:tcPr>
            <w:tcW w:w="681" w:type="pct"/>
            <w:vMerge w:val="restart"/>
            <w:tcBorders>
              <w:tl2br w:val="nil"/>
              <w:tr2bl w:val="nil"/>
            </w:tcBorders>
            <w:vAlign w:val="center"/>
          </w:tcPr>
          <w:p w14:paraId="28BFD784">
            <w:pPr>
              <w:pStyle w:val="42"/>
              <w:rPr>
                <w:rFonts w:hint="default"/>
                <w:szCs w:val="21"/>
                <w:lang w:val="en-US" w:eastAsia="zh-CN"/>
              </w:rPr>
            </w:pPr>
            <w:r>
              <w:rPr>
                <w:rFonts w:hint="eastAsia"/>
                <w:szCs w:val="21"/>
                <w:lang w:val="en-US" w:eastAsia="zh-CN"/>
              </w:rPr>
              <w:t>4000</w:t>
            </w:r>
          </w:p>
        </w:tc>
        <w:tc>
          <w:tcPr>
            <w:tcW w:w="619" w:type="pct"/>
            <w:tcBorders>
              <w:tl2br w:val="nil"/>
              <w:tr2bl w:val="nil"/>
            </w:tcBorders>
            <w:vAlign w:val="center"/>
          </w:tcPr>
          <w:p w14:paraId="33BF6201">
            <w:pPr>
              <w:pStyle w:val="42"/>
              <w:rPr>
                <w:rFonts w:hint="default"/>
                <w:szCs w:val="21"/>
                <w:lang w:val="en-US" w:eastAsia="zh-CN"/>
              </w:rPr>
            </w:pPr>
            <w:r>
              <w:rPr>
                <w:rFonts w:hint="default"/>
                <w:szCs w:val="21"/>
                <w:lang w:val="en-US" w:eastAsia="zh-CN"/>
              </w:rPr>
              <w:t>0.0820</w:t>
            </w:r>
          </w:p>
        </w:tc>
        <w:tc>
          <w:tcPr>
            <w:tcW w:w="582" w:type="pct"/>
            <w:vMerge w:val="restart"/>
            <w:tcBorders>
              <w:tl2br w:val="nil"/>
              <w:tr2bl w:val="nil"/>
            </w:tcBorders>
            <w:vAlign w:val="center"/>
          </w:tcPr>
          <w:p w14:paraId="56D96055">
            <w:pPr>
              <w:pStyle w:val="42"/>
              <w:rPr>
                <w:rFonts w:hint="default"/>
                <w:szCs w:val="21"/>
                <w:lang w:val="en-US" w:eastAsia="zh-CN"/>
              </w:rPr>
            </w:pPr>
            <w:r>
              <w:rPr>
                <w:rFonts w:hint="eastAsia"/>
                <w:szCs w:val="21"/>
                <w:lang w:val="en-US" w:eastAsia="zh-CN"/>
              </w:rPr>
              <w:t>100</w:t>
            </w:r>
          </w:p>
        </w:tc>
      </w:tr>
      <w:tr w14:paraId="1053047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14:paraId="1FB74305">
            <w:pPr>
              <w:pStyle w:val="42"/>
              <w:rPr>
                <w:rFonts w:hint="default"/>
                <w:szCs w:val="21"/>
                <w:lang w:val="en-US" w:eastAsia="zh-CN"/>
              </w:rPr>
            </w:pPr>
            <w:r>
              <w:rPr>
                <w:rFonts w:hint="eastAsia"/>
                <w:szCs w:val="21"/>
                <w:lang w:val="en-US" w:eastAsia="zh-CN"/>
              </w:rPr>
              <w:t>10</w:t>
            </w:r>
          </w:p>
        </w:tc>
        <w:tc>
          <w:tcPr>
            <w:tcW w:w="537" w:type="pct"/>
            <w:vMerge w:val="continue"/>
            <w:tcBorders>
              <w:tl2br w:val="nil"/>
              <w:tr2bl w:val="nil"/>
            </w:tcBorders>
            <w:vAlign w:val="center"/>
          </w:tcPr>
          <w:p w14:paraId="13FC12C3">
            <w:pPr>
              <w:pStyle w:val="42"/>
              <w:rPr>
                <w:rFonts w:hint="default"/>
                <w:szCs w:val="21"/>
              </w:rPr>
            </w:pPr>
          </w:p>
        </w:tc>
        <w:tc>
          <w:tcPr>
            <w:tcW w:w="1460" w:type="pct"/>
            <w:tcBorders>
              <w:tl2br w:val="nil"/>
              <w:tr2bl w:val="nil"/>
            </w:tcBorders>
            <w:vAlign w:val="center"/>
          </w:tcPr>
          <w:p w14:paraId="355EC5C2">
            <w:pPr>
              <w:pStyle w:val="42"/>
              <w:rPr>
                <w:rFonts w:hint="default"/>
                <w:szCs w:val="21"/>
              </w:rPr>
            </w:pPr>
            <w:r>
              <w:rPr>
                <w:rFonts w:hint="eastAsia"/>
                <w:szCs w:val="21"/>
                <w:lang w:eastAsia="zh-CN"/>
              </w:rPr>
              <w:t>升压站西南面围墙外</w:t>
            </w:r>
            <w:r>
              <w:rPr>
                <w:rFonts w:hint="eastAsia"/>
                <w:szCs w:val="21"/>
                <w:lang w:val="en-US" w:eastAsia="zh-CN"/>
              </w:rPr>
              <w:t>10</w:t>
            </w:r>
            <w:r>
              <w:rPr>
                <w:rFonts w:hint="default"/>
                <w:szCs w:val="21"/>
              </w:rPr>
              <w:t>m</w:t>
            </w:r>
          </w:p>
        </w:tc>
        <w:tc>
          <w:tcPr>
            <w:tcW w:w="562" w:type="pct"/>
            <w:tcBorders>
              <w:tl2br w:val="nil"/>
              <w:tr2bl w:val="nil"/>
            </w:tcBorders>
            <w:vAlign w:val="center"/>
          </w:tcPr>
          <w:p w14:paraId="75FF75C3">
            <w:pPr>
              <w:pStyle w:val="42"/>
              <w:rPr>
                <w:rFonts w:hint="default"/>
                <w:szCs w:val="21"/>
                <w:lang w:val="en-US" w:eastAsia="zh-CN"/>
              </w:rPr>
            </w:pPr>
            <w:r>
              <w:rPr>
                <w:rFonts w:hint="default"/>
                <w:szCs w:val="21"/>
                <w:lang w:val="en-US" w:eastAsia="zh-CN"/>
              </w:rPr>
              <w:t>638</w:t>
            </w:r>
          </w:p>
        </w:tc>
        <w:tc>
          <w:tcPr>
            <w:tcW w:w="681" w:type="pct"/>
            <w:vMerge w:val="continue"/>
            <w:tcBorders>
              <w:tl2br w:val="nil"/>
              <w:tr2bl w:val="nil"/>
            </w:tcBorders>
            <w:vAlign w:val="center"/>
          </w:tcPr>
          <w:p w14:paraId="1955AAD3">
            <w:pPr>
              <w:pStyle w:val="42"/>
              <w:rPr>
                <w:rFonts w:hint="default"/>
                <w:szCs w:val="21"/>
              </w:rPr>
            </w:pPr>
          </w:p>
        </w:tc>
        <w:tc>
          <w:tcPr>
            <w:tcW w:w="619" w:type="pct"/>
            <w:tcBorders>
              <w:tl2br w:val="nil"/>
              <w:tr2bl w:val="nil"/>
            </w:tcBorders>
            <w:vAlign w:val="center"/>
          </w:tcPr>
          <w:p w14:paraId="7C56DED2">
            <w:pPr>
              <w:pStyle w:val="42"/>
              <w:rPr>
                <w:rFonts w:hint="default"/>
                <w:szCs w:val="21"/>
                <w:lang w:val="en-US" w:eastAsia="zh-CN"/>
              </w:rPr>
            </w:pPr>
            <w:r>
              <w:rPr>
                <w:rFonts w:hint="default"/>
                <w:szCs w:val="21"/>
                <w:lang w:val="en-US" w:eastAsia="zh-CN"/>
              </w:rPr>
              <w:t>0.0882</w:t>
            </w:r>
          </w:p>
        </w:tc>
        <w:tc>
          <w:tcPr>
            <w:tcW w:w="582" w:type="pct"/>
            <w:vMerge w:val="continue"/>
            <w:tcBorders>
              <w:tl2br w:val="nil"/>
              <w:tr2bl w:val="nil"/>
            </w:tcBorders>
            <w:vAlign w:val="center"/>
          </w:tcPr>
          <w:p w14:paraId="2D452495">
            <w:pPr>
              <w:pStyle w:val="42"/>
              <w:rPr>
                <w:rFonts w:hint="default"/>
                <w:szCs w:val="21"/>
              </w:rPr>
            </w:pPr>
          </w:p>
        </w:tc>
      </w:tr>
      <w:tr w14:paraId="1B9ABF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14:paraId="282283F7">
            <w:pPr>
              <w:pStyle w:val="42"/>
              <w:rPr>
                <w:rFonts w:hint="default"/>
                <w:szCs w:val="21"/>
                <w:lang w:val="en-US" w:eastAsia="zh-CN"/>
              </w:rPr>
            </w:pPr>
            <w:r>
              <w:rPr>
                <w:rFonts w:hint="eastAsia"/>
                <w:szCs w:val="21"/>
                <w:lang w:val="en-US" w:eastAsia="zh-CN"/>
              </w:rPr>
              <w:t>11</w:t>
            </w:r>
          </w:p>
        </w:tc>
        <w:tc>
          <w:tcPr>
            <w:tcW w:w="537" w:type="pct"/>
            <w:vMerge w:val="continue"/>
            <w:tcBorders>
              <w:tl2br w:val="nil"/>
              <w:tr2bl w:val="nil"/>
            </w:tcBorders>
            <w:vAlign w:val="center"/>
          </w:tcPr>
          <w:p w14:paraId="330B7915">
            <w:pPr>
              <w:pStyle w:val="42"/>
              <w:rPr>
                <w:rFonts w:hint="default"/>
                <w:szCs w:val="21"/>
              </w:rPr>
            </w:pPr>
          </w:p>
        </w:tc>
        <w:tc>
          <w:tcPr>
            <w:tcW w:w="1460" w:type="pct"/>
            <w:tcBorders>
              <w:tl2br w:val="nil"/>
              <w:tr2bl w:val="nil"/>
            </w:tcBorders>
            <w:vAlign w:val="center"/>
          </w:tcPr>
          <w:p w14:paraId="5DC6BB7A">
            <w:pPr>
              <w:pStyle w:val="42"/>
              <w:rPr>
                <w:rFonts w:hint="default"/>
                <w:szCs w:val="21"/>
              </w:rPr>
            </w:pPr>
            <w:r>
              <w:rPr>
                <w:rFonts w:hint="eastAsia"/>
                <w:szCs w:val="21"/>
                <w:lang w:eastAsia="zh-CN"/>
              </w:rPr>
              <w:t>升压站西南面围墙外</w:t>
            </w:r>
            <w:r>
              <w:rPr>
                <w:rFonts w:hint="eastAsia"/>
                <w:szCs w:val="21"/>
                <w:lang w:val="en-US" w:eastAsia="zh-CN"/>
              </w:rPr>
              <w:t>15</w:t>
            </w:r>
            <w:r>
              <w:rPr>
                <w:rFonts w:hint="default"/>
                <w:szCs w:val="21"/>
              </w:rPr>
              <w:t>m</w:t>
            </w:r>
          </w:p>
        </w:tc>
        <w:tc>
          <w:tcPr>
            <w:tcW w:w="562" w:type="pct"/>
            <w:tcBorders>
              <w:tl2br w:val="nil"/>
              <w:tr2bl w:val="nil"/>
            </w:tcBorders>
            <w:vAlign w:val="center"/>
          </w:tcPr>
          <w:p w14:paraId="478D76BD">
            <w:pPr>
              <w:pStyle w:val="42"/>
              <w:rPr>
                <w:rFonts w:hint="default"/>
                <w:szCs w:val="21"/>
                <w:lang w:val="en-US" w:eastAsia="zh-CN"/>
              </w:rPr>
            </w:pPr>
            <w:r>
              <w:rPr>
                <w:rFonts w:hint="default"/>
                <w:szCs w:val="21"/>
                <w:lang w:val="en-US" w:eastAsia="zh-CN"/>
              </w:rPr>
              <w:t>559</w:t>
            </w:r>
          </w:p>
        </w:tc>
        <w:tc>
          <w:tcPr>
            <w:tcW w:w="681" w:type="pct"/>
            <w:vMerge w:val="continue"/>
            <w:tcBorders>
              <w:tl2br w:val="nil"/>
              <w:tr2bl w:val="nil"/>
            </w:tcBorders>
            <w:vAlign w:val="center"/>
          </w:tcPr>
          <w:p w14:paraId="78AE68DC">
            <w:pPr>
              <w:pStyle w:val="42"/>
              <w:rPr>
                <w:rFonts w:hint="default"/>
                <w:szCs w:val="21"/>
              </w:rPr>
            </w:pPr>
          </w:p>
        </w:tc>
        <w:tc>
          <w:tcPr>
            <w:tcW w:w="619" w:type="pct"/>
            <w:tcBorders>
              <w:tl2br w:val="nil"/>
              <w:tr2bl w:val="nil"/>
            </w:tcBorders>
            <w:vAlign w:val="center"/>
          </w:tcPr>
          <w:p w14:paraId="77BCCDE3">
            <w:pPr>
              <w:pStyle w:val="42"/>
              <w:rPr>
                <w:rFonts w:hint="default"/>
                <w:szCs w:val="21"/>
                <w:lang w:val="en-US" w:eastAsia="zh-CN"/>
              </w:rPr>
            </w:pPr>
            <w:r>
              <w:rPr>
                <w:rFonts w:hint="default"/>
                <w:szCs w:val="21"/>
                <w:lang w:val="en-US" w:eastAsia="zh-CN"/>
              </w:rPr>
              <w:t>0.0871</w:t>
            </w:r>
          </w:p>
        </w:tc>
        <w:tc>
          <w:tcPr>
            <w:tcW w:w="582" w:type="pct"/>
            <w:vMerge w:val="continue"/>
            <w:tcBorders>
              <w:tl2br w:val="nil"/>
              <w:tr2bl w:val="nil"/>
            </w:tcBorders>
            <w:vAlign w:val="center"/>
          </w:tcPr>
          <w:p w14:paraId="2554BF58">
            <w:pPr>
              <w:pStyle w:val="42"/>
              <w:rPr>
                <w:rFonts w:hint="default"/>
                <w:szCs w:val="21"/>
              </w:rPr>
            </w:pPr>
          </w:p>
        </w:tc>
      </w:tr>
      <w:tr w14:paraId="5731AA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14:paraId="728D87FA">
            <w:pPr>
              <w:pStyle w:val="42"/>
              <w:rPr>
                <w:rFonts w:hint="default"/>
                <w:szCs w:val="21"/>
                <w:lang w:val="en-US" w:eastAsia="zh-CN"/>
              </w:rPr>
            </w:pPr>
            <w:r>
              <w:rPr>
                <w:rFonts w:hint="eastAsia"/>
                <w:szCs w:val="21"/>
                <w:lang w:val="en-US" w:eastAsia="zh-CN"/>
              </w:rPr>
              <w:t>12</w:t>
            </w:r>
          </w:p>
        </w:tc>
        <w:tc>
          <w:tcPr>
            <w:tcW w:w="537" w:type="pct"/>
            <w:vMerge w:val="continue"/>
            <w:tcBorders>
              <w:tl2br w:val="nil"/>
              <w:tr2bl w:val="nil"/>
            </w:tcBorders>
            <w:vAlign w:val="center"/>
          </w:tcPr>
          <w:p w14:paraId="2488068B">
            <w:pPr>
              <w:pStyle w:val="42"/>
              <w:rPr>
                <w:rFonts w:hint="default"/>
                <w:szCs w:val="21"/>
              </w:rPr>
            </w:pPr>
          </w:p>
        </w:tc>
        <w:tc>
          <w:tcPr>
            <w:tcW w:w="1460" w:type="pct"/>
            <w:tcBorders>
              <w:tl2br w:val="nil"/>
              <w:tr2bl w:val="nil"/>
            </w:tcBorders>
            <w:vAlign w:val="center"/>
          </w:tcPr>
          <w:p w14:paraId="7CA92126">
            <w:pPr>
              <w:pStyle w:val="42"/>
              <w:rPr>
                <w:rFonts w:hint="default"/>
                <w:szCs w:val="21"/>
              </w:rPr>
            </w:pPr>
            <w:r>
              <w:rPr>
                <w:rFonts w:hint="eastAsia"/>
                <w:szCs w:val="21"/>
                <w:lang w:eastAsia="zh-CN"/>
              </w:rPr>
              <w:t>升压站西南面围墙外</w:t>
            </w:r>
            <w:r>
              <w:rPr>
                <w:rFonts w:hint="eastAsia"/>
                <w:szCs w:val="21"/>
                <w:lang w:val="en-US" w:eastAsia="zh-CN"/>
              </w:rPr>
              <w:t>20</w:t>
            </w:r>
            <w:r>
              <w:rPr>
                <w:rFonts w:hint="default"/>
                <w:szCs w:val="21"/>
              </w:rPr>
              <w:t>m</w:t>
            </w:r>
          </w:p>
        </w:tc>
        <w:tc>
          <w:tcPr>
            <w:tcW w:w="562" w:type="pct"/>
            <w:tcBorders>
              <w:tl2br w:val="nil"/>
              <w:tr2bl w:val="nil"/>
            </w:tcBorders>
            <w:vAlign w:val="center"/>
          </w:tcPr>
          <w:p w14:paraId="5A28E5C2">
            <w:pPr>
              <w:pStyle w:val="42"/>
              <w:rPr>
                <w:rFonts w:hint="default"/>
                <w:szCs w:val="21"/>
                <w:lang w:val="en-US" w:eastAsia="zh-CN"/>
              </w:rPr>
            </w:pPr>
            <w:r>
              <w:rPr>
                <w:rFonts w:hint="default"/>
                <w:szCs w:val="21"/>
                <w:lang w:val="en-US" w:eastAsia="zh-CN"/>
              </w:rPr>
              <w:t>521</w:t>
            </w:r>
          </w:p>
        </w:tc>
        <w:tc>
          <w:tcPr>
            <w:tcW w:w="681" w:type="pct"/>
            <w:vMerge w:val="continue"/>
            <w:tcBorders>
              <w:tl2br w:val="nil"/>
              <w:tr2bl w:val="nil"/>
            </w:tcBorders>
            <w:vAlign w:val="center"/>
          </w:tcPr>
          <w:p w14:paraId="0EC1A996">
            <w:pPr>
              <w:pStyle w:val="42"/>
              <w:rPr>
                <w:rFonts w:hint="default"/>
                <w:szCs w:val="21"/>
              </w:rPr>
            </w:pPr>
          </w:p>
        </w:tc>
        <w:tc>
          <w:tcPr>
            <w:tcW w:w="619" w:type="pct"/>
            <w:tcBorders>
              <w:tl2br w:val="nil"/>
              <w:tr2bl w:val="nil"/>
            </w:tcBorders>
            <w:vAlign w:val="center"/>
          </w:tcPr>
          <w:p w14:paraId="3F4851C8">
            <w:pPr>
              <w:pStyle w:val="42"/>
              <w:rPr>
                <w:rFonts w:hint="default"/>
                <w:szCs w:val="21"/>
                <w:lang w:val="en-US" w:eastAsia="zh-CN"/>
              </w:rPr>
            </w:pPr>
            <w:r>
              <w:rPr>
                <w:rFonts w:hint="default"/>
                <w:szCs w:val="21"/>
                <w:lang w:val="en-US" w:eastAsia="zh-CN"/>
              </w:rPr>
              <w:t>0.0748</w:t>
            </w:r>
          </w:p>
        </w:tc>
        <w:tc>
          <w:tcPr>
            <w:tcW w:w="582" w:type="pct"/>
            <w:vMerge w:val="continue"/>
            <w:tcBorders>
              <w:tl2br w:val="nil"/>
              <w:tr2bl w:val="nil"/>
            </w:tcBorders>
            <w:vAlign w:val="center"/>
          </w:tcPr>
          <w:p w14:paraId="2BE0BD0A">
            <w:pPr>
              <w:pStyle w:val="42"/>
              <w:rPr>
                <w:rFonts w:hint="default"/>
                <w:szCs w:val="21"/>
              </w:rPr>
            </w:pPr>
          </w:p>
        </w:tc>
      </w:tr>
      <w:tr w14:paraId="11EB56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14:paraId="1E6B4E59">
            <w:pPr>
              <w:pStyle w:val="42"/>
              <w:rPr>
                <w:rFonts w:hint="default"/>
                <w:szCs w:val="21"/>
                <w:lang w:val="en-US" w:eastAsia="zh-CN"/>
              </w:rPr>
            </w:pPr>
            <w:r>
              <w:rPr>
                <w:rFonts w:hint="eastAsia"/>
                <w:szCs w:val="21"/>
                <w:lang w:val="en-US" w:eastAsia="zh-CN"/>
              </w:rPr>
              <w:t>13</w:t>
            </w:r>
          </w:p>
        </w:tc>
        <w:tc>
          <w:tcPr>
            <w:tcW w:w="537" w:type="pct"/>
            <w:vMerge w:val="continue"/>
            <w:tcBorders>
              <w:tl2br w:val="nil"/>
              <w:tr2bl w:val="nil"/>
            </w:tcBorders>
            <w:vAlign w:val="center"/>
          </w:tcPr>
          <w:p w14:paraId="3972AA79">
            <w:pPr>
              <w:pStyle w:val="42"/>
              <w:rPr>
                <w:rFonts w:hint="default"/>
                <w:szCs w:val="21"/>
              </w:rPr>
            </w:pPr>
          </w:p>
        </w:tc>
        <w:tc>
          <w:tcPr>
            <w:tcW w:w="1460" w:type="pct"/>
            <w:tcBorders>
              <w:tl2br w:val="nil"/>
              <w:tr2bl w:val="nil"/>
            </w:tcBorders>
            <w:vAlign w:val="center"/>
          </w:tcPr>
          <w:p w14:paraId="18685963">
            <w:pPr>
              <w:pStyle w:val="42"/>
              <w:rPr>
                <w:rFonts w:hint="default"/>
                <w:szCs w:val="21"/>
              </w:rPr>
            </w:pPr>
            <w:r>
              <w:rPr>
                <w:rFonts w:hint="eastAsia"/>
                <w:szCs w:val="21"/>
                <w:lang w:eastAsia="zh-CN"/>
              </w:rPr>
              <w:t>升压站西南面围墙外</w:t>
            </w:r>
            <w:r>
              <w:rPr>
                <w:rFonts w:hint="eastAsia"/>
                <w:szCs w:val="21"/>
                <w:lang w:val="en-US" w:eastAsia="zh-CN"/>
              </w:rPr>
              <w:t>25</w:t>
            </w:r>
            <w:r>
              <w:rPr>
                <w:rFonts w:hint="default"/>
                <w:szCs w:val="21"/>
              </w:rPr>
              <w:t>m</w:t>
            </w:r>
          </w:p>
        </w:tc>
        <w:tc>
          <w:tcPr>
            <w:tcW w:w="562" w:type="pct"/>
            <w:tcBorders>
              <w:tl2br w:val="nil"/>
              <w:tr2bl w:val="nil"/>
            </w:tcBorders>
            <w:vAlign w:val="center"/>
          </w:tcPr>
          <w:p w14:paraId="630BD84A">
            <w:pPr>
              <w:pStyle w:val="42"/>
              <w:rPr>
                <w:rFonts w:hint="default"/>
                <w:szCs w:val="21"/>
                <w:lang w:val="en-US" w:eastAsia="zh-CN"/>
              </w:rPr>
            </w:pPr>
            <w:r>
              <w:rPr>
                <w:rFonts w:hint="default"/>
                <w:szCs w:val="21"/>
                <w:lang w:val="en-US" w:eastAsia="zh-CN"/>
              </w:rPr>
              <w:t>584</w:t>
            </w:r>
          </w:p>
        </w:tc>
        <w:tc>
          <w:tcPr>
            <w:tcW w:w="681" w:type="pct"/>
            <w:vMerge w:val="continue"/>
            <w:tcBorders>
              <w:tl2br w:val="nil"/>
              <w:tr2bl w:val="nil"/>
            </w:tcBorders>
            <w:vAlign w:val="center"/>
          </w:tcPr>
          <w:p w14:paraId="139278FC">
            <w:pPr>
              <w:pStyle w:val="42"/>
              <w:rPr>
                <w:rFonts w:hint="default"/>
                <w:szCs w:val="21"/>
              </w:rPr>
            </w:pPr>
          </w:p>
        </w:tc>
        <w:tc>
          <w:tcPr>
            <w:tcW w:w="619" w:type="pct"/>
            <w:tcBorders>
              <w:tl2br w:val="nil"/>
              <w:tr2bl w:val="nil"/>
            </w:tcBorders>
            <w:vAlign w:val="center"/>
          </w:tcPr>
          <w:p w14:paraId="39ABA56F">
            <w:pPr>
              <w:pStyle w:val="42"/>
              <w:rPr>
                <w:rFonts w:hint="default"/>
                <w:szCs w:val="21"/>
                <w:lang w:val="en-US" w:eastAsia="zh-CN"/>
              </w:rPr>
            </w:pPr>
            <w:r>
              <w:rPr>
                <w:rFonts w:hint="default"/>
                <w:szCs w:val="21"/>
                <w:lang w:val="en-US" w:eastAsia="zh-CN"/>
              </w:rPr>
              <w:t>0.0525</w:t>
            </w:r>
          </w:p>
        </w:tc>
        <w:tc>
          <w:tcPr>
            <w:tcW w:w="582" w:type="pct"/>
            <w:vMerge w:val="continue"/>
            <w:tcBorders>
              <w:tl2br w:val="nil"/>
              <w:tr2bl w:val="nil"/>
            </w:tcBorders>
            <w:vAlign w:val="center"/>
          </w:tcPr>
          <w:p w14:paraId="37C02F8C">
            <w:pPr>
              <w:pStyle w:val="42"/>
              <w:rPr>
                <w:rFonts w:hint="default"/>
                <w:szCs w:val="21"/>
              </w:rPr>
            </w:pPr>
          </w:p>
        </w:tc>
      </w:tr>
      <w:tr w14:paraId="21BAFCC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14:paraId="709F7968">
            <w:pPr>
              <w:pStyle w:val="42"/>
              <w:rPr>
                <w:rFonts w:hint="default"/>
                <w:szCs w:val="21"/>
                <w:lang w:val="en-US" w:eastAsia="zh-CN"/>
              </w:rPr>
            </w:pPr>
            <w:r>
              <w:rPr>
                <w:rFonts w:hint="eastAsia"/>
                <w:szCs w:val="21"/>
                <w:lang w:val="en-US" w:eastAsia="zh-CN"/>
              </w:rPr>
              <w:t>14</w:t>
            </w:r>
          </w:p>
        </w:tc>
        <w:tc>
          <w:tcPr>
            <w:tcW w:w="537" w:type="pct"/>
            <w:vMerge w:val="continue"/>
            <w:tcBorders>
              <w:tl2br w:val="nil"/>
              <w:tr2bl w:val="nil"/>
            </w:tcBorders>
            <w:vAlign w:val="center"/>
          </w:tcPr>
          <w:p w14:paraId="442638D5">
            <w:pPr>
              <w:pStyle w:val="42"/>
              <w:rPr>
                <w:rFonts w:hint="default"/>
                <w:szCs w:val="21"/>
              </w:rPr>
            </w:pPr>
          </w:p>
        </w:tc>
        <w:tc>
          <w:tcPr>
            <w:tcW w:w="1460" w:type="pct"/>
            <w:tcBorders>
              <w:tl2br w:val="nil"/>
              <w:tr2bl w:val="nil"/>
            </w:tcBorders>
            <w:vAlign w:val="center"/>
          </w:tcPr>
          <w:p w14:paraId="1DEED83D">
            <w:pPr>
              <w:pStyle w:val="42"/>
              <w:rPr>
                <w:rFonts w:hint="default"/>
                <w:szCs w:val="21"/>
              </w:rPr>
            </w:pPr>
            <w:r>
              <w:rPr>
                <w:rFonts w:hint="eastAsia"/>
                <w:szCs w:val="21"/>
                <w:lang w:eastAsia="zh-CN"/>
              </w:rPr>
              <w:t>升压站西南面围墙外</w:t>
            </w:r>
            <w:r>
              <w:rPr>
                <w:rFonts w:hint="eastAsia"/>
                <w:szCs w:val="21"/>
                <w:lang w:val="en-US" w:eastAsia="zh-CN"/>
              </w:rPr>
              <w:t>30</w:t>
            </w:r>
            <w:r>
              <w:rPr>
                <w:rFonts w:hint="default"/>
                <w:szCs w:val="21"/>
              </w:rPr>
              <w:t>m</w:t>
            </w:r>
          </w:p>
        </w:tc>
        <w:tc>
          <w:tcPr>
            <w:tcW w:w="562" w:type="pct"/>
            <w:tcBorders>
              <w:tl2br w:val="nil"/>
              <w:tr2bl w:val="nil"/>
            </w:tcBorders>
            <w:vAlign w:val="center"/>
          </w:tcPr>
          <w:p w14:paraId="3C7E1A25">
            <w:pPr>
              <w:pStyle w:val="42"/>
              <w:rPr>
                <w:rFonts w:hint="default"/>
                <w:szCs w:val="21"/>
                <w:lang w:val="en-US" w:eastAsia="zh-CN"/>
              </w:rPr>
            </w:pPr>
            <w:r>
              <w:rPr>
                <w:rFonts w:hint="default"/>
                <w:szCs w:val="21"/>
                <w:lang w:val="en-US" w:eastAsia="zh-CN"/>
              </w:rPr>
              <w:t>527</w:t>
            </w:r>
          </w:p>
        </w:tc>
        <w:tc>
          <w:tcPr>
            <w:tcW w:w="681" w:type="pct"/>
            <w:vMerge w:val="continue"/>
            <w:tcBorders>
              <w:tl2br w:val="nil"/>
              <w:tr2bl w:val="nil"/>
            </w:tcBorders>
            <w:vAlign w:val="center"/>
          </w:tcPr>
          <w:p w14:paraId="2F426017">
            <w:pPr>
              <w:pStyle w:val="42"/>
              <w:rPr>
                <w:rFonts w:hint="default"/>
                <w:szCs w:val="21"/>
              </w:rPr>
            </w:pPr>
          </w:p>
        </w:tc>
        <w:tc>
          <w:tcPr>
            <w:tcW w:w="619" w:type="pct"/>
            <w:tcBorders>
              <w:tl2br w:val="nil"/>
              <w:tr2bl w:val="nil"/>
            </w:tcBorders>
            <w:vAlign w:val="center"/>
          </w:tcPr>
          <w:p w14:paraId="7DB77C58">
            <w:pPr>
              <w:pStyle w:val="42"/>
              <w:rPr>
                <w:rFonts w:hint="default"/>
                <w:szCs w:val="21"/>
                <w:lang w:val="en-US" w:eastAsia="zh-CN"/>
              </w:rPr>
            </w:pPr>
            <w:r>
              <w:rPr>
                <w:rFonts w:hint="default"/>
                <w:szCs w:val="21"/>
                <w:lang w:val="en-US" w:eastAsia="zh-CN"/>
              </w:rPr>
              <w:t>0.0241</w:t>
            </w:r>
          </w:p>
        </w:tc>
        <w:tc>
          <w:tcPr>
            <w:tcW w:w="582" w:type="pct"/>
            <w:vMerge w:val="continue"/>
            <w:tcBorders>
              <w:tl2br w:val="nil"/>
              <w:tr2bl w:val="nil"/>
            </w:tcBorders>
            <w:vAlign w:val="center"/>
          </w:tcPr>
          <w:p w14:paraId="58A682A2">
            <w:pPr>
              <w:pStyle w:val="42"/>
              <w:rPr>
                <w:rFonts w:hint="default"/>
                <w:szCs w:val="21"/>
              </w:rPr>
            </w:pPr>
          </w:p>
        </w:tc>
      </w:tr>
      <w:tr w14:paraId="3CEB51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14:paraId="7129EC29">
            <w:pPr>
              <w:pStyle w:val="42"/>
              <w:rPr>
                <w:rFonts w:hint="default"/>
                <w:szCs w:val="21"/>
                <w:lang w:val="en-US" w:eastAsia="zh-CN"/>
              </w:rPr>
            </w:pPr>
            <w:r>
              <w:rPr>
                <w:rFonts w:hint="eastAsia"/>
                <w:szCs w:val="21"/>
                <w:lang w:val="en-US" w:eastAsia="zh-CN"/>
              </w:rPr>
              <w:t>15</w:t>
            </w:r>
          </w:p>
        </w:tc>
        <w:tc>
          <w:tcPr>
            <w:tcW w:w="537" w:type="pct"/>
            <w:vMerge w:val="continue"/>
            <w:tcBorders>
              <w:tl2br w:val="nil"/>
              <w:tr2bl w:val="nil"/>
            </w:tcBorders>
            <w:vAlign w:val="center"/>
          </w:tcPr>
          <w:p w14:paraId="4C9CAF36">
            <w:pPr>
              <w:pStyle w:val="42"/>
              <w:rPr>
                <w:rFonts w:hint="default"/>
                <w:szCs w:val="21"/>
              </w:rPr>
            </w:pPr>
          </w:p>
        </w:tc>
        <w:tc>
          <w:tcPr>
            <w:tcW w:w="1460" w:type="pct"/>
            <w:tcBorders>
              <w:tl2br w:val="nil"/>
              <w:tr2bl w:val="nil"/>
            </w:tcBorders>
            <w:vAlign w:val="center"/>
          </w:tcPr>
          <w:p w14:paraId="16A4A48F">
            <w:pPr>
              <w:pStyle w:val="42"/>
              <w:rPr>
                <w:rFonts w:hint="default"/>
                <w:szCs w:val="21"/>
                <w:lang w:val="en-US" w:eastAsia="zh-CN"/>
              </w:rPr>
            </w:pPr>
            <w:r>
              <w:rPr>
                <w:rFonts w:hint="eastAsia"/>
                <w:szCs w:val="21"/>
                <w:lang w:eastAsia="zh-CN"/>
              </w:rPr>
              <w:t>升压站西南面围墙外</w:t>
            </w:r>
            <w:r>
              <w:rPr>
                <w:rFonts w:hint="eastAsia"/>
                <w:szCs w:val="21"/>
                <w:lang w:val="en-US" w:eastAsia="zh-CN"/>
              </w:rPr>
              <w:t>35m</w:t>
            </w:r>
          </w:p>
        </w:tc>
        <w:tc>
          <w:tcPr>
            <w:tcW w:w="562" w:type="pct"/>
            <w:tcBorders>
              <w:tl2br w:val="nil"/>
              <w:tr2bl w:val="nil"/>
            </w:tcBorders>
            <w:vAlign w:val="center"/>
          </w:tcPr>
          <w:p w14:paraId="537C48FB">
            <w:pPr>
              <w:pStyle w:val="42"/>
              <w:rPr>
                <w:rFonts w:hint="default"/>
                <w:szCs w:val="21"/>
                <w:lang w:val="en-US" w:eastAsia="zh-CN"/>
              </w:rPr>
            </w:pPr>
            <w:r>
              <w:rPr>
                <w:rFonts w:hint="default"/>
                <w:szCs w:val="21"/>
                <w:lang w:val="en-US" w:eastAsia="zh-CN"/>
              </w:rPr>
              <w:t>510</w:t>
            </w:r>
          </w:p>
        </w:tc>
        <w:tc>
          <w:tcPr>
            <w:tcW w:w="681" w:type="pct"/>
            <w:vMerge w:val="continue"/>
            <w:tcBorders>
              <w:tl2br w:val="nil"/>
              <w:tr2bl w:val="nil"/>
            </w:tcBorders>
            <w:vAlign w:val="center"/>
          </w:tcPr>
          <w:p w14:paraId="66526F58">
            <w:pPr>
              <w:pStyle w:val="42"/>
              <w:rPr>
                <w:rFonts w:hint="default"/>
                <w:szCs w:val="21"/>
              </w:rPr>
            </w:pPr>
          </w:p>
        </w:tc>
        <w:tc>
          <w:tcPr>
            <w:tcW w:w="619" w:type="pct"/>
            <w:tcBorders>
              <w:tl2br w:val="nil"/>
              <w:tr2bl w:val="nil"/>
            </w:tcBorders>
            <w:vAlign w:val="center"/>
          </w:tcPr>
          <w:p w14:paraId="7E1A705F">
            <w:pPr>
              <w:pStyle w:val="42"/>
              <w:rPr>
                <w:rFonts w:hint="default"/>
                <w:szCs w:val="21"/>
                <w:lang w:val="en-US" w:eastAsia="zh-CN"/>
              </w:rPr>
            </w:pPr>
            <w:r>
              <w:rPr>
                <w:rFonts w:hint="default"/>
                <w:szCs w:val="21"/>
                <w:lang w:val="en-US" w:eastAsia="zh-CN"/>
              </w:rPr>
              <w:t>0.0243</w:t>
            </w:r>
          </w:p>
        </w:tc>
        <w:tc>
          <w:tcPr>
            <w:tcW w:w="582" w:type="pct"/>
            <w:vMerge w:val="continue"/>
            <w:tcBorders>
              <w:tl2br w:val="nil"/>
              <w:tr2bl w:val="nil"/>
            </w:tcBorders>
            <w:vAlign w:val="center"/>
          </w:tcPr>
          <w:p w14:paraId="50C6C515">
            <w:pPr>
              <w:pStyle w:val="42"/>
              <w:rPr>
                <w:rFonts w:hint="default"/>
                <w:szCs w:val="21"/>
              </w:rPr>
            </w:pPr>
          </w:p>
        </w:tc>
      </w:tr>
      <w:tr w14:paraId="2258375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14:paraId="7A61BB49">
            <w:pPr>
              <w:pStyle w:val="42"/>
              <w:rPr>
                <w:rFonts w:hint="default"/>
                <w:szCs w:val="21"/>
                <w:lang w:val="en-US" w:eastAsia="zh-CN"/>
              </w:rPr>
            </w:pPr>
            <w:r>
              <w:rPr>
                <w:rFonts w:hint="eastAsia"/>
                <w:szCs w:val="21"/>
                <w:lang w:val="en-US" w:eastAsia="zh-CN"/>
              </w:rPr>
              <w:t>16</w:t>
            </w:r>
          </w:p>
        </w:tc>
        <w:tc>
          <w:tcPr>
            <w:tcW w:w="537" w:type="pct"/>
            <w:vMerge w:val="continue"/>
            <w:tcBorders>
              <w:tl2br w:val="nil"/>
              <w:tr2bl w:val="nil"/>
            </w:tcBorders>
            <w:vAlign w:val="center"/>
          </w:tcPr>
          <w:p w14:paraId="41B1BDE4">
            <w:pPr>
              <w:pStyle w:val="42"/>
              <w:rPr>
                <w:rFonts w:hint="default"/>
                <w:szCs w:val="21"/>
              </w:rPr>
            </w:pPr>
          </w:p>
        </w:tc>
        <w:tc>
          <w:tcPr>
            <w:tcW w:w="1460" w:type="pct"/>
            <w:tcBorders>
              <w:tl2br w:val="nil"/>
              <w:tr2bl w:val="nil"/>
            </w:tcBorders>
            <w:vAlign w:val="center"/>
          </w:tcPr>
          <w:p w14:paraId="1330AFAA">
            <w:pPr>
              <w:pStyle w:val="42"/>
              <w:rPr>
                <w:rFonts w:hint="default"/>
                <w:szCs w:val="21"/>
                <w:lang w:val="en-US" w:eastAsia="zh-CN"/>
              </w:rPr>
            </w:pPr>
            <w:r>
              <w:rPr>
                <w:rFonts w:hint="eastAsia"/>
                <w:szCs w:val="21"/>
                <w:lang w:eastAsia="zh-CN"/>
              </w:rPr>
              <w:t>升压站西南面围墙外</w:t>
            </w:r>
            <w:r>
              <w:rPr>
                <w:rFonts w:hint="eastAsia"/>
                <w:szCs w:val="21"/>
                <w:lang w:val="en-US" w:eastAsia="zh-CN"/>
              </w:rPr>
              <w:t>40m</w:t>
            </w:r>
          </w:p>
        </w:tc>
        <w:tc>
          <w:tcPr>
            <w:tcW w:w="562" w:type="pct"/>
            <w:tcBorders>
              <w:tl2br w:val="nil"/>
              <w:tr2bl w:val="nil"/>
            </w:tcBorders>
            <w:vAlign w:val="center"/>
          </w:tcPr>
          <w:p w14:paraId="1EA75244">
            <w:pPr>
              <w:pStyle w:val="42"/>
              <w:rPr>
                <w:rFonts w:hint="default"/>
                <w:szCs w:val="21"/>
                <w:lang w:val="en-US" w:eastAsia="zh-CN"/>
              </w:rPr>
            </w:pPr>
            <w:r>
              <w:rPr>
                <w:rFonts w:hint="default"/>
                <w:szCs w:val="21"/>
                <w:lang w:val="en-US" w:eastAsia="zh-CN"/>
              </w:rPr>
              <w:t>436</w:t>
            </w:r>
          </w:p>
        </w:tc>
        <w:tc>
          <w:tcPr>
            <w:tcW w:w="681" w:type="pct"/>
            <w:vMerge w:val="continue"/>
            <w:tcBorders>
              <w:tl2br w:val="nil"/>
              <w:tr2bl w:val="nil"/>
            </w:tcBorders>
            <w:vAlign w:val="center"/>
          </w:tcPr>
          <w:p w14:paraId="202865BE">
            <w:pPr>
              <w:pStyle w:val="42"/>
              <w:rPr>
                <w:rFonts w:hint="default"/>
                <w:szCs w:val="21"/>
              </w:rPr>
            </w:pPr>
          </w:p>
        </w:tc>
        <w:tc>
          <w:tcPr>
            <w:tcW w:w="619" w:type="pct"/>
            <w:tcBorders>
              <w:tl2br w:val="nil"/>
              <w:tr2bl w:val="nil"/>
            </w:tcBorders>
            <w:vAlign w:val="center"/>
          </w:tcPr>
          <w:p w14:paraId="1E954058">
            <w:pPr>
              <w:pStyle w:val="42"/>
              <w:rPr>
                <w:rFonts w:hint="default"/>
                <w:szCs w:val="21"/>
                <w:lang w:val="en-US" w:eastAsia="zh-CN"/>
              </w:rPr>
            </w:pPr>
            <w:r>
              <w:rPr>
                <w:rFonts w:hint="default"/>
                <w:szCs w:val="21"/>
                <w:lang w:val="en-US" w:eastAsia="zh-CN"/>
              </w:rPr>
              <w:t>0.0313</w:t>
            </w:r>
          </w:p>
        </w:tc>
        <w:tc>
          <w:tcPr>
            <w:tcW w:w="582" w:type="pct"/>
            <w:vMerge w:val="continue"/>
            <w:tcBorders>
              <w:tl2br w:val="nil"/>
              <w:tr2bl w:val="nil"/>
            </w:tcBorders>
            <w:vAlign w:val="center"/>
          </w:tcPr>
          <w:p w14:paraId="543E7192">
            <w:pPr>
              <w:pStyle w:val="42"/>
              <w:rPr>
                <w:rFonts w:hint="default"/>
                <w:szCs w:val="21"/>
              </w:rPr>
            </w:pPr>
          </w:p>
        </w:tc>
      </w:tr>
      <w:tr w14:paraId="3B2958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14:paraId="2F030E26">
            <w:pPr>
              <w:pStyle w:val="42"/>
              <w:rPr>
                <w:rFonts w:hint="default"/>
                <w:szCs w:val="21"/>
                <w:lang w:val="en-US" w:eastAsia="zh-CN"/>
              </w:rPr>
            </w:pPr>
            <w:r>
              <w:rPr>
                <w:rFonts w:hint="eastAsia"/>
                <w:szCs w:val="21"/>
                <w:lang w:val="en-US" w:eastAsia="zh-CN"/>
              </w:rPr>
              <w:t>17</w:t>
            </w:r>
          </w:p>
        </w:tc>
        <w:tc>
          <w:tcPr>
            <w:tcW w:w="537" w:type="pct"/>
            <w:vMerge w:val="continue"/>
            <w:tcBorders>
              <w:tl2br w:val="nil"/>
              <w:tr2bl w:val="nil"/>
            </w:tcBorders>
            <w:vAlign w:val="center"/>
          </w:tcPr>
          <w:p w14:paraId="03461EE9">
            <w:pPr>
              <w:pStyle w:val="42"/>
              <w:rPr>
                <w:rFonts w:hint="default"/>
                <w:szCs w:val="21"/>
              </w:rPr>
            </w:pPr>
          </w:p>
        </w:tc>
        <w:tc>
          <w:tcPr>
            <w:tcW w:w="1460" w:type="pct"/>
            <w:tcBorders>
              <w:tl2br w:val="nil"/>
              <w:tr2bl w:val="nil"/>
            </w:tcBorders>
            <w:vAlign w:val="center"/>
          </w:tcPr>
          <w:p w14:paraId="2563F40E">
            <w:pPr>
              <w:pStyle w:val="42"/>
              <w:rPr>
                <w:rFonts w:hint="default"/>
                <w:szCs w:val="21"/>
                <w:lang w:val="en-US" w:eastAsia="zh-CN"/>
              </w:rPr>
            </w:pPr>
            <w:r>
              <w:rPr>
                <w:rFonts w:hint="eastAsia"/>
                <w:szCs w:val="21"/>
                <w:lang w:eastAsia="zh-CN"/>
              </w:rPr>
              <w:t>升压站西南面围墙外</w:t>
            </w:r>
            <w:r>
              <w:rPr>
                <w:rFonts w:hint="eastAsia"/>
                <w:szCs w:val="21"/>
                <w:lang w:val="en-US" w:eastAsia="zh-CN"/>
              </w:rPr>
              <w:t>45m</w:t>
            </w:r>
          </w:p>
        </w:tc>
        <w:tc>
          <w:tcPr>
            <w:tcW w:w="562" w:type="pct"/>
            <w:tcBorders>
              <w:tl2br w:val="nil"/>
              <w:tr2bl w:val="nil"/>
            </w:tcBorders>
            <w:vAlign w:val="center"/>
          </w:tcPr>
          <w:p w14:paraId="7BCABCC5">
            <w:pPr>
              <w:pStyle w:val="42"/>
              <w:rPr>
                <w:rFonts w:hint="default"/>
                <w:szCs w:val="21"/>
                <w:lang w:val="en-US" w:eastAsia="zh-CN"/>
              </w:rPr>
            </w:pPr>
            <w:r>
              <w:rPr>
                <w:rFonts w:hint="default"/>
                <w:szCs w:val="21"/>
                <w:lang w:val="en-US" w:eastAsia="zh-CN"/>
              </w:rPr>
              <w:t>365</w:t>
            </w:r>
          </w:p>
        </w:tc>
        <w:tc>
          <w:tcPr>
            <w:tcW w:w="681" w:type="pct"/>
            <w:vMerge w:val="continue"/>
            <w:tcBorders>
              <w:tl2br w:val="nil"/>
              <w:tr2bl w:val="nil"/>
            </w:tcBorders>
            <w:vAlign w:val="center"/>
          </w:tcPr>
          <w:p w14:paraId="791D8D30">
            <w:pPr>
              <w:pStyle w:val="42"/>
              <w:rPr>
                <w:rFonts w:hint="default"/>
                <w:szCs w:val="21"/>
              </w:rPr>
            </w:pPr>
          </w:p>
        </w:tc>
        <w:tc>
          <w:tcPr>
            <w:tcW w:w="619" w:type="pct"/>
            <w:tcBorders>
              <w:tl2br w:val="nil"/>
              <w:tr2bl w:val="nil"/>
            </w:tcBorders>
            <w:vAlign w:val="center"/>
          </w:tcPr>
          <w:p w14:paraId="507A0CFC">
            <w:pPr>
              <w:pStyle w:val="42"/>
              <w:rPr>
                <w:rFonts w:hint="default"/>
                <w:szCs w:val="21"/>
                <w:lang w:val="en-US" w:eastAsia="zh-CN"/>
              </w:rPr>
            </w:pPr>
            <w:r>
              <w:rPr>
                <w:rFonts w:hint="default"/>
                <w:szCs w:val="21"/>
                <w:lang w:val="en-US" w:eastAsia="zh-CN"/>
              </w:rPr>
              <w:t>0.0321</w:t>
            </w:r>
          </w:p>
        </w:tc>
        <w:tc>
          <w:tcPr>
            <w:tcW w:w="582" w:type="pct"/>
            <w:vMerge w:val="continue"/>
            <w:tcBorders>
              <w:tl2br w:val="nil"/>
              <w:tr2bl w:val="nil"/>
            </w:tcBorders>
            <w:vAlign w:val="center"/>
          </w:tcPr>
          <w:p w14:paraId="1E65956C">
            <w:pPr>
              <w:pStyle w:val="42"/>
              <w:rPr>
                <w:rFonts w:hint="default"/>
                <w:szCs w:val="21"/>
              </w:rPr>
            </w:pPr>
          </w:p>
        </w:tc>
      </w:tr>
      <w:tr w14:paraId="1AAC57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56" w:type="pct"/>
            <w:tcBorders>
              <w:tl2br w:val="nil"/>
              <w:tr2bl w:val="nil"/>
            </w:tcBorders>
            <w:vAlign w:val="center"/>
          </w:tcPr>
          <w:p w14:paraId="28E4F35F">
            <w:pPr>
              <w:pStyle w:val="42"/>
              <w:rPr>
                <w:rFonts w:hint="default"/>
                <w:szCs w:val="21"/>
                <w:lang w:val="en-US" w:eastAsia="zh-CN"/>
              </w:rPr>
            </w:pPr>
            <w:r>
              <w:rPr>
                <w:rFonts w:hint="eastAsia"/>
                <w:szCs w:val="21"/>
                <w:lang w:val="en-US" w:eastAsia="zh-CN"/>
              </w:rPr>
              <w:t>18</w:t>
            </w:r>
          </w:p>
        </w:tc>
        <w:tc>
          <w:tcPr>
            <w:tcW w:w="537" w:type="pct"/>
            <w:vMerge w:val="continue"/>
            <w:tcBorders>
              <w:tl2br w:val="nil"/>
              <w:tr2bl w:val="nil"/>
            </w:tcBorders>
            <w:vAlign w:val="center"/>
          </w:tcPr>
          <w:p w14:paraId="1AA6EAA2">
            <w:pPr>
              <w:pStyle w:val="42"/>
              <w:rPr>
                <w:rFonts w:hint="default"/>
                <w:szCs w:val="21"/>
              </w:rPr>
            </w:pPr>
          </w:p>
        </w:tc>
        <w:tc>
          <w:tcPr>
            <w:tcW w:w="1460" w:type="pct"/>
            <w:tcBorders>
              <w:tl2br w:val="nil"/>
              <w:tr2bl w:val="nil"/>
            </w:tcBorders>
            <w:vAlign w:val="center"/>
          </w:tcPr>
          <w:p w14:paraId="2B6AB1CE">
            <w:pPr>
              <w:pStyle w:val="42"/>
              <w:rPr>
                <w:rFonts w:hint="default"/>
                <w:szCs w:val="21"/>
                <w:lang w:val="en-US" w:eastAsia="zh-CN"/>
              </w:rPr>
            </w:pPr>
            <w:r>
              <w:rPr>
                <w:rFonts w:hint="eastAsia"/>
                <w:szCs w:val="21"/>
                <w:lang w:eastAsia="zh-CN"/>
              </w:rPr>
              <w:t>升压站西南面围墙外</w:t>
            </w:r>
            <w:r>
              <w:rPr>
                <w:rFonts w:hint="eastAsia"/>
                <w:szCs w:val="21"/>
                <w:lang w:val="en-US" w:eastAsia="zh-CN"/>
              </w:rPr>
              <w:t>50m</w:t>
            </w:r>
          </w:p>
        </w:tc>
        <w:tc>
          <w:tcPr>
            <w:tcW w:w="562" w:type="pct"/>
            <w:tcBorders>
              <w:tl2br w:val="nil"/>
              <w:tr2bl w:val="nil"/>
            </w:tcBorders>
            <w:vAlign w:val="center"/>
          </w:tcPr>
          <w:p w14:paraId="4800F532">
            <w:pPr>
              <w:pStyle w:val="42"/>
              <w:rPr>
                <w:rFonts w:hint="default"/>
                <w:szCs w:val="21"/>
                <w:lang w:val="en-US" w:eastAsia="zh-CN"/>
              </w:rPr>
            </w:pPr>
            <w:r>
              <w:rPr>
                <w:rFonts w:hint="default"/>
                <w:szCs w:val="21"/>
                <w:lang w:val="en-US" w:eastAsia="zh-CN"/>
              </w:rPr>
              <w:t>241</w:t>
            </w:r>
          </w:p>
        </w:tc>
        <w:tc>
          <w:tcPr>
            <w:tcW w:w="681" w:type="pct"/>
            <w:vMerge w:val="continue"/>
            <w:tcBorders>
              <w:tl2br w:val="nil"/>
              <w:tr2bl w:val="nil"/>
            </w:tcBorders>
            <w:vAlign w:val="center"/>
          </w:tcPr>
          <w:p w14:paraId="435EE26C">
            <w:pPr>
              <w:pStyle w:val="42"/>
              <w:rPr>
                <w:rFonts w:hint="default"/>
                <w:szCs w:val="21"/>
              </w:rPr>
            </w:pPr>
          </w:p>
        </w:tc>
        <w:tc>
          <w:tcPr>
            <w:tcW w:w="619" w:type="pct"/>
            <w:tcBorders>
              <w:tl2br w:val="nil"/>
              <w:tr2bl w:val="nil"/>
            </w:tcBorders>
            <w:vAlign w:val="center"/>
          </w:tcPr>
          <w:p w14:paraId="2411BF33">
            <w:pPr>
              <w:pStyle w:val="42"/>
              <w:rPr>
                <w:rFonts w:hint="default"/>
                <w:szCs w:val="21"/>
                <w:lang w:val="en-US" w:eastAsia="zh-CN"/>
              </w:rPr>
            </w:pPr>
            <w:r>
              <w:rPr>
                <w:rFonts w:hint="default"/>
                <w:szCs w:val="21"/>
                <w:lang w:val="en-US" w:eastAsia="zh-CN"/>
              </w:rPr>
              <w:t>0.0291</w:t>
            </w:r>
          </w:p>
        </w:tc>
        <w:tc>
          <w:tcPr>
            <w:tcW w:w="582" w:type="pct"/>
            <w:vMerge w:val="continue"/>
            <w:tcBorders>
              <w:tl2br w:val="nil"/>
              <w:tr2bl w:val="nil"/>
            </w:tcBorders>
            <w:vAlign w:val="center"/>
          </w:tcPr>
          <w:p w14:paraId="658F2317">
            <w:pPr>
              <w:pStyle w:val="42"/>
              <w:rPr>
                <w:rFonts w:hint="default"/>
                <w:szCs w:val="21"/>
              </w:rPr>
            </w:pPr>
          </w:p>
        </w:tc>
      </w:tr>
    </w:tbl>
    <w:p w14:paraId="5BE52C71">
      <w:pPr>
        <w:pStyle w:val="7"/>
        <w:keepNext/>
        <w:keepLines/>
        <w:pageBreakBefore w:val="0"/>
        <w:widowControl w:val="0"/>
        <w:numPr>
          <w:ilvl w:val="4"/>
          <w:numId w:val="1"/>
        </w:numPr>
        <w:tabs>
          <w:tab w:val="left" w:pos="142"/>
          <w:tab w:val="left" w:pos="864"/>
          <w:tab w:val="left" w:pos="1290"/>
        </w:tabs>
        <w:kinsoku/>
        <w:wordWrap/>
        <w:overflowPunct/>
        <w:topLinePunct w:val="0"/>
        <w:autoSpaceDE/>
        <w:autoSpaceDN/>
        <w:bidi w:val="0"/>
        <w:adjustRightInd w:val="0"/>
        <w:snapToGrid w:val="0"/>
        <w:spacing w:before="0" w:after="0" w:line="360" w:lineRule="auto"/>
        <w:ind w:left="0" w:leftChars="0" w:firstLine="482" w:firstLineChars="200"/>
        <w:textAlignment w:val="auto"/>
        <w:rPr>
          <w:rFonts w:hint="eastAsia" w:ascii="Times New Roman" w:hAnsi="Times New Roman" w:eastAsia="宋体" w:cs="Times New Roman"/>
          <w:b/>
          <w:bCs/>
          <w:color w:val="auto"/>
          <w:sz w:val="24"/>
          <w:szCs w:val="24"/>
          <w:highlight w:val="none"/>
          <w:u w:val="none"/>
          <w:lang w:val="en-US" w:eastAsia="zh-CN"/>
        </w:rPr>
      </w:pPr>
      <w:r>
        <w:rPr>
          <w:rFonts w:hint="eastAsia" w:ascii="Times New Roman" w:hAnsi="Times New Roman" w:eastAsia="宋体" w:cs="Times New Roman"/>
          <w:b/>
          <w:bCs/>
          <w:color w:val="auto"/>
          <w:sz w:val="24"/>
          <w:szCs w:val="24"/>
          <w:highlight w:val="none"/>
          <w:u w:val="none"/>
          <w:lang w:val="en-US" w:eastAsia="zh-CN"/>
        </w:rPr>
        <w:t>类比监测结果分析</w:t>
      </w:r>
    </w:p>
    <w:p w14:paraId="0777DFFF">
      <w:pPr>
        <w:pStyle w:val="61"/>
        <w:numPr>
          <w:ilvl w:val="0"/>
          <w:numId w:val="0"/>
        </w:numPr>
        <w:bidi w:val="0"/>
        <w:ind w:leftChars="200"/>
        <w:rPr>
          <w:rFonts w:hint="default" w:ascii="Times New Roman" w:hAnsi="Times New Roman" w:cs="Times New Roman"/>
          <w:color w:val="auto"/>
          <w:highlight w:val="none"/>
        </w:rPr>
      </w:pP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lang w:val="en-US" w:eastAsia="zh-CN"/>
        </w:rPr>
        <w:t>1</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rPr>
        <w:t>厂界电磁环境</w:t>
      </w:r>
    </w:p>
    <w:p w14:paraId="35B0FD21">
      <w:pPr>
        <w:pStyle w:val="61"/>
        <w:bidi w:val="0"/>
        <w:rPr>
          <w:rFonts w:hint="default" w:ascii="Times New Roman" w:hAnsi="Times New Roman" w:cs="Times New Roman"/>
          <w:color w:val="auto"/>
          <w:highlight w:val="none"/>
        </w:rPr>
      </w:pPr>
      <w:r>
        <w:rPr>
          <w:rFonts w:hint="eastAsia" w:cs="Times New Roman"/>
          <w:color w:val="auto"/>
          <w:highlight w:val="none"/>
          <w:lang w:val="en-US" w:eastAsia="zh-CN"/>
        </w:rPr>
        <w:t>国电电力城步金紫山风电场工程110kV升压站</w:t>
      </w:r>
      <w:r>
        <w:rPr>
          <w:rFonts w:hint="default" w:ascii="Times New Roman" w:hAnsi="Times New Roman" w:cs="Times New Roman"/>
          <w:color w:val="auto"/>
          <w:highlight w:val="none"/>
        </w:rPr>
        <w:t>厂界各监测点工频电场强度监测值为</w:t>
      </w:r>
      <w:r>
        <w:rPr>
          <w:rFonts w:hint="eastAsia" w:cs="Times New Roman"/>
          <w:color w:val="auto"/>
          <w:highlight w:val="none"/>
          <w:lang w:val="en-US" w:eastAsia="zh-CN"/>
        </w:rPr>
        <w:t>5.73</w:t>
      </w:r>
      <w:r>
        <w:rPr>
          <w:rFonts w:hint="default" w:ascii="Times New Roman" w:hAnsi="Times New Roman" w:cs="Times New Roman"/>
          <w:color w:val="auto"/>
          <w:highlight w:val="none"/>
        </w:rPr>
        <w:t>V/m~</w:t>
      </w:r>
      <w:r>
        <w:rPr>
          <w:rFonts w:hint="eastAsia" w:cs="Times New Roman"/>
          <w:color w:val="auto"/>
          <w:highlight w:val="none"/>
          <w:lang w:val="en-US" w:eastAsia="zh-CN"/>
        </w:rPr>
        <w:t>608</w:t>
      </w:r>
      <w:r>
        <w:rPr>
          <w:rFonts w:hint="default" w:ascii="Times New Roman" w:hAnsi="Times New Roman" w:cs="Times New Roman"/>
          <w:color w:val="auto"/>
          <w:highlight w:val="none"/>
        </w:rPr>
        <w:t>V/m，工频磁感应强度为</w:t>
      </w:r>
      <w:r>
        <w:rPr>
          <w:rFonts w:hint="eastAsia" w:cs="Times New Roman"/>
          <w:color w:val="auto"/>
          <w:highlight w:val="none"/>
          <w:lang w:val="en-US" w:eastAsia="zh-CN"/>
        </w:rPr>
        <w:t>0.0114</w:t>
      </w:r>
      <w:r>
        <w:rPr>
          <w:rFonts w:hint="default" w:ascii="Times New Roman" w:hAnsi="Times New Roman" w:cs="Times New Roman"/>
          <w:color w:val="auto"/>
          <w:highlight w:val="none"/>
        </w:rPr>
        <w:t>μT~</w:t>
      </w:r>
      <w:r>
        <w:rPr>
          <w:rFonts w:hint="eastAsia" w:cs="Times New Roman"/>
          <w:color w:val="auto"/>
          <w:highlight w:val="none"/>
          <w:lang w:val="en-US" w:eastAsia="zh-CN"/>
        </w:rPr>
        <w:t>0.0689</w:t>
      </w:r>
      <w:r>
        <w:rPr>
          <w:rFonts w:hint="default" w:ascii="Times New Roman" w:hAnsi="Times New Roman" w:cs="Times New Roman"/>
          <w:color w:val="auto"/>
          <w:highlight w:val="none"/>
        </w:rPr>
        <w:t>μT；各监测点位工频电场强度、工频磁感应强度分别满足《电磁环境控制限值》（GB8702-2014）中频率为50Hz公众曝露控制限值：工频电场强度4000V/m、工频磁感应强度100μT。</w:t>
      </w:r>
    </w:p>
    <w:p w14:paraId="3DBA5C90">
      <w:pPr>
        <w:pStyle w:val="61"/>
        <w:bidi w:val="0"/>
        <w:rPr>
          <w:rFonts w:hint="default" w:ascii="Times New Roman" w:hAnsi="Times New Roman" w:cs="Times New Roman"/>
          <w:color w:val="auto"/>
          <w:highlight w:val="none"/>
        </w:rPr>
      </w:pP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lang w:val="en-US" w:eastAsia="zh-CN"/>
        </w:rPr>
        <w:t>2</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rPr>
        <w:t>电磁环境监测断面</w:t>
      </w:r>
    </w:p>
    <w:p w14:paraId="7AA1BF1C">
      <w:pPr>
        <w:bidi w:val="0"/>
        <w:rPr>
          <w:color w:val="auto"/>
          <w:highlight w:val="none"/>
        </w:rPr>
      </w:pPr>
      <w:r>
        <w:rPr>
          <w:rFonts w:hint="default" w:ascii="Times New Roman" w:hAnsi="Times New Roman" w:cs="Times New Roman"/>
          <w:color w:val="auto"/>
          <w:highlight w:val="none"/>
        </w:rPr>
        <w:t>电磁环境监测断面工频电场强度监测值为</w:t>
      </w:r>
      <w:r>
        <w:rPr>
          <w:rFonts w:hint="eastAsia" w:cs="Times New Roman"/>
          <w:color w:val="auto"/>
          <w:highlight w:val="none"/>
          <w:lang w:val="en-US" w:eastAsia="zh-CN"/>
        </w:rPr>
        <w:t>241</w:t>
      </w:r>
      <w:r>
        <w:rPr>
          <w:rFonts w:hint="default" w:ascii="Times New Roman" w:hAnsi="Times New Roman" w:cs="Times New Roman"/>
          <w:color w:val="auto"/>
          <w:highlight w:val="none"/>
        </w:rPr>
        <w:t>V/m~</w:t>
      </w:r>
      <w:r>
        <w:rPr>
          <w:rFonts w:hint="eastAsia" w:cs="Times New Roman"/>
          <w:color w:val="auto"/>
          <w:highlight w:val="none"/>
          <w:lang w:val="en-US" w:eastAsia="zh-CN"/>
        </w:rPr>
        <w:t>806</w:t>
      </w:r>
      <w:r>
        <w:rPr>
          <w:rFonts w:hint="default" w:ascii="Times New Roman" w:hAnsi="Times New Roman" w:cs="Times New Roman"/>
          <w:color w:val="auto"/>
          <w:highlight w:val="none"/>
        </w:rPr>
        <w:t>V/m，工频磁感应强度为</w:t>
      </w:r>
      <w:r>
        <w:rPr>
          <w:rFonts w:hint="eastAsia" w:cs="Times New Roman"/>
          <w:color w:val="auto"/>
          <w:highlight w:val="none"/>
          <w:lang w:val="en-US" w:eastAsia="zh-CN"/>
        </w:rPr>
        <w:t>0.0241</w:t>
      </w:r>
      <w:r>
        <w:rPr>
          <w:rFonts w:hint="default" w:ascii="Times New Roman" w:hAnsi="Times New Roman" w:cs="Times New Roman"/>
          <w:color w:val="auto"/>
          <w:highlight w:val="none"/>
        </w:rPr>
        <w:t>μT~</w:t>
      </w:r>
      <w:r>
        <w:rPr>
          <w:rFonts w:hint="eastAsia" w:cs="Times New Roman"/>
          <w:color w:val="auto"/>
          <w:highlight w:val="none"/>
          <w:lang w:val="en-US" w:eastAsia="zh-CN"/>
        </w:rPr>
        <w:t>0.08821</w:t>
      </w:r>
      <w:r>
        <w:rPr>
          <w:rFonts w:hint="default" w:ascii="Times New Roman" w:hAnsi="Times New Roman" w:cs="Times New Roman"/>
          <w:color w:val="auto"/>
          <w:highlight w:val="none"/>
        </w:rPr>
        <w:t>μT，各监测点位工频电场强度、工频磁感应强度分别满足《电磁环境控制限值》（GB8702-2014）中频率为50Hz公众曝露控制限值：工频电场强度4000V/m、工频磁感应强度100μT，并且监测断面工频电场强度、工频磁感应强度具有较明显的衰减规律。</w:t>
      </w:r>
    </w:p>
    <w:p w14:paraId="21146ED9">
      <w:pPr>
        <w:pStyle w:val="6"/>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升压站电磁环境影响评价</w:t>
      </w:r>
    </w:p>
    <w:p w14:paraId="5D143A4F">
      <w:pPr>
        <w:rPr>
          <w:color w:val="auto"/>
          <w:highlight w:val="none"/>
        </w:rPr>
      </w:pPr>
      <w:r>
        <w:rPr>
          <w:rFonts w:hint="default" w:ascii="Times New Roman" w:hAnsi="Times New Roman" w:cs="Times New Roman"/>
          <w:color w:val="auto"/>
          <w:highlight w:val="none"/>
        </w:rPr>
        <w:t>通过类比对象</w:t>
      </w:r>
      <w:r>
        <w:rPr>
          <w:rFonts w:hint="eastAsia" w:cs="Times New Roman"/>
          <w:color w:val="auto"/>
          <w:highlight w:val="none"/>
          <w:lang w:val="en-US" w:eastAsia="zh-CN"/>
        </w:rPr>
        <w:t>国电电力城步金紫山风电场工程110kV升压站</w:t>
      </w:r>
      <w:r>
        <w:rPr>
          <w:rFonts w:hint="default" w:ascii="Times New Roman" w:hAnsi="Times New Roman" w:cs="Times New Roman"/>
          <w:color w:val="auto"/>
          <w:highlight w:val="none"/>
        </w:rPr>
        <w:t>监测结果可知，本项目建成后厂界工频电场强度、工频磁感应强度均满足《电磁环境控制限值》(GB8702-2014)中频率为50Hz公众曝露控制限值4000V/m、100μT的要求。因此，本升压站对周边敏感点的影响较小。</w:t>
      </w:r>
    </w:p>
    <w:p w14:paraId="2B20D313">
      <w:pPr>
        <w:pStyle w:val="25"/>
        <w:rPr>
          <w:color w:val="auto"/>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40C5F0F4">
      <w:pPr>
        <w:pStyle w:val="3"/>
        <w:rPr>
          <w:rFonts w:hint="default" w:ascii="Times New Roman" w:hAnsi="Times New Roman" w:cs="Times New Roman"/>
          <w:color w:val="auto"/>
          <w:highlight w:val="none"/>
        </w:rPr>
      </w:pPr>
      <w:bookmarkStart w:id="87" w:name="_Toc4048"/>
      <w:r>
        <w:rPr>
          <w:rFonts w:hint="eastAsia" w:ascii="Times New Roman" w:hAnsi="Times New Roman" w:cs="Times New Roman"/>
          <w:color w:val="auto"/>
          <w:highlight w:val="none"/>
          <w:lang w:eastAsia="zh-CN"/>
        </w:rPr>
        <w:t>生态敏感区环境影响评价</w:t>
      </w:r>
      <w:bookmarkEnd w:id="87"/>
    </w:p>
    <w:p w14:paraId="31130F03">
      <w:pPr>
        <w:pStyle w:val="4"/>
        <w:bidi w:val="0"/>
        <w:rPr>
          <w:rFonts w:hint="default" w:ascii="Times New Roman" w:hAnsi="Times New Roman" w:cs="Times New Roman"/>
          <w:color w:val="auto"/>
          <w:highlight w:val="none"/>
        </w:rPr>
      </w:pPr>
      <w:bookmarkStart w:id="88" w:name="_Toc23020"/>
      <w:r>
        <w:rPr>
          <w:rFonts w:hint="eastAsia" w:cs="Times New Roman"/>
          <w:color w:val="auto"/>
          <w:highlight w:val="none"/>
          <w:lang w:eastAsia="zh-CN"/>
        </w:rPr>
        <w:t>衡阳三阳自然保护区基本情况</w:t>
      </w:r>
      <w:bookmarkEnd w:id="88"/>
    </w:p>
    <w:p w14:paraId="7308DF88">
      <w:pPr>
        <w:pStyle w:val="5"/>
        <w:rPr>
          <w:rFonts w:hint="eastAsia" w:ascii="Times New Roman" w:hAnsi="Times New Roman" w:eastAsia="宋体" w:cs="Times New Roman"/>
          <w:color w:val="auto"/>
          <w:highlight w:val="none"/>
          <w:lang w:val="en-US" w:eastAsia="zh-CN"/>
        </w:rPr>
      </w:pPr>
      <w:r>
        <w:rPr>
          <w:rFonts w:hint="eastAsia" w:cs="Times New Roman"/>
          <w:color w:val="auto"/>
          <w:highlight w:val="none"/>
          <w:lang w:val="en-US" w:eastAsia="zh-CN"/>
        </w:rPr>
        <w:t>历史沿革</w:t>
      </w:r>
    </w:p>
    <w:p w14:paraId="260E6E04">
      <w:pPr>
        <w:bidi w:val="0"/>
        <w:rPr>
          <w:rFonts w:hint="eastAsia" w:ascii="Times New Roman" w:hAnsi="Times New Roman" w:eastAsia="宋体" w:cs="Times New Roman"/>
          <w:color w:val="auto"/>
          <w:highlight w:val="none"/>
          <w:lang w:val="en-US" w:eastAsia="zh-CN"/>
        </w:rPr>
      </w:pPr>
      <w:r>
        <w:rPr>
          <w:rFonts w:hint="eastAsia" w:cs="Times New Roman"/>
          <w:color w:val="auto"/>
          <w:highlight w:val="none"/>
          <w:lang w:val="en-US" w:eastAsia="zh-CN"/>
        </w:rPr>
        <w:t>衡阳县</w:t>
      </w:r>
      <w:r>
        <w:rPr>
          <w:rFonts w:hint="eastAsia" w:ascii="Times New Roman" w:hAnsi="Times New Roman" w:eastAsia="宋体" w:cs="Times New Roman"/>
          <w:color w:val="auto"/>
          <w:highlight w:val="none"/>
          <w:lang w:val="en-US" w:eastAsia="zh-CN"/>
        </w:rPr>
        <w:t>三阳林场建立于1958年，2008年在林场基础上建立县级森林公园。总面积1.3万亩，林木蓄积达2.3万立方米，森林覆盖率达95%。保护区位于衡阳县西南部，与邵东、祁东、衡南三县交界，与本县一乡一镇十六个村接壤。西从邵东县相连的三面山主峰起，向东延伸与衡南县岐山森林公园交界，南与祁东县相接，北面的大云山和邵东接壤。由大云山、三面山、正当山、观音山四座山体组成，最高海拔990余米，最低海拔360米。共由大云山工区、观音工区、胡井工区、龙背工区、百步工区5个工区组成。2009年8月经衡阳县人民政府批准，成立衡阳县三阳森林公园，2012年3月经衡阳县人民政府批准，成立衡阳县三阳自然保护区，林场、公园和自然保护区实行三块牌子，一套人马的管理体制。</w:t>
      </w:r>
    </w:p>
    <w:p w14:paraId="404152CE">
      <w:pPr>
        <w:pStyle w:val="5"/>
        <w:rPr>
          <w:rFonts w:hint="eastAsia" w:ascii="Times New Roman" w:hAnsi="Times New Roman" w:eastAsia="宋体" w:cs="Times New Roman"/>
          <w:color w:val="auto"/>
          <w:highlight w:val="none"/>
          <w:lang w:val="en-US" w:eastAsia="zh-CN"/>
        </w:rPr>
      </w:pPr>
      <w:r>
        <w:rPr>
          <w:rFonts w:hint="eastAsia" w:cs="Times New Roman"/>
          <w:color w:val="auto"/>
          <w:highlight w:val="none"/>
          <w:lang w:val="en-US" w:eastAsia="zh-CN"/>
        </w:rPr>
        <w:t>地理位置与范围</w:t>
      </w:r>
    </w:p>
    <w:p w14:paraId="02CB06AF">
      <w:pPr>
        <w:bidi w:val="0"/>
        <w:rPr>
          <w:rFonts w:hint="eastAsia" w:ascii="Times New Roman" w:hAnsi="Times New Roman" w:eastAsia="宋体" w:cs="Times New Roman"/>
          <w:color w:val="auto"/>
          <w:highlight w:val="none"/>
        </w:rPr>
      </w:pPr>
      <w:r>
        <w:rPr>
          <w:rFonts w:hint="eastAsia" w:cs="Times New Roman"/>
          <w:color w:val="auto"/>
          <w:highlight w:val="none"/>
          <w:lang w:val="en-US" w:eastAsia="zh-CN"/>
        </w:rPr>
        <w:t>衡阳县</w:t>
      </w:r>
      <w:r>
        <w:rPr>
          <w:rFonts w:hint="eastAsia" w:ascii="Times New Roman" w:hAnsi="Times New Roman" w:eastAsia="宋体" w:cs="Times New Roman"/>
          <w:color w:val="auto"/>
          <w:highlight w:val="none"/>
          <w:lang w:val="en-US" w:eastAsia="zh-CN"/>
        </w:rPr>
        <w:t>三阳自然保护区位于衡阳县西南边界，即长乐盆地边缘山区，与邵东、衡南、祁东交界，与本县一乡一镇十六个村接壤，西从邵东县相接的三面山主峰起，向东延伸与衡南县岐山森林公园交界，南面与祁东县相连，北面的大云山和邵东接壤，全场共由四大山系组成。全程约35公里，形似一道不规则的绿色长带”挂在群山上部（俗称“锅子边”）。保护区的地理坐标为：东经111°59'43.045"至112°7'43.061"，北纬26°52'49.166"至27°1'7.162"。全区总面积572.43hm</w:t>
      </w:r>
      <w:r>
        <w:rPr>
          <w:rFonts w:hint="eastAsia" w:ascii="Times New Roman" w:hAnsi="Times New Roman" w:eastAsia="宋体" w:cs="Times New Roman"/>
          <w:color w:val="auto"/>
          <w:highlight w:val="none"/>
          <w:vertAlign w:val="superscript"/>
          <w:lang w:val="en-US" w:eastAsia="zh-CN"/>
        </w:rPr>
        <w:t>2</w:t>
      </w:r>
      <w:r>
        <w:rPr>
          <w:rFonts w:hint="eastAsia" w:ascii="Times New Roman" w:hAnsi="Times New Roman" w:eastAsia="宋体" w:cs="Times New Roman"/>
          <w:color w:val="auto"/>
          <w:highlight w:val="none"/>
          <w:lang w:val="en-US" w:eastAsia="zh-CN"/>
        </w:rPr>
        <w:t>。</w:t>
      </w:r>
    </w:p>
    <w:p w14:paraId="1C94B9DF">
      <w:pPr>
        <w:pStyle w:val="5"/>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保护区性质和保护对象</w:t>
      </w:r>
    </w:p>
    <w:p w14:paraId="41384736">
      <w:pPr>
        <w:pStyle w:val="6"/>
        <w:rPr>
          <w:rFonts w:hint="eastAsia" w:ascii="Times New Roman" w:hAnsi="Times New Roman" w:eastAsia="宋体" w:cs="Times New Roman"/>
          <w:color w:val="auto"/>
          <w:highlight w:val="none"/>
          <w:lang w:val="en-US" w:eastAsia="zh-CN"/>
        </w:rPr>
      </w:pPr>
      <w:r>
        <w:rPr>
          <w:rFonts w:hint="eastAsia" w:cs="Times New Roman"/>
          <w:color w:val="auto"/>
          <w:highlight w:val="none"/>
          <w:lang w:val="en-US" w:eastAsia="zh-CN"/>
        </w:rPr>
        <w:t>保护区性质、类型</w:t>
      </w:r>
    </w:p>
    <w:p w14:paraId="51BD47B3">
      <w:pPr>
        <w:bidi w:val="0"/>
        <w:rPr>
          <w:rFonts w:hint="eastAsia" w:ascii="Times New Roman" w:hAnsi="Times New Roman" w:eastAsia="宋体" w:cs="Times New Roman"/>
          <w:color w:val="auto"/>
          <w:highlight w:val="none"/>
        </w:rPr>
      </w:pPr>
      <w:r>
        <w:rPr>
          <w:rFonts w:hint="eastAsia" w:cs="Times New Roman"/>
          <w:color w:val="auto"/>
          <w:highlight w:val="none"/>
          <w:lang w:val="en-US" w:eastAsia="zh-CN"/>
        </w:rPr>
        <w:t>衡阳县</w:t>
      </w:r>
      <w:r>
        <w:rPr>
          <w:rFonts w:hint="eastAsia" w:ascii="Times New Roman" w:hAnsi="Times New Roman" w:eastAsia="宋体" w:cs="Times New Roman"/>
          <w:color w:val="auto"/>
          <w:highlight w:val="none"/>
          <w:lang w:val="en-US" w:eastAsia="zh-CN"/>
        </w:rPr>
        <w:t>三阳自然保护区属于以保护生物多样性和自然生态系统为重点的综合型级自然保护区，集保护、宣传、教育、旅游及可持续发展于一体。</w:t>
      </w:r>
    </w:p>
    <w:p w14:paraId="0F1400AE">
      <w:pPr>
        <w:pStyle w:val="6"/>
        <w:rPr>
          <w:rFonts w:hint="eastAsia" w:ascii="Times New Roman" w:hAnsi="Times New Roman" w:eastAsia="宋体" w:cs="Times New Roman"/>
          <w:color w:val="auto"/>
          <w:highlight w:val="none"/>
          <w:lang w:val="en-US" w:eastAsia="zh-CN"/>
        </w:rPr>
      </w:pPr>
      <w:r>
        <w:rPr>
          <w:rFonts w:hint="eastAsia" w:cs="Times New Roman"/>
          <w:color w:val="auto"/>
          <w:highlight w:val="none"/>
          <w:lang w:val="en-US" w:eastAsia="zh-CN"/>
        </w:rPr>
        <w:t>保护对象</w:t>
      </w:r>
    </w:p>
    <w:p w14:paraId="22A271EB">
      <w:pPr>
        <w:bidi w:val="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保护对象有动物、植物及自然生态系统，自然生态系统指中亚热带森林生态系统。</w:t>
      </w:r>
    </w:p>
    <w:p w14:paraId="03CFB706">
      <w:pPr>
        <w:pStyle w:val="5"/>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保护区</w:t>
      </w:r>
      <w:r>
        <w:rPr>
          <w:rFonts w:hint="eastAsia" w:cs="Times New Roman"/>
          <w:color w:val="auto"/>
          <w:highlight w:val="none"/>
          <w:lang w:val="en-US" w:eastAsia="zh-CN"/>
        </w:rPr>
        <w:t>功能区划</w:t>
      </w:r>
    </w:p>
    <w:p w14:paraId="335AE7CC">
      <w:pPr>
        <w:bidi w:val="0"/>
        <w:rPr>
          <w:rFonts w:hint="eastAsia" w:ascii="Times New Roman" w:hAnsi="Times New Roman" w:eastAsia="宋体" w:cs="Times New Roman"/>
          <w:color w:val="auto"/>
          <w:highlight w:val="none"/>
        </w:rPr>
      </w:pPr>
      <w:r>
        <w:rPr>
          <w:rFonts w:hint="eastAsia" w:cs="Times New Roman"/>
          <w:color w:val="auto"/>
          <w:highlight w:val="none"/>
          <w:lang w:val="en-US" w:eastAsia="zh-CN"/>
        </w:rPr>
        <w:t>衡阳县三阳自然保护区</w:t>
      </w:r>
      <w:r>
        <w:rPr>
          <w:rFonts w:hint="eastAsia" w:ascii="Times New Roman" w:hAnsi="Times New Roman" w:eastAsia="宋体" w:cs="Times New Roman"/>
          <w:color w:val="auto"/>
          <w:highlight w:val="none"/>
          <w:lang w:val="en-US" w:eastAsia="zh-CN"/>
        </w:rPr>
        <w:t>划分为三大功能区，即核心区、缓冲区、实验区</w:t>
      </w:r>
      <w:r>
        <w:rPr>
          <w:rFonts w:hint="eastAsia" w:cs="Times New Roman"/>
          <w:color w:val="auto"/>
          <w:highlight w:val="none"/>
          <w:lang w:val="en-US" w:eastAsia="zh-CN"/>
        </w:rPr>
        <w:t>。</w:t>
      </w:r>
    </w:p>
    <w:p w14:paraId="77666A0E">
      <w:pPr>
        <w:bidi w:val="0"/>
        <w:spacing w:line="240" w:lineRule="auto"/>
        <w:ind w:firstLine="0" w:firstLineChars="0"/>
        <w:jc w:val="center"/>
        <w:rPr>
          <w:rFonts w:hint="default" w:ascii="Times New Roman" w:hAnsi="Times New Roman" w:eastAsia="宋体" w:cs="Times New Roman"/>
          <w:color w:val="auto"/>
          <w:highlight w:val="none"/>
          <w:lang w:val="en-US" w:eastAsia="zh-CN"/>
        </w:rPr>
      </w:pPr>
      <w:r>
        <w:rPr>
          <w:rFonts w:hint="eastAsia" w:cs="Times New Roman"/>
          <w:b/>
          <w:bCs/>
          <w:color w:val="auto"/>
          <w:highlight w:val="none"/>
          <w:lang w:eastAsia="zh-CN"/>
        </w:rPr>
        <w:t>表</w:t>
      </w:r>
      <w:r>
        <w:rPr>
          <w:rFonts w:hint="eastAsia" w:cs="Times New Roman"/>
          <w:b/>
          <w:bCs/>
          <w:color w:val="auto"/>
          <w:highlight w:val="none"/>
          <w:lang w:val="en-US" w:eastAsia="zh-CN"/>
        </w:rPr>
        <w:t>7.1-1  衡阳县三阳自然保护区功能分区表</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4"/>
        <w:gridCol w:w="1704"/>
        <w:gridCol w:w="1704"/>
        <w:gridCol w:w="1705"/>
        <w:gridCol w:w="1705"/>
      </w:tblGrid>
      <w:tr w14:paraId="035ED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4D595034">
            <w:pPr>
              <w:pStyle w:val="45"/>
              <w:rPr>
                <w:rFonts w:hint="eastAsia"/>
              </w:rPr>
            </w:pPr>
            <w:r>
              <w:rPr>
                <w:rFonts w:hint="eastAsia"/>
                <w:lang w:eastAsia="zh-CN"/>
              </w:rPr>
              <w:t>序号</w:t>
            </w:r>
          </w:p>
        </w:tc>
        <w:tc>
          <w:tcPr>
            <w:tcW w:w="1704" w:type="dxa"/>
          </w:tcPr>
          <w:p w14:paraId="7159A4B2">
            <w:pPr>
              <w:pStyle w:val="45"/>
              <w:rPr>
                <w:rFonts w:hint="eastAsia"/>
              </w:rPr>
            </w:pPr>
            <w:r>
              <w:rPr>
                <w:rFonts w:hint="eastAsia"/>
                <w:lang w:eastAsia="zh-CN"/>
              </w:rPr>
              <w:t>分区</w:t>
            </w:r>
          </w:p>
        </w:tc>
        <w:tc>
          <w:tcPr>
            <w:tcW w:w="1704" w:type="dxa"/>
          </w:tcPr>
          <w:p w14:paraId="57164338">
            <w:pPr>
              <w:pStyle w:val="45"/>
              <w:rPr>
                <w:rFonts w:hint="eastAsia"/>
              </w:rPr>
            </w:pPr>
            <w:r>
              <w:rPr>
                <w:rFonts w:hint="eastAsia"/>
                <w:lang w:eastAsia="zh-CN"/>
              </w:rPr>
              <w:t>分区弄成</w:t>
            </w:r>
          </w:p>
        </w:tc>
        <w:tc>
          <w:tcPr>
            <w:tcW w:w="1705" w:type="dxa"/>
          </w:tcPr>
          <w:p w14:paraId="2FB5871D">
            <w:pPr>
              <w:pStyle w:val="45"/>
              <w:rPr>
                <w:rFonts w:hint="eastAsia"/>
              </w:rPr>
            </w:pPr>
            <w:r>
              <w:rPr>
                <w:rFonts w:hint="eastAsia"/>
                <w:lang w:eastAsia="zh-CN"/>
              </w:rPr>
              <w:t>面积（</w:t>
            </w:r>
            <w:r>
              <w:rPr>
                <w:rFonts w:hint="eastAsia"/>
                <w:lang w:val="en-US" w:eastAsia="zh-CN"/>
              </w:rPr>
              <w:t>hm</w:t>
            </w:r>
            <w:r>
              <w:rPr>
                <w:rFonts w:hint="eastAsia"/>
                <w:vertAlign w:val="superscript"/>
                <w:lang w:val="en-US" w:eastAsia="zh-CN"/>
              </w:rPr>
              <w:t>2</w:t>
            </w:r>
            <w:r>
              <w:rPr>
                <w:rFonts w:hint="eastAsia"/>
                <w:lang w:eastAsia="zh-CN"/>
              </w:rPr>
              <w:t>）</w:t>
            </w:r>
          </w:p>
        </w:tc>
        <w:tc>
          <w:tcPr>
            <w:tcW w:w="1705" w:type="dxa"/>
          </w:tcPr>
          <w:p w14:paraId="011F4EE1">
            <w:pPr>
              <w:pStyle w:val="45"/>
              <w:rPr>
                <w:rFonts w:hint="eastAsia"/>
              </w:rPr>
            </w:pPr>
            <w:r>
              <w:rPr>
                <w:rFonts w:hint="eastAsia"/>
                <w:lang w:eastAsia="zh-CN"/>
              </w:rPr>
              <w:t>分区小计（</w:t>
            </w:r>
            <w:r>
              <w:rPr>
                <w:rFonts w:hint="eastAsia"/>
                <w:lang w:val="en-US" w:eastAsia="zh-CN"/>
              </w:rPr>
              <w:t>hm</w:t>
            </w:r>
            <w:r>
              <w:rPr>
                <w:rFonts w:hint="eastAsia"/>
                <w:vertAlign w:val="superscript"/>
                <w:lang w:val="en-US" w:eastAsia="zh-CN"/>
              </w:rPr>
              <w:t>2</w:t>
            </w:r>
            <w:r>
              <w:rPr>
                <w:rFonts w:hint="eastAsia"/>
                <w:lang w:eastAsia="zh-CN"/>
              </w:rPr>
              <w:t>）</w:t>
            </w:r>
          </w:p>
        </w:tc>
      </w:tr>
      <w:tr w14:paraId="77BD30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7BC777CD">
            <w:pPr>
              <w:pStyle w:val="45"/>
              <w:rPr>
                <w:rFonts w:hint="eastAsia"/>
                <w:b w:val="0"/>
                <w:bCs/>
              </w:rPr>
            </w:pPr>
            <w:r>
              <w:rPr>
                <w:rFonts w:hint="eastAsia"/>
                <w:b w:val="0"/>
                <w:bCs/>
                <w:lang w:val="en-US" w:eastAsia="zh-CN"/>
              </w:rPr>
              <w:t>1</w:t>
            </w:r>
          </w:p>
        </w:tc>
        <w:tc>
          <w:tcPr>
            <w:tcW w:w="1704" w:type="dxa"/>
            <w:vMerge w:val="restart"/>
            <w:vAlign w:val="center"/>
          </w:tcPr>
          <w:p w14:paraId="4750E6AE">
            <w:pPr>
              <w:pStyle w:val="45"/>
              <w:rPr>
                <w:rFonts w:hint="eastAsia" w:eastAsia="宋体"/>
                <w:b w:val="0"/>
                <w:bCs/>
                <w:lang w:eastAsia="zh-CN"/>
              </w:rPr>
            </w:pPr>
            <w:r>
              <w:rPr>
                <w:rFonts w:hint="eastAsia"/>
                <w:b w:val="0"/>
                <w:bCs/>
                <w:lang w:eastAsia="zh-CN"/>
              </w:rPr>
              <w:t>核心区</w:t>
            </w:r>
          </w:p>
        </w:tc>
        <w:tc>
          <w:tcPr>
            <w:tcW w:w="1704" w:type="dxa"/>
            <w:vAlign w:val="center"/>
          </w:tcPr>
          <w:p w14:paraId="1825984B">
            <w:pPr>
              <w:pStyle w:val="45"/>
              <w:rPr>
                <w:rFonts w:hint="eastAsia" w:eastAsia="宋体"/>
                <w:b w:val="0"/>
                <w:bCs/>
                <w:lang w:eastAsia="zh-CN"/>
              </w:rPr>
            </w:pPr>
            <w:r>
              <w:rPr>
                <w:rFonts w:hint="eastAsia"/>
                <w:b w:val="0"/>
                <w:bCs/>
                <w:lang w:eastAsia="zh-CN"/>
              </w:rPr>
              <w:t>百步核心区</w:t>
            </w:r>
          </w:p>
        </w:tc>
        <w:tc>
          <w:tcPr>
            <w:tcW w:w="1705" w:type="dxa"/>
            <w:vAlign w:val="center"/>
          </w:tcPr>
          <w:p w14:paraId="0263892D">
            <w:pPr>
              <w:pStyle w:val="45"/>
              <w:rPr>
                <w:rFonts w:hint="default" w:eastAsia="宋体"/>
                <w:b w:val="0"/>
                <w:bCs/>
                <w:lang w:val="en-US" w:eastAsia="zh-CN"/>
              </w:rPr>
            </w:pPr>
            <w:r>
              <w:rPr>
                <w:rFonts w:hint="eastAsia"/>
                <w:b w:val="0"/>
                <w:bCs/>
                <w:lang w:val="en-US" w:eastAsia="zh-CN"/>
              </w:rPr>
              <w:t>65.18</w:t>
            </w:r>
          </w:p>
        </w:tc>
        <w:tc>
          <w:tcPr>
            <w:tcW w:w="1705" w:type="dxa"/>
            <w:vMerge w:val="restart"/>
            <w:vAlign w:val="center"/>
          </w:tcPr>
          <w:p w14:paraId="229B4C05">
            <w:pPr>
              <w:pStyle w:val="45"/>
              <w:rPr>
                <w:rFonts w:hint="default" w:eastAsia="宋体"/>
                <w:b w:val="0"/>
                <w:bCs/>
                <w:lang w:val="en-US" w:eastAsia="zh-CN"/>
              </w:rPr>
            </w:pPr>
            <w:r>
              <w:rPr>
                <w:rFonts w:hint="eastAsia"/>
                <w:b w:val="0"/>
                <w:bCs/>
                <w:lang w:val="en-US" w:eastAsia="zh-CN"/>
              </w:rPr>
              <w:t>125.19</w:t>
            </w:r>
          </w:p>
        </w:tc>
      </w:tr>
      <w:tr w14:paraId="6E0E1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4D64E655">
            <w:pPr>
              <w:pStyle w:val="45"/>
              <w:rPr>
                <w:rFonts w:hint="eastAsia"/>
                <w:b w:val="0"/>
                <w:bCs/>
              </w:rPr>
            </w:pPr>
            <w:r>
              <w:rPr>
                <w:rFonts w:hint="eastAsia"/>
                <w:b w:val="0"/>
                <w:bCs/>
                <w:lang w:val="en-US" w:eastAsia="zh-CN"/>
              </w:rPr>
              <w:t>2</w:t>
            </w:r>
          </w:p>
        </w:tc>
        <w:tc>
          <w:tcPr>
            <w:tcW w:w="1704" w:type="dxa"/>
            <w:vMerge w:val="continue"/>
            <w:vAlign w:val="center"/>
          </w:tcPr>
          <w:p w14:paraId="2A473EDA">
            <w:pPr>
              <w:pStyle w:val="45"/>
              <w:rPr>
                <w:rFonts w:hint="eastAsia"/>
                <w:b w:val="0"/>
                <w:bCs/>
              </w:rPr>
            </w:pPr>
          </w:p>
        </w:tc>
        <w:tc>
          <w:tcPr>
            <w:tcW w:w="1704" w:type="dxa"/>
            <w:vAlign w:val="center"/>
          </w:tcPr>
          <w:p w14:paraId="6E403F68">
            <w:pPr>
              <w:pStyle w:val="45"/>
              <w:rPr>
                <w:rFonts w:hint="eastAsia" w:eastAsia="宋体"/>
                <w:b w:val="0"/>
                <w:bCs/>
                <w:lang w:eastAsia="zh-CN"/>
              </w:rPr>
            </w:pPr>
            <w:r>
              <w:rPr>
                <w:rFonts w:hint="eastAsia"/>
                <w:b w:val="0"/>
                <w:bCs/>
                <w:lang w:eastAsia="zh-CN"/>
              </w:rPr>
              <w:t>观音核心区</w:t>
            </w:r>
          </w:p>
        </w:tc>
        <w:tc>
          <w:tcPr>
            <w:tcW w:w="1705" w:type="dxa"/>
            <w:vAlign w:val="center"/>
          </w:tcPr>
          <w:p w14:paraId="64B546BB">
            <w:pPr>
              <w:pStyle w:val="45"/>
              <w:rPr>
                <w:rFonts w:hint="default" w:eastAsia="宋体"/>
                <w:b w:val="0"/>
                <w:bCs/>
                <w:lang w:val="en-US" w:eastAsia="zh-CN"/>
              </w:rPr>
            </w:pPr>
            <w:r>
              <w:rPr>
                <w:rFonts w:hint="eastAsia"/>
                <w:b w:val="0"/>
                <w:bCs/>
                <w:lang w:val="en-US" w:eastAsia="zh-CN"/>
              </w:rPr>
              <w:t>60.01</w:t>
            </w:r>
          </w:p>
        </w:tc>
        <w:tc>
          <w:tcPr>
            <w:tcW w:w="1705" w:type="dxa"/>
            <w:vMerge w:val="continue"/>
            <w:vAlign w:val="center"/>
          </w:tcPr>
          <w:p w14:paraId="66EB82B4">
            <w:pPr>
              <w:pStyle w:val="45"/>
              <w:rPr>
                <w:rFonts w:hint="eastAsia"/>
                <w:b w:val="0"/>
                <w:bCs/>
              </w:rPr>
            </w:pPr>
          </w:p>
        </w:tc>
      </w:tr>
      <w:tr w14:paraId="6F5ED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26F73868">
            <w:pPr>
              <w:pStyle w:val="45"/>
              <w:rPr>
                <w:rFonts w:hint="eastAsia" w:eastAsia="宋体"/>
                <w:b w:val="0"/>
                <w:bCs/>
                <w:lang w:val="en-US" w:eastAsia="zh-CN"/>
              </w:rPr>
            </w:pPr>
            <w:r>
              <w:rPr>
                <w:rFonts w:hint="eastAsia"/>
                <w:b w:val="0"/>
                <w:bCs/>
                <w:lang w:val="en-US" w:eastAsia="zh-CN"/>
              </w:rPr>
              <w:t>3</w:t>
            </w:r>
          </w:p>
        </w:tc>
        <w:tc>
          <w:tcPr>
            <w:tcW w:w="1704" w:type="dxa"/>
            <w:vMerge w:val="restart"/>
            <w:vAlign w:val="center"/>
          </w:tcPr>
          <w:p w14:paraId="2B314075">
            <w:pPr>
              <w:pStyle w:val="45"/>
              <w:rPr>
                <w:rFonts w:hint="eastAsia" w:eastAsia="宋体"/>
                <w:b w:val="0"/>
                <w:bCs/>
                <w:lang w:eastAsia="zh-CN"/>
              </w:rPr>
            </w:pPr>
            <w:r>
              <w:rPr>
                <w:rFonts w:hint="eastAsia"/>
                <w:b w:val="0"/>
                <w:bCs/>
                <w:lang w:eastAsia="zh-CN"/>
              </w:rPr>
              <w:t>缓冲区</w:t>
            </w:r>
          </w:p>
        </w:tc>
        <w:tc>
          <w:tcPr>
            <w:tcW w:w="1704" w:type="dxa"/>
            <w:vAlign w:val="center"/>
          </w:tcPr>
          <w:p w14:paraId="1E79EBF7">
            <w:pPr>
              <w:pStyle w:val="45"/>
              <w:rPr>
                <w:rFonts w:hint="eastAsia" w:eastAsia="宋体"/>
                <w:b w:val="0"/>
                <w:bCs/>
                <w:lang w:eastAsia="zh-CN"/>
              </w:rPr>
            </w:pPr>
            <w:r>
              <w:rPr>
                <w:rFonts w:hint="eastAsia"/>
                <w:b w:val="0"/>
                <w:bCs/>
                <w:lang w:eastAsia="zh-CN"/>
              </w:rPr>
              <w:t>百步缓冲区</w:t>
            </w:r>
          </w:p>
        </w:tc>
        <w:tc>
          <w:tcPr>
            <w:tcW w:w="1705" w:type="dxa"/>
            <w:vAlign w:val="center"/>
          </w:tcPr>
          <w:p w14:paraId="2FEB5CBB">
            <w:pPr>
              <w:pStyle w:val="45"/>
              <w:rPr>
                <w:rFonts w:hint="default" w:eastAsia="宋体"/>
                <w:b w:val="0"/>
                <w:bCs/>
                <w:lang w:val="en-US" w:eastAsia="zh-CN"/>
              </w:rPr>
            </w:pPr>
            <w:r>
              <w:rPr>
                <w:rFonts w:hint="eastAsia"/>
                <w:b w:val="0"/>
                <w:bCs/>
                <w:lang w:val="en-US" w:eastAsia="zh-CN"/>
              </w:rPr>
              <w:t>8.99</w:t>
            </w:r>
          </w:p>
        </w:tc>
        <w:tc>
          <w:tcPr>
            <w:tcW w:w="1705" w:type="dxa"/>
            <w:vMerge w:val="restart"/>
            <w:vAlign w:val="center"/>
          </w:tcPr>
          <w:p w14:paraId="2EC2E5AD">
            <w:pPr>
              <w:pStyle w:val="45"/>
              <w:rPr>
                <w:rFonts w:hint="default" w:eastAsia="宋体"/>
                <w:b w:val="0"/>
                <w:bCs/>
                <w:lang w:val="en-US" w:eastAsia="zh-CN"/>
              </w:rPr>
            </w:pPr>
            <w:r>
              <w:rPr>
                <w:rFonts w:hint="eastAsia"/>
                <w:b w:val="0"/>
                <w:bCs/>
                <w:lang w:val="en-US" w:eastAsia="zh-CN"/>
              </w:rPr>
              <w:t>79.21</w:t>
            </w:r>
          </w:p>
        </w:tc>
      </w:tr>
      <w:tr w14:paraId="680E7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303C1311">
            <w:pPr>
              <w:pStyle w:val="45"/>
              <w:rPr>
                <w:rFonts w:hint="eastAsia" w:eastAsia="宋体"/>
                <w:b w:val="0"/>
                <w:bCs/>
                <w:lang w:val="en-US" w:eastAsia="zh-CN"/>
              </w:rPr>
            </w:pPr>
            <w:r>
              <w:rPr>
                <w:rFonts w:hint="eastAsia"/>
                <w:b w:val="0"/>
                <w:bCs/>
                <w:lang w:val="en-US" w:eastAsia="zh-CN"/>
              </w:rPr>
              <w:t>4</w:t>
            </w:r>
          </w:p>
        </w:tc>
        <w:tc>
          <w:tcPr>
            <w:tcW w:w="1704" w:type="dxa"/>
            <w:vMerge w:val="continue"/>
            <w:vAlign w:val="center"/>
          </w:tcPr>
          <w:p w14:paraId="6E7F5F02">
            <w:pPr>
              <w:pStyle w:val="45"/>
              <w:rPr>
                <w:rFonts w:hint="eastAsia"/>
                <w:b w:val="0"/>
                <w:bCs/>
              </w:rPr>
            </w:pPr>
          </w:p>
        </w:tc>
        <w:tc>
          <w:tcPr>
            <w:tcW w:w="1704" w:type="dxa"/>
            <w:vAlign w:val="center"/>
          </w:tcPr>
          <w:p w14:paraId="101382E2">
            <w:pPr>
              <w:pStyle w:val="45"/>
              <w:rPr>
                <w:rFonts w:hint="eastAsia" w:eastAsia="宋体"/>
                <w:b w:val="0"/>
                <w:bCs/>
                <w:lang w:eastAsia="zh-CN"/>
              </w:rPr>
            </w:pPr>
            <w:r>
              <w:rPr>
                <w:rFonts w:hint="eastAsia"/>
                <w:b w:val="0"/>
                <w:bCs/>
                <w:lang w:eastAsia="zh-CN"/>
              </w:rPr>
              <w:t>观音缓冲区</w:t>
            </w:r>
          </w:p>
        </w:tc>
        <w:tc>
          <w:tcPr>
            <w:tcW w:w="1705" w:type="dxa"/>
            <w:vAlign w:val="center"/>
          </w:tcPr>
          <w:p w14:paraId="0FB27245">
            <w:pPr>
              <w:pStyle w:val="45"/>
              <w:rPr>
                <w:rFonts w:hint="default" w:eastAsia="宋体"/>
                <w:b w:val="0"/>
                <w:bCs/>
                <w:lang w:val="en-US" w:eastAsia="zh-CN"/>
              </w:rPr>
            </w:pPr>
            <w:r>
              <w:rPr>
                <w:rFonts w:hint="eastAsia"/>
                <w:b w:val="0"/>
                <w:bCs/>
                <w:lang w:val="en-US" w:eastAsia="zh-CN"/>
              </w:rPr>
              <w:t>9.70</w:t>
            </w:r>
          </w:p>
        </w:tc>
        <w:tc>
          <w:tcPr>
            <w:tcW w:w="1705" w:type="dxa"/>
            <w:vMerge w:val="continue"/>
            <w:vAlign w:val="center"/>
          </w:tcPr>
          <w:p w14:paraId="139B188B">
            <w:pPr>
              <w:pStyle w:val="45"/>
              <w:rPr>
                <w:rFonts w:hint="eastAsia"/>
                <w:b w:val="0"/>
                <w:bCs/>
              </w:rPr>
            </w:pPr>
          </w:p>
        </w:tc>
      </w:tr>
      <w:tr w14:paraId="3F550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5B3933DF">
            <w:pPr>
              <w:pStyle w:val="45"/>
              <w:rPr>
                <w:rFonts w:hint="eastAsia" w:eastAsia="宋体"/>
                <w:b w:val="0"/>
                <w:bCs/>
                <w:lang w:val="en-US" w:eastAsia="zh-CN"/>
              </w:rPr>
            </w:pPr>
            <w:r>
              <w:rPr>
                <w:rFonts w:hint="eastAsia"/>
                <w:b w:val="0"/>
                <w:bCs/>
                <w:lang w:val="en-US" w:eastAsia="zh-CN"/>
              </w:rPr>
              <w:t>5</w:t>
            </w:r>
          </w:p>
        </w:tc>
        <w:tc>
          <w:tcPr>
            <w:tcW w:w="1704" w:type="dxa"/>
            <w:vMerge w:val="continue"/>
            <w:vAlign w:val="center"/>
          </w:tcPr>
          <w:p w14:paraId="41B9ADC8">
            <w:pPr>
              <w:pStyle w:val="45"/>
              <w:rPr>
                <w:rFonts w:hint="eastAsia"/>
                <w:b w:val="0"/>
                <w:bCs/>
              </w:rPr>
            </w:pPr>
          </w:p>
        </w:tc>
        <w:tc>
          <w:tcPr>
            <w:tcW w:w="1704" w:type="dxa"/>
            <w:vAlign w:val="center"/>
          </w:tcPr>
          <w:p w14:paraId="4E10BE17">
            <w:pPr>
              <w:pStyle w:val="45"/>
              <w:rPr>
                <w:rFonts w:hint="eastAsia" w:eastAsia="宋体"/>
                <w:b w:val="0"/>
                <w:bCs/>
                <w:lang w:eastAsia="zh-CN"/>
              </w:rPr>
            </w:pPr>
            <w:r>
              <w:rPr>
                <w:rFonts w:hint="eastAsia"/>
                <w:b w:val="0"/>
                <w:bCs/>
                <w:lang w:eastAsia="zh-CN"/>
              </w:rPr>
              <w:t>观音缓冲区</w:t>
            </w:r>
          </w:p>
        </w:tc>
        <w:tc>
          <w:tcPr>
            <w:tcW w:w="1705" w:type="dxa"/>
            <w:vAlign w:val="center"/>
          </w:tcPr>
          <w:p w14:paraId="46DD0B41">
            <w:pPr>
              <w:pStyle w:val="45"/>
              <w:rPr>
                <w:rFonts w:hint="default" w:eastAsia="宋体"/>
                <w:b w:val="0"/>
                <w:bCs/>
                <w:lang w:val="en-US" w:eastAsia="zh-CN"/>
              </w:rPr>
            </w:pPr>
            <w:r>
              <w:rPr>
                <w:rFonts w:hint="eastAsia"/>
                <w:b w:val="0"/>
                <w:bCs/>
                <w:lang w:val="en-US" w:eastAsia="zh-CN"/>
              </w:rPr>
              <w:t>24.75</w:t>
            </w:r>
          </w:p>
        </w:tc>
        <w:tc>
          <w:tcPr>
            <w:tcW w:w="1705" w:type="dxa"/>
            <w:vMerge w:val="continue"/>
            <w:vAlign w:val="center"/>
          </w:tcPr>
          <w:p w14:paraId="54109F5F">
            <w:pPr>
              <w:pStyle w:val="45"/>
              <w:rPr>
                <w:rFonts w:hint="eastAsia"/>
                <w:b w:val="0"/>
                <w:bCs/>
              </w:rPr>
            </w:pPr>
          </w:p>
        </w:tc>
      </w:tr>
      <w:tr w14:paraId="201CB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1B4DE5F4">
            <w:pPr>
              <w:pStyle w:val="45"/>
              <w:rPr>
                <w:rFonts w:hint="default"/>
                <w:b w:val="0"/>
                <w:bCs/>
                <w:lang w:val="en-US" w:eastAsia="zh-CN"/>
              </w:rPr>
            </w:pPr>
            <w:r>
              <w:rPr>
                <w:rFonts w:hint="eastAsia"/>
                <w:b w:val="0"/>
                <w:bCs/>
                <w:lang w:val="en-US" w:eastAsia="zh-CN"/>
              </w:rPr>
              <w:t>6</w:t>
            </w:r>
          </w:p>
        </w:tc>
        <w:tc>
          <w:tcPr>
            <w:tcW w:w="1704" w:type="dxa"/>
            <w:vMerge w:val="continue"/>
            <w:vAlign w:val="center"/>
          </w:tcPr>
          <w:p w14:paraId="49958CBF">
            <w:pPr>
              <w:pStyle w:val="45"/>
              <w:rPr>
                <w:rFonts w:hint="eastAsia"/>
                <w:b w:val="0"/>
                <w:bCs/>
              </w:rPr>
            </w:pPr>
          </w:p>
        </w:tc>
        <w:tc>
          <w:tcPr>
            <w:tcW w:w="1704" w:type="dxa"/>
            <w:vAlign w:val="center"/>
          </w:tcPr>
          <w:p w14:paraId="5B447540">
            <w:pPr>
              <w:pStyle w:val="45"/>
              <w:rPr>
                <w:rFonts w:hint="eastAsia" w:eastAsia="宋体"/>
                <w:b w:val="0"/>
                <w:bCs/>
                <w:lang w:eastAsia="zh-CN"/>
              </w:rPr>
            </w:pPr>
            <w:r>
              <w:rPr>
                <w:rFonts w:hint="eastAsia"/>
                <w:b w:val="0"/>
                <w:bCs/>
                <w:lang w:eastAsia="zh-CN"/>
              </w:rPr>
              <w:t>龙背缓冲区</w:t>
            </w:r>
          </w:p>
        </w:tc>
        <w:tc>
          <w:tcPr>
            <w:tcW w:w="1705" w:type="dxa"/>
            <w:vAlign w:val="center"/>
          </w:tcPr>
          <w:p w14:paraId="14D30B25">
            <w:pPr>
              <w:pStyle w:val="45"/>
              <w:rPr>
                <w:rFonts w:hint="default" w:eastAsia="宋体"/>
                <w:b w:val="0"/>
                <w:bCs/>
                <w:lang w:val="en-US" w:eastAsia="zh-CN"/>
              </w:rPr>
            </w:pPr>
            <w:r>
              <w:rPr>
                <w:rFonts w:hint="eastAsia"/>
                <w:b w:val="0"/>
                <w:bCs/>
                <w:lang w:val="en-US" w:eastAsia="zh-CN"/>
              </w:rPr>
              <w:t>35.77</w:t>
            </w:r>
          </w:p>
        </w:tc>
        <w:tc>
          <w:tcPr>
            <w:tcW w:w="1705" w:type="dxa"/>
            <w:vMerge w:val="continue"/>
            <w:vAlign w:val="center"/>
          </w:tcPr>
          <w:p w14:paraId="4C6AC47E">
            <w:pPr>
              <w:pStyle w:val="45"/>
              <w:rPr>
                <w:rFonts w:hint="eastAsia"/>
                <w:b w:val="0"/>
                <w:bCs/>
              </w:rPr>
            </w:pPr>
          </w:p>
        </w:tc>
      </w:tr>
      <w:tr w14:paraId="2CC4F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38B152FC">
            <w:pPr>
              <w:pStyle w:val="45"/>
              <w:rPr>
                <w:rFonts w:hint="default"/>
                <w:b w:val="0"/>
                <w:bCs/>
                <w:lang w:val="en-US" w:eastAsia="zh-CN"/>
              </w:rPr>
            </w:pPr>
            <w:r>
              <w:rPr>
                <w:rFonts w:hint="eastAsia"/>
                <w:b w:val="0"/>
                <w:bCs/>
                <w:lang w:val="en-US" w:eastAsia="zh-CN"/>
              </w:rPr>
              <w:t>7</w:t>
            </w:r>
          </w:p>
        </w:tc>
        <w:tc>
          <w:tcPr>
            <w:tcW w:w="1704" w:type="dxa"/>
            <w:vMerge w:val="restart"/>
            <w:vAlign w:val="center"/>
          </w:tcPr>
          <w:p w14:paraId="2E4C9600">
            <w:pPr>
              <w:pStyle w:val="45"/>
              <w:rPr>
                <w:rFonts w:hint="eastAsia" w:eastAsia="宋体"/>
                <w:b w:val="0"/>
                <w:bCs/>
                <w:lang w:eastAsia="zh-CN"/>
              </w:rPr>
            </w:pPr>
            <w:r>
              <w:rPr>
                <w:rFonts w:hint="eastAsia"/>
                <w:b w:val="0"/>
                <w:bCs/>
                <w:lang w:eastAsia="zh-CN"/>
              </w:rPr>
              <w:t>实验区</w:t>
            </w:r>
          </w:p>
        </w:tc>
        <w:tc>
          <w:tcPr>
            <w:tcW w:w="1704" w:type="dxa"/>
            <w:vAlign w:val="center"/>
          </w:tcPr>
          <w:p w14:paraId="5C0F1154">
            <w:pPr>
              <w:pStyle w:val="45"/>
              <w:rPr>
                <w:rFonts w:hint="eastAsia" w:eastAsia="宋体"/>
                <w:b w:val="0"/>
                <w:bCs/>
                <w:lang w:eastAsia="zh-CN"/>
              </w:rPr>
            </w:pPr>
            <w:r>
              <w:rPr>
                <w:rFonts w:hint="eastAsia"/>
                <w:b w:val="0"/>
                <w:bCs/>
                <w:lang w:eastAsia="zh-CN"/>
              </w:rPr>
              <w:t>百步实验区</w:t>
            </w:r>
          </w:p>
        </w:tc>
        <w:tc>
          <w:tcPr>
            <w:tcW w:w="1705" w:type="dxa"/>
            <w:vAlign w:val="center"/>
          </w:tcPr>
          <w:p w14:paraId="64BAB208">
            <w:pPr>
              <w:pStyle w:val="45"/>
              <w:rPr>
                <w:rFonts w:hint="default" w:eastAsia="宋体"/>
                <w:b w:val="0"/>
                <w:bCs/>
                <w:lang w:val="en-US" w:eastAsia="zh-CN"/>
              </w:rPr>
            </w:pPr>
            <w:r>
              <w:rPr>
                <w:rFonts w:hint="eastAsia"/>
                <w:b w:val="0"/>
                <w:bCs/>
                <w:lang w:val="en-US" w:eastAsia="zh-CN"/>
              </w:rPr>
              <w:t>10.26</w:t>
            </w:r>
          </w:p>
        </w:tc>
        <w:tc>
          <w:tcPr>
            <w:tcW w:w="1705" w:type="dxa"/>
            <w:vMerge w:val="restart"/>
            <w:vAlign w:val="center"/>
          </w:tcPr>
          <w:p w14:paraId="0CBDFA25">
            <w:pPr>
              <w:pStyle w:val="45"/>
              <w:rPr>
                <w:rFonts w:hint="default" w:eastAsia="宋体"/>
                <w:b w:val="0"/>
                <w:bCs/>
                <w:lang w:val="en-US" w:eastAsia="zh-CN"/>
              </w:rPr>
            </w:pPr>
            <w:r>
              <w:rPr>
                <w:rFonts w:hint="eastAsia"/>
                <w:b w:val="0"/>
                <w:bCs/>
                <w:lang w:val="en-US" w:eastAsia="zh-CN"/>
              </w:rPr>
              <w:t>368.03</w:t>
            </w:r>
          </w:p>
        </w:tc>
      </w:tr>
      <w:tr w14:paraId="40A46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7A17C176">
            <w:pPr>
              <w:pStyle w:val="45"/>
              <w:rPr>
                <w:rFonts w:hint="default"/>
                <w:b w:val="0"/>
                <w:bCs/>
                <w:lang w:val="en-US" w:eastAsia="zh-CN"/>
              </w:rPr>
            </w:pPr>
            <w:r>
              <w:rPr>
                <w:rFonts w:hint="eastAsia"/>
                <w:b w:val="0"/>
                <w:bCs/>
                <w:lang w:val="en-US" w:eastAsia="zh-CN"/>
              </w:rPr>
              <w:t>8</w:t>
            </w:r>
          </w:p>
        </w:tc>
        <w:tc>
          <w:tcPr>
            <w:tcW w:w="1704" w:type="dxa"/>
            <w:vMerge w:val="continue"/>
            <w:vAlign w:val="center"/>
          </w:tcPr>
          <w:p w14:paraId="47E4070E">
            <w:pPr>
              <w:pStyle w:val="45"/>
              <w:rPr>
                <w:rFonts w:hint="eastAsia"/>
                <w:b w:val="0"/>
                <w:bCs/>
              </w:rPr>
            </w:pPr>
          </w:p>
        </w:tc>
        <w:tc>
          <w:tcPr>
            <w:tcW w:w="1704" w:type="dxa"/>
            <w:vAlign w:val="center"/>
          </w:tcPr>
          <w:p w14:paraId="4C3D238F">
            <w:pPr>
              <w:pStyle w:val="45"/>
              <w:rPr>
                <w:rFonts w:hint="eastAsia" w:eastAsia="宋体"/>
                <w:b w:val="0"/>
                <w:bCs/>
                <w:lang w:eastAsia="zh-CN"/>
              </w:rPr>
            </w:pPr>
            <w:r>
              <w:rPr>
                <w:rFonts w:hint="eastAsia"/>
                <w:b w:val="0"/>
                <w:bCs/>
                <w:lang w:eastAsia="zh-CN"/>
              </w:rPr>
              <w:t>大云实验区</w:t>
            </w:r>
          </w:p>
        </w:tc>
        <w:tc>
          <w:tcPr>
            <w:tcW w:w="1705" w:type="dxa"/>
            <w:vAlign w:val="center"/>
          </w:tcPr>
          <w:p w14:paraId="0AC3D514">
            <w:pPr>
              <w:pStyle w:val="45"/>
              <w:rPr>
                <w:rFonts w:hint="default" w:eastAsia="宋体"/>
                <w:b w:val="0"/>
                <w:bCs/>
                <w:lang w:val="en-US" w:eastAsia="zh-CN"/>
              </w:rPr>
            </w:pPr>
            <w:r>
              <w:rPr>
                <w:rFonts w:hint="eastAsia"/>
                <w:b w:val="0"/>
                <w:bCs/>
                <w:lang w:val="en-US" w:eastAsia="zh-CN"/>
              </w:rPr>
              <w:t>134.77</w:t>
            </w:r>
          </w:p>
        </w:tc>
        <w:tc>
          <w:tcPr>
            <w:tcW w:w="1705" w:type="dxa"/>
            <w:vMerge w:val="continue"/>
            <w:vAlign w:val="center"/>
          </w:tcPr>
          <w:p w14:paraId="2BBDFBCF">
            <w:pPr>
              <w:pStyle w:val="45"/>
              <w:rPr>
                <w:rFonts w:hint="eastAsia"/>
                <w:b w:val="0"/>
                <w:bCs/>
              </w:rPr>
            </w:pPr>
          </w:p>
        </w:tc>
      </w:tr>
      <w:tr w14:paraId="2374E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78FE64C5">
            <w:pPr>
              <w:pStyle w:val="45"/>
              <w:rPr>
                <w:rFonts w:hint="default"/>
                <w:b w:val="0"/>
                <w:bCs/>
                <w:lang w:val="en-US" w:eastAsia="zh-CN"/>
              </w:rPr>
            </w:pPr>
            <w:r>
              <w:rPr>
                <w:rFonts w:hint="eastAsia"/>
                <w:b w:val="0"/>
                <w:bCs/>
                <w:lang w:val="en-US" w:eastAsia="zh-CN"/>
              </w:rPr>
              <w:t>9</w:t>
            </w:r>
          </w:p>
        </w:tc>
        <w:tc>
          <w:tcPr>
            <w:tcW w:w="1704" w:type="dxa"/>
            <w:vMerge w:val="continue"/>
            <w:vAlign w:val="center"/>
          </w:tcPr>
          <w:p w14:paraId="0A1BE17F">
            <w:pPr>
              <w:pStyle w:val="45"/>
              <w:rPr>
                <w:rFonts w:hint="eastAsia"/>
                <w:b w:val="0"/>
                <w:bCs/>
              </w:rPr>
            </w:pPr>
          </w:p>
        </w:tc>
        <w:tc>
          <w:tcPr>
            <w:tcW w:w="1704" w:type="dxa"/>
            <w:vAlign w:val="center"/>
          </w:tcPr>
          <w:p w14:paraId="519A3A6B">
            <w:pPr>
              <w:pStyle w:val="45"/>
              <w:rPr>
                <w:rFonts w:hint="eastAsia" w:eastAsia="宋体"/>
                <w:b w:val="0"/>
                <w:bCs/>
                <w:lang w:eastAsia="zh-CN"/>
              </w:rPr>
            </w:pPr>
            <w:r>
              <w:rPr>
                <w:rFonts w:hint="eastAsia"/>
                <w:b w:val="0"/>
                <w:bCs/>
                <w:lang w:eastAsia="zh-CN"/>
              </w:rPr>
              <w:t>观音实验区</w:t>
            </w:r>
          </w:p>
        </w:tc>
        <w:tc>
          <w:tcPr>
            <w:tcW w:w="1705" w:type="dxa"/>
            <w:vAlign w:val="center"/>
          </w:tcPr>
          <w:p w14:paraId="7CC745D4">
            <w:pPr>
              <w:pStyle w:val="45"/>
              <w:rPr>
                <w:rFonts w:hint="default" w:eastAsia="宋体"/>
                <w:b w:val="0"/>
                <w:bCs/>
                <w:lang w:val="en-US" w:eastAsia="zh-CN"/>
              </w:rPr>
            </w:pPr>
            <w:r>
              <w:rPr>
                <w:rFonts w:hint="eastAsia"/>
                <w:b w:val="0"/>
                <w:bCs/>
                <w:lang w:val="en-US" w:eastAsia="zh-CN"/>
              </w:rPr>
              <w:t>30.07</w:t>
            </w:r>
          </w:p>
        </w:tc>
        <w:tc>
          <w:tcPr>
            <w:tcW w:w="1705" w:type="dxa"/>
            <w:vMerge w:val="continue"/>
            <w:vAlign w:val="center"/>
          </w:tcPr>
          <w:p w14:paraId="44F24F2F">
            <w:pPr>
              <w:pStyle w:val="45"/>
              <w:rPr>
                <w:rFonts w:hint="eastAsia"/>
                <w:b w:val="0"/>
                <w:bCs/>
              </w:rPr>
            </w:pPr>
          </w:p>
        </w:tc>
      </w:tr>
      <w:tr w14:paraId="60A4C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36672C25">
            <w:pPr>
              <w:pStyle w:val="45"/>
              <w:rPr>
                <w:rFonts w:hint="default"/>
                <w:b w:val="0"/>
                <w:bCs/>
                <w:lang w:val="en-US" w:eastAsia="zh-CN"/>
              </w:rPr>
            </w:pPr>
            <w:r>
              <w:rPr>
                <w:rFonts w:hint="eastAsia"/>
                <w:b w:val="0"/>
                <w:bCs/>
                <w:lang w:val="en-US" w:eastAsia="zh-CN"/>
              </w:rPr>
              <w:t>10</w:t>
            </w:r>
          </w:p>
        </w:tc>
        <w:tc>
          <w:tcPr>
            <w:tcW w:w="1704" w:type="dxa"/>
            <w:vMerge w:val="continue"/>
            <w:vAlign w:val="center"/>
          </w:tcPr>
          <w:p w14:paraId="63F4D48B">
            <w:pPr>
              <w:pStyle w:val="45"/>
              <w:rPr>
                <w:rFonts w:hint="eastAsia"/>
                <w:b w:val="0"/>
                <w:bCs/>
              </w:rPr>
            </w:pPr>
          </w:p>
        </w:tc>
        <w:tc>
          <w:tcPr>
            <w:tcW w:w="1704" w:type="dxa"/>
            <w:vAlign w:val="center"/>
          </w:tcPr>
          <w:p w14:paraId="53879D0C">
            <w:pPr>
              <w:pStyle w:val="45"/>
              <w:rPr>
                <w:rFonts w:hint="eastAsia" w:eastAsia="宋体"/>
                <w:b w:val="0"/>
                <w:bCs/>
                <w:lang w:eastAsia="zh-CN"/>
              </w:rPr>
            </w:pPr>
            <w:r>
              <w:rPr>
                <w:rFonts w:hint="eastAsia"/>
                <w:b w:val="0"/>
                <w:bCs/>
                <w:lang w:eastAsia="zh-CN"/>
              </w:rPr>
              <w:t>观音实验区</w:t>
            </w:r>
          </w:p>
        </w:tc>
        <w:tc>
          <w:tcPr>
            <w:tcW w:w="1705" w:type="dxa"/>
            <w:vAlign w:val="center"/>
          </w:tcPr>
          <w:p w14:paraId="42B123A4">
            <w:pPr>
              <w:pStyle w:val="45"/>
              <w:rPr>
                <w:rFonts w:hint="default" w:eastAsia="宋体"/>
                <w:b w:val="0"/>
                <w:bCs/>
                <w:lang w:val="en-US" w:eastAsia="zh-CN"/>
              </w:rPr>
            </w:pPr>
            <w:r>
              <w:rPr>
                <w:rFonts w:hint="eastAsia"/>
                <w:b w:val="0"/>
                <w:bCs/>
                <w:lang w:val="en-US" w:eastAsia="zh-CN"/>
              </w:rPr>
              <w:t>31.02</w:t>
            </w:r>
          </w:p>
        </w:tc>
        <w:tc>
          <w:tcPr>
            <w:tcW w:w="1705" w:type="dxa"/>
            <w:vMerge w:val="continue"/>
            <w:vAlign w:val="center"/>
          </w:tcPr>
          <w:p w14:paraId="57756C84">
            <w:pPr>
              <w:pStyle w:val="45"/>
              <w:rPr>
                <w:rFonts w:hint="eastAsia"/>
                <w:b w:val="0"/>
                <w:bCs/>
              </w:rPr>
            </w:pPr>
          </w:p>
        </w:tc>
      </w:tr>
      <w:tr w14:paraId="308B7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6AA12E7E">
            <w:pPr>
              <w:pStyle w:val="45"/>
              <w:rPr>
                <w:rFonts w:hint="default"/>
                <w:b w:val="0"/>
                <w:bCs/>
                <w:lang w:val="en-US" w:eastAsia="zh-CN"/>
              </w:rPr>
            </w:pPr>
            <w:r>
              <w:rPr>
                <w:rFonts w:hint="eastAsia"/>
                <w:b w:val="0"/>
                <w:bCs/>
                <w:lang w:val="en-US" w:eastAsia="zh-CN"/>
              </w:rPr>
              <w:t>11</w:t>
            </w:r>
          </w:p>
        </w:tc>
        <w:tc>
          <w:tcPr>
            <w:tcW w:w="1704" w:type="dxa"/>
            <w:vMerge w:val="continue"/>
            <w:vAlign w:val="center"/>
          </w:tcPr>
          <w:p w14:paraId="2C42E324">
            <w:pPr>
              <w:pStyle w:val="45"/>
              <w:rPr>
                <w:rFonts w:hint="eastAsia"/>
                <w:b w:val="0"/>
                <w:bCs/>
              </w:rPr>
            </w:pPr>
          </w:p>
        </w:tc>
        <w:tc>
          <w:tcPr>
            <w:tcW w:w="1704" w:type="dxa"/>
            <w:vAlign w:val="center"/>
          </w:tcPr>
          <w:p w14:paraId="71FA6E1F">
            <w:pPr>
              <w:pStyle w:val="45"/>
              <w:rPr>
                <w:rFonts w:hint="eastAsia" w:eastAsia="宋体"/>
                <w:b w:val="0"/>
                <w:bCs/>
                <w:lang w:eastAsia="zh-CN"/>
              </w:rPr>
            </w:pPr>
            <w:r>
              <w:rPr>
                <w:rFonts w:hint="eastAsia"/>
                <w:b w:val="0"/>
                <w:bCs/>
                <w:lang w:eastAsia="zh-CN"/>
              </w:rPr>
              <w:t>胡井实验区</w:t>
            </w:r>
          </w:p>
        </w:tc>
        <w:tc>
          <w:tcPr>
            <w:tcW w:w="1705" w:type="dxa"/>
            <w:vAlign w:val="center"/>
          </w:tcPr>
          <w:p w14:paraId="223348D2">
            <w:pPr>
              <w:pStyle w:val="45"/>
              <w:rPr>
                <w:rFonts w:hint="default" w:eastAsia="宋体"/>
                <w:b w:val="0"/>
                <w:bCs/>
                <w:lang w:val="en-US" w:eastAsia="zh-CN"/>
              </w:rPr>
            </w:pPr>
            <w:r>
              <w:rPr>
                <w:rFonts w:hint="eastAsia"/>
                <w:b w:val="0"/>
                <w:bCs/>
                <w:lang w:val="en-US" w:eastAsia="zh-CN"/>
              </w:rPr>
              <w:t>108.12</w:t>
            </w:r>
          </w:p>
        </w:tc>
        <w:tc>
          <w:tcPr>
            <w:tcW w:w="1705" w:type="dxa"/>
            <w:vMerge w:val="continue"/>
            <w:vAlign w:val="center"/>
          </w:tcPr>
          <w:p w14:paraId="7FA4106B">
            <w:pPr>
              <w:pStyle w:val="45"/>
              <w:rPr>
                <w:rFonts w:hint="eastAsia"/>
                <w:b w:val="0"/>
                <w:bCs/>
              </w:rPr>
            </w:pPr>
          </w:p>
        </w:tc>
      </w:tr>
      <w:tr w14:paraId="51E86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2B2783CC">
            <w:pPr>
              <w:pStyle w:val="45"/>
              <w:rPr>
                <w:rFonts w:hint="default"/>
                <w:b w:val="0"/>
                <w:bCs/>
                <w:lang w:val="en-US" w:eastAsia="zh-CN"/>
              </w:rPr>
            </w:pPr>
            <w:r>
              <w:rPr>
                <w:rFonts w:hint="eastAsia"/>
                <w:b w:val="0"/>
                <w:bCs/>
                <w:lang w:val="en-US" w:eastAsia="zh-CN"/>
              </w:rPr>
              <w:t>12</w:t>
            </w:r>
          </w:p>
        </w:tc>
        <w:tc>
          <w:tcPr>
            <w:tcW w:w="1704" w:type="dxa"/>
            <w:vMerge w:val="continue"/>
            <w:vAlign w:val="center"/>
          </w:tcPr>
          <w:p w14:paraId="6A8DB886">
            <w:pPr>
              <w:pStyle w:val="45"/>
              <w:rPr>
                <w:rFonts w:hint="eastAsia"/>
                <w:b w:val="0"/>
                <w:bCs/>
              </w:rPr>
            </w:pPr>
          </w:p>
        </w:tc>
        <w:tc>
          <w:tcPr>
            <w:tcW w:w="1704" w:type="dxa"/>
            <w:vAlign w:val="center"/>
          </w:tcPr>
          <w:p w14:paraId="5B589168">
            <w:pPr>
              <w:pStyle w:val="45"/>
              <w:rPr>
                <w:rFonts w:hint="eastAsia" w:eastAsia="宋体"/>
                <w:b w:val="0"/>
                <w:bCs/>
                <w:lang w:eastAsia="zh-CN"/>
              </w:rPr>
            </w:pPr>
            <w:r>
              <w:rPr>
                <w:rFonts w:hint="eastAsia"/>
                <w:b w:val="0"/>
                <w:bCs/>
                <w:lang w:eastAsia="zh-CN"/>
              </w:rPr>
              <w:t>黄泥实验区</w:t>
            </w:r>
          </w:p>
        </w:tc>
        <w:tc>
          <w:tcPr>
            <w:tcW w:w="1705" w:type="dxa"/>
            <w:vAlign w:val="center"/>
          </w:tcPr>
          <w:p w14:paraId="037B77BD">
            <w:pPr>
              <w:pStyle w:val="45"/>
              <w:rPr>
                <w:rFonts w:hint="default" w:eastAsia="宋体"/>
                <w:b w:val="0"/>
                <w:bCs/>
                <w:lang w:val="en-US" w:eastAsia="zh-CN"/>
              </w:rPr>
            </w:pPr>
            <w:r>
              <w:rPr>
                <w:rFonts w:hint="eastAsia"/>
                <w:b w:val="0"/>
                <w:bCs/>
                <w:lang w:val="en-US" w:eastAsia="zh-CN"/>
              </w:rPr>
              <w:t>26.51</w:t>
            </w:r>
          </w:p>
        </w:tc>
        <w:tc>
          <w:tcPr>
            <w:tcW w:w="1705" w:type="dxa"/>
            <w:vMerge w:val="continue"/>
            <w:vAlign w:val="center"/>
          </w:tcPr>
          <w:p w14:paraId="7CFF0F82">
            <w:pPr>
              <w:pStyle w:val="45"/>
              <w:rPr>
                <w:rFonts w:hint="eastAsia"/>
                <w:b w:val="0"/>
                <w:bCs/>
              </w:rPr>
            </w:pPr>
          </w:p>
        </w:tc>
      </w:tr>
      <w:tr w14:paraId="0BA40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7ED8797A">
            <w:pPr>
              <w:pStyle w:val="45"/>
              <w:rPr>
                <w:rFonts w:hint="default"/>
                <w:b w:val="0"/>
                <w:bCs/>
                <w:lang w:val="en-US" w:eastAsia="zh-CN"/>
              </w:rPr>
            </w:pPr>
            <w:r>
              <w:rPr>
                <w:rFonts w:hint="eastAsia"/>
                <w:b w:val="0"/>
                <w:bCs/>
                <w:lang w:val="en-US" w:eastAsia="zh-CN"/>
              </w:rPr>
              <w:t>13</w:t>
            </w:r>
          </w:p>
        </w:tc>
        <w:tc>
          <w:tcPr>
            <w:tcW w:w="1704" w:type="dxa"/>
            <w:vMerge w:val="continue"/>
            <w:vAlign w:val="center"/>
          </w:tcPr>
          <w:p w14:paraId="0CB78631">
            <w:pPr>
              <w:pStyle w:val="45"/>
              <w:rPr>
                <w:rFonts w:hint="eastAsia"/>
                <w:b w:val="0"/>
                <w:bCs/>
              </w:rPr>
            </w:pPr>
          </w:p>
        </w:tc>
        <w:tc>
          <w:tcPr>
            <w:tcW w:w="1704" w:type="dxa"/>
            <w:vAlign w:val="center"/>
          </w:tcPr>
          <w:p w14:paraId="79DEFE14">
            <w:pPr>
              <w:pStyle w:val="45"/>
              <w:rPr>
                <w:rFonts w:hint="eastAsia" w:eastAsia="宋体"/>
                <w:b w:val="0"/>
                <w:bCs/>
                <w:lang w:eastAsia="zh-CN"/>
              </w:rPr>
            </w:pPr>
            <w:r>
              <w:rPr>
                <w:rFonts w:hint="eastAsia"/>
                <w:b w:val="0"/>
                <w:bCs/>
                <w:lang w:eastAsia="zh-CN"/>
              </w:rPr>
              <w:t>龙背实验区</w:t>
            </w:r>
          </w:p>
        </w:tc>
        <w:tc>
          <w:tcPr>
            <w:tcW w:w="1705" w:type="dxa"/>
            <w:vAlign w:val="center"/>
          </w:tcPr>
          <w:p w14:paraId="2112D98A">
            <w:pPr>
              <w:pStyle w:val="45"/>
              <w:rPr>
                <w:rFonts w:hint="default" w:eastAsia="宋体"/>
                <w:b w:val="0"/>
                <w:bCs/>
                <w:lang w:val="en-US" w:eastAsia="zh-CN"/>
              </w:rPr>
            </w:pPr>
            <w:r>
              <w:rPr>
                <w:rFonts w:hint="eastAsia"/>
                <w:b w:val="0"/>
                <w:bCs/>
                <w:lang w:val="en-US" w:eastAsia="zh-CN"/>
              </w:rPr>
              <w:t>16.89</w:t>
            </w:r>
          </w:p>
        </w:tc>
        <w:tc>
          <w:tcPr>
            <w:tcW w:w="1705" w:type="dxa"/>
            <w:vMerge w:val="continue"/>
            <w:vAlign w:val="center"/>
          </w:tcPr>
          <w:p w14:paraId="3006DA45">
            <w:pPr>
              <w:pStyle w:val="45"/>
              <w:rPr>
                <w:rFonts w:hint="eastAsia"/>
                <w:b w:val="0"/>
                <w:bCs/>
              </w:rPr>
            </w:pPr>
          </w:p>
        </w:tc>
      </w:tr>
      <w:tr w14:paraId="6B822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7C02B8D9">
            <w:pPr>
              <w:pStyle w:val="45"/>
              <w:rPr>
                <w:rFonts w:hint="default"/>
                <w:b w:val="0"/>
                <w:bCs/>
                <w:lang w:val="en-US" w:eastAsia="zh-CN"/>
              </w:rPr>
            </w:pPr>
            <w:r>
              <w:rPr>
                <w:rFonts w:hint="eastAsia"/>
                <w:b w:val="0"/>
                <w:bCs/>
                <w:lang w:val="en-US" w:eastAsia="zh-CN"/>
              </w:rPr>
              <w:t>14</w:t>
            </w:r>
          </w:p>
        </w:tc>
        <w:tc>
          <w:tcPr>
            <w:tcW w:w="1704" w:type="dxa"/>
            <w:vMerge w:val="continue"/>
            <w:vAlign w:val="center"/>
          </w:tcPr>
          <w:p w14:paraId="3577411C">
            <w:pPr>
              <w:pStyle w:val="45"/>
              <w:rPr>
                <w:rFonts w:hint="eastAsia"/>
                <w:b w:val="0"/>
                <w:bCs/>
              </w:rPr>
            </w:pPr>
          </w:p>
        </w:tc>
        <w:tc>
          <w:tcPr>
            <w:tcW w:w="1704" w:type="dxa"/>
            <w:vAlign w:val="center"/>
          </w:tcPr>
          <w:p w14:paraId="093196BF">
            <w:pPr>
              <w:pStyle w:val="45"/>
              <w:rPr>
                <w:rFonts w:hint="eastAsia" w:eastAsia="宋体"/>
                <w:b w:val="0"/>
                <w:bCs/>
                <w:lang w:eastAsia="zh-CN"/>
              </w:rPr>
            </w:pPr>
            <w:r>
              <w:rPr>
                <w:rFonts w:hint="eastAsia"/>
                <w:b w:val="0"/>
                <w:bCs/>
                <w:lang w:eastAsia="zh-CN"/>
              </w:rPr>
              <w:t>龙背实验区</w:t>
            </w:r>
          </w:p>
        </w:tc>
        <w:tc>
          <w:tcPr>
            <w:tcW w:w="1705" w:type="dxa"/>
            <w:vAlign w:val="center"/>
          </w:tcPr>
          <w:p w14:paraId="3E898305">
            <w:pPr>
              <w:pStyle w:val="45"/>
              <w:rPr>
                <w:rFonts w:hint="default" w:eastAsia="宋体"/>
                <w:b w:val="0"/>
                <w:bCs/>
                <w:lang w:val="en-US" w:eastAsia="zh-CN"/>
              </w:rPr>
            </w:pPr>
            <w:r>
              <w:rPr>
                <w:rFonts w:hint="eastAsia"/>
                <w:b w:val="0"/>
                <w:bCs/>
                <w:lang w:val="en-US" w:eastAsia="zh-CN"/>
              </w:rPr>
              <w:t>10.39</w:t>
            </w:r>
          </w:p>
        </w:tc>
        <w:tc>
          <w:tcPr>
            <w:tcW w:w="1705" w:type="dxa"/>
            <w:vMerge w:val="continue"/>
            <w:vAlign w:val="center"/>
          </w:tcPr>
          <w:p w14:paraId="0A1D0867">
            <w:pPr>
              <w:pStyle w:val="45"/>
              <w:rPr>
                <w:rFonts w:hint="eastAsia"/>
                <w:b w:val="0"/>
                <w:bCs/>
              </w:rPr>
            </w:pPr>
          </w:p>
        </w:tc>
      </w:tr>
      <w:tr w14:paraId="669EC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trPr>
        <w:tc>
          <w:tcPr>
            <w:tcW w:w="3408" w:type="dxa"/>
            <w:gridSpan w:val="2"/>
          </w:tcPr>
          <w:p w14:paraId="2CDF058C">
            <w:pPr>
              <w:pStyle w:val="45"/>
              <w:rPr>
                <w:rFonts w:hint="eastAsia" w:eastAsia="宋体"/>
                <w:b w:val="0"/>
                <w:bCs/>
                <w:lang w:eastAsia="zh-CN"/>
              </w:rPr>
            </w:pPr>
            <w:r>
              <w:rPr>
                <w:rFonts w:hint="eastAsia"/>
                <w:b w:val="0"/>
                <w:bCs/>
                <w:lang w:eastAsia="zh-CN"/>
              </w:rPr>
              <w:t>合计</w:t>
            </w:r>
          </w:p>
        </w:tc>
        <w:tc>
          <w:tcPr>
            <w:tcW w:w="1704" w:type="dxa"/>
            <w:vAlign w:val="center"/>
          </w:tcPr>
          <w:p w14:paraId="334F61C9">
            <w:pPr>
              <w:pStyle w:val="45"/>
              <w:rPr>
                <w:rFonts w:hint="eastAsia"/>
                <w:b w:val="0"/>
                <w:bCs/>
              </w:rPr>
            </w:pPr>
          </w:p>
        </w:tc>
        <w:tc>
          <w:tcPr>
            <w:tcW w:w="1705" w:type="dxa"/>
            <w:vAlign w:val="center"/>
          </w:tcPr>
          <w:p w14:paraId="5D9CA426">
            <w:pPr>
              <w:pStyle w:val="45"/>
              <w:rPr>
                <w:rFonts w:hint="default" w:eastAsia="宋体"/>
                <w:b w:val="0"/>
                <w:bCs/>
                <w:lang w:val="en-US" w:eastAsia="zh-CN"/>
              </w:rPr>
            </w:pPr>
            <w:r>
              <w:rPr>
                <w:rFonts w:hint="eastAsia"/>
                <w:b w:val="0"/>
                <w:bCs/>
                <w:lang w:val="en-US" w:eastAsia="zh-CN"/>
              </w:rPr>
              <w:t>572.43</w:t>
            </w:r>
          </w:p>
        </w:tc>
        <w:tc>
          <w:tcPr>
            <w:tcW w:w="1705" w:type="dxa"/>
            <w:vAlign w:val="center"/>
          </w:tcPr>
          <w:p w14:paraId="24E7D9DD">
            <w:pPr>
              <w:pStyle w:val="45"/>
              <w:rPr>
                <w:rFonts w:hint="default" w:eastAsia="宋体"/>
                <w:b w:val="0"/>
                <w:bCs/>
                <w:lang w:val="en-US" w:eastAsia="zh-CN"/>
              </w:rPr>
            </w:pPr>
            <w:r>
              <w:rPr>
                <w:rFonts w:hint="eastAsia"/>
                <w:b w:val="0"/>
                <w:bCs/>
                <w:lang w:val="en-US" w:eastAsia="zh-CN"/>
              </w:rPr>
              <w:t>572.43</w:t>
            </w:r>
          </w:p>
        </w:tc>
      </w:tr>
    </w:tbl>
    <w:p w14:paraId="49547E12">
      <w:pPr>
        <w:pStyle w:val="6"/>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核心区</w:t>
      </w:r>
    </w:p>
    <w:p w14:paraId="2A96FBC3">
      <w:pPr>
        <w:bidi w:val="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将保护区内被保护对象具备典型代表性并保存完好的自然生态系统和珍稀濒危动植物集中分布地划为核心区。具体包括：珍稀濒危动植物的主要生存栖息地；生态系统比较完整的区域；常绿阔叶林和常绿落叶阔叶林集中连片分布的区域；有特殊森林群落和具有明显垂直带谱系列的森林植被群落分布的区域等。保护区核心区分两部分，包括百步核心区，面积65.18公顷，另一部分处于观音保护站，面积60.01公顷。保护区核心区面积125.19公顷，占自然保护区总面积的21.87%。</w:t>
      </w:r>
    </w:p>
    <w:p w14:paraId="23F3623D">
      <w:pPr>
        <w:pStyle w:val="6"/>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缓冲区</w:t>
      </w:r>
    </w:p>
    <w:p w14:paraId="10A7EC75">
      <w:pPr>
        <w:bidi w:val="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为更好地保护核心区不受外界的干扰和破坏，在核心区周围划出一定面积作为缓冲区，缓冲区一方面能防止核心区范围受到外界冲击，起到一定的缓冲作用；另一方面也可适当用于基础性科学试验研究，缓冲区面积79.21公顷，占总面积的13.84%。</w:t>
      </w:r>
    </w:p>
    <w:p w14:paraId="2B09433D">
      <w:pPr>
        <w:pStyle w:val="6"/>
        <w:rPr>
          <w:rFonts w:hint="eastAsia" w:ascii="Times New Roman" w:hAnsi="Times New Roman" w:eastAsia="宋体" w:cs="Times New Roman"/>
          <w:color w:val="auto"/>
          <w:highlight w:val="none"/>
        </w:rPr>
      </w:pPr>
      <w:r>
        <w:rPr>
          <w:rFonts w:hint="eastAsia" w:cs="Times New Roman"/>
          <w:color w:val="auto"/>
          <w:highlight w:val="none"/>
          <w:lang w:val="en-US" w:eastAsia="zh-CN"/>
        </w:rPr>
        <w:t>实验</w:t>
      </w:r>
      <w:r>
        <w:rPr>
          <w:rFonts w:hint="eastAsia" w:ascii="Times New Roman" w:hAnsi="Times New Roman" w:eastAsia="宋体" w:cs="Times New Roman"/>
          <w:color w:val="auto"/>
          <w:highlight w:val="none"/>
          <w:lang w:val="en-US" w:eastAsia="zh-CN"/>
        </w:rPr>
        <w:t>区</w:t>
      </w:r>
    </w:p>
    <w:p w14:paraId="7DAE1615">
      <w:pPr>
        <w:bidi w:val="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除核心区、缓冲区外，保护区其余区域均为实验区。保护区实验区面积368.03 公顷，占保护区总面积64.29%。</w:t>
      </w:r>
    </w:p>
    <w:p w14:paraId="6C322511">
      <w:pPr>
        <w:pStyle w:val="5"/>
        <w:rPr>
          <w:rFonts w:hint="eastAsia" w:ascii="Times New Roman" w:hAnsi="Times New Roman" w:eastAsia="宋体" w:cs="Times New Roman"/>
          <w:color w:val="auto"/>
          <w:highlight w:val="none"/>
          <w:lang w:val="en-US" w:eastAsia="zh-CN"/>
        </w:rPr>
      </w:pPr>
      <w:r>
        <w:rPr>
          <w:rFonts w:hint="eastAsia" w:cs="Times New Roman"/>
          <w:color w:val="auto"/>
          <w:highlight w:val="none"/>
          <w:lang w:val="en-US" w:eastAsia="zh-CN"/>
        </w:rPr>
        <w:t>总体布局</w:t>
      </w:r>
    </w:p>
    <w:p w14:paraId="689E4EA4">
      <w:pPr>
        <w:bidi w:val="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为加强各功能区的管理，搞好区内野生动植物资源和自然生态系统的保护，做到重点突出，目标明确，分类管理，将保护区归并为保护与经营两个管理区域。</w:t>
      </w:r>
    </w:p>
    <w:p w14:paraId="03ACC634">
      <w:pPr>
        <w:bidi w:val="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1、保护区域</w:t>
      </w:r>
    </w:p>
    <w:p w14:paraId="1318F84F">
      <w:pPr>
        <w:bidi w:val="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包括功能分区的核心区和缓冲区，面积204.4公顷，以拯救濒危物种，保护、研究野生动植物资源为主要目的，禁止任何形式的生产活动，只允许从事监测、观察活动，并可用作生态系统基本规律研究的场所。</w:t>
      </w:r>
    </w:p>
    <w:p w14:paraId="60DE23E3">
      <w:pPr>
        <w:bidi w:val="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2、经营区域</w:t>
      </w:r>
    </w:p>
    <w:p w14:paraId="25A0D039">
      <w:pPr>
        <w:bidi w:val="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经营区域范围控制在实验区之内，面积368.03公顷，以实验、持续合理利用自然资源为主要目的。在尊重自然规律，有利于保护、恢复与发展珍稀、濒危物种的前提下，可开展实验、教学实习、参观考察、驯养繁殖和生态旅游等活动。变资源消耗型经营为科学集约型经营，实行技术上指导，资金上帮助的办法，扶持社区发展生产经营和生态旅游，以增强自然保护区的经济实力，最终实现自然保护区和社区建设共同发展的目标。</w:t>
      </w:r>
    </w:p>
    <w:p w14:paraId="2C65E151">
      <w:pPr>
        <w:pStyle w:val="4"/>
        <w:bidi w:val="0"/>
        <w:rPr>
          <w:rFonts w:hint="default" w:ascii="Times New Roman" w:hAnsi="Times New Roman" w:cs="Times New Roman"/>
          <w:color w:val="auto"/>
          <w:highlight w:val="none"/>
        </w:rPr>
      </w:pPr>
      <w:bookmarkStart w:id="89" w:name="_Toc413"/>
      <w:r>
        <w:rPr>
          <w:rFonts w:hint="eastAsia" w:cs="Times New Roman"/>
          <w:color w:val="auto"/>
          <w:highlight w:val="none"/>
          <w:lang w:eastAsia="zh-CN"/>
        </w:rPr>
        <w:t>本项目与衡阳三阳自然保护区的位置关系</w:t>
      </w:r>
      <w:bookmarkEnd w:id="89"/>
    </w:p>
    <w:p w14:paraId="7CFE31A7">
      <w:pPr>
        <w:bidi w:val="0"/>
        <w:rPr>
          <w:rFonts w:hint="eastAsia" w:ascii="Times New Roman" w:hAnsi="Times New Roman" w:cs="Times New Roman"/>
          <w:color w:val="auto"/>
          <w:kern w:val="0"/>
          <w:sz w:val="24"/>
          <w:szCs w:val="24"/>
          <w:highlight w:val="none"/>
          <w:u w:val="none"/>
          <w:lang w:val="en-US" w:eastAsia="zh-CN" w:bidi="ar-SA"/>
        </w:rPr>
      </w:pPr>
      <w:r>
        <w:rPr>
          <w:rFonts w:hint="eastAsia" w:ascii="Times New Roman" w:hAnsi="Times New Roman" w:cs="Times New Roman"/>
          <w:color w:val="auto"/>
          <w:kern w:val="0"/>
          <w:sz w:val="24"/>
          <w:szCs w:val="24"/>
          <w:highlight w:val="none"/>
          <w:u w:val="none"/>
          <w:lang w:val="en-US" w:eastAsia="zh-CN" w:bidi="ar-SA"/>
        </w:rPr>
        <w:t>本工程</w:t>
      </w:r>
      <w:r>
        <w:rPr>
          <w:rFonts w:hint="eastAsia"/>
          <w:color w:val="auto"/>
          <w:kern w:val="0"/>
          <w:highlight w:val="none"/>
          <w:u w:val="none"/>
        </w:rPr>
        <w:t>所有风机机位均位于祁东县境内，</w:t>
      </w:r>
      <w:r>
        <w:rPr>
          <w:rFonts w:hint="eastAsia" w:ascii="Times New Roman" w:hAnsi="Times New Roman" w:cs="Times New Roman"/>
          <w:color w:val="auto"/>
          <w:kern w:val="0"/>
          <w:sz w:val="24"/>
          <w:szCs w:val="24"/>
          <w:highlight w:val="none"/>
          <w:u w:val="none"/>
          <w:lang w:val="en-US" w:eastAsia="zh-CN" w:bidi="ar-SA"/>
        </w:rPr>
        <w:t>位于衡阳三阳自然保护区</w:t>
      </w:r>
      <w:r>
        <w:rPr>
          <w:rFonts w:hint="eastAsia" w:cs="Times New Roman"/>
          <w:color w:val="auto"/>
          <w:kern w:val="0"/>
          <w:sz w:val="24"/>
          <w:szCs w:val="24"/>
          <w:highlight w:val="none"/>
          <w:u w:val="none"/>
          <w:lang w:val="en-US" w:eastAsia="zh-CN" w:bidi="ar-SA"/>
        </w:rPr>
        <w:t>实验区</w:t>
      </w:r>
      <w:r>
        <w:rPr>
          <w:rFonts w:hint="eastAsia" w:ascii="Times New Roman" w:hAnsi="Times New Roman" w:cs="Times New Roman"/>
          <w:color w:val="auto"/>
          <w:kern w:val="0"/>
          <w:sz w:val="24"/>
          <w:szCs w:val="24"/>
          <w:highlight w:val="none"/>
          <w:u w:val="none"/>
          <w:lang w:val="en-US" w:eastAsia="zh-CN" w:bidi="ar-SA"/>
        </w:rPr>
        <w:t>的西面，靠近保护区的</w:t>
      </w:r>
      <w:r>
        <w:rPr>
          <w:rFonts w:hint="eastAsia" w:cs="Times New Roman"/>
          <w:color w:val="auto"/>
          <w:kern w:val="0"/>
          <w:sz w:val="24"/>
          <w:szCs w:val="24"/>
          <w:highlight w:val="none"/>
          <w:u w:val="none"/>
          <w:lang w:val="en-US" w:eastAsia="zh-CN" w:bidi="ar-SA"/>
        </w:rPr>
        <w:t>有</w:t>
      </w:r>
      <w:r>
        <w:rPr>
          <w:rFonts w:hint="eastAsia" w:ascii="Times New Roman" w:hAnsi="Times New Roman" w:cs="Times New Roman"/>
          <w:color w:val="auto"/>
          <w:kern w:val="0"/>
          <w:sz w:val="24"/>
          <w:szCs w:val="24"/>
          <w:highlight w:val="none"/>
          <w:u w:val="none"/>
          <w:lang w:val="en-US" w:eastAsia="zh-CN" w:bidi="ar-SA"/>
        </w:rPr>
        <w:t>16#、17#、</w:t>
      </w:r>
      <w:r>
        <w:rPr>
          <w:rFonts w:hint="eastAsia" w:cs="Times New Roman"/>
          <w:color w:val="auto"/>
          <w:kern w:val="0"/>
          <w:sz w:val="24"/>
          <w:szCs w:val="24"/>
          <w:highlight w:val="none"/>
          <w:u w:val="none"/>
          <w:lang w:val="en-US" w:eastAsia="zh-CN" w:bidi="ar-SA"/>
        </w:rPr>
        <w:t>18#、</w:t>
      </w:r>
      <w:r>
        <w:rPr>
          <w:rFonts w:hint="eastAsia" w:ascii="Times New Roman" w:hAnsi="Times New Roman" w:cs="Times New Roman"/>
          <w:color w:val="auto"/>
          <w:kern w:val="0"/>
          <w:sz w:val="24"/>
          <w:szCs w:val="24"/>
          <w:highlight w:val="none"/>
          <w:u w:val="none"/>
          <w:lang w:val="en-US" w:eastAsia="zh-CN" w:bidi="ar-SA"/>
        </w:rPr>
        <w:t>19#</w:t>
      </w:r>
      <w:r>
        <w:rPr>
          <w:rFonts w:hint="eastAsia" w:cs="Times New Roman"/>
          <w:color w:val="auto"/>
          <w:kern w:val="0"/>
          <w:sz w:val="24"/>
          <w:szCs w:val="24"/>
          <w:highlight w:val="none"/>
          <w:u w:val="none"/>
          <w:lang w:val="en-US" w:eastAsia="zh-CN" w:bidi="ar-SA"/>
        </w:rPr>
        <w:t>共4个</w:t>
      </w:r>
      <w:r>
        <w:rPr>
          <w:rFonts w:hint="eastAsia" w:ascii="Times New Roman" w:hAnsi="Times New Roman" w:cs="Times New Roman"/>
          <w:color w:val="auto"/>
          <w:kern w:val="0"/>
          <w:sz w:val="24"/>
          <w:szCs w:val="24"/>
          <w:highlight w:val="none"/>
          <w:u w:val="none"/>
          <w:lang w:val="en-US" w:eastAsia="zh-CN" w:bidi="ar-SA"/>
        </w:rPr>
        <w:t>风机，大致沿山脊线的西南坡布设，与</w:t>
      </w:r>
      <w:r>
        <w:rPr>
          <w:rFonts w:hint="eastAsia" w:cs="Times New Roman"/>
          <w:color w:val="auto"/>
          <w:kern w:val="0"/>
          <w:sz w:val="24"/>
          <w:szCs w:val="24"/>
          <w:highlight w:val="none"/>
          <w:u w:val="none"/>
          <w:lang w:val="en-US" w:eastAsia="zh-CN" w:bidi="ar-SA"/>
        </w:rPr>
        <w:t>实验区</w:t>
      </w:r>
      <w:r>
        <w:rPr>
          <w:rFonts w:hint="eastAsia" w:ascii="Times New Roman" w:hAnsi="Times New Roman" w:cs="Times New Roman"/>
          <w:color w:val="auto"/>
          <w:kern w:val="0"/>
          <w:sz w:val="24"/>
          <w:szCs w:val="24"/>
          <w:highlight w:val="none"/>
          <w:u w:val="none"/>
          <w:lang w:val="en-US" w:eastAsia="zh-CN" w:bidi="ar-SA"/>
        </w:rPr>
        <w:t>之间有山脊线相隔</w:t>
      </w:r>
      <w:r>
        <w:rPr>
          <w:rFonts w:hint="eastAsia" w:cs="Times New Roman"/>
          <w:color w:val="auto"/>
          <w:kern w:val="0"/>
          <w:sz w:val="24"/>
          <w:szCs w:val="24"/>
          <w:highlight w:val="none"/>
          <w:u w:val="none"/>
          <w:lang w:val="en-US" w:eastAsia="zh-CN" w:bidi="ar-SA"/>
        </w:rPr>
        <w:t>，不位于保护区上游</w:t>
      </w:r>
      <w:r>
        <w:rPr>
          <w:rFonts w:hint="eastAsia" w:ascii="Times New Roman" w:hAnsi="Times New Roman" w:cs="Times New Roman"/>
          <w:color w:val="auto"/>
          <w:kern w:val="0"/>
          <w:sz w:val="24"/>
          <w:szCs w:val="24"/>
          <w:highlight w:val="none"/>
          <w:u w:val="none"/>
          <w:lang w:val="en-US" w:eastAsia="zh-CN" w:bidi="ar-SA"/>
        </w:rPr>
        <w:t>。</w:t>
      </w:r>
    </w:p>
    <w:p w14:paraId="4CF58EA7">
      <w:pPr>
        <w:bidi w:val="0"/>
        <w:rPr>
          <w:rFonts w:ascii="Times New Roman" w:hAnsi="Times New Roman" w:eastAsia="宋体" w:cs="Times New Roman"/>
          <w:color w:val="auto"/>
          <w:highlight w:val="none"/>
        </w:rPr>
      </w:pPr>
      <w:r>
        <w:rPr>
          <w:rFonts w:hint="eastAsia"/>
          <w:color w:val="auto"/>
          <w:kern w:val="0"/>
          <w:highlight w:val="none"/>
          <w:u w:val="none"/>
          <w:lang w:eastAsia="zh-CN"/>
        </w:rPr>
        <w:t>本项目</w:t>
      </w:r>
      <w:r>
        <w:rPr>
          <w:rFonts w:hint="eastAsia"/>
          <w:color w:val="auto"/>
          <w:kern w:val="0"/>
          <w:highlight w:val="none"/>
          <w:u w:val="none"/>
        </w:rPr>
        <w:t>与衡阳三阳自然保护区</w:t>
      </w:r>
      <w:r>
        <w:rPr>
          <w:rFonts w:hint="eastAsia"/>
          <w:color w:val="auto"/>
          <w:kern w:val="0"/>
          <w:highlight w:val="none"/>
          <w:u w:val="none"/>
          <w:lang w:eastAsia="zh-CN"/>
        </w:rPr>
        <w:t>百步</w:t>
      </w:r>
      <w:r>
        <w:rPr>
          <w:rFonts w:hint="eastAsia"/>
          <w:color w:val="auto"/>
          <w:kern w:val="0"/>
          <w:highlight w:val="none"/>
          <w:u w:val="none"/>
        </w:rPr>
        <w:t>核心区</w:t>
      </w:r>
      <w:r>
        <w:rPr>
          <w:rFonts w:hint="eastAsia"/>
          <w:color w:val="auto"/>
          <w:kern w:val="0"/>
          <w:highlight w:val="none"/>
          <w:u w:val="none"/>
          <w:lang w:eastAsia="zh-CN"/>
        </w:rPr>
        <w:t>、龙背缓冲区</w:t>
      </w:r>
      <w:r>
        <w:rPr>
          <w:rFonts w:hint="eastAsia"/>
          <w:color w:val="auto"/>
          <w:kern w:val="0"/>
          <w:highlight w:val="none"/>
          <w:u w:val="none"/>
        </w:rPr>
        <w:t>最近的为1</w:t>
      </w:r>
      <w:r>
        <w:rPr>
          <w:rFonts w:hint="eastAsia"/>
          <w:color w:val="auto"/>
          <w:kern w:val="0"/>
          <w:highlight w:val="none"/>
          <w:u w:val="none"/>
          <w:lang w:val="en-US" w:eastAsia="zh-CN"/>
        </w:rPr>
        <w:t>8</w:t>
      </w:r>
      <w:r>
        <w:rPr>
          <w:rFonts w:hint="eastAsia"/>
          <w:color w:val="auto"/>
          <w:kern w:val="0"/>
          <w:highlight w:val="none"/>
          <w:u w:val="none"/>
        </w:rPr>
        <w:t>#机位，最近直线距离</w:t>
      </w:r>
      <w:r>
        <w:rPr>
          <w:rFonts w:hint="eastAsia"/>
          <w:color w:val="auto"/>
          <w:kern w:val="0"/>
          <w:highlight w:val="none"/>
          <w:u w:val="none"/>
          <w:lang w:eastAsia="zh-CN"/>
        </w:rPr>
        <w:t>分别</w:t>
      </w:r>
      <w:r>
        <w:rPr>
          <w:rFonts w:hint="eastAsia"/>
          <w:color w:val="auto"/>
          <w:kern w:val="0"/>
          <w:highlight w:val="none"/>
          <w:u w:val="none"/>
        </w:rPr>
        <w:t>为3.</w:t>
      </w:r>
      <w:r>
        <w:rPr>
          <w:rFonts w:hint="eastAsia"/>
          <w:color w:val="auto"/>
          <w:kern w:val="0"/>
          <w:highlight w:val="none"/>
          <w:u w:val="none"/>
          <w:lang w:val="en-US" w:eastAsia="zh-CN"/>
        </w:rPr>
        <w:t>8</w:t>
      </w:r>
      <w:r>
        <w:rPr>
          <w:rFonts w:hint="eastAsia"/>
          <w:color w:val="auto"/>
          <w:kern w:val="0"/>
          <w:highlight w:val="none"/>
          <w:u w:val="none"/>
        </w:rPr>
        <w:t>km</w:t>
      </w:r>
      <w:r>
        <w:rPr>
          <w:rFonts w:hint="eastAsia"/>
          <w:color w:val="auto"/>
          <w:kern w:val="0"/>
          <w:highlight w:val="none"/>
          <w:u w:val="none"/>
          <w:lang w:eastAsia="zh-CN"/>
        </w:rPr>
        <w:t>、</w:t>
      </w:r>
      <w:r>
        <w:rPr>
          <w:rFonts w:hint="eastAsia"/>
          <w:color w:val="auto"/>
          <w:kern w:val="0"/>
          <w:highlight w:val="none"/>
          <w:u w:val="none"/>
          <w:lang w:val="en-US" w:eastAsia="zh-CN"/>
        </w:rPr>
        <w:t>3.6km</w:t>
      </w:r>
      <w:r>
        <w:rPr>
          <w:rFonts w:hint="eastAsia"/>
          <w:color w:val="auto"/>
          <w:kern w:val="0"/>
          <w:highlight w:val="none"/>
          <w:u w:val="none"/>
        </w:rPr>
        <w:t>；16#、17#、</w:t>
      </w:r>
      <w:r>
        <w:rPr>
          <w:rFonts w:hint="eastAsia"/>
          <w:color w:val="auto"/>
          <w:kern w:val="0"/>
          <w:highlight w:val="none"/>
          <w:u w:val="none"/>
          <w:lang w:val="en-US" w:eastAsia="zh-CN"/>
        </w:rPr>
        <w:t>18#、</w:t>
      </w:r>
      <w:r>
        <w:rPr>
          <w:rFonts w:hint="eastAsia"/>
          <w:color w:val="auto"/>
          <w:kern w:val="0"/>
          <w:highlight w:val="none"/>
          <w:u w:val="none"/>
        </w:rPr>
        <w:t>19#机位与</w:t>
      </w:r>
      <w:r>
        <w:rPr>
          <w:rFonts w:hint="eastAsia"/>
          <w:color w:val="auto"/>
          <w:kern w:val="0"/>
          <w:highlight w:val="none"/>
          <w:u w:val="none"/>
          <w:lang w:eastAsia="zh-CN"/>
        </w:rPr>
        <w:t>胡井</w:t>
      </w:r>
      <w:r>
        <w:rPr>
          <w:rFonts w:hint="eastAsia"/>
          <w:color w:val="auto"/>
          <w:kern w:val="0"/>
          <w:highlight w:val="none"/>
          <w:u w:val="none"/>
        </w:rPr>
        <w:t>实验区较近，最近直线距离分别为</w:t>
      </w:r>
      <w:r>
        <w:rPr>
          <w:rFonts w:hint="eastAsia"/>
          <w:color w:val="auto"/>
          <w:kern w:val="0"/>
          <w:highlight w:val="none"/>
          <w:u w:val="none"/>
          <w:lang w:val="en-US" w:eastAsia="zh-CN"/>
        </w:rPr>
        <w:t>513</w:t>
      </w:r>
      <w:r>
        <w:rPr>
          <w:rFonts w:hint="eastAsia"/>
          <w:color w:val="auto"/>
          <w:kern w:val="0"/>
          <w:highlight w:val="none"/>
          <w:u w:val="none"/>
        </w:rPr>
        <w:t>m、</w:t>
      </w:r>
      <w:r>
        <w:rPr>
          <w:rFonts w:hint="eastAsia"/>
          <w:color w:val="auto"/>
          <w:kern w:val="0"/>
          <w:highlight w:val="none"/>
          <w:u w:val="none"/>
          <w:lang w:val="en-US" w:eastAsia="zh-CN"/>
        </w:rPr>
        <w:t>125</w:t>
      </w:r>
      <w:r>
        <w:rPr>
          <w:rFonts w:hint="eastAsia"/>
          <w:color w:val="auto"/>
          <w:kern w:val="0"/>
          <w:highlight w:val="none"/>
          <w:u w:val="none"/>
        </w:rPr>
        <w:t>m、</w:t>
      </w:r>
      <w:r>
        <w:rPr>
          <w:rFonts w:hint="eastAsia"/>
          <w:color w:val="auto"/>
          <w:kern w:val="0"/>
          <w:highlight w:val="none"/>
          <w:u w:val="none"/>
          <w:lang w:val="en-US" w:eastAsia="zh-CN"/>
        </w:rPr>
        <w:t>455</w:t>
      </w:r>
      <w:r>
        <w:rPr>
          <w:rFonts w:hint="eastAsia"/>
          <w:color w:val="auto"/>
          <w:kern w:val="0"/>
          <w:highlight w:val="none"/>
          <w:u w:val="none"/>
        </w:rPr>
        <w:t>m</w:t>
      </w:r>
      <w:r>
        <w:rPr>
          <w:rFonts w:hint="eastAsia"/>
          <w:color w:val="auto"/>
          <w:kern w:val="0"/>
          <w:highlight w:val="none"/>
          <w:u w:val="none"/>
          <w:lang w:val="en-US" w:eastAsia="zh-CN"/>
        </w:rPr>
        <w:t>、142m</w:t>
      </w:r>
      <w:r>
        <w:rPr>
          <w:rFonts w:hint="eastAsia"/>
          <w:color w:val="auto"/>
          <w:kern w:val="0"/>
          <w:highlight w:val="none"/>
          <w:u w:val="none"/>
        </w:rPr>
        <w:t>，</w:t>
      </w:r>
      <w:r>
        <w:rPr>
          <w:rFonts w:hint="eastAsia"/>
          <w:color w:val="auto"/>
          <w:kern w:val="0"/>
          <w:highlight w:val="none"/>
          <w:u w:val="none"/>
          <w:lang w:eastAsia="zh-CN"/>
        </w:rPr>
        <w:t>新建道路与胡井</w:t>
      </w:r>
      <w:r>
        <w:rPr>
          <w:rFonts w:hint="eastAsia"/>
          <w:color w:val="auto"/>
          <w:kern w:val="0"/>
          <w:highlight w:val="none"/>
          <w:u w:val="none"/>
        </w:rPr>
        <w:t>实验区</w:t>
      </w:r>
      <w:r>
        <w:rPr>
          <w:rFonts w:hint="eastAsia"/>
          <w:color w:val="auto"/>
          <w:kern w:val="0"/>
          <w:highlight w:val="none"/>
          <w:u w:val="none"/>
          <w:lang w:eastAsia="zh-CN"/>
        </w:rPr>
        <w:t>最近距离为</w:t>
      </w:r>
      <w:r>
        <w:rPr>
          <w:rFonts w:hint="eastAsia"/>
          <w:color w:val="auto"/>
          <w:kern w:val="0"/>
          <w:highlight w:val="none"/>
          <w:u w:val="none"/>
          <w:lang w:val="en-US" w:eastAsia="zh-CN"/>
        </w:rPr>
        <w:t>52m，12#渣场与</w:t>
      </w:r>
      <w:r>
        <w:rPr>
          <w:rFonts w:hint="eastAsia"/>
          <w:color w:val="auto"/>
          <w:kern w:val="0"/>
          <w:highlight w:val="none"/>
          <w:u w:val="none"/>
          <w:lang w:eastAsia="zh-CN"/>
        </w:rPr>
        <w:t>胡井</w:t>
      </w:r>
      <w:r>
        <w:rPr>
          <w:rFonts w:hint="eastAsia"/>
          <w:color w:val="auto"/>
          <w:kern w:val="0"/>
          <w:highlight w:val="none"/>
          <w:u w:val="none"/>
        </w:rPr>
        <w:t>实验区</w:t>
      </w:r>
      <w:r>
        <w:rPr>
          <w:rFonts w:hint="eastAsia"/>
          <w:color w:val="auto"/>
          <w:kern w:val="0"/>
          <w:highlight w:val="none"/>
          <w:u w:val="none"/>
          <w:lang w:eastAsia="zh-CN"/>
        </w:rPr>
        <w:t>最近距离为</w:t>
      </w:r>
      <w:r>
        <w:rPr>
          <w:rFonts w:hint="eastAsia"/>
          <w:color w:val="auto"/>
          <w:kern w:val="0"/>
          <w:highlight w:val="none"/>
          <w:u w:val="none"/>
          <w:lang w:val="en-US" w:eastAsia="zh-CN"/>
        </w:rPr>
        <w:t>413m。</w:t>
      </w:r>
      <w:r>
        <w:rPr>
          <w:rFonts w:hint="eastAsia" w:ascii="Times New Roman" w:hAnsi="Times New Roman" w:cs="Times New Roman"/>
          <w:color w:val="auto"/>
          <w:kern w:val="0"/>
          <w:sz w:val="24"/>
          <w:szCs w:val="24"/>
          <w:highlight w:val="none"/>
          <w:u w:val="none"/>
          <w:lang w:val="en-US" w:eastAsia="zh-CN" w:bidi="ar-SA"/>
        </w:rPr>
        <w:t>衡阳三阳自然保护区</w:t>
      </w:r>
      <w:r>
        <w:rPr>
          <w:rFonts w:hint="eastAsia" w:cs="Times New Roman"/>
          <w:color w:val="auto"/>
          <w:kern w:val="0"/>
          <w:sz w:val="24"/>
          <w:szCs w:val="24"/>
          <w:highlight w:val="none"/>
          <w:u w:val="none"/>
          <w:lang w:val="en-US" w:eastAsia="zh-CN" w:bidi="ar-SA"/>
        </w:rPr>
        <w:t>功能分区图</w:t>
      </w:r>
      <w:r>
        <w:rPr>
          <w:rFonts w:hint="eastAsia" w:ascii="Times New Roman" w:hAnsi="Times New Roman" w:cs="Times New Roman"/>
          <w:color w:val="auto"/>
          <w:kern w:val="0"/>
          <w:sz w:val="24"/>
          <w:szCs w:val="24"/>
          <w:highlight w:val="none"/>
          <w:u w:val="none"/>
          <w:lang w:val="en-US" w:eastAsia="zh-CN" w:bidi="ar-SA"/>
        </w:rPr>
        <w:t>见</w:t>
      </w:r>
      <w:r>
        <w:rPr>
          <w:rFonts w:hint="eastAsia" w:cs="Times New Roman"/>
          <w:color w:val="auto"/>
          <w:kern w:val="0"/>
          <w:sz w:val="24"/>
          <w:szCs w:val="24"/>
          <w:highlight w:val="none"/>
          <w:u w:val="none"/>
          <w:lang w:val="en-US" w:eastAsia="zh-CN" w:bidi="ar-SA"/>
        </w:rPr>
        <w:t>附图14，本项目16#-19#机位、11#-12#渣场、道路与衡阳三阳自然保护区三维位置关系见下图7.2-2</w:t>
      </w:r>
      <w:r>
        <w:rPr>
          <w:rFonts w:hint="eastAsia" w:ascii="Times New Roman" w:hAnsi="Times New Roman" w:cs="Times New Roman"/>
          <w:color w:val="auto"/>
          <w:kern w:val="0"/>
          <w:sz w:val="24"/>
          <w:szCs w:val="24"/>
          <w:highlight w:val="none"/>
          <w:u w:val="none"/>
          <w:lang w:val="en-US" w:eastAsia="zh-CN" w:bidi="ar-SA"/>
        </w:rPr>
        <w:t>。</w:t>
      </w:r>
    </w:p>
    <w:p w14:paraId="257A9275">
      <w:pPr>
        <w:pStyle w:val="30"/>
        <w:keepNext w:val="0"/>
        <w:keepLines w:val="0"/>
        <w:pageBreakBefore w:val="0"/>
        <w:widowControl w:val="0"/>
        <w:kinsoku/>
        <w:wordWrap/>
        <w:overflowPunct/>
        <w:topLinePunct w:val="0"/>
        <w:autoSpaceDE/>
        <w:autoSpaceDN/>
        <w:bidi w:val="0"/>
        <w:adjustRightInd w:val="0"/>
        <w:snapToGrid w:val="0"/>
        <w:ind w:left="0" w:leftChars="0" w:firstLine="0" w:firstLineChars="0"/>
        <w:jc w:val="both"/>
        <w:textAlignment w:val="auto"/>
        <w:rPr>
          <w:rFonts w:hint="eastAsia"/>
          <w:color w:val="auto"/>
          <w:highlight w:val="none"/>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4D7377DD">
      <w:pPr>
        <w:bidi w:val="0"/>
        <w:spacing w:line="240" w:lineRule="auto"/>
        <w:ind w:firstLine="0" w:firstLineChars="0"/>
        <w:jc w:val="center"/>
        <w:rPr>
          <w:rFonts w:hint="default"/>
          <w:color w:val="auto"/>
          <w:highlight w:val="none"/>
          <w:lang w:val="en-US" w:eastAsia="zh-CN"/>
        </w:rPr>
      </w:pPr>
      <w:r>
        <w:rPr>
          <w:rFonts w:hint="default"/>
          <w:color w:val="auto"/>
          <w:highlight w:val="none"/>
          <w:lang w:val="en-US" w:eastAsia="zh-CN"/>
        </w:rPr>
        <w:drawing>
          <wp:inline distT="0" distB="0" distL="114300" distR="114300">
            <wp:extent cx="6827520" cy="6012815"/>
            <wp:effectExtent l="0" t="0" r="0" b="6985"/>
            <wp:docPr id="78" name="图片 78" descr="工程与衡阳县三阳自然保护区的三维位置关系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工程与衡阳县三阳自然保护区的三维位置关系图"/>
                    <pic:cNvPicPr>
                      <a:picLocks noChangeAspect="1"/>
                    </pic:cNvPicPr>
                  </pic:nvPicPr>
                  <pic:blipFill>
                    <a:blip r:embed="rId67"/>
                    <a:srcRect b="2966"/>
                    <a:stretch>
                      <a:fillRect/>
                    </a:stretch>
                  </pic:blipFill>
                  <pic:spPr>
                    <a:xfrm>
                      <a:off x="0" y="0"/>
                      <a:ext cx="6827520" cy="6012815"/>
                    </a:xfrm>
                    <a:prstGeom prst="rect">
                      <a:avLst/>
                    </a:prstGeom>
                  </pic:spPr>
                </pic:pic>
              </a:graphicData>
            </a:graphic>
          </wp:inline>
        </w:drawing>
      </w:r>
    </w:p>
    <w:p w14:paraId="58A41225">
      <w:pPr>
        <w:pStyle w:val="30"/>
        <w:adjustRightInd w:val="0"/>
        <w:snapToGrid w:val="0"/>
        <w:spacing w:line="240" w:lineRule="auto"/>
        <w:ind w:left="0" w:leftChars="0" w:firstLine="0" w:firstLineChars="0"/>
        <w:jc w:val="center"/>
        <w:rPr>
          <w:rFonts w:hint="default" w:ascii="Times New Roman" w:hAnsi="Times New Roman" w:eastAsia="黑体" w:cs="Times New Roman"/>
          <w:b/>
          <w:bCs/>
          <w:color w:val="auto"/>
          <w:highlight w:val="none"/>
          <w:lang w:val="en-US" w:eastAsia="zh-CN"/>
        </w:rPr>
      </w:pPr>
      <w:r>
        <w:rPr>
          <w:rFonts w:hint="default" w:ascii="Times New Roman" w:hAnsi="Times New Roman" w:eastAsia="黑体" w:cs="Times New Roman"/>
          <w:b/>
          <w:bCs/>
          <w:color w:val="auto"/>
          <w:highlight w:val="none"/>
          <w:lang w:val="en-US" w:eastAsia="zh-CN"/>
        </w:rPr>
        <w:t>图</w:t>
      </w:r>
      <w:r>
        <w:rPr>
          <w:rFonts w:hint="eastAsia" w:ascii="Times New Roman" w:hAnsi="Times New Roman" w:eastAsia="黑体" w:cs="Times New Roman"/>
          <w:b/>
          <w:bCs/>
          <w:color w:val="auto"/>
          <w:highlight w:val="none"/>
          <w:lang w:val="en-US" w:eastAsia="zh-CN"/>
        </w:rPr>
        <w:t>7.2-</w:t>
      </w:r>
      <w:r>
        <w:rPr>
          <w:rFonts w:hint="eastAsia" w:eastAsia="黑体" w:cs="Times New Roman"/>
          <w:b/>
          <w:bCs/>
          <w:color w:val="auto"/>
          <w:highlight w:val="none"/>
          <w:lang w:val="en-US" w:eastAsia="zh-CN"/>
        </w:rPr>
        <w:t>2</w:t>
      </w:r>
      <w:r>
        <w:rPr>
          <w:rFonts w:hint="default" w:ascii="Times New Roman" w:hAnsi="Times New Roman" w:eastAsia="黑体" w:cs="Times New Roman"/>
          <w:b/>
          <w:bCs/>
          <w:color w:val="auto"/>
          <w:highlight w:val="none"/>
          <w:lang w:val="en-US" w:eastAsia="zh-CN"/>
        </w:rPr>
        <w:t xml:space="preserve">  </w:t>
      </w:r>
      <w:r>
        <w:rPr>
          <w:rFonts w:hint="eastAsia" w:eastAsia="黑体" w:cs="Times New Roman"/>
          <w:b/>
          <w:bCs/>
          <w:color w:val="auto"/>
          <w:highlight w:val="none"/>
          <w:lang w:val="en-US" w:eastAsia="zh-CN"/>
        </w:rPr>
        <w:t>本</w:t>
      </w:r>
      <w:r>
        <w:rPr>
          <w:rFonts w:hint="eastAsia" w:ascii="Times New Roman" w:hAnsi="Times New Roman" w:eastAsia="黑体" w:cs="Times New Roman"/>
          <w:b/>
          <w:bCs/>
          <w:color w:val="auto"/>
          <w:highlight w:val="none"/>
          <w:lang w:val="en-US" w:eastAsia="zh-CN"/>
        </w:rPr>
        <w:t>项目与衡阳</w:t>
      </w:r>
      <w:r>
        <w:rPr>
          <w:rFonts w:hint="eastAsia" w:eastAsia="黑体" w:cs="Times New Roman"/>
          <w:b/>
          <w:bCs/>
          <w:color w:val="auto"/>
          <w:highlight w:val="none"/>
          <w:lang w:val="en-US" w:eastAsia="zh-CN"/>
        </w:rPr>
        <w:t>县</w:t>
      </w:r>
      <w:r>
        <w:rPr>
          <w:rFonts w:hint="eastAsia" w:ascii="Times New Roman" w:hAnsi="Times New Roman" w:eastAsia="黑体" w:cs="Times New Roman"/>
          <w:b/>
          <w:bCs/>
          <w:color w:val="auto"/>
          <w:highlight w:val="none"/>
          <w:lang w:val="en-US" w:eastAsia="zh-CN"/>
        </w:rPr>
        <w:t>三阳自然保护区</w:t>
      </w:r>
      <w:r>
        <w:rPr>
          <w:rFonts w:hint="eastAsia" w:eastAsia="黑体" w:cs="Times New Roman"/>
          <w:b/>
          <w:bCs/>
          <w:color w:val="auto"/>
          <w:highlight w:val="none"/>
          <w:lang w:val="en-US" w:eastAsia="zh-CN"/>
        </w:rPr>
        <w:t>三维</w:t>
      </w:r>
      <w:r>
        <w:rPr>
          <w:rFonts w:hint="eastAsia" w:ascii="Times New Roman" w:hAnsi="Times New Roman" w:eastAsia="黑体" w:cs="Times New Roman"/>
          <w:b/>
          <w:bCs/>
          <w:color w:val="auto"/>
          <w:highlight w:val="none"/>
          <w:lang w:val="en-US" w:eastAsia="zh-CN"/>
        </w:rPr>
        <w:t>位置关系图</w:t>
      </w:r>
    </w:p>
    <w:p w14:paraId="3AB0A923">
      <w:pPr>
        <w:bidi w:val="0"/>
        <w:spacing w:line="240" w:lineRule="auto"/>
        <w:rPr>
          <w:rFonts w:ascii="Times New Roman" w:hAnsi="Times New Roman" w:eastAsia="宋体" w:cs="Times New Roman"/>
          <w:color w:val="auto"/>
          <w:highlight w:val="none"/>
        </w:rPr>
        <w:sectPr>
          <w:pgSz w:w="16838" w:h="11906" w:orient="landscape"/>
          <w:pgMar w:top="720" w:right="720" w:bottom="720" w:left="72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4A5A7FC5">
      <w:pPr>
        <w:pStyle w:val="4"/>
        <w:bidi w:val="0"/>
        <w:rPr>
          <w:rFonts w:hint="default" w:ascii="Times New Roman" w:hAnsi="Times New Roman" w:cs="Times New Roman"/>
          <w:color w:val="auto"/>
          <w:highlight w:val="none"/>
        </w:rPr>
      </w:pPr>
      <w:bookmarkStart w:id="90" w:name="_Toc28913"/>
      <w:r>
        <w:rPr>
          <w:rFonts w:hint="eastAsia" w:cs="Times New Roman"/>
          <w:color w:val="auto"/>
          <w:highlight w:val="none"/>
          <w:lang w:eastAsia="zh-CN"/>
        </w:rPr>
        <w:t>衡阳三阳自然保护区生态环境现状调查</w:t>
      </w:r>
      <w:bookmarkEnd w:id="90"/>
    </w:p>
    <w:p w14:paraId="4689C76E">
      <w:pPr>
        <w:pStyle w:val="5"/>
        <w:rPr>
          <w:rFonts w:hint="eastAsia" w:ascii="Times New Roman" w:hAnsi="Times New Roman" w:eastAsia="宋体" w:cs="Times New Roman"/>
          <w:color w:val="auto"/>
          <w:highlight w:val="none"/>
          <w:lang w:val="en-US" w:eastAsia="zh-CN"/>
        </w:rPr>
      </w:pPr>
      <w:r>
        <w:rPr>
          <w:rFonts w:hint="eastAsia" w:cs="Times New Roman"/>
          <w:color w:val="auto"/>
          <w:highlight w:val="none"/>
          <w:lang w:val="en-US" w:eastAsia="zh-CN"/>
        </w:rPr>
        <w:t>植物</w:t>
      </w:r>
    </w:p>
    <w:p w14:paraId="2143F54F">
      <w:pPr>
        <w:bidi w:val="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自然保护区不仅分布有大量的华东区系植物，而且还广泛分布有华中区植物，这也使自然保护区种子植物区系具有典型的、浓厚的“华东-华中”过渡色彩，总体上自然保护区是属于华东植物区系。</w:t>
      </w:r>
    </w:p>
    <w:p w14:paraId="7F737CB0">
      <w:pPr>
        <w:bidi w:val="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自然保护区境内植物资源丰富，据不完全统计，自然保护区境内共用野生维管束植物130科，324属，735种，分别占中国维管束植物总科数295科、总属数3897属、总种数40616种的44.07%、8.31%、1.81%。占湖南维管束植物总科数263科、总属数1459属、总种数5577种的49.43%、22.21%、13.18%。其中蕨类植物13科21属26种，裸子植物4科7属10种，被子植物113科296属699种。</w:t>
      </w:r>
    </w:p>
    <w:p w14:paraId="527174A3">
      <w:pPr>
        <w:bidi w:val="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自然保护区由大云山、三面山、正当山、观音山四座山体组成，最高海拔990余米，最低海拔360米。境内森林资源丰富，树种繁多，共有国家重点保护植物8种，其中一级重点保护野生植物1种，银杏（栽培），二级重点保护野生植物7种，包括樟树、闽楠、鹅掌楸、金荞麦、野大豆、凹叶厚朴（栽培）、大叶榉等。</w:t>
      </w:r>
    </w:p>
    <w:p w14:paraId="028FE56F">
      <w:pPr>
        <w:bidi w:val="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境内植被垂直分布较为明显，海拔在700米以上山地有华山松、马尾松、柳杉、茅栗、杉木、杜鹃、胡枝子、禾本科的草类和小竹类。海拔在300~700米之间的山地有杉木、马尾松、楠竹、樟树、檫木、枫香和其它常绿阔叶林以及杜鹃、冬茅、蕨类植物，300米以下的山地主要有油茶、杉木、檫木、湿地松、蕨类、铁芒箕等。</w:t>
      </w:r>
    </w:p>
    <w:p w14:paraId="56EF72D3">
      <w:pPr>
        <w:bidi w:val="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区内主要树种有杉木、马尾松、柳杉、楠竹、湿地松、香樟、枫香、檫树、泡桐、油茶、山苍子、栎类等，其中国家和省级保护植物有银杏、红豆杉、香樟、珙桐、楠木、罗汉松等，地被物主要是铁芒萁、杜鹃、淡竹叶、桎木、胡枝子、蕨类等。</w:t>
      </w:r>
    </w:p>
    <w:p w14:paraId="4CF38FE1">
      <w:pPr>
        <w:pStyle w:val="5"/>
        <w:rPr>
          <w:rFonts w:hint="eastAsia" w:ascii="Times New Roman" w:hAnsi="Times New Roman" w:eastAsia="宋体" w:cs="Times New Roman"/>
          <w:color w:val="auto"/>
          <w:highlight w:val="none"/>
          <w:lang w:val="en-US" w:eastAsia="zh-CN"/>
        </w:rPr>
      </w:pPr>
      <w:r>
        <w:rPr>
          <w:rFonts w:hint="eastAsia" w:cs="Times New Roman"/>
          <w:color w:val="auto"/>
          <w:highlight w:val="none"/>
          <w:lang w:val="en-US" w:eastAsia="zh-CN"/>
        </w:rPr>
        <w:t>动物</w:t>
      </w:r>
    </w:p>
    <w:p w14:paraId="407ABC04">
      <w:pPr>
        <w:bidi w:val="0"/>
        <w:rPr>
          <w:rFonts w:hint="eastAsia" w:ascii="Times New Roman" w:hAnsi="Times New Roman" w:eastAsia="宋体" w:cs="Times New Roman"/>
          <w:color w:val="auto"/>
          <w:highlight w:val="none"/>
          <w:lang w:val="en-US" w:eastAsia="zh-CN"/>
        </w:rPr>
      </w:pPr>
      <w:r>
        <w:rPr>
          <w:rFonts w:hint="eastAsia" w:cs="Times New Roman"/>
          <w:color w:val="auto"/>
          <w:highlight w:val="none"/>
          <w:lang w:val="en-US" w:eastAsia="zh-CN"/>
        </w:rPr>
        <w:t>保护区内</w:t>
      </w:r>
      <w:r>
        <w:rPr>
          <w:rFonts w:hint="eastAsia" w:ascii="Times New Roman" w:hAnsi="Times New Roman" w:eastAsia="宋体" w:cs="Times New Roman"/>
          <w:color w:val="auto"/>
          <w:highlight w:val="none"/>
          <w:lang w:val="en-US" w:eastAsia="zh-CN"/>
        </w:rPr>
        <w:t>野生动物有穿山甲、果子狸</w:t>
      </w:r>
      <w:r>
        <w:rPr>
          <w:rFonts w:hint="eastAsia" w:cs="Times New Roman"/>
          <w:color w:val="auto"/>
          <w:highlight w:val="none"/>
          <w:lang w:val="en-US" w:eastAsia="zh-CN"/>
        </w:rPr>
        <w:t>、</w:t>
      </w:r>
      <w:r>
        <w:rPr>
          <w:rFonts w:hint="eastAsia" w:ascii="Times New Roman" w:hAnsi="Times New Roman" w:eastAsia="宋体" w:cs="Times New Roman"/>
          <w:color w:val="auto"/>
          <w:highlight w:val="none"/>
          <w:lang w:val="en-US" w:eastAsia="zh-CN"/>
        </w:rPr>
        <w:t>野猪、野兔、豹猫、山羊、蛇、猫头鹰、虎纹蛙、夜鹭、白鹭、眼镜蛇、银环蛇、麂、啄木鸟、斑鸠、蛙类等200多种。</w:t>
      </w:r>
      <w:r>
        <w:rPr>
          <w:rFonts w:hint="eastAsia" w:cs="Times New Roman"/>
          <w:color w:val="auto"/>
          <w:highlight w:val="none"/>
          <w:lang w:val="en-US" w:eastAsia="zh-CN"/>
        </w:rPr>
        <w:t>其</w:t>
      </w:r>
      <w:r>
        <w:rPr>
          <w:rFonts w:hint="eastAsia" w:ascii="Times New Roman" w:hAnsi="Times New Roman" w:eastAsia="宋体" w:cs="Times New Roman"/>
          <w:color w:val="auto"/>
          <w:highlight w:val="none"/>
          <w:lang w:val="en-US" w:eastAsia="zh-CN"/>
        </w:rPr>
        <w:t>中国家保护动物有穿山甲、虎纹蛙</w:t>
      </w:r>
      <w:r>
        <w:rPr>
          <w:rFonts w:hint="eastAsia" w:cs="Times New Roman"/>
          <w:color w:val="auto"/>
          <w:highlight w:val="none"/>
          <w:lang w:val="en-US" w:eastAsia="zh-CN"/>
        </w:rPr>
        <w:t>、</w:t>
      </w:r>
      <w:r>
        <w:rPr>
          <w:rFonts w:hint="eastAsia" w:ascii="Times New Roman" w:hAnsi="Times New Roman" w:eastAsia="宋体" w:cs="Times New Roman"/>
          <w:color w:val="auto"/>
          <w:highlight w:val="none"/>
          <w:lang w:val="en-US" w:eastAsia="zh-CN"/>
        </w:rPr>
        <w:t>豹猫、银环蛇等。</w:t>
      </w:r>
    </w:p>
    <w:p w14:paraId="6F22BE13">
      <w:pPr>
        <w:pStyle w:val="5"/>
        <w:rPr>
          <w:rFonts w:hint="eastAsia" w:ascii="Times New Roman" w:hAnsi="Times New Roman" w:eastAsia="宋体" w:cs="Times New Roman"/>
          <w:color w:val="auto"/>
          <w:highlight w:val="none"/>
          <w:lang w:val="en-US" w:eastAsia="zh-CN"/>
        </w:rPr>
      </w:pPr>
      <w:r>
        <w:rPr>
          <w:rFonts w:hint="eastAsia" w:cs="Times New Roman"/>
          <w:color w:val="auto"/>
          <w:highlight w:val="none"/>
          <w:lang w:val="en-US" w:eastAsia="zh-CN"/>
        </w:rPr>
        <w:t>景观</w:t>
      </w:r>
    </w:p>
    <w:p w14:paraId="636E6C3F">
      <w:pPr>
        <w:bidi w:val="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1、自然景观资源</w:t>
      </w:r>
    </w:p>
    <w:p w14:paraId="1A47CCA0">
      <w:pPr>
        <w:bidi w:val="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自然景观主要是指山、林、泉、石。已初步调查景点55处。名山有大云山、三面山、正当山、观音山、石狮岭、黄泥岭等，朝观日出，红霞万缕，令人赏心悦目；暮看日落，晚霞千里，夕阳无限。晚秋，山麓一片枫香在秋霜妆扮下，叶红如血，点缀绿海，染尽山峦；隆冬，则银装素裹，分外妖娆。</w:t>
      </w:r>
    </w:p>
    <w:p w14:paraId="37978CBB">
      <w:pPr>
        <w:bidi w:val="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2、人文景观资源</w:t>
      </w:r>
    </w:p>
    <w:p w14:paraId="18172687">
      <w:pPr>
        <w:bidi w:val="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保护区内名山名寺遍布，人文景观众多。名寺有大云庵、朝贞庵、观音庵、假老殿等；古迹有双凤亭、懒蛇流坳、乌龟岩、岩门口、长乐四十八寨遗迹等，具有深远的探研和保护价值。</w:t>
      </w:r>
    </w:p>
    <w:p w14:paraId="3D6C1299">
      <w:pPr>
        <w:pStyle w:val="4"/>
        <w:bidi w:val="0"/>
        <w:rPr>
          <w:rFonts w:hint="default" w:ascii="Times New Roman" w:hAnsi="Times New Roman" w:cs="Times New Roman"/>
          <w:color w:val="auto"/>
          <w:highlight w:val="none"/>
        </w:rPr>
      </w:pPr>
      <w:bookmarkStart w:id="91" w:name="_Toc18035"/>
      <w:r>
        <w:rPr>
          <w:rFonts w:hint="eastAsia" w:cs="Times New Roman"/>
          <w:color w:val="auto"/>
          <w:highlight w:val="none"/>
          <w:lang w:eastAsia="zh-CN"/>
        </w:rPr>
        <w:t>对衡阳三阳自然保护区的影响预测和分析</w:t>
      </w:r>
      <w:bookmarkEnd w:id="91"/>
    </w:p>
    <w:p w14:paraId="06EE5107">
      <w:pPr>
        <w:bidi w:val="0"/>
        <w:rPr>
          <w:rFonts w:ascii="Times New Roman" w:hAnsi="Times New Roman" w:eastAsia="宋体" w:cs="Times New Roman"/>
          <w:color w:val="auto"/>
          <w:highlight w:val="none"/>
        </w:rPr>
      </w:pPr>
      <w:r>
        <w:rPr>
          <w:rFonts w:hint="eastAsia" w:ascii="Times New Roman" w:hAnsi="Times New Roman" w:eastAsia="宋体" w:cs="Times New Roman"/>
          <w:color w:val="auto"/>
          <w:kern w:val="2"/>
          <w:sz w:val="24"/>
          <w:szCs w:val="24"/>
          <w:highlight w:val="none"/>
          <w:lang w:val="en-US" w:eastAsia="zh-CN" w:bidi="ar-SA"/>
        </w:rPr>
        <w:t>与工程最近的生态敏感区为湖南衡阳三阳自然保护区，属于县级自然保护区，该自然保护区位于衡阳县，与祁东县交界</w:t>
      </w:r>
      <w:r>
        <w:rPr>
          <w:rFonts w:hint="eastAsia" w:ascii="Times New Roman" w:hAnsi="Times New Roman" w:cs="Times New Roman"/>
          <w:color w:val="auto"/>
          <w:kern w:val="0"/>
          <w:sz w:val="24"/>
          <w:szCs w:val="24"/>
          <w:highlight w:val="none"/>
          <w:u w:val="none"/>
          <w:lang w:val="en-US" w:eastAsia="zh-CN" w:bidi="ar-SA"/>
        </w:rPr>
        <w:t>，保护区内有三阳国有林场，主要保护内容为区内的森林生态系统，其生态系统类型及保护物种与本工程类似。本工程位于衡阳三阳自然保护区的西面，靠近保护区的16#、17#、19#风机，大致沿山脊线的西南坡布设，与保护区之间有山脊线相隔</w:t>
      </w:r>
      <w:r>
        <w:rPr>
          <w:rFonts w:hint="eastAsia" w:ascii="Times New Roman" w:hAnsi="Times New Roman" w:eastAsia="宋体" w:cs="Times New Roman"/>
          <w:color w:val="auto"/>
          <w:kern w:val="2"/>
          <w:sz w:val="24"/>
          <w:szCs w:val="24"/>
          <w:highlight w:val="none"/>
          <w:lang w:val="en-US" w:eastAsia="zh-CN" w:bidi="ar-SA"/>
        </w:rPr>
        <w:t>。</w:t>
      </w:r>
    </w:p>
    <w:p w14:paraId="3C56C4A8">
      <w:pPr>
        <w:pStyle w:val="5"/>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对植物资源影响分析</w:t>
      </w:r>
    </w:p>
    <w:p w14:paraId="6AF8FF7A">
      <w:pPr>
        <w:pStyle w:val="6"/>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施工期对植物资源的影响分析</w:t>
      </w:r>
    </w:p>
    <w:p w14:paraId="7D816FF1">
      <w:pPr>
        <w:pStyle w:val="8"/>
        <w:keepNext w:val="0"/>
        <w:keepLines w:val="0"/>
        <w:pageBreakBefore w:val="0"/>
        <w:widowControl w:val="0"/>
        <w:kinsoku/>
        <w:wordWrap/>
        <w:overflowPunct/>
        <w:topLinePunct w:val="0"/>
        <w:autoSpaceDE/>
        <w:autoSpaceDN/>
        <w:bidi w:val="0"/>
        <w:adjustRightInd w:val="0"/>
        <w:snapToGrid w:val="0"/>
        <w:spacing w:beforeLines="0" w:line="360" w:lineRule="auto"/>
        <w:ind w:left="0" w:leftChars="0" w:firstLine="480" w:firstLineChars="200"/>
        <w:jc w:val="both"/>
        <w:textAlignment w:val="auto"/>
        <w:rPr>
          <w:rFonts w:hint="eastAsia" w:ascii="Times New Roman" w:hAnsi="Times New Roman" w:eastAsia="宋体" w:cs="Times New Roman"/>
          <w:b w:val="0"/>
          <w:snapToGrid w:val="0"/>
          <w:color w:val="auto"/>
          <w:kern w:val="2"/>
          <w:sz w:val="24"/>
          <w:szCs w:val="24"/>
          <w:highlight w:val="none"/>
          <w:lang w:val="en-US" w:eastAsia="zh-CN" w:bidi="ar-SA"/>
        </w:rPr>
      </w:pPr>
      <w:r>
        <w:rPr>
          <w:rFonts w:hint="eastAsia" w:ascii="Times New Roman" w:hAnsi="Times New Roman" w:eastAsia="宋体" w:cs="Times New Roman"/>
          <w:b w:val="0"/>
          <w:snapToGrid w:val="0"/>
          <w:color w:val="auto"/>
          <w:kern w:val="2"/>
          <w:sz w:val="24"/>
          <w:szCs w:val="24"/>
          <w:highlight w:val="none"/>
          <w:lang w:val="en-US" w:eastAsia="zh-CN" w:bidi="ar-SA"/>
        </w:rPr>
        <w:t>工程不占用保护区范围，且确认风机安装场地，临时弃渣、堆土等均不占用保护区地界，根据工程布设与保护区的位置关系，靠近保护区的16#、17#、19#风机大致沿山脊线的西南坡布设，工程建设和运行对保护区植物资源的影响主要来自于水土流失、人为干扰等。</w:t>
      </w:r>
    </w:p>
    <w:p w14:paraId="145BBB5D">
      <w:pPr>
        <w:pStyle w:val="8"/>
        <w:keepNext w:val="0"/>
        <w:keepLines w:val="0"/>
        <w:pageBreakBefore w:val="0"/>
        <w:widowControl w:val="0"/>
        <w:kinsoku/>
        <w:wordWrap/>
        <w:overflowPunct/>
        <w:topLinePunct w:val="0"/>
        <w:autoSpaceDE/>
        <w:autoSpaceDN/>
        <w:bidi w:val="0"/>
        <w:adjustRightInd w:val="0"/>
        <w:snapToGrid w:val="0"/>
        <w:spacing w:beforeLines="0" w:line="360" w:lineRule="auto"/>
        <w:ind w:left="0" w:leftChars="0" w:firstLine="480" w:firstLineChars="200"/>
        <w:jc w:val="both"/>
        <w:textAlignment w:val="auto"/>
        <w:rPr>
          <w:rFonts w:hint="eastAsia" w:ascii="Times New Roman" w:hAnsi="Times New Roman" w:eastAsia="宋体" w:cs="Times New Roman"/>
          <w:b w:val="0"/>
          <w:snapToGrid w:val="0"/>
          <w:color w:val="auto"/>
          <w:kern w:val="2"/>
          <w:sz w:val="24"/>
          <w:szCs w:val="24"/>
          <w:highlight w:val="none"/>
          <w:lang w:val="en-US" w:eastAsia="zh-CN" w:bidi="ar-SA"/>
        </w:rPr>
      </w:pPr>
      <w:r>
        <w:rPr>
          <w:rFonts w:hint="eastAsia" w:ascii="Times New Roman" w:hAnsi="Times New Roman" w:eastAsia="宋体" w:cs="Times New Roman"/>
          <w:b w:val="0"/>
          <w:snapToGrid w:val="0"/>
          <w:color w:val="auto"/>
          <w:kern w:val="2"/>
          <w:sz w:val="24"/>
          <w:szCs w:val="24"/>
          <w:highlight w:val="none"/>
          <w:lang w:val="en-US" w:eastAsia="zh-CN" w:bidi="ar-SA"/>
        </w:rPr>
        <w:t>（1）水土流失的影响</w:t>
      </w:r>
    </w:p>
    <w:p w14:paraId="3FBB0A96">
      <w:pPr>
        <w:pStyle w:val="8"/>
        <w:keepNext w:val="0"/>
        <w:keepLines w:val="0"/>
        <w:pageBreakBefore w:val="0"/>
        <w:widowControl w:val="0"/>
        <w:kinsoku/>
        <w:wordWrap/>
        <w:overflowPunct/>
        <w:topLinePunct w:val="0"/>
        <w:autoSpaceDE/>
        <w:autoSpaceDN/>
        <w:bidi w:val="0"/>
        <w:adjustRightInd w:val="0"/>
        <w:snapToGrid w:val="0"/>
        <w:spacing w:beforeLines="0" w:line="360" w:lineRule="auto"/>
        <w:ind w:left="0" w:leftChars="0" w:firstLine="480" w:firstLineChars="200"/>
        <w:jc w:val="both"/>
        <w:textAlignment w:val="auto"/>
        <w:rPr>
          <w:rFonts w:hint="eastAsia" w:ascii="Times New Roman" w:hAnsi="Times New Roman" w:eastAsia="宋体" w:cs="Times New Roman"/>
          <w:b w:val="0"/>
          <w:snapToGrid w:val="0"/>
          <w:color w:val="auto"/>
          <w:kern w:val="2"/>
          <w:sz w:val="24"/>
          <w:szCs w:val="24"/>
          <w:highlight w:val="none"/>
          <w:lang w:val="en-US" w:eastAsia="zh-CN" w:bidi="ar-SA"/>
        </w:rPr>
      </w:pPr>
      <w:r>
        <w:rPr>
          <w:rFonts w:hint="eastAsia" w:ascii="Times New Roman" w:hAnsi="Times New Roman" w:eastAsia="宋体" w:cs="Times New Roman"/>
          <w:b w:val="0"/>
          <w:snapToGrid w:val="0"/>
          <w:color w:val="auto"/>
          <w:kern w:val="2"/>
          <w:sz w:val="24"/>
          <w:szCs w:val="24"/>
          <w:highlight w:val="none"/>
          <w:lang w:val="en-US" w:eastAsia="zh-CN" w:bidi="ar-SA"/>
        </w:rPr>
        <w:t>工程的3台风机及其区段场内道路、集电线路靠近保护区实验区边界，风机安装场地平整、场内道路开挖、塔基树立、电缆的牵引布设等，弃渣、表土临时堆放，易产生水土流失，遇极端天气，易产生山体滑坡等，山石泥土可能直接覆盖实验区植物，对保护区植被产生直接的破坏。及时采取水土流失措施，可在一定程度上控制对保护区植被造成的影响。</w:t>
      </w:r>
    </w:p>
    <w:p w14:paraId="71E27539">
      <w:pPr>
        <w:pStyle w:val="8"/>
        <w:keepNext w:val="0"/>
        <w:keepLines w:val="0"/>
        <w:pageBreakBefore w:val="0"/>
        <w:widowControl w:val="0"/>
        <w:kinsoku/>
        <w:wordWrap/>
        <w:overflowPunct/>
        <w:topLinePunct w:val="0"/>
        <w:autoSpaceDE/>
        <w:autoSpaceDN/>
        <w:bidi w:val="0"/>
        <w:adjustRightInd w:val="0"/>
        <w:snapToGrid w:val="0"/>
        <w:spacing w:beforeLines="0" w:line="360" w:lineRule="auto"/>
        <w:ind w:left="0" w:leftChars="0" w:firstLine="480" w:firstLineChars="200"/>
        <w:jc w:val="both"/>
        <w:textAlignment w:val="auto"/>
        <w:rPr>
          <w:rFonts w:hint="eastAsia" w:ascii="Times New Roman" w:hAnsi="Times New Roman" w:eastAsia="宋体" w:cs="Times New Roman"/>
          <w:b w:val="0"/>
          <w:snapToGrid w:val="0"/>
          <w:color w:val="auto"/>
          <w:kern w:val="2"/>
          <w:sz w:val="24"/>
          <w:szCs w:val="24"/>
          <w:highlight w:val="none"/>
          <w:lang w:val="en-US" w:eastAsia="zh-CN" w:bidi="ar-SA"/>
        </w:rPr>
      </w:pPr>
      <w:r>
        <w:rPr>
          <w:rFonts w:hint="eastAsia" w:ascii="Times New Roman" w:hAnsi="Times New Roman" w:eastAsia="宋体" w:cs="Times New Roman"/>
          <w:b w:val="0"/>
          <w:snapToGrid w:val="0"/>
          <w:color w:val="auto"/>
          <w:kern w:val="2"/>
          <w:sz w:val="24"/>
          <w:szCs w:val="24"/>
          <w:highlight w:val="none"/>
          <w:lang w:val="en-US" w:eastAsia="zh-CN" w:bidi="ar-SA"/>
        </w:rPr>
        <w:t>（2）人为干扰的影响</w:t>
      </w:r>
    </w:p>
    <w:p w14:paraId="41277847">
      <w:pPr>
        <w:bidi w:val="0"/>
        <w:rPr>
          <w:rFonts w:ascii="Times New Roman" w:hAnsi="Times New Roman" w:eastAsia="宋体" w:cs="Times New Roman"/>
          <w:color w:val="auto"/>
          <w:highlight w:val="none"/>
        </w:rPr>
      </w:pPr>
      <w:r>
        <w:rPr>
          <w:rFonts w:hint="eastAsia" w:ascii="Times New Roman" w:hAnsi="Times New Roman" w:eastAsia="宋体" w:cs="Times New Roman"/>
          <w:b w:val="0"/>
          <w:snapToGrid w:val="0"/>
          <w:color w:val="auto"/>
          <w:kern w:val="2"/>
          <w:sz w:val="24"/>
          <w:szCs w:val="24"/>
          <w:highlight w:val="none"/>
          <w:lang w:val="en-US" w:eastAsia="zh-CN" w:bidi="ar-SA"/>
        </w:rPr>
        <w:t>根据现场调查，靠近保护区段无成规模的公路，周边多为山地，保护区内无居民分布，在山坡谷地有较多的人工经济林地，工程所在区域自然植被相对较好。工程施工期间，人为活动增加，对林木的砍伐、机械的暴力操作等，一方面容易造成保护区周边林木遭到破坏后，使得保护区内的植被由于周边生境改变，使得保护区的植物资源更直接的暴露出来，在一定程度上削弱了实验区对保护区内植物资源的保护作用；二是由于人员擅自进入施工以外地界或扩大施工范围，使得保护区实验区植物被直接砍伐或破坏。同时，施工产生的扬尘会飘落到植物叶片表面，可能会影响植物的光合作用，从而影响植物的生长，对保护区内的植被有一定的影响。由于靠近保护区段仅有3台风机，工程量较小，施工时间相对较短，在严格控制施工红线，规范施工操作的情况下，并按要求实施相关水土措施的情况下，工程在施工期间对保护区内植物资源的影响较小。</w:t>
      </w:r>
    </w:p>
    <w:p w14:paraId="484E0348">
      <w:pPr>
        <w:pStyle w:val="6"/>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运营期对植物资源的影响分析</w:t>
      </w:r>
    </w:p>
    <w:p w14:paraId="6A1F2EEA">
      <w:pPr>
        <w:bidi w:val="0"/>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风电场投入运营后，在落实水土保持和植被恢复措施的前提下，可以在较大程度上防止水土流失、山体滑坡等现象的发生。运行期，施工人员需定期对风电机组进行检修，风机维修时泄露的油污、维修和巡视人员吸烟、用火等，都存在火灾隐患。</w:t>
      </w:r>
    </w:p>
    <w:p w14:paraId="1B9E35DD">
      <w:pPr>
        <w:pStyle w:val="5"/>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对</w:t>
      </w:r>
      <w:r>
        <w:rPr>
          <w:rFonts w:hint="eastAsia" w:ascii="Times New Roman" w:hAnsi="Times New Roman" w:cs="Times New Roman"/>
          <w:color w:val="auto"/>
          <w:highlight w:val="none"/>
          <w:lang w:val="en-US" w:eastAsia="zh-CN"/>
        </w:rPr>
        <w:t>动物</w:t>
      </w:r>
      <w:r>
        <w:rPr>
          <w:rFonts w:hint="default" w:ascii="Times New Roman" w:hAnsi="Times New Roman" w:cs="Times New Roman"/>
          <w:color w:val="auto"/>
          <w:highlight w:val="none"/>
          <w:lang w:val="en-US" w:eastAsia="zh-CN"/>
        </w:rPr>
        <w:t>资源影响分析</w:t>
      </w:r>
    </w:p>
    <w:p w14:paraId="576C99B5">
      <w:pPr>
        <w:pStyle w:val="6"/>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施工期对动物资源的影响分析</w:t>
      </w:r>
    </w:p>
    <w:p w14:paraId="2456BED8">
      <w:pPr>
        <w:pStyle w:val="8"/>
        <w:keepNext w:val="0"/>
        <w:keepLines w:val="0"/>
        <w:pageBreakBefore w:val="0"/>
        <w:widowControl w:val="0"/>
        <w:kinsoku/>
        <w:wordWrap/>
        <w:overflowPunct/>
        <w:topLinePunct w:val="0"/>
        <w:autoSpaceDE/>
        <w:autoSpaceDN/>
        <w:bidi w:val="0"/>
        <w:adjustRightInd w:val="0"/>
        <w:snapToGrid w:val="0"/>
        <w:spacing w:beforeLines="0" w:line="360" w:lineRule="auto"/>
        <w:ind w:firstLine="480" w:firstLineChars="200"/>
        <w:textAlignment w:val="auto"/>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本工程避让衡阳三阳自然保护区，保护区内无风机基础和检修道路等大面积开挖工程，工程不占用保护区范围，因此工程的建设不会占用和破坏保护区内野生动物的生境。本工程靠近保护区附近常见的陆生野生动物主要为小型鸣禽、蛇类及小型兽类等常见种，工程在施工期对保护区内野生动物的影响主要是人为活动干扰对野生动物的影响和施工噪声对野生动物的驱赶，这些干扰将一定程度上缩小野生动物的栖息空间，限制部分陆生野生动物的活动区域、觅食范围等，从而对陆生野生动物的生存产生一定的影响。</w:t>
      </w:r>
    </w:p>
    <w:p w14:paraId="0F95CFF4">
      <w:pPr>
        <w:bidi w:val="0"/>
        <w:rPr>
          <w:rFonts w:hint="eastAsia"/>
          <w:color w:val="auto"/>
          <w:highlight w:val="none"/>
          <w:lang w:val="en-US" w:eastAsia="zh-CN"/>
        </w:rPr>
      </w:pPr>
      <w:r>
        <w:rPr>
          <w:rFonts w:hint="eastAsia"/>
          <w:color w:val="auto"/>
          <w:highlight w:val="none"/>
          <w:lang w:val="en-US" w:eastAsia="zh-CN"/>
        </w:rPr>
        <w:t>在项目建设过程中，由于施工活动会将产生一定的噪声，如施工机械发出的声音或施工材料运输过程中发出的噪声，可能使保护区内的野生动物受到惊吓，对其觅食活动也将产生一定的影响。不过由于动物均具有迁移能力，特别是鸟类和兽类的迁移能力较强，且工程靠近保护区附近生境都比较相似，野生动物可暂时由原来的生境转移到远离施工区域的相似生境生活；且由于工程施工时间短、靠近保护区段风机数量较少，这些不利影响会将随施工的结束而逐渐消失。其次，施工期间施工人员会产生一定的生活垃圾和生活污水，生活垃圾的随意丢弃随意排放会劣化动物的生境，使得原来的生境变得不再适合动物生存，但通过严格的卫生条例和惩罚制度，会减缓这种影响。生活污水通过排污设施处理影响可以通过合理的措施加以避免或消减，且随着施工的结束而消失。</w:t>
      </w:r>
    </w:p>
    <w:p w14:paraId="1DD71ADE">
      <w:pPr>
        <w:pStyle w:val="6"/>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运营期对动物资源的影响分析</w:t>
      </w:r>
    </w:p>
    <w:p w14:paraId="3BD6E4B6">
      <w:pPr>
        <w:bidi w:val="0"/>
        <w:rPr>
          <w:rFonts w:hint="eastAsia"/>
          <w:color w:val="auto"/>
          <w:highlight w:val="none"/>
          <w:lang w:val="en-US" w:eastAsia="zh-CN"/>
        </w:rPr>
      </w:pPr>
      <w:r>
        <w:rPr>
          <w:rFonts w:hint="eastAsia"/>
          <w:color w:val="auto"/>
          <w:highlight w:val="none"/>
          <w:lang w:val="en-US" w:eastAsia="zh-CN"/>
        </w:rPr>
        <w:t>由于工程不直接涉及自然保护区，并且风电是一种清洁的能源，运行期本身不产生大气和水污染，也不产生废渣，因此，本工程运行期对衡阳县三阳自然保护区几乎无影响。</w:t>
      </w:r>
    </w:p>
    <w:p w14:paraId="625A901F">
      <w:pPr>
        <w:bidi w:val="0"/>
        <w:rPr>
          <w:color w:val="auto"/>
          <w:highlight w:val="none"/>
        </w:rPr>
      </w:pPr>
    </w:p>
    <w:p w14:paraId="08F57B92">
      <w:pPr>
        <w:rPr>
          <w:color w:val="auto"/>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1E597FF5">
      <w:pPr>
        <w:pStyle w:val="3"/>
        <w:rPr>
          <w:rFonts w:hint="default" w:ascii="Times New Roman" w:hAnsi="Times New Roman" w:cs="Times New Roman"/>
          <w:color w:val="auto"/>
          <w:highlight w:val="none"/>
        </w:rPr>
      </w:pPr>
      <w:bookmarkStart w:id="92" w:name="_Toc5985"/>
      <w:r>
        <w:rPr>
          <w:rFonts w:hint="eastAsia" w:ascii="Times New Roman" w:hAnsi="Times New Roman" w:cs="Times New Roman"/>
          <w:color w:val="auto"/>
          <w:highlight w:val="none"/>
          <w:lang w:eastAsia="zh-CN"/>
        </w:rPr>
        <w:t>环境风险分析</w:t>
      </w:r>
      <w:bookmarkEnd w:id="92"/>
    </w:p>
    <w:p w14:paraId="1D19A4D4">
      <w:pPr>
        <w:pStyle w:val="29"/>
        <w:ind w:firstLine="480"/>
        <w:rPr>
          <w:rFonts w:hAnsi="宋体" w:cs="Times New Roman"/>
          <w:color w:val="auto"/>
          <w:highlight w:val="none"/>
        </w:rPr>
      </w:pPr>
      <w:r>
        <w:rPr>
          <w:rFonts w:hAnsi="宋体" w:cs="Times New Roman"/>
          <w:color w:val="auto"/>
          <w:highlight w:val="none"/>
        </w:rPr>
        <w:t>运营期环境风险主要为升压站中变压器发生油料</w:t>
      </w:r>
      <w:r>
        <w:rPr>
          <w:rFonts w:hint="eastAsia" w:hAnsi="宋体" w:cs="Times New Roman"/>
          <w:color w:val="auto"/>
          <w:highlight w:val="none"/>
        </w:rPr>
        <w:t>泄漏</w:t>
      </w:r>
      <w:r>
        <w:rPr>
          <w:rFonts w:hAnsi="宋体" w:cs="Times New Roman"/>
          <w:color w:val="auto"/>
          <w:highlight w:val="none"/>
        </w:rPr>
        <w:t>产生的环境风险</w:t>
      </w:r>
      <w:r>
        <w:rPr>
          <w:rFonts w:hint="eastAsia" w:hAnsi="宋体" w:cs="Times New Roman"/>
          <w:color w:val="auto"/>
          <w:highlight w:val="none"/>
        </w:rPr>
        <w:t>。</w:t>
      </w:r>
    </w:p>
    <w:p w14:paraId="25073C27">
      <w:pPr>
        <w:pStyle w:val="4"/>
        <w:bidi w:val="0"/>
        <w:rPr>
          <w:rFonts w:hint="eastAsia" w:ascii="Times New Roman" w:hAnsi="Times New Roman" w:eastAsia="宋体" w:cs="Times New Roman"/>
          <w:color w:val="auto"/>
          <w:highlight w:val="none"/>
          <w:lang w:eastAsia="zh-CN"/>
        </w:rPr>
      </w:pPr>
      <w:bookmarkStart w:id="93" w:name="_Toc15463"/>
      <w:r>
        <w:rPr>
          <w:rFonts w:hint="eastAsia" w:ascii="Times New Roman" w:hAnsi="Times New Roman" w:eastAsia="宋体" w:cs="Times New Roman"/>
          <w:color w:val="auto"/>
          <w:highlight w:val="none"/>
          <w:lang w:eastAsia="zh-CN"/>
        </w:rPr>
        <w:t>评价等级判定</w:t>
      </w:r>
      <w:bookmarkEnd w:id="93"/>
    </w:p>
    <w:p w14:paraId="275FCC7D">
      <w:pPr>
        <w:pStyle w:val="53"/>
        <w:adjustRightInd/>
        <w:snapToGrid/>
        <w:ind w:firstLine="480"/>
        <w:rPr>
          <w:rFonts w:hint="eastAsia" w:eastAsia="宋体" w:cs="Times New Roman"/>
          <w:color w:val="auto"/>
          <w:highlight w:val="none"/>
          <w:lang w:eastAsia="zh-CN"/>
        </w:rPr>
      </w:pPr>
      <w:r>
        <w:rPr>
          <w:rFonts w:hint="eastAsia" w:cs="Times New Roman"/>
          <w:color w:val="auto"/>
          <w:highlight w:val="none"/>
        </w:rPr>
        <w:t>本项目涉及的风险物质主要为</w:t>
      </w:r>
      <w:r>
        <w:rPr>
          <w:rFonts w:cs="Times New Roman"/>
          <w:color w:val="auto"/>
          <w:highlight w:val="none"/>
        </w:rPr>
        <w:t>风机维修与</w:t>
      </w:r>
      <w:r>
        <w:rPr>
          <w:rFonts w:hint="eastAsia" w:cs="Times New Roman"/>
          <w:color w:val="auto"/>
          <w:highlight w:val="none"/>
        </w:rPr>
        <w:t>运营期</w:t>
      </w:r>
      <w:r>
        <w:rPr>
          <w:rFonts w:cs="Times New Roman"/>
          <w:color w:val="auto"/>
          <w:highlight w:val="none"/>
        </w:rPr>
        <w:t>润滑油、变压器油</w:t>
      </w:r>
      <w:r>
        <w:rPr>
          <w:rFonts w:hint="eastAsia" w:cs="Times New Roman"/>
          <w:color w:val="auto"/>
          <w:highlight w:val="none"/>
        </w:rPr>
        <w:t>，风机润滑油量很少，主要为变压器油，变压器油使用电力用油，这些冷却油或绝缘油装在电气设备外壳内，平时无废油排出，不会造成对环境的危害，一般只有事故发生时才会发生变压器油外泄。根据本项目涉及资料，变压器油最大量约</w:t>
      </w:r>
      <w:r>
        <w:rPr>
          <w:rFonts w:cs="Times New Roman"/>
          <w:color w:val="auto"/>
          <w:highlight w:val="none"/>
        </w:rPr>
        <w:t>25</w:t>
      </w:r>
      <w:r>
        <w:rPr>
          <w:rFonts w:hint="eastAsia" w:cs="Times New Roman"/>
          <w:color w:val="auto"/>
          <w:highlight w:val="none"/>
        </w:rPr>
        <w:t>t，属于矿物油类物质</w:t>
      </w:r>
      <w:r>
        <w:rPr>
          <w:rFonts w:hint="eastAsia" w:cs="Times New Roman"/>
          <w:color w:val="auto"/>
          <w:highlight w:val="none"/>
          <w:lang w:eastAsia="zh-CN"/>
        </w:rPr>
        <w:t>；另外本项目废机油、废润滑油在危废暂存间内最大储存量为</w:t>
      </w:r>
      <w:r>
        <w:rPr>
          <w:rFonts w:hint="eastAsia" w:cs="Times New Roman"/>
          <w:color w:val="auto"/>
          <w:highlight w:val="none"/>
          <w:lang w:val="en-US" w:eastAsia="zh-CN"/>
        </w:rPr>
        <w:t>3t</w:t>
      </w:r>
      <w:r>
        <w:rPr>
          <w:rFonts w:hint="eastAsia" w:cs="Times New Roman"/>
          <w:color w:val="auto"/>
          <w:highlight w:val="none"/>
        </w:rPr>
        <w:t>，根据《建设项目环境风险评价技术导则》（</w:t>
      </w:r>
      <w:r>
        <w:rPr>
          <w:rFonts w:cs="Times New Roman"/>
          <w:color w:val="auto"/>
          <w:highlight w:val="none"/>
        </w:rPr>
        <w:t>HJ 169—2018</w:t>
      </w:r>
      <w:r>
        <w:rPr>
          <w:rFonts w:hint="eastAsia" w:cs="Times New Roman"/>
          <w:color w:val="auto"/>
          <w:highlight w:val="none"/>
        </w:rPr>
        <w:t>）附录B中关于突发环境事件风险物质及临界量相关内容，矿物油类物质临界量为2500吨。因此危险物质数量与临界量的比值（Q）为</w:t>
      </w:r>
      <w:r>
        <w:rPr>
          <w:rFonts w:cs="Times New Roman"/>
          <w:color w:val="auto"/>
          <w:highlight w:val="none"/>
        </w:rPr>
        <w:t>0.01</w:t>
      </w:r>
      <w:r>
        <w:rPr>
          <w:rFonts w:hint="eastAsia" w:cs="Times New Roman"/>
          <w:color w:val="auto"/>
          <w:highlight w:val="none"/>
        </w:rPr>
        <w:t>，远小于1，因此环境风险潜势P为Ⅰ，根据《建设项目环境风险评价技术导则》（</w:t>
      </w:r>
      <w:r>
        <w:rPr>
          <w:rFonts w:cs="Times New Roman"/>
          <w:color w:val="auto"/>
          <w:highlight w:val="none"/>
        </w:rPr>
        <w:t>HJ 169</w:t>
      </w:r>
      <w:r>
        <w:rPr>
          <w:rFonts w:hint="eastAsia" w:cs="Times New Roman"/>
          <w:color w:val="auto"/>
          <w:highlight w:val="none"/>
          <w:lang w:val="en-US" w:eastAsia="zh-CN"/>
        </w:rPr>
        <w:t>-</w:t>
      </w:r>
      <w:r>
        <w:rPr>
          <w:rFonts w:cs="Times New Roman"/>
          <w:color w:val="auto"/>
          <w:highlight w:val="none"/>
        </w:rPr>
        <w:t>2018</w:t>
      </w:r>
      <w:r>
        <w:rPr>
          <w:rFonts w:hint="eastAsia" w:cs="Times New Roman"/>
          <w:color w:val="auto"/>
          <w:highlight w:val="none"/>
        </w:rPr>
        <w:t>）表1评价等级判断方法，本项目环境风险评价等级为“简单分析”</w:t>
      </w:r>
      <w:r>
        <w:rPr>
          <w:rFonts w:hint="eastAsia" w:cs="Times New Roman"/>
          <w:color w:val="auto"/>
          <w:highlight w:val="none"/>
          <w:lang w:eastAsia="zh-CN"/>
        </w:rPr>
        <w:t>。</w:t>
      </w:r>
    </w:p>
    <w:p w14:paraId="0980A586">
      <w:pPr>
        <w:pStyle w:val="4"/>
        <w:bidi w:val="0"/>
        <w:rPr>
          <w:rFonts w:hint="eastAsia" w:ascii="Times New Roman" w:hAnsi="Times New Roman" w:eastAsia="宋体" w:cs="Times New Roman"/>
          <w:color w:val="auto"/>
          <w:highlight w:val="none"/>
          <w:lang w:eastAsia="zh-CN"/>
        </w:rPr>
      </w:pPr>
      <w:bookmarkStart w:id="94" w:name="_Toc8533"/>
      <w:r>
        <w:rPr>
          <w:rFonts w:hint="eastAsia" w:ascii="Times New Roman" w:hAnsi="Times New Roman" w:eastAsia="宋体" w:cs="Times New Roman"/>
          <w:color w:val="auto"/>
          <w:highlight w:val="none"/>
          <w:lang w:eastAsia="zh-CN"/>
        </w:rPr>
        <w:t>环境风险识别</w:t>
      </w:r>
      <w:bookmarkEnd w:id="94"/>
    </w:p>
    <w:p w14:paraId="4F6DC226">
      <w:pPr>
        <w:pStyle w:val="53"/>
        <w:adjustRightInd/>
        <w:snapToGrid/>
        <w:ind w:firstLine="480"/>
        <w:rPr>
          <w:rFonts w:cs="Times New Roman"/>
          <w:color w:val="auto"/>
          <w:highlight w:val="none"/>
        </w:rPr>
      </w:pPr>
      <w:r>
        <w:rPr>
          <w:rFonts w:cs="Times New Roman"/>
          <w:color w:val="auto"/>
          <w:highlight w:val="none"/>
        </w:rPr>
        <w:t>升压站变压器为了绝缘和冷却的需要，其外壳内装有大量变压器油，只有在发生事故时才排放。变压器油是天然石油中经过蒸馏、精炼而获得的一种矿物油。变压器油一般是无色或淡黄色，运行中颜色会逐渐加深，相对密度0.895，凝点＜-45</w:t>
      </w:r>
      <w:r>
        <w:rPr>
          <w:rFonts w:hint="eastAsia" w:ascii="宋体" w:hAnsi="宋体"/>
          <w:color w:val="auto"/>
          <w:highlight w:val="none"/>
        </w:rPr>
        <w:t>℃</w:t>
      </w:r>
      <w:r>
        <w:rPr>
          <w:rFonts w:cs="Times New Roman"/>
          <w:color w:val="auto"/>
          <w:highlight w:val="none"/>
        </w:rPr>
        <w:t>，闪点不低于140</w:t>
      </w:r>
      <w:r>
        <w:rPr>
          <w:rFonts w:hint="eastAsia" w:ascii="宋体" w:hAnsi="宋体"/>
          <w:color w:val="auto"/>
          <w:highlight w:val="none"/>
        </w:rPr>
        <w:t>℃</w:t>
      </w:r>
      <w:r>
        <w:rPr>
          <w:rFonts w:cs="Times New Roman"/>
          <w:color w:val="auto"/>
          <w:highlight w:val="none"/>
        </w:rPr>
        <w:t>。它的主要成分是烷烃</w:t>
      </w:r>
      <w:r>
        <w:rPr>
          <w:rFonts w:hint="eastAsia" w:cs="Times New Roman"/>
          <w:color w:val="auto"/>
          <w:highlight w:val="none"/>
        </w:rPr>
        <w:t>，</w:t>
      </w:r>
      <w:r>
        <w:rPr>
          <w:rFonts w:cs="Times New Roman"/>
          <w:color w:val="auto"/>
          <w:highlight w:val="none"/>
        </w:rPr>
        <w:t>环烷族饱和烃，芳香族不饱和烃等化合物。</w:t>
      </w:r>
      <w:r>
        <w:rPr>
          <w:rFonts w:hint="eastAsia" w:cs="Times New Roman"/>
          <w:color w:val="auto"/>
          <w:highlight w:val="none"/>
        </w:rPr>
        <w:t>发生泄漏进入环境可能对周围环境产生一定影响。</w:t>
      </w:r>
    </w:p>
    <w:p w14:paraId="073FBD67">
      <w:pPr>
        <w:pStyle w:val="4"/>
        <w:bidi w:val="0"/>
        <w:rPr>
          <w:rFonts w:hint="eastAsia" w:ascii="Times New Roman" w:hAnsi="Times New Roman" w:eastAsia="宋体" w:cs="Times New Roman"/>
          <w:color w:val="auto"/>
          <w:highlight w:val="none"/>
          <w:lang w:eastAsia="zh-CN"/>
        </w:rPr>
      </w:pPr>
      <w:bookmarkStart w:id="95" w:name="_Toc25659"/>
      <w:r>
        <w:rPr>
          <w:rFonts w:hint="eastAsia" w:ascii="Times New Roman" w:hAnsi="Times New Roman" w:eastAsia="宋体" w:cs="Times New Roman"/>
          <w:color w:val="auto"/>
          <w:highlight w:val="none"/>
          <w:lang w:eastAsia="zh-CN"/>
        </w:rPr>
        <w:t>环境风险分析</w:t>
      </w:r>
      <w:bookmarkEnd w:id="95"/>
    </w:p>
    <w:p w14:paraId="63BEB288">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地表水风险分析</w:t>
      </w:r>
    </w:p>
    <w:p w14:paraId="31FBAED6">
      <w:pPr>
        <w:pStyle w:val="53"/>
        <w:adjustRightInd/>
        <w:snapToGrid/>
        <w:ind w:firstLine="480"/>
        <w:rPr>
          <w:rFonts w:cs="Times New Roman"/>
          <w:color w:val="auto"/>
          <w:highlight w:val="none"/>
        </w:rPr>
      </w:pPr>
      <w:r>
        <w:rPr>
          <w:rFonts w:hint="eastAsia" w:cs="Times New Roman"/>
          <w:color w:val="auto"/>
          <w:highlight w:val="none"/>
        </w:rPr>
        <w:t>项目变压器油发生泄漏，若进入地表水体，引起地表水中石油类含量急剧上升，严重污染地表水水质，同时在地表水面形成油膜，阻隔水中的氧气对流，从而使地表水中的生态平衡产生破坏，影响地表水水生生物生存环境。</w:t>
      </w:r>
    </w:p>
    <w:p w14:paraId="77A6CFC0">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大气环境风险分析</w:t>
      </w:r>
    </w:p>
    <w:p w14:paraId="32B6A321">
      <w:pPr>
        <w:pStyle w:val="53"/>
        <w:adjustRightInd/>
        <w:snapToGrid/>
        <w:ind w:firstLine="480"/>
        <w:rPr>
          <w:rFonts w:cs="Times New Roman"/>
          <w:color w:val="auto"/>
          <w:highlight w:val="none"/>
        </w:rPr>
      </w:pPr>
      <w:r>
        <w:rPr>
          <w:rFonts w:hint="eastAsia" w:cs="Times New Roman"/>
          <w:color w:val="auto"/>
          <w:highlight w:val="none"/>
        </w:rPr>
        <w:t>项目变压器油发生泄漏，由于变压器油主要为高脂肪油类，挥发性较差，发生泄漏对周围环境空气影响有限，但发生泄漏可能引发火灾，对周围环境空气和生态环境产生严重的次生污染。</w:t>
      </w:r>
    </w:p>
    <w:p w14:paraId="7FBBE8F1">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地下水环境风险分析</w:t>
      </w:r>
    </w:p>
    <w:p w14:paraId="203C8006">
      <w:pPr>
        <w:pStyle w:val="50"/>
        <w:ind w:firstLine="480"/>
        <w:rPr>
          <w:rFonts w:cs="Times New Roman"/>
          <w:color w:val="auto"/>
          <w:spacing w:val="0"/>
          <w:kern w:val="2"/>
          <w:highlight w:val="none"/>
        </w:rPr>
      </w:pPr>
      <w:r>
        <w:rPr>
          <w:rFonts w:hint="eastAsia" w:cs="Times New Roman"/>
          <w:color w:val="auto"/>
          <w:spacing w:val="0"/>
          <w:kern w:val="2"/>
          <w:highlight w:val="none"/>
        </w:rPr>
        <w:t>项目变压器油发生泄露，若进入土壤渗漏，矿物油类进入地层包气带，随着大气降水下渗进入地下含水层，形成一个油污团从山顶向山下扩散，对区域地下水环境造成污染。</w:t>
      </w:r>
      <w:r>
        <w:rPr>
          <w:rFonts w:cs="Times New Roman"/>
          <w:color w:val="auto"/>
          <w:spacing w:val="0"/>
          <w:kern w:val="2"/>
          <w:highlight w:val="none"/>
        </w:rPr>
        <w:t>石油烃及其组分通过土壤向地下水的迁移，会造成地下水环境中石油烃组分的不同程度检出，降低地下水的品质。</w:t>
      </w:r>
      <w:r>
        <w:rPr>
          <w:rFonts w:hint="eastAsia" w:cs="Times New Roman"/>
          <w:color w:val="auto"/>
          <w:spacing w:val="0"/>
          <w:kern w:val="2"/>
          <w:highlight w:val="none"/>
        </w:rPr>
        <w:t>若进入水井中，可能导致其水井饮用功能丧失。</w:t>
      </w:r>
    </w:p>
    <w:p w14:paraId="6B88B289">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火灾风险分析</w:t>
      </w:r>
    </w:p>
    <w:p w14:paraId="3033307E">
      <w:pPr>
        <w:pStyle w:val="53"/>
        <w:ind w:firstLine="480"/>
        <w:rPr>
          <w:rFonts w:cs="Times New Roman"/>
          <w:color w:val="auto"/>
          <w:highlight w:val="none"/>
        </w:rPr>
      </w:pPr>
      <w:r>
        <w:rPr>
          <w:rFonts w:cs="Times New Roman"/>
          <w:color w:val="auto"/>
          <w:highlight w:val="none"/>
        </w:rPr>
        <w:t>升压站站区电气设备如变压器、开关柜等在超负荷运转和设备故障情况下有发生爆炸和火灾的可能。因升压站的运行设施、原材料、产品及污染物中均不涉及到易燃易爆、有毒有害物质，站区无重大危险源存在。电力行业由于具备完善的光纤通信、远程控制和防误操作系统，升压站和输电线路均作防雷和接地设计，发生事故的概率极小，在全国各行业中属于危险事故发生率较低的行业。</w:t>
      </w:r>
    </w:p>
    <w:p w14:paraId="54A28799">
      <w:pPr>
        <w:pStyle w:val="29"/>
        <w:spacing w:line="240" w:lineRule="auto"/>
        <w:ind w:firstLine="0" w:firstLineChars="0"/>
        <w:jc w:val="center"/>
        <w:rPr>
          <w:rFonts w:hAnsi="宋体" w:cs="Times New Roman"/>
          <w:b/>
          <w:color w:val="auto"/>
          <w:sz w:val="21"/>
          <w:szCs w:val="21"/>
          <w:highlight w:val="none"/>
        </w:rPr>
      </w:pPr>
      <w:r>
        <w:rPr>
          <w:rFonts w:hAnsi="宋体" w:cs="Times New Roman"/>
          <w:b/>
          <w:color w:val="auto"/>
          <w:sz w:val="21"/>
          <w:szCs w:val="21"/>
          <w:highlight w:val="none"/>
        </w:rPr>
        <w:t>表</w:t>
      </w:r>
      <w:r>
        <w:rPr>
          <w:rFonts w:hint="eastAsia" w:hAnsi="宋体" w:cs="Times New Roman"/>
          <w:b/>
          <w:color w:val="auto"/>
          <w:sz w:val="21"/>
          <w:szCs w:val="21"/>
          <w:highlight w:val="none"/>
          <w:lang w:val="en-US" w:eastAsia="zh-CN"/>
        </w:rPr>
        <w:t xml:space="preserve">8.3-1  </w:t>
      </w:r>
      <w:r>
        <w:rPr>
          <w:rFonts w:hAnsi="宋体" w:cs="Times New Roman"/>
          <w:b/>
          <w:color w:val="auto"/>
          <w:sz w:val="21"/>
          <w:szCs w:val="21"/>
          <w:highlight w:val="none"/>
        </w:rPr>
        <w:t>建设项目环境风险简单分析内容表</w:t>
      </w:r>
    </w:p>
    <w:tbl>
      <w:tblPr>
        <w:tblStyle w:val="19"/>
        <w:tblW w:w="499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665"/>
        <w:gridCol w:w="1016"/>
        <w:gridCol w:w="2331"/>
        <w:gridCol w:w="992"/>
        <w:gridCol w:w="2516"/>
      </w:tblGrid>
      <w:tr w14:paraId="0C6BE7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7" w:type="pct"/>
            <w:tcBorders>
              <w:tl2br w:val="nil"/>
              <w:tr2bl w:val="nil"/>
            </w:tcBorders>
            <w:noWrap w:val="0"/>
            <w:vAlign w:val="center"/>
          </w:tcPr>
          <w:p w14:paraId="7181B71C">
            <w:pPr>
              <w:pStyle w:val="23"/>
              <w:bidi w:val="0"/>
              <w:rPr>
                <w:color w:val="auto"/>
                <w:highlight w:val="none"/>
              </w:rPr>
            </w:pPr>
            <w:r>
              <w:rPr>
                <w:color w:val="auto"/>
                <w:highlight w:val="none"/>
              </w:rPr>
              <w:t>建设项目名称</w:t>
            </w:r>
          </w:p>
        </w:tc>
        <w:tc>
          <w:tcPr>
            <w:tcW w:w="4022" w:type="pct"/>
            <w:gridSpan w:val="4"/>
            <w:tcBorders>
              <w:tl2br w:val="nil"/>
              <w:tr2bl w:val="nil"/>
            </w:tcBorders>
            <w:noWrap w:val="0"/>
            <w:vAlign w:val="center"/>
          </w:tcPr>
          <w:p w14:paraId="01F037D1">
            <w:pPr>
              <w:pStyle w:val="23"/>
              <w:bidi w:val="0"/>
              <w:rPr>
                <w:color w:val="auto"/>
                <w:highlight w:val="none"/>
              </w:rPr>
            </w:pPr>
            <w:r>
              <w:rPr>
                <w:rFonts w:hint="eastAsia"/>
                <w:color w:val="auto"/>
                <w:highlight w:val="none"/>
              </w:rPr>
              <w:t>祁东县南冲风电场（大马二期）工程</w:t>
            </w:r>
          </w:p>
        </w:tc>
      </w:tr>
      <w:tr w14:paraId="35305FE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7" w:type="pct"/>
            <w:tcBorders>
              <w:tl2br w:val="nil"/>
              <w:tr2bl w:val="nil"/>
            </w:tcBorders>
            <w:noWrap w:val="0"/>
            <w:vAlign w:val="center"/>
          </w:tcPr>
          <w:p w14:paraId="3F5E31A1">
            <w:pPr>
              <w:pStyle w:val="23"/>
              <w:bidi w:val="0"/>
              <w:rPr>
                <w:color w:val="auto"/>
                <w:highlight w:val="none"/>
              </w:rPr>
            </w:pPr>
            <w:r>
              <w:rPr>
                <w:color w:val="auto"/>
                <w:highlight w:val="none"/>
              </w:rPr>
              <w:t>建设地点</w:t>
            </w:r>
          </w:p>
        </w:tc>
        <w:tc>
          <w:tcPr>
            <w:tcW w:w="596" w:type="pct"/>
            <w:tcBorders>
              <w:tl2br w:val="nil"/>
              <w:tr2bl w:val="nil"/>
            </w:tcBorders>
            <w:noWrap w:val="0"/>
            <w:vAlign w:val="center"/>
          </w:tcPr>
          <w:p w14:paraId="5A0FC2B2">
            <w:pPr>
              <w:pStyle w:val="23"/>
              <w:bidi w:val="0"/>
              <w:rPr>
                <w:color w:val="auto"/>
                <w:highlight w:val="none"/>
              </w:rPr>
            </w:pPr>
            <w:r>
              <w:rPr>
                <w:color w:val="auto"/>
                <w:highlight w:val="none"/>
              </w:rPr>
              <w:t>湖南省</w:t>
            </w:r>
          </w:p>
        </w:tc>
        <w:tc>
          <w:tcPr>
            <w:tcW w:w="1367" w:type="pct"/>
            <w:tcBorders>
              <w:tl2br w:val="nil"/>
              <w:tr2bl w:val="nil"/>
            </w:tcBorders>
            <w:noWrap w:val="0"/>
            <w:vAlign w:val="center"/>
          </w:tcPr>
          <w:p w14:paraId="263F60E9">
            <w:pPr>
              <w:pStyle w:val="23"/>
              <w:bidi w:val="0"/>
              <w:rPr>
                <w:color w:val="auto"/>
                <w:highlight w:val="none"/>
              </w:rPr>
            </w:pPr>
            <w:r>
              <w:rPr>
                <w:rFonts w:hint="eastAsia"/>
                <w:color w:val="auto"/>
                <w:highlight w:val="none"/>
              </w:rPr>
              <w:t>衡阳市</w:t>
            </w:r>
          </w:p>
        </w:tc>
        <w:tc>
          <w:tcPr>
            <w:tcW w:w="581" w:type="pct"/>
            <w:tcBorders>
              <w:tl2br w:val="nil"/>
              <w:tr2bl w:val="nil"/>
            </w:tcBorders>
            <w:noWrap w:val="0"/>
            <w:vAlign w:val="center"/>
          </w:tcPr>
          <w:p w14:paraId="32F92622">
            <w:pPr>
              <w:pStyle w:val="23"/>
              <w:bidi w:val="0"/>
              <w:rPr>
                <w:color w:val="auto"/>
                <w:highlight w:val="none"/>
              </w:rPr>
            </w:pPr>
            <w:r>
              <w:rPr>
                <w:rFonts w:hint="eastAsia"/>
                <w:color w:val="auto"/>
                <w:highlight w:val="none"/>
                <w:lang w:eastAsia="zh-CN"/>
              </w:rPr>
              <w:t>祁东县</w:t>
            </w:r>
          </w:p>
        </w:tc>
        <w:tc>
          <w:tcPr>
            <w:tcW w:w="1476" w:type="pct"/>
            <w:tcBorders>
              <w:tl2br w:val="nil"/>
              <w:tr2bl w:val="nil"/>
            </w:tcBorders>
            <w:noWrap w:val="0"/>
            <w:vAlign w:val="center"/>
          </w:tcPr>
          <w:p w14:paraId="42A161C6">
            <w:pPr>
              <w:pStyle w:val="23"/>
              <w:bidi w:val="0"/>
              <w:rPr>
                <w:rFonts w:hint="eastAsia"/>
                <w:color w:val="auto"/>
                <w:highlight w:val="none"/>
                <w:lang w:eastAsia="zh-CN"/>
              </w:rPr>
            </w:pPr>
            <w:r>
              <w:rPr>
                <w:rFonts w:hint="eastAsia"/>
                <w:color w:val="auto"/>
                <w:highlight w:val="none"/>
                <w:lang w:eastAsia="zh-CN"/>
              </w:rPr>
              <w:t>黄土铺镇、马杜桥乡</w:t>
            </w:r>
          </w:p>
        </w:tc>
      </w:tr>
      <w:tr w14:paraId="7C3A99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7" w:type="pct"/>
            <w:tcBorders>
              <w:tl2br w:val="nil"/>
              <w:tr2bl w:val="nil"/>
            </w:tcBorders>
            <w:noWrap w:val="0"/>
            <w:vAlign w:val="center"/>
          </w:tcPr>
          <w:p w14:paraId="67F3221A">
            <w:pPr>
              <w:pStyle w:val="23"/>
              <w:bidi w:val="0"/>
              <w:rPr>
                <w:color w:val="auto"/>
                <w:highlight w:val="none"/>
              </w:rPr>
            </w:pPr>
            <w:r>
              <w:rPr>
                <w:color w:val="auto"/>
                <w:highlight w:val="none"/>
              </w:rPr>
              <w:t>地理坐标</w:t>
            </w:r>
          </w:p>
        </w:tc>
        <w:tc>
          <w:tcPr>
            <w:tcW w:w="596" w:type="pct"/>
            <w:tcBorders>
              <w:tl2br w:val="nil"/>
              <w:tr2bl w:val="nil"/>
            </w:tcBorders>
            <w:noWrap w:val="0"/>
            <w:vAlign w:val="center"/>
          </w:tcPr>
          <w:p w14:paraId="51DFB727">
            <w:pPr>
              <w:pStyle w:val="23"/>
              <w:bidi w:val="0"/>
              <w:rPr>
                <w:color w:val="auto"/>
                <w:highlight w:val="none"/>
              </w:rPr>
            </w:pPr>
            <w:r>
              <w:rPr>
                <w:color w:val="auto"/>
                <w:highlight w:val="none"/>
              </w:rPr>
              <w:t>经度</w:t>
            </w:r>
          </w:p>
        </w:tc>
        <w:tc>
          <w:tcPr>
            <w:tcW w:w="1367" w:type="pct"/>
            <w:tcBorders>
              <w:tl2br w:val="nil"/>
              <w:tr2bl w:val="nil"/>
            </w:tcBorders>
            <w:noWrap w:val="0"/>
            <w:vAlign w:val="center"/>
          </w:tcPr>
          <w:p w14:paraId="1954D52B">
            <w:pPr>
              <w:pStyle w:val="23"/>
              <w:bidi w:val="0"/>
              <w:rPr>
                <w:color w:val="auto"/>
                <w:highlight w:val="none"/>
              </w:rPr>
            </w:pPr>
            <w:r>
              <w:rPr>
                <w:color w:val="auto"/>
                <w:highlight w:val="none"/>
              </w:rPr>
              <w:t>E</w:t>
            </w:r>
            <w:r>
              <w:rPr>
                <w:rFonts w:hint="default"/>
                <w:color w:val="auto"/>
                <w:highlight w:val="none"/>
                <w:lang w:val="en-US" w:eastAsia="zh-CN"/>
              </w:rPr>
              <w:t>1</w:t>
            </w:r>
            <w:r>
              <w:rPr>
                <w:rFonts w:hint="eastAsia"/>
                <w:color w:val="auto"/>
                <w:highlight w:val="none"/>
                <w:lang w:val="en-US" w:eastAsia="zh-CN"/>
              </w:rPr>
              <w:t>11</w:t>
            </w:r>
            <w:r>
              <w:rPr>
                <w:rFonts w:hint="default"/>
                <w:color w:val="auto"/>
                <w:highlight w:val="none"/>
              </w:rPr>
              <w:t>度</w:t>
            </w:r>
            <w:r>
              <w:rPr>
                <w:rFonts w:hint="eastAsia"/>
                <w:color w:val="auto"/>
                <w:highlight w:val="none"/>
                <w:lang w:val="en-US" w:eastAsia="zh-CN"/>
              </w:rPr>
              <w:t>57</w:t>
            </w:r>
            <w:r>
              <w:rPr>
                <w:rFonts w:hint="default"/>
                <w:color w:val="auto"/>
                <w:highlight w:val="none"/>
              </w:rPr>
              <w:t>分</w:t>
            </w:r>
            <w:r>
              <w:rPr>
                <w:rFonts w:hint="eastAsia"/>
                <w:color w:val="auto"/>
                <w:highlight w:val="none"/>
                <w:lang w:val="en-US" w:eastAsia="zh-CN"/>
              </w:rPr>
              <w:t>40.87</w:t>
            </w:r>
            <w:r>
              <w:rPr>
                <w:rFonts w:hint="default"/>
                <w:color w:val="auto"/>
                <w:highlight w:val="none"/>
              </w:rPr>
              <w:t>秒</w:t>
            </w:r>
          </w:p>
        </w:tc>
        <w:tc>
          <w:tcPr>
            <w:tcW w:w="581" w:type="pct"/>
            <w:tcBorders>
              <w:tl2br w:val="nil"/>
              <w:tr2bl w:val="nil"/>
            </w:tcBorders>
            <w:noWrap w:val="0"/>
            <w:vAlign w:val="center"/>
          </w:tcPr>
          <w:p w14:paraId="36277E7E">
            <w:pPr>
              <w:pStyle w:val="23"/>
              <w:bidi w:val="0"/>
              <w:rPr>
                <w:color w:val="auto"/>
                <w:highlight w:val="none"/>
              </w:rPr>
            </w:pPr>
            <w:r>
              <w:rPr>
                <w:color w:val="auto"/>
                <w:highlight w:val="none"/>
              </w:rPr>
              <w:t>纬度</w:t>
            </w:r>
          </w:p>
        </w:tc>
        <w:tc>
          <w:tcPr>
            <w:tcW w:w="1476" w:type="pct"/>
            <w:tcBorders>
              <w:tl2br w:val="nil"/>
              <w:tr2bl w:val="nil"/>
            </w:tcBorders>
            <w:noWrap w:val="0"/>
            <w:vAlign w:val="center"/>
          </w:tcPr>
          <w:p w14:paraId="5CFB0C90">
            <w:pPr>
              <w:pStyle w:val="23"/>
              <w:bidi w:val="0"/>
              <w:rPr>
                <w:color w:val="auto"/>
                <w:highlight w:val="none"/>
              </w:rPr>
            </w:pPr>
            <w:r>
              <w:rPr>
                <w:rFonts w:hint="eastAsia"/>
                <w:color w:val="auto"/>
                <w:highlight w:val="none"/>
                <w:lang w:val="en-US" w:eastAsia="zh-CN"/>
              </w:rPr>
              <w:t>北纬</w:t>
            </w:r>
            <w:r>
              <w:rPr>
                <w:rFonts w:hint="default"/>
                <w:color w:val="auto"/>
                <w:highlight w:val="none"/>
                <w:lang w:val="en-US" w:eastAsia="zh-CN"/>
              </w:rPr>
              <w:t>26</w:t>
            </w:r>
            <w:r>
              <w:rPr>
                <w:rFonts w:hint="default"/>
                <w:color w:val="auto"/>
                <w:highlight w:val="none"/>
              </w:rPr>
              <w:t>度</w:t>
            </w:r>
            <w:r>
              <w:rPr>
                <w:rFonts w:hint="eastAsia"/>
                <w:color w:val="auto"/>
                <w:highlight w:val="none"/>
                <w:lang w:val="en-US" w:eastAsia="zh-CN"/>
              </w:rPr>
              <w:t>56</w:t>
            </w:r>
            <w:r>
              <w:rPr>
                <w:rFonts w:hint="default"/>
                <w:color w:val="auto"/>
                <w:highlight w:val="none"/>
              </w:rPr>
              <w:t>分</w:t>
            </w:r>
            <w:r>
              <w:rPr>
                <w:rFonts w:hint="eastAsia"/>
                <w:color w:val="auto"/>
                <w:highlight w:val="none"/>
                <w:lang w:val="en-US" w:eastAsia="zh-CN"/>
              </w:rPr>
              <w:t>57.88</w:t>
            </w:r>
            <w:r>
              <w:rPr>
                <w:rFonts w:hint="default"/>
                <w:color w:val="auto"/>
                <w:highlight w:val="none"/>
              </w:rPr>
              <w:t>秒</w:t>
            </w:r>
          </w:p>
        </w:tc>
      </w:tr>
      <w:tr w14:paraId="4C29535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977" w:type="pct"/>
            <w:tcBorders>
              <w:tl2br w:val="nil"/>
              <w:tr2bl w:val="nil"/>
            </w:tcBorders>
            <w:noWrap w:val="0"/>
            <w:vAlign w:val="center"/>
          </w:tcPr>
          <w:p w14:paraId="4B09A48B">
            <w:pPr>
              <w:pStyle w:val="23"/>
              <w:bidi w:val="0"/>
              <w:spacing w:line="240" w:lineRule="auto"/>
              <w:rPr>
                <w:color w:val="auto"/>
                <w:highlight w:val="none"/>
              </w:rPr>
            </w:pPr>
            <w:r>
              <w:rPr>
                <w:color w:val="auto"/>
                <w:highlight w:val="none"/>
              </w:rPr>
              <w:t>主要危险物质及分布</w:t>
            </w:r>
          </w:p>
        </w:tc>
        <w:tc>
          <w:tcPr>
            <w:tcW w:w="4022" w:type="pct"/>
            <w:gridSpan w:val="4"/>
            <w:tcBorders>
              <w:tl2br w:val="nil"/>
              <w:tr2bl w:val="nil"/>
            </w:tcBorders>
            <w:noWrap w:val="0"/>
            <w:vAlign w:val="center"/>
          </w:tcPr>
          <w:p w14:paraId="7EEA3521">
            <w:pPr>
              <w:pStyle w:val="23"/>
              <w:bidi w:val="0"/>
              <w:spacing w:line="240" w:lineRule="auto"/>
              <w:rPr>
                <w:color w:val="auto"/>
                <w:highlight w:val="none"/>
              </w:rPr>
            </w:pPr>
            <w:r>
              <w:rPr>
                <w:color w:val="auto"/>
                <w:highlight w:val="none"/>
              </w:rPr>
              <w:t>升压站内变压器油，最大量约25吨</w:t>
            </w:r>
          </w:p>
        </w:tc>
      </w:tr>
      <w:tr w14:paraId="3B11F6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7" w:type="pct"/>
            <w:tcBorders>
              <w:tl2br w:val="nil"/>
              <w:tr2bl w:val="nil"/>
            </w:tcBorders>
            <w:noWrap w:val="0"/>
            <w:vAlign w:val="center"/>
          </w:tcPr>
          <w:p w14:paraId="473C05F9">
            <w:pPr>
              <w:pStyle w:val="23"/>
              <w:bidi w:val="0"/>
              <w:rPr>
                <w:color w:val="auto"/>
                <w:highlight w:val="none"/>
              </w:rPr>
            </w:pPr>
            <w:r>
              <w:rPr>
                <w:color w:val="auto"/>
                <w:highlight w:val="none"/>
              </w:rPr>
              <w:t>环境影响途径及危害后果（地表水、地下水、大气等）</w:t>
            </w:r>
          </w:p>
        </w:tc>
        <w:tc>
          <w:tcPr>
            <w:tcW w:w="4022" w:type="pct"/>
            <w:gridSpan w:val="4"/>
            <w:tcBorders>
              <w:tl2br w:val="nil"/>
              <w:tr2bl w:val="nil"/>
            </w:tcBorders>
            <w:noWrap w:val="0"/>
            <w:vAlign w:val="center"/>
          </w:tcPr>
          <w:p w14:paraId="3BA5AB06">
            <w:pPr>
              <w:pStyle w:val="23"/>
              <w:bidi w:val="0"/>
              <w:jc w:val="left"/>
              <w:rPr>
                <w:rFonts w:hint="eastAsia"/>
                <w:color w:val="auto"/>
                <w:highlight w:val="none"/>
                <w:lang w:eastAsia="zh-CN"/>
              </w:rPr>
            </w:pPr>
            <w:r>
              <w:rPr>
                <w:color w:val="auto"/>
                <w:highlight w:val="none"/>
              </w:rPr>
              <w:t>①项目变压器油发生</w:t>
            </w:r>
            <w:r>
              <w:rPr>
                <w:rFonts w:hint="eastAsia"/>
                <w:color w:val="auto"/>
                <w:highlight w:val="none"/>
              </w:rPr>
              <w:t>泄漏</w:t>
            </w:r>
            <w:r>
              <w:rPr>
                <w:color w:val="auto"/>
                <w:highlight w:val="none"/>
              </w:rPr>
              <w:t>，若进入地表水体，引起地表水中石油类含量急剧上升</w:t>
            </w:r>
            <w:r>
              <w:rPr>
                <w:rFonts w:hint="eastAsia"/>
                <w:color w:val="auto"/>
                <w:highlight w:val="none"/>
                <w:lang w:eastAsia="zh-CN"/>
              </w:rPr>
              <w:t>；</w:t>
            </w:r>
          </w:p>
          <w:p w14:paraId="0CBC400E">
            <w:pPr>
              <w:pStyle w:val="23"/>
              <w:bidi w:val="0"/>
              <w:jc w:val="left"/>
              <w:rPr>
                <w:rFonts w:hint="eastAsia"/>
                <w:color w:val="auto"/>
                <w:highlight w:val="none"/>
                <w:lang w:eastAsia="zh-CN"/>
              </w:rPr>
            </w:pPr>
            <w:r>
              <w:rPr>
                <w:color w:val="auto"/>
                <w:highlight w:val="none"/>
              </w:rPr>
              <w:t>②项目变压器油发生</w:t>
            </w:r>
            <w:r>
              <w:rPr>
                <w:rFonts w:hint="eastAsia"/>
                <w:color w:val="auto"/>
                <w:highlight w:val="none"/>
              </w:rPr>
              <w:t>泄漏</w:t>
            </w:r>
            <w:r>
              <w:rPr>
                <w:color w:val="auto"/>
                <w:highlight w:val="none"/>
              </w:rPr>
              <w:t>，对环境空气影响有限</w:t>
            </w:r>
            <w:r>
              <w:rPr>
                <w:rFonts w:hint="eastAsia"/>
                <w:color w:val="auto"/>
                <w:highlight w:val="none"/>
                <w:lang w:eastAsia="zh-CN"/>
              </w:rPr>
              <w:t>；</w:t>
            </w:r>
          </w:p>
          <w:p w14:paraId="4637B5B6">
            <w:pPr>
              <w:pStyle w:val="23"/>
              <w:bidi w:val="0"/>
              <w:jc w:val="left"/>
              <w:rPr>
                <w:color w:val="auto"/>
                <w:highlight w:val="none"/>
              </w:rPr>
            </w:pPr>
            <w:r>
              <w:rPr>
                <w:color w:val="auto"/>
                <w:highlight w:val="none"/>
              </w:rPr>
              <w:t>③项目变压器油发生</w:t>
            </w:r>
            <w:r>
              <w:rPr>
                <w:rFonts w:hint="eastAsia"/>
                <w:color w:val="auto"/>
                <w:highlight w:val="none"/>
              </w:rPr>
              <w:t>泄漏</w:t>
            </w:r>
            <w:r>
              <w:rPr>
                <w:color w:val="auto"/>
                <w:highlight w:val="none"/>
              </w:rPr>
              <w:t>，若进入土壤渗漏，矿物油类进入地层包气带，随着大气降水下渗进入地下含水层，形成一个油污团从山顶向山下扩散，对区域地下水环境造成污染。</w:t>
            </w:r>
          </w:p>
        </w:tc>
      </w:tr>
      <w:tr w14:paraId="0CD65A6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7" w:type="pct"/>
            <w:tcBorders>
              <w:tl2br w:val="nil"/>
              <w:tr2bl w:val="nil"/>
            </w:tcBorders>
            <w:noWrap w:val="0"/>
            <w:vAlign w:val="center"/>
          </w:tcPr>
          <w:p w14:paraId="4AD49453">
            <w:pPr>
              <w:pStyle w:val="23"/>
              <w:bidi w:val="0"/>
              <w:rPr>
                <w:color w:val="auto"/>
                <w:highlight w:val="none"/>
              </w:rPr>
            </w:pPr>
            <w:r>
              <w:rPr>
                <w:color w:val="auto"/>
                <w:highlight w:val="none"/>
              </w:rPr>
              <w:t>风险防范措施要求</w:t>
            </w:r>
          </w:p>
        </w:tc>
        <w:tc>
          <w:tcPr>
            <w:tcW w:w="4022" w:type="pct"/>
            <w:gridSpan w:val="4"/>
            <w:tcBorders>
              <w:tl2br w:val="nil"/>
              <w:tr2bl w:val="nil"/>
            </w:tcBorders>
            <w:noWrap w:val="0"/>
            <w:vAlign w:val="center"/>
          </w:tcPr>
          <w:p w14:paraId="53AE0747">
            <w:pPr>
              <w:pStyle w:val="23"/>
              <w:bidi w:val="0"/>
              <w:jc w:val="left"/>
              <w:rPr>
                <w:rFonts w:hint="eastAsia"/>
                <w:color w:val="auto"/>
                <w:highlight w:val="none"/>
                <w:lang w:eastAsia="zh-CN"/>
              </w:rPr>
            </w:pPr>
            <w:r>
              <w:rPr>
                <w:rFonts w:hint="eastAsia"/>
                <w:color w:val="auto"/>
                <w:highlight w:val="none"/>
                <w:lang w:eastAsia="zh-CN"/>
              </w:rPr>
              <w:t>①现有</w:t>
            </w:r>
            <w:r>
              <w:rPr>
                <w:color w:val="auto"/>
                <w:highlight w:val="none"/>
              </w:rPr>
              <w:t>升压站变压器的下方</w:t>
            </w:r>
            <w:r>
              <w:rPr>
                <w:rFonts w:hint="eastAsia"/>
                <w:color w:val="auto"/>
                <w:highlight w:val="none"/>
                <w:lang w:eastAsia="zh-CN"/>
              </w:rPr>
              <w:t>已</w:t>
            </w:r>
            <w:r>
              <w:rPr>
                <w:color w:val="auto"/>
                <w:highlight w:val="none"/>
              </w:rPr>
              <w:t>建立</w:t>
            </w:r>
            <w:r>
              <w:rPr>
                <w:rFonts w:hint="eastAsia"/>
                <w:color w:val="auto"/>
                <w:highlight w:val="none"/>
                <w:lang w:val="en-US" w:eastAsia="zh-CN"/>
              </w:rPr>
              <w:t>1个半</w:t>
            </w:r>
            <w:r>
              <w:rPr>
                <w:rFonts w:hint="eastAsia"/>
                <w:color w:val="auto"/>
                <w:highlight w:val="none"/>
                <w:lang w:eastAsia="zh-CN"/>
              </w:rPr>
              <w:t>地</w:t>
            </w:r>
            <w:r>
              <w:rPr>
                <w:color w:val="auto"/>
                <w:highlight w:val="none"/>
              </w:rPr>
              <w:t>埋式事故集油池</w:t>
            </w:r>
            <w:r>
              <w:rPr>
                <w:rFonts w:hint="eastAsia"/>
                <w:color w:val="auto"/>
                <w:highlight w:val="none"/>
                <w:lang w:eastAsia="zh-CN"/>
              </w:rPr>
              <w:t>（</w:t>
            </w:r>
            <w:r>
              <w:rPr>
                <w:rFonts w:hint="eastAsia"/>
                <w:color w:val="auto"/>
                <w:highlight w:val="none"/>
                <w:lang w:val="en-US" w:eastAsia="zh-CN"/>
              </w:rPr>
              <w:t>30m</w:t>
            </w:r>
            <w:r>
              <w:rPr>
                <w:rFonts w:hint="eastAsia"/>
                <w:color w:val="auto"/>
                <w:highlight w:val="none"/>
                <w:vertAlign w:val="superscript"/>
                <w:lang w:val="en-US" w:eastAsia="zh-CN"/>
              </w:rPr>
              <w:t>3</w:t>
            </w:r>
            <w:r>
              <w:rPr>
                <w:rFonts w:hint="eastAsia"/>
                <w:color w:val="auto"/>
                <w:highlight w:val="none"/>
                <w:lang w:eastAsia="zh-CN"/>
              </w:rPr>
              <w:t>）</w:t>
            </w:r>
            <w:r>
              <w:rPr>
                <w:color w:val="auto"/>
                <w:highlight w:val="none"/>
              </w:rPr>
              <w:t>，并在主变压器四周设置排油沟槽，相关的管道、池壁和池底均进行水泥防渗处理，以免污染物下渗对周边区域地下水环境造成影响</w:t>
            </w:r>
            <w:r>
              <w:rPr>
                <w:rFonts w:hint="eastAsia"/>
                <w:color w:val="auto"/>
                <w:highlight w:val="none"/>
                <w:lang w:eastAsia="zh-CN"/>
              </w:rPr>
              <w:t>；</w:t>
            </w:r>
          </w:p>
          <w:p w14:paraId="7DFF4525">
            <w:pPr>
              <w:pStyle w:val="23"/>
              <w:bidi w:val="0"/>
              <w:jc w:val="left"/>
              <w:rPr>
                <w:color w:val="auto"/>
                <w:highlight w:val="none"/>
              </w:rPr>
            </w:pPr>
            <w:r>
              <w:rPr>
                <w:rFonts w:hint="eastAsia"/>
                <w:color w:val="auto"/>
                <w:highlight w:val="none"/>
                <w:lang w:eastAsia="zh-CN"/>
              </w:rPr>
              <w:t>②</w:t>
            </w:r>
            <w:r>
              <w:rPr>
                <w:rFonts w:hint="eastAsia"/>
                <w:color w:val="auto"/>
                <w:highlight w:val="none"/>
                <w:lang w:val="sq-AL" w:eastAsia="zh-CN"/>
              </w:rPr>
              <w:t>本项目各箱式变压器下方各设置1个1.5m</w:t>
            </w:r>
            <w:r>
              <w:rPr>
                <w:rFonts w:hint="eastAsia"/>
                <w:color w:val="auto"/>
                <w:highlight w:val="none"/>
                <w:vertAlign w:val="superscript"/>
                <w:lang w:val="sq-AL" w:eastAsia="zh-CN"/>
              </w:rPr>
              <w:t>3</w:t>
            </w:r>
            <w:r>
              <w:rPr>
                <w:rFonts w:hint="eastAsia"/>
                <w:color w:val="auto"/>
                <w:highlight w:val="none"/>
                <w:lang w:val="sq-AL" w:eastAsia="zh-CN"/>
              </w:rPr>
              <w:t>的事故油池，共</w:t>
            </w:r>
            <w:r>
              <w:rPr>
                <w:rFonts w:hint="eastAsia"/>
                <w:color w:val="auto"/>
                <w:highlight w:val="none"/>
                <w:lang w:val="en-US" w:eastAsia="zh-CN"/>
              </w:rPr>
              <w:t>2</w:t>
            </w:r>
            <w:r>
              <w:rPr>
                <w:rFonts w:hint="eastAsia"/>
                <w:color w:val="auto"/>
                <w:highlight w:val="none"/>
                <w:lang w:val="sq-AL" w:eastAsia="zh-CN"/>
              </w:rPr>
              <w:t>0个事故油池，同时箱式变压器一旦发生漏油事件将无法正常运行，因此，箱式变压器漏油事件可被及时发现</w:t>
            </w:r>
            <w:r>
              <w:rPr>
                <w:color w:val="auto"/>
                <w:highlight w:val="none"/>
              </w:rPr>
              <w:t>。</w:t>
            </w:r>
          </w:p>
        </w:tc>
      </w:tr>
      <w:tr w14:paraId="35AC06A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5"/>
            <w:tcBorders>
              <w:tl2br w:val="nil"/>
              <w:tr2bl w:val="nil"/>
            </w:tcBorders>
            <w:noWrap w:val="0"/>
            <w:vAlign w:val="center"/>
          </w:tcPr>
          <w:p w14:paraId="31D7848E">
            <w:pPr>
              <w:pStyle w:val="23"/>
              <w:bidi w:val="0"/>
              <w:jc w:val="both"/>
              <w:rPr>
                <w:color w:val="auto"/>
                <w:highlight w:val="none"/>
              </w:rPr>
            </w:pPr>
            <w:r>
              <w:rPr>
                <w:color w:val="auto"/>
                <w:highlight w:val="none"/>
              </w:rPr>
              <w:t>填表说明（列出项目相关信息及评价说明）</w:t>
            </w:r>
          </w:p>
        </w:tc>
      </w:tr>
    </w:tbl>
    <w:p w14:paraId="60B2003E">
      <w:pPr>
        <w:pStyle w:val="25"/>
        <w:rPr>
          <w:color w:val="auto"/>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6BFBEC18">
      <w:pPr>
        <w:pStyle w:val="3"/>
        <w:rPr>
          <w:rFonts w:hint="default" w:ascii="Times New Roman" w:hAnsi="Times New Roman" w:cs="Times New Roman"/>
          <w:color w:val="auto"/>
          <w:highlight w:val="none"/>
        </w:rPr>
      </w:pPr>
      <w:bookmarkStart w:id="96" w:name="_Toc15719"/>
      <w:r>
        <w:rPr>
          <w:rFonts w:hint="default" w:ascii="Times New Roman" w:hAnsi="Times New Roman" w:cs="Times New Roman"/>
          <w:color w:val="auto"/>
          <w:highlight w:val="none"/>
          <w:lang w:val="en-US" w:eastAsia="zh-CN"/>
        </w:rPr>
        <w:t>污染防治措施可行性分析</w:t>
      </w:r>
      <w:bookmarkEnd w:id="96"/>
    </w:p>
    <w:p w14:paraId="09FAE3D9">
      <w:pPr>
        <w:pStyle w:val="4"/>
        <w:bidi w:val="0"/>
        <w:rPr>
          <w:rFonts w:hint="default" w:ascii="Times New Roman" w:hAnsi="Times New Roman" w:cs="Times New Roman"/>
          <w:color w:val="auto"/>
          <w:highlight w:val="none"/>
        </w:rPr>
      </w:pPr>
      <w:bookmarkStart w:id="97" w:name="_Toc10109"/>
      <w:r>
        <w:rPr>
          <w:rFonts w:hint="eastAsia" w:cs="Times New Roman"/>
          <w:color w:val="auto"/>
          <w:highlight w:val="none"/>
          <w:lang w:eastAsia="zh-CN"/>
        </w:rPr>
        <w:t>设计阶段环境保护措施</w:t>
      </w:r>
      <w:bookmarkEnd w:id="97"/>
    </w:p>
    <w:p w14:paraId="1146FFCC">
      <w:pPr>
        <w:bidi w:val="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rPr>
        <w:t>生态影响的避免就是采取适当的措施，尽可能在最大程度上避免不利的生态 影响。生态影响的避免是对具有重要生态功能的环境予以绝对保护而采取的措 施。一般通过更改项目选址、工程设计、施工方案，道路改线，变更项目内容或 规模等手段避免项目造成难以挽回的环境损失。根据本工程特点，建议以下生态 影响的避免措施：</w:t>
      </w:r>
    </w:p>
    <w:p w14:paraId="66A3902C">
      <w:pPr>
        <w:bidi w:val="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rPr>
        <w:t>(1)优化场内道路的布设，场内道路应尽量利用现有乡村小路或山间便道、防火道路，尽量选择荒地、未利用地等区域，减轻工程对评价区林地的破坏。</w:t>
      </w:r>
    </w:p>
    <w:p w14:paraId="7B963614">
      <w:pPr>
        <w:bidi w:val="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rPr>
        <w:t>(2)优化风电机组区施工布置，风机基础平台应尽量利用山头的自然地势和环境，杜绝对山头进行大面积平整，避开植被发育、地形险要区域，尽量选择在山势较为平缓的山脊建设。</w:t>
      </w:r>
    </w:p>
    <w:p w14:paraId="36E048F7">
      <w:pPr>
        <w:bidi w:val="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rPr>
        <w:t>(3)优化集电线路布置，对于直埋集电线路，要求灵活布置。</w:t>
      </w:r>
    </w:p>
    <w:p w14:paraId="16E516A1">
      <w:pPr>
        <w:bidi w:val="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rPr>
        <w:t>(4)优化临时占地区的选址，本工程临时占地区主要有弃渣场区、生产生活区、临时道路区等，临时占地区选址应尽量选择裸地、荒地、未利用地，对临时占地区采取“永临结合”的方式，尽量减小本工程对占用区植被的影响。施工结束后，应及时对临时占地区域采取平整压实处理，避免水土流失等对植被的破 坏。</w:t>
      </w:r>
    </w:p>
    <w:p w14:paraId="03899123">
      <w:pPr>
        <w:bidi w:val="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rPr>
        <w:t>(5)优化施工时间，施工期应避免在雨季施工，同时减少土石方的开挖以及树木的砍伐，减少施工垃圾量的产生，及时清除多余的土方和石料，严禁就地 倾倒覆压植被，同时采取护坡、挡土墙等防护措施，避免水土流失。</w:t>
      </w:r>
    </w:p>
    <w:p w14:paraId="38AE60BD">
      <w:pPr>
        <w:bidi w:val="0"/>
        <w:rPr>
          <w:rFonts w:ascii="Times New Roman" w:hAnsi="Times New Roman" w:eastAsia="宋体" w:cs="Times New Roman"/>
          <w:color w:val="auto"/>
          <w:highlight w:val="none"/>
        </w:rPr>
      </w:pPr>
      <w:r>
        <w:rPr>
          <w:rFonts w:hint="eastAsia" w:ascii="Times New Roman" w:hAnsi="Times New Roman" w:eastAsia="宋体" w:cs="Times New Roman"/>
          <w:color w:val="auto"/>
          <w:highlight w:val="none"/>
        </w:rPr>
        <w:t>(6)加强施工监理，施工活动要保证在征地红线范围内进行，禁止施工人员越线施工。</w:t>
      </w:r>
    </w:p>
    <w:p w14:paraId="1473192D">
      <w:pPr>
        <w:pStyle w:val="4"/>
        <w:bidi w:val="0"/>
        <w:rPr>
          <w:rFonts w:hint="default" w:ascii="Times New Roman" w:hAnsi="Times New Roman" w:cs="Times New Roman"/>
          <w:color w:val="auto"/>
          <w:highlight w:val="none"/>
        </w:rPr>
      </w:pPr>
      <w:bookmarkStart w:id="98" w:name="_Toc14047"/>
      <w:r>
        <w:rPr>
          <w:rFonts w:hint="eastAsia" w:cs="Times New Roman"/>
          <w:color w:val="auto"/>
          <w:highlight w:val="none"/>
          <w:lang w:eastAsia="zh-CN"/>
        </w:rPr>
        <w:t>施工期环境保护措施及建议</w:t>
      </w:r>
      <w:bookmarkEnd w:id="98"/>
    </w:p>
    <w:p w14:paraId="70CBA86F">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施工期生态保护措施</w:t>
      </w:r>
    </w:p>
    <w:p w14:paraId="26633027">
      <w:pPr>
        <w:pStyle w:val="6"/>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施工期占地生态保护措施</w:t>
      </w:r>
    </w:p>
    <w:p w14:paraId="732B6C28">
      <w:pPr>
        <w:pStyle w:val="29"/>
        <w:ind w:firstLine="480"/>
        <w:jc w:val="left"/>
        <w:rPr>
          <w:rFonts w:hAnsi="宋体" w:cs="Times New Roman"/>
          <w:color w:val="auto"/>
          <w:highlight w:val="none"/>
        </w:rPr>
      </w:pPr>
      <w:r>
        <w:rPr>
          <w:rFonts w:hAnsi="宋体" w:cs="Times New Roman"/>
          <w:color w:val="auto"/>
          <w:highlight w:val="none"/>
        </w:rPr>
        <w:t>（1）永久占地生态影响减缓措施</w:t>
      </w:r>
    </w:p>
    <w:p w14:paraId="09D4A4F4">
      <w:pPr>
        <w:pStyle w:val="29"/>
        <w:ind w:firstLine="480"/>
        <w:jc w:val="left"/>
        <w:rPr>
          <w:rFonts w:hAnsi="宋体" w:cs="Times New Roman"/>
          <w:color w:val="auto"/>
          <w:highlight w:val="none"/>
        </w:rPr>
      </w:pPr>
      <w:r>
        <w:rPr>
          <w:rFonts w:hint="eastAsia" w:hAnsi="宋体" w:cs="Times New Roman"/>
          <w:color w:val="auto"/>
          <w:highlight w:val="none"/>
        </w:rPr>
        <w:t>项目</w:t>
      </w:r>
      <w:r>
        <w:rPr>
          <w:rFonts w:hAnsi="宋体" w:cs="Times New Roman"/>
          <w:color w:val="auto"/>
          <w:highlight w:val="none"/>
        </w:rPr>
        <w:t>风机基础、箱变基础、升压站等永久占地严格根据施工规范施工，避免因增加施工占地进一步造成对周边地表植被破坏；尽量利用植被条件较差的区域，在借土填筑路基时，做好填挖平衡，开挖产生的弃土主要就近回填道路；同时严格按照设计要求控制各种施工场地用地面积，防止滥用土地，以减少对植被的破坏。</w:t>
      </w:r>
    </w:p>
    <w:p w14:paraId="7B2FBE18">
      <w:pPr>
        <w:pStyle w:val="29"/>
        <w:ind w:firstLine="480"/>
        <w:jc w:val="left"/>
        <w:rPr>
          <w:rFonts w:hAnsi="宋体" w:cs="Times New Roman"/>
          <w:color w:val="auto"/>
          <w:highlight w:val="none"/>
        </w:rPr>
      </w:pPr>
      <w:r>
        <w:rPr>
          <w:rFonts w:hAnsi="宋体" w:cs="Times New Roman"/>
          <w:color w:val="auto"/>
          <w:highlight w:val="none"/>
        </w:rPr>
        <w:t>（2）临时占地生态保护措施</w:t>
      </w:r>
    </w:p>
    <w:p w14:paraId="01717593">
      <w:pPr>
        <w:pStyle w:val="29"/>
        <w:ind w:firstLine="480"/>
        <w:jc w:val="left"/>
        <w:rPr>
          <w:rFonts w:hAnsi="宋体" w:cs="Times New Roman"/>
          <w:color w:val="auto"/>
          <w:highlight w:val="none"/>
        </w:rPr>
      </w:pPr>
      <w:r>
        <w:rPr>
          <w:rFonts w:hAnsi="宋体" w:cs="Times New Roman"/>
          <w:color w:val="auto"/>
          <w:highlight w:val="none"/>
        </w:rPr>
        <w:t>①项目风机安装场地、施工道路等临时占地施工时也应严格按照施工规范进行，不得扩大临时占地施工区域，避免进一步扩大对周边区域地表植被的破坏。就近利用洼地、道路内弯堆积废方并做好挡墙等水土保持设施，如就近没有挖方可以利用，也可选择植被比较稀疏、运输又较为方便的山坡、低丘等地，采取集中取土的措施，把修路造地和平整土地较好地结合起来。</w:t>
      </w:r>
    </w:p>
    <w:p w14:paraId="2031FB41">
      <w:pPr>
        <w:pStyle w:val="29"/>
        <w:ind w:firstLine="480"/>
        <w:jc w:val="left"/>
        <w:rPr>
          <w:rFonts w:hAnsi="宋体" w:cs="Times New Roman"/>
          <w:color w:val="auto"/>
          <w:highlight w:val="none"/>
        </w:rPr>
      </w:pPr>
      <w:r>
        <w:rPr>
          <w:rFonts w:hAnsi="宋体" w:cs="Times New Roman"/>
          <w:color w:val="auto"/>
          <w:highlight w:val="none"/>
        </w:rPr>
        <w:t>②设置施工生产区一</w:t>
      </w:r>
      <w:r>
        <w:rPr>
          <w:rFonts w:hint="eastAsia" w:hAnsi="宋体" w:cs="Times New Roman"/>
          <w:color w:val="auto"/>
          <w:highlight w:val="none"/>
        </w:rPr>
        <w:t>处</w:t>
      </w:r>
      <w:r>
        <w:rPr>
          <w:rFonts w:hAnsi="宋体" w:cs="Times New Roman"/>
          <w:color w:val="auto"/>
          <w:highlight w:val="none"/>
        </w:rPr>
        <w:t>，结合项目区域实际情况，设置在升压站</w:t>
      </w:r>
      <w:r>
        <w:rPr>
          <w:rFonts w:hint="eastAsia" w:hAnsi="宋体" w:cs="Times New Roman"/>
          <w:color w:val="auto"/>
          <w:highlight w:val="none"/>
        </w:rPr>
        <w:t>北</w:t>
      </w:r>
      <w:r>
        <w:rPr>
          <w:rFonts w:hAnsi="宋体" w:cs="Times New Roman"/>
          <w:color w:val="auto"/>
          <w:highlight w:val="none"/>
        </w:rPr>
        <w:t>侧，尽量减少施工生产区的临时占地面积；同时避免占用耕地，主要</w:t>
      </w:r>
      <w:r>
        <w:rPr>
          <w:rFonts w:hint="eastAsia" w:hAnsi="宋体" w:cs="Times New Roman"/>
          <w:color w:val="auto"/>
          <w:highlight w:val="none"/>
        </w:rPr>
        <w:t>利用</w:t>
      </w:r>
      <w:r>
        <w:rPr>
          <w:rFonts w:hAnsi="宋体" w:cs="Times New Roman"/>
          <w:color w:val="auto"/>
          <w:highlight w:val="none"/>
        </w:rPr>
        <w:t>荒地和草地。</w:t>
      </w:r>
    </w:p>
    <w:p w14:paraId="676228A8">
      <w:pPr>
        <w:pStyle w:val="29"/>
        <w:ind w:firstLine="480"/>
        <w:jc w:val="left"/>
        <w:rPr>
          <w:rFonts w:hAnsi="宋体" w:cs="Times New Roman"/>
          <w:color w:val="auto"/>
          <w:highlight w:val="none"/>
        </w:rPr>
      </w:pPr>
      <w:r>
        <w:rPr>
          <w:rFonts w:hAnsi="宋体" w:cs="Times New Roman"/>
          <w:color w:val="auto"/>
          <w:highlight w:val="none"/>
        </w:rPr>
        <w:t>③施工道路生态保护措施</w:t>
      </w:r>
    </w:p>
    <w:p w14:paraId="58DC86C4">
      <w:pPr>
        <w:pStyle w:val="29"/>
        <w:ind w:firstLine="480"/>
        <w:jc w:val="left"/>
        <w:rPr>
          <w:rFonts w:hAnsi="宋体" w:cs="Times New Roman"/>
          <w:color w:val="auto"/>
          <w:highlight w:val="none"/>
        </w:rPr>
      </w:pPr>
      <w:r>
        <w:rPr>
          <w:rFonts w:hAnsi="宋体" w:cs="Times New Roman"/>
          <w:color w:val="auto"/>
          <w:highlight w:val="none"/>
        </w:rPr>
        <w:t>a合理规划设计施工道路，采取半挖变填方式减少占地和弃土</w:t>
      </w:r>
      <w:r>
        <w:rPr>
          <w:rFonts w:hint="eastAsia" w:hAnsi="宋体" w:cs="Times New Roman"/>
          <w:color w:val="auto"/>
          <w:highlight w:val="none"/>
        </w:rPr>
        <w:t>量</w:t>
      </w:r>
      <w:r>
        <w:rPr>
          <w:rFonts w:hAnsi="宋体" w:cs="Times New Roman"/>
          <w:color w:val="auto"/>
          <w:highlight w:val="none"/>
        </w:rPr>
        <w:t>，减少新增临时占地；线路穿越林地时，尽量选择在森林的边缘穿过，以避免形成新的隔离带，山体易滑坡的地方，施工后及时种植一些根系发达的物种或者建好防护坡，以防止因为施工道路的修建造成新的水土流失。</w:t>
      </w:r>
    </w:p>
    <w:p w14:paraId="7BCB0185">
      <w:pPr>
        <w:pStyle w:val="29"/>
        <w:ind w:firstLine="480"/>
        <w:jc w:val="left"/>
        <w:rPr>
          <w:rFonts w:hAnsi="宋体" w:cs="Times New Roman"/>
          <w:color w:val="auto"/>
          <w:highlight w:val="none"/>
        </w:rPr>
      </w:pPr>
      <w:r>
        <w:rPr>
          <w:rFonts w:hAnsi="宋体" w:cs="Times New Roman"/>
          <w:color w:val="auto"/>
          <w:highlight w:val="none"/>
        </w:rPr>
        <w:t>b新建施工道路应在保证满足施工运输的前提下，进一步缩减施工道路宽度，减少临时占地；施工道路设置为泥结碎石路面，以便于施工结束后施工道路临时占地的清理整治和植被恢复。</w:t>
      </w:r>
    </w:p>
    <w:p w14:paraId="31B2DA03">
      <w:pPr>
        <w:pStyle w:val="29"/>
        <w:ind w:firstLine="480"/>
        <w:jc w:val="left"/>
        <w:rPr>
          <w:rFonts w:hAnsi="宋体" w:cs="Times New Roman"/>
          <w:color w:val="auto"/>
          <w:highlight w:val="none"/>
        </w:rPr>
      </w:pPr>
      <w:r>
        <w:rPr>
          <w:rFonts w:hAnsi="宋体" w:cs="Times New Roman"/>
          <w:color w:val="auto"/>
          <w:highlight w:val="none"/>
        </w:rPr>
        <w:t>④弃渣场生态保护措施</w:t>
      </w:r>
    </w:p>
    <w:p w14:paraId="6BDEEB7E">
      <w:pPr>
        <w:pStyle w:val="29"/>
        <w:ind w:firstLine="480"/>
        <w:jc w:val="left"/>
        <w:rPr>
          <w:rFonts w:hAnsi="宋体" w:cs="Times New Roman"/>
          <w:color w:val="auto"/>
          <w:highlight w:val="none"/>
        </w:rPr>
      </w:pPr>
      <w:r>
        <w:rPr>
          <w:rFonts w:hAnsi="宋体" w:cs="Times New Roman"/>
          <w:color w:val="auto"/>
          <w:highlight w:val="none"/>
        </w:rPr>
        <w:t>应预先对弃渣场表土进行剥离，并集中在场内不影响施工的角落堆放，表面采用地表剥离的植被进行覆盖，坡脚采用装土编织袋或石块进行拦挡防护。弃渣场设置必要的防护设施和排水设施，防止水土流失，做到先挡后弃。</w:t>
      </w:r>
    </w:p>
    <w:p w14:paraId="1D2ACA0E">
      <w:pPr>
        <w:pStyle w:val="29"/>
        <w:ind w:firstLine="480"/>
        <w:jc w:val="left"/>
        <w:rPr>
          <w:rFonts w:hAnsi="宋体" w:cs="Times New Roman"/>
          <w:color w:val="auto"/>
          <w:highlight w:val="none"/>
        </w:rPr>
      </w:pPr>
      <w:r>
        <w:rPr>
          <w:rFonts w:hint="eastAsia" w:hAnsi="宋体" w:cs="Times New Roman"/>
          <w:color w:val="auto"/>
          <w:highlight w:val="none"/>
        </w:rPr>
        <w:t>以上临时占地区域在施工结束后均应做好植被恢复工作，在占用过程中造成相邻区域地表植被破坏的应立即进行植被恢复，对挖土造成水土流失风险的应立即进行防护防止水土流失。</w:t>
      </w:r>
    </w:p>
    <w:p w14:paraId="01E153AE">
      <w:pPr>
        <w:pStyle w:val="29"/>
        <w:ind w:firstLine="480"/>
        <w:jc w:val="left"/>
        <w:rPr>
          <w:rFonts w:hAnsi="宋体" w:cs="Times New Roman"/>
          <w:i w:val="0"/>
          <w:iCs w:val="0"/>
          <w:color w:val="auto"/>
          <w:highlight w:val="none"/>
          <w:u w:val="none"/>
        </w:rPr>
      </w:pPr>
      <w:r>
        <w:rPr>
          <w:rFonts w:hAnsi="宋体" w:cs="Times New Roman"/>
          <w:i w:val="0"/>
          <w:iCs w:val="0"/>
          <w:color w:val="auto"/>
          <w:highlight w:val="none"/>
          <w:u w:val="none"/>
        </w:rPr>
        <w:t>（3）表土生态保护措施</w:t>
      </w:r>
    </w:p>
    <w:p w14:paraId="48C2450D">
      <w:pPr>
        <w:pStyle w:val="29"/>
        <w:ind w:firstLine="480"/>
        <w:jc w:val="left"/>
        <w:rPr>
          <w:rFonts w:hint="eastAsia"/>
          <w:i w:val="0"/>
          <w:iCs w:val="0"/>
          <w:color w:val="auto"/>
          <w:highlight w:val="none"/>
          <w:u w:val="none"/>
        </w:rPr>
      </w:pPr>
      <w:r>
        <w:rPr>
          <w:rFonts w:hAnsi="宋体" w:cs="Times New Roman"/>
          <w:i w:val="0"/>
          <w:iCs w:val="0"/>
          <w:color w:val="auto"/>
          <w:highlight w:val="none"/>
          <w:u w:val="none"/>
        </w:rPr>
        <w:t>为保护有限的表土资源，施工前对风机安装场地、施工道路等临时占地表层土进行剥离，用于后期植被恢复覆土</w:t>
      </w:r>
      <w:r>
        <w:rPr>
          <w:rFonts w:hint="eastAsia" w:hAnsi="宋体" w:cs="Times New Roman"/>
          <w:i w:val="0"/>
          <w:iCs w:val="0"/>
          <w:color w:val="auto"/>
          <w:highlight w:val="none"/>
          <w:u w:val="none"/>
          <w:lang w:eastAsia="zh-CN"/>
        </w:rPr>
        <w:t>，</w:t>
      </w:r>
      <w:r>
        <w:rPr>
          <w:rFonts w:hint="eastAsia"/>
          <w:i w:val="0"/>
          <w:iCs w:val="0"/>
          <w:color w:val="auto"/>
          <w:highlight w:val="none"/>
          <w:u w:val="none"/>
        </w:rPr>
        <w:t>不外运弃置</w:t>
      </w:r>
      <w:r>
        <w:rPr>
          <w:rFonts w:hint="eastAsia" w:hAnsi="宋体" w:cs="Times New Roman"/>
          <w:i w:val="0"/>
          <w:iCs w:val="0"/>
          <w:color w:val="auto"/>
          <w:highlight w:val="none"/>
          <w:u w:val="none"/>
          <w:lang w:eastAsia="zh-CN"/>
        </w:rPr>
        <w:t>。</w:t>
      </w:r>
      <w:r>
        <w:rPr>
          <w:rFonts w:hAnsi="宋体" w:cs="Times New Roman"/>
          <w:i w:val="0"/>
          <w:iCs w:val="0"/>
          <w:color w:val="auto"/>
          <w:highlight w:val="none"/>
          <w:u w:val="none"/>
        </w:rPr>
        <w:t>根据项目区实际情况</w:t>
      </w:r>
      <w:r>
        <w:rPr>
          <w:rFonts w:hint="eastAsia"/>
          <w:i w:val="0"/>
          <w:iCs w:val="0"/>
          <w:color w:val="auto"/>
          <w:highlight w:val="none"/>
          <w:u w:val="none"/>
        </w:rPr>
        <w:t>，风机机组区剥离表土集中堆置于风机安装场地一角，不新增临时占地；交通道路区根据施工时序，可就近堆置于道路一侧或弯道平台区域，待路基成型后及时回覆于道路绿化区域；本工程选取的弃渣场地形相对平缓，弃渣场区表土剥离后在弃渣场范围内隔离出一小块区域堆放。集电线路中直埋线路剥离表土堆放于电缆沟一侧，施工临建设施区剥离表土堆放于施工临建区范围内。</w:t>
      </w:r>
    </w:p>
    <w:p w14:paraId="08E293B3">
      <w:pPr>
        <w:pStyle w:val="6"/>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陆生植物生态影响的避让与减缓措施</w:t>
      </w:r>
    </w:p>
    <w:p w14:paraId="051B2416">
      <w:pPr>
        <w:pStyle w:val="29"/>
        <w:ind w:firstLine="480"/>
        <w:jc w:val="left"/>
        <w:rPr>
          <w:rFonts w:cs="Times New Roman"/>
          <w:color w:val="auto"/>
          <w:highlight w:val="none"/>
        </w:rPr>
      </w:pPr>
      <w:bookmarkStart w:id="99" w:name="_Toc448490654"/>
      <w:r>
        <w:rPr>
          <w:rFonts w:hint="eastAsia" w:cs="Times New Roman"/>
          <w:color w:val="auto"/>
          <w:highlight w:val="none"/>
        </w:rPr>
        <w:t>（1）</w:t>
      </w:r>
      <w:r>
        <w:rPr>
          <w:rFonts w:cs="Times New Roman"/>
          <w:color w:val="auto"/>
          <w:highlight w:val="none"/>
        </w:rPr>
        <w:t>优化风电机</w:t>
      </w:r>
      <w:r>
        <w:rPr>
          <w:rFonts w:hint="eastAsia" w:cs="Times New Roman"/>
          <w:color w:val="auto"/>
          <w:highlight w:val="none"/>
        </w:rPr>
        <w:t>位</w:t>
      </w:r>
      <w:r>
        <w:rPr>
          <w:rFonts w:cs="Times New Roman"/>
          <w:color w:val="auto"/>
          <w:highlight w:val="none"/>
        </w:rPr>
        <w:t>布置，风机基础平台应尽量利用山头的自然地势和环境，杜绝对山头进行大面积平整，避开植被发育、地形险要区域，尽量选择在山势较为平缓的山脊建设。</w:t>
      </w:r>
    </w:p>
    <w:p w14:paraId="58552BC9">
      <w:pPr>
        <w:pStyle w:val="29"/>
        <w:ind w:firstLine="480"/>
        <w:jc w:val="left"/>
        <w:rPr>
          <w:rFonts w:cs="Times New Roman"/>
          <w:color w:val="auto"/>
          <w:highlight w:val="none"/>
        </w:rPr>
      </w:pPr>
      <w:r>
        <w:rPr>
          <w:rFonts w:hint="eastAsia" w:cs="Times New Roman"/>
          <w:color w:val="auto"/>
          <w:highlight w:val="none"/>
        </w:rPr>
        <w:t>（2）</w:t>
      </w:r>
      <w:r>
        <w:rPr>
          <w:rFonts w:cs="Times New Roman"/>
          <w:color w:val="auto"/>
          <w:highlight w:val="none"/>
        </w:rPr>
        <w:t>本工程临时占地区主要有弃渣场区、临时道路区等</w:t>
      </w:r>
      <w:r>
        <w:rPr>
          <w:rFonts w:hint="eastAsia" w:cs="Times New Roman"/>
          <w:color w:val="auto"/>
          <w:highlight w:val="none"/>
          <w:lang w:eastAsia="zh-CN"/>
        </w:rPr>
        <w:t>，施工临建区利用现有升压站及新建的风机安装平台，施工人员住宿租用山脚下民房，不新增占地</w:t>
      </w:r>
      <w:r>
        <w:rPr>
          <w:rFonts w:cs="Times New Roman"/>
          <w:color w:val="auto"/>
          <w:highlight w:val="none"/>
        </w:rPr>
        <w:t>。</w:t>
      </w:r>
    </w:p>
    <w:p w14:paraId="3E54D77B">
      <w:pPr>
        <w:pStyle w:val="29"/>
        <w:ind w:firstLine="480"/>
        <w:jc w:val="left"/>
        <w:rPr>
          <w:rFonts w:cs="Times New Roman"/>
          <w:color w:val="auto"/>
          <w:highlight w:val="none"/>
        </w:rPr>
      </w:pPr>
      <w:r>
        <w:rPr>
          <w:rFonts w:hint="eastAsia" w:cs="Times New Roman"/>
          <w:color w:val="auto"/>
          <w:highlight w:val="none"/>
        </w:rPr>
        <w:t>（3）保存原始地表表层土</w:t>
      </w:r>
      <w:r>
        <w:rPr>
          <w:rFonts w:cs="Times New Roman"/>
          <w:color w:val="auto"/>
          <w:highlight w:val="none"/>
        </w:rPr>
        <w:t>，用于今后的</w:t>
      </w:r>
      <w:r>
        <w:rPr>
          <w:rFonts w:hint="eastAsia" w:cs="Times New Roman"/>
          <w:color w:val="auto"/>
          <w:highlight w:val="none"/>
        </w:rPr>
        <w:t>地表回填，</w:t>
      </w:r>
      <w:r>
        <w:rPr>
          <w:rFonts w:cs="Times New Roman"/>
          <w:color w:val="auto"/>
          <w:highlight w:val="none"/>
        </w:rPr>
        <w:t>以恢复土壤</w:t>
      </w:r>
      <w:r>
        <w:rPr>
          <w:rFonts w:hint="eastAsia" w:cs="Times New Roman"/>
          <w:color w:val="auto"/>
          <w:highlight w:val="none"/>
        </w:rPr>
        <w:t>原有</w:t>
      </w:r>
      <w:r>
        <w:rPr>
          <w:rFonts w:cs="Times New Roman"/>
          <w:color w:val="auto"/>
          <w:highlight w:val="none"/>
        </w:rPr>
        <w:t>理化性质。临时表土堆存场应采取设土袋挡护、拍实、表层覆盖草垫或苫盖纤维布等覆盖物，进行临时防护。</w:t>
      </w:r>
    </w:p>
    <w:p w14:paraId="2EEEEF2C">
      <w:pPr>
        <w:pStyle w:val="29"/>
        <w:ind w:firstLine="480"/>
        <w:jc w:val="left"/>
        <w:rPr>
          <w:rFonts w:cs="Times New Roman"/>
          <w:color w:val="auto"/>
          <w:highlight w:val="none"/>
        </w:rPr>
      </w:pPr>
      <w:r>
        <w:rPr>
          <w:rFonts w:hint="eastAsia" w:cs="Times New Roman"/>
          <w:color w:val="auto"/>
          <w:highlight w:val="none"/>
        </w:rPr>
        <w:t>（4）</w:t>
      </w:r>
      <w:r>
        <w:rPr>
          <w:rFonts w:cs="Times New Roman"/>
          <w:color w:val="auto"/>
          <w:highlight w:val="none"/>
        </w:rPr>
        <w:t>对于</w:t>
      </w:r>
      <w:r>
        <w:rPr>
          <w:rFonts w:hint="eastAsia" w:cs="Times New Roman"/>
          <w:color w:val="auto"/>
          <w:highlight w:val="none"/>
        </w:rPr>
        <w:t>必</w:t>
      </w:r>
      <w:r>
        <w:rPr>
          <w:rFonts w:cs="Times New Roman"/>
          <w:color w:val="auto"/>
          <w:highlight w:val="none"/>
        </w:rPr>
        <w:t>需要在坡度大于15°的地区放置风机的区域，施工时应及时在坡脚处设置草袋挡土墙挡护或坡面种植草本植物等防护措施加以防护，以减少水土流失现象发生。严控高挖深填，余方沿线倾倒，减轻弃渣等对植物及其生长环境的影响。</w:t>
      </w:r>
    </w:p>
    <w:p w14:paraId="2BB05B1D">
      <w:pPr>
        <w:pStyle w:val="29"/>
        <w:ind w:firstLine="480"/>
        <w:jc w:val="left"/>
        <w:rPr>
          <w:rFonts w:cs="Times New Roman"/>
          <w:color w:val="auto"/>
          <w:highlight w:val="none"/>
        </w:rPr>
      </w:pPr>
      <w:r>
        <w:rPr>
          <w:rFonts w:hint="eastAsia" w:cs="Times New Roman"/>
          <w:color w:val="auto"/>
          <w:highlight w:val="none"/>
        </w:rPr>
        <w:t>（5）</w:t>
      </w:r>
      <w:r>
        <w:rPr>
          <w:rFonts w:cs="Times New Roman"/>
          <w:color w:val="auto"/>
          <w:highlight w:val="none"/>
        </w:rPr>
        <w:t>施工结束后，应及时对临时占地进行植被恢复。工程临时占地区植被恢复尽量选用乔-灌-草相结合的方式进行绿化，绿化树种选择应在“适地适树”的原则下，尽量以当地的优良乡土树种为主，适当引进新的优良树种、草种，保证绿化栽植的成活率。</w:t>
      </w:r>
    </w:p>
    <w:p w14:paraId="4466801C">
      <w:pPr>
        <w:pStyle w:val="29"/>
        <w:ind w:firstLine="480"/>
        <w:jc w:val="left"/>
        <w:rPr>
          <w:rFonts w:cs="Times New Roman"/>
          <w:color w:val="auto"/>
          <w:highlight w:val="none"/>
        </w:rPr>
      </w:pPr>
      <w:r>
        <w:rPr>
          <w:rFonts w:hint="eastAsia" w:cs="Times New Roman"/>
          <w:color w:val="auto"/>
          <w:highlight w:val="none"/>
        </w:rPr>
        <w:t>（6）</w:t>
      </w:r>
      <w:r>
        <w:rPr>
          <w:rFonts w:cs="Times New Roman"/>
          <w:color w:val="auto"/>
          <w:highlight w:val="none"/>
        </w:rPr>
        <w:t>运输粉末</w:t>
      </w:r>
      <w:r>
        <w:rPr>
          <w:rFonts w:hint="eastAsia" w:cs="Times New Roman"/>
          <w:color w:val="auto"/>
          <w:highlight w:val="none"/>
        </w:rPr>
        <w:t>状</w:t>
      </w:r>
      <w:r>
        <w:rPr>
          <w:rFonts w:cs="Times New Roman"/>
          <w:color w:val="auto"/>
          <w:highlight w:val="none"/>
        </w:rPr>
        <w:t>散料的车辆应用防尘篷布遮盖严实，避免其散落对周围植物产生的不利影响。</w:t>
      </w:r>
    </w:p>
    <w:p w14:paraId="46022876">
      <w:pPr>
        <w:pStyle w:val="29"/>
        <w:ind w:firstLine="480"/>
        <w:jc w:val="left"/>
        <w:rPr>
          <w:rFonts w:cs="Times New Roman"/>
          <w:color w:val="auto"/>
          <w:highlight w:val="none"/>
        </w:rPr>
      </w:pPr>
      <w:r>
        <w:rPr>
          <w:rFonts w:hint="eastAsia" w:cs="Times New Roman"/>
          <w:color w:val="auto"/>
          <w:highlight w:val="none"/>
        </w:rPr>
        <w:t>（7）</w:t>
      </w:r>
      <w:r>
        <w:rPr>
          <w:rFonts w:cs="Times New Roman"/>
          <w:color w:val="auto"/>
          <w:highlight w:val="none"/>
        </w:rPr>
        <w:t>严格划定并圈禁施工范围，严禁对施工场地以外的林木滥砍滥伐、剪枝去顶等。</w:t>
      </w:r>
    </w:p>
    <w:p w14:paraId="6B1DEC42">
      <w:pPr>
        <w:pStyle w:val="29"/>
        <w:ind w:firstLine="480"/>
        <w:jc w:val="left"/>
        <w:rPr>
          <w:rFonts w:cs="Times New Roman"/>
          <w:color w:val="auto"/>
          <w:highlight w:val="none"/>
        </w:rPr>
      </w:pPr>
      <w:r>
        <w:rPr>
          <w:rFonts w:hint="eastAsia" w:cs="Times New Roman"/>
          <w:color w:val="auto"/>
          <w:highlight w:val="none"/>
        </w:rPr>
        <w:t>（8）</w:t>
      </w:r>
      <w:r>
        <w:rPr>
          <w:rFonts w:cs="Times New Roman"/>
          <w:color w:val="auto"/>
          <w:highlight w:val="none"/>
        </w:rPr>
        <w:t>严格按照水土保持方案规划的弃渣和表土堆放地点，禁止在弃渣在规划弃渣点以外位置随意堆放。</w:t>
      </w:r>
    </w:p>
    <w:p w14:paraId="1A6915D7">
      <w:pPr>
        <w:pStyle w:val="29"/>
        <w:ind w:firstLine="480"/>
        <w:jc w:val="left"/>
        <w:rPr>
          <w:rFonts w:cs="Times New Roman"/>
          <w:color w:val="auto"/>
          <w:highlight w:val="none"/>
        </w:rPr>
      </w:pPr>
      <w:r>
        <w:rPr>
          <w:rFonts w:hint="eastAsia" w:cs="Times New Roman"/>
          <w:color w:val="auto"/>
          <w:highlight w:val="none"/>
        </w:rPr>
        <w:t>（9）</w:t>
      </w:r>
      <w:r>
        <w:rPr>
          <w:rFonts w:cs="Times New Roman"/>
          <w:color w:val="auto"/>
          <w:highlight w:val="none"/>
        </w:rPr>
        <w:t>采用先进的长件运输车辆，减少弯道开挖量。</w:t>
      </w:r>
    </w:p>
    <w:p w14:paraId="59F945C3">
      <w:pPr>
        <w:pStyle w:val="29"/>
        <w:ind w:firstLine="480"/>
        <w:jc w:val="left"/>
        <w:rPr>
          <w:rFonts w:cs="Times New Roman"/>
          <w:color w:val="auto"/>
          <w:highlight w:val="none"/>
        </w:rPr>
      </w:pPr>
      <w:r>
        <w:rPr>
          <w:rFonts w:hint="eastAsia" w:cs="Times New Roman"/>
          <w:color w:val="auto"/>
          <w:highlight w:val="none"/>
        </w:rPr>
        <w:t>（1</w:t>
      </w:r>
      <w:r>
        <w:rPr>
          <w:rFonts w:cs="Times New Roman"/>
          <w:color w:val="auto"/>
          <w:highlight w:val="none"/>
        </w:rPr>
        <w:t>0</w:t>
      </w:r>
      <w:r>
        <w:rPr>
          <w:rFonts w:hint="eastAsia" w:cs="Times New Roman"/>
          <w:color w:val="auto"/>
          <w:highlight w:val="none"/>
        </w:rPr>
        <w:t>）</w:t>
      </w:r>
      <w:r>
        <w:rPr>
          <w:rFonts w:cs="Times New Roman"/>
          <w:color w:val="auto"/>
          <w:highlight w:val="none"/>
        </w:rPr>
        <w:t>施工期应避免在雨季施工，</w:t>
      </w:r>
      <w:r>
        <w:rPr>
          <w:rFonts w:hint="eastAsia" w:cs="Times New Roman"/>
          <w:color w:val="auto"/>
          <w:highlight w:val="none"/>
        </w:rPr>
        <w:t>以避免产生严重的水土流失现象</w:t>
      </w:r>
      <w:r>
        <w:rPr>
          <w:rFonts w:cs="Times New Roman"/>
          <w:color w:val="auto"/>
          <w:highlight w:val="none"/>
        </w:rPr>
        <w:t>。</w:t>
      </w:r>
    </w:p>
    <w:p w14:paraId="46CF50F9">
      <w:pPr>
        <w:pStyle w:val="29"/>
        <w:ind w:firstLine="480"/>
        <w:jc w:val="left"/>
        <w:rPr>
          <w:rFonts w:cs="Times New Roman"/>
          <w:color w:val="auto"/>
          <w:highlight w:val="none"/>
        </w:rPr>
      </w:pPr>
      <w:r>
        <w:rPr>
          <w:rFonts w:hint="eastAsia" w:cs="Times New Roman"/>
          <w:color w:val="auto"/>
          <w:highlight w:val="none"/>
        </w:rPr>
        <w:t>（1</w:t>
      </w:r>
      <w:r>
        <w:rPr>
          <w:rFonts w:cs="Times New Roman"/>
          <w:color w:val="auto"/>
          <w:highlight w:val="none"/>
        </w:rPr>
        <w:t>1</w:t>
      </w:r>
      <w:r>
        <w:rPr>
          <w:rFonts w:hint="eastAsia" w:cs="Times New Roman"/>
          <w:color w:val="auto"/>
          <w:highlight w:val="none"/>
        </w:rPr>
        <w:t>）</w:t>
      </w:r>
      <w:r>
        <w:rPr>
          <w:rFonts w:cs="Times New Roman"/>
          <w:color w:val="auto"/>
          <w:highlight w:val="none"/>
        </w:rPr>
        <w:t>对扰动、覆盖区植物进行前期勘察，若发现珍稀植物、较大树移栽保护，尤其是占地区内阔叶树种，发现后采取移栽作为后期绿化树种，节约绿化成本及保护当地生态。</w:t>
      </w:r>
    </w:p>
    <w:bookmarkEnd w:id="99"/>
    <w:p w14:paraId="0BE5C108">
      <w:pPr>
        <w:pStyle w:val="6"/>
        <w:rPr>
          <w:rFonts w:hint="eastAsia" w:ascii="Times New Roman" w:hAnsi="Times New Roman" w:eastAsia="宋体" w:cs="Times New Roman"/>
          <w:color w:val="auto"/>
          <w:highlight w:val="none"/>
          <w:lang w:val="en-US" w:eastAsia="zh-CN"/>
        </w:rPr>
      </w:pPr>
      <w:r>
        <w:rPr>
          <w:rFonts w:hint="eastAsia"/>
          <w:b/>
          <w:bCs/>
          <w:color w:val="auto"/>
          <w:sz w:val="24"/>
          <w:highlight w:val="none"/>
        </w:rPr>
        <w:t>野生动物生态影响的避让与减缓</w:t>
      </w:r>
      <w:r>
        <w:rPr>
          <w:rFonts w:hint="eastAsia" w:ascii="Times New Roman" w:hAnsi="Times New Roman" w:eastAsia="宋体" w:cs="Times New Roman"/>
          <w:color w:val="auto"/>
          <w:highlight w:val="none"/>
          <w:lang w:val="en-US" w:eastAsia="zh-CN"/>
        </w:rPr>
        <w:t>措施</w:t>
      </w:r>
    </w:p>
    <w:p w14:paraId="02C33C85">
      <w:pPr>
        <w:pStyle w:val="29"/>
        <w:ind w:firstLine="480"/>
        <w:jc w:val="left"/>
        <w:rPr>
          <w:rFonts w:hAnsi="宋体" w:cs="Times New Roman"/>
          <w:color w:val="auto"/>
          <w:highlight w:val="none"/>
        </w:rPr>
      </w:pPr>
      <w:r>
        <w:rPr>
          <w:rFonts w:hAnsi="宋体" w:cs="Times New Roman"/>
          <w:color w:val="auto"/>
          <w:highlight w:val="none"/>
        </w:rPr>
        <w:t>（1）通过开会、发放宣传册、在施工场所树立宣传牌等方法，提高施工人员的保护意识，严禁捕猎野生动物。组织施工人员学习《中华人民共和国野生动物保护法》，严禁施工人员捕猎野生动物，特别是国家重点保护动物和湖南省重点保护动物。</w:t>
      </w:r>
    </w:p>
    <w:p w14:paraId="17E5B2FE">
      <w:pPr>
        <w:pStyle w:val="29"/>
        <w:ind w:firstLine="480"/>
        <w:jc w:val="left"/>
        <w:rPr>
          <w:rFonts w:hAnsi="宋体" w:cs="Times New Roman"/>
          <w:color w:val="auto"/>
          <w:highlight w:val="none"/>
        </w:rPr>
      </w:pPr>
      <w:r>
        <w:rPr>
          <w:rFonts w:hAnsi="宋体" w:cs="Times New Roman"/>
          <w:color w:val="auto"/>
          <w:highlight w:val="none"/>
        </w:rPr>
        <w:t>（2）夜间灯光容易吸引鸟类撞击。施工期</w:t>
      </w:r>
      <w:r>
        <w:rPr>
          <w:rFonts w:hint="eastAsia" w:hAnsi="宋体" w:cs="Times New Roman"/>
          <w:color w:val="auto"/>
          <w:highlight w:val="none"/>
        </w:rPr>
        <w:t>如</w:t>
      </w:r>
      <w:r>
        <w:rPr>
          <w:rFonts w:hAnsi="宋体" w:cs="Times New Roman"/>
          <w:color w:val="auto"/>
          <w:highlight w:val="none"/>
        </w:rPr>
        <w:t>在迁徙强度大的季节</w:t>
      </w:r>
      <w:r>
        <w:rPr>
          <w:rFonts w:hint="eastAsia" w:hAnsi="宋体" w:cs="Times New Roman"/>
          <w:color w:val="auto"/>
          <w:highlight w:val="none"/>
        </w:rPr>
        <w:t>（</w:t>
      </w:r>
      <w:r>
        <w:rPr>
          <w:rFonts w:hAnsi="宋体" w:cs="Times New Roman"/>
          <w:color w:val="auto"/>
          <w:highlight w:val="none"/>
        </w:rPr>
        <w:t>春秋两季</w:t>
      </w:r>
      <w:r>
        <w:rPr>
          <w:rFonts w:hint="eastAsia" w:hAnsi="宋体" w:cs="Times New Roman"/>
          <w:color w:val="auto"/>
          <w:highlight w:val="none"/>
        </w:rPr>
        <w:t>），</w:t>
      </w:r>
      <w:r>
        <w:rPr>
          <w:rFonts w:hAnsi="宋体" w:cs="Times New Roman"/>
          <w:color w:val="auto"/>
          <w:highlight w:val="none"/>
        </w:rPr>
        <w:t>要严格控制光源使用量，对光源进行遮蔽，减少对外界的漏光量，并派专人进行夜间巡视。尤其是在有大雾、暴雨或强风的夜晚，应该停止施工。在鸟类非迁徙季节竖立和组装风电机。</w:t>
      </w:r>
    </w:p>
    <w:p w14:paraId="3329E8F9">
      <w:pPr>
        <w:pStyle w:val="29"/>
        <w:ind w:firstLine="480"/>
        <w:jc w:val="left"/>
        <w:rPr>
          <w:rFonts w:cs="Times New Roman"/>
          <w:color w:val="auto"/>
          <w:highlight w:val="none"/>
        </w:rPr>
      </w:pPr>
      <w:r>
        <w:rPr>
          <w:rFonts w:hAnsi="宋体" w:cs="Times New Roman"/>
          <w:color w:val="auto"/>
          <w:highlight w:val="none"/>
        </w:rPr>
        <w:t>（3）</w:t>
      </w:r>
      <w:r>
        <w:rPr>
          <w:rFonts w:hint="eastAsia" w:hAnsi="宋体" w:cs="Times New Roman"/>
          <w:color w:val="auto"/>
          <w:highlight w:val="none"/>
          <w:lang w:eastAsia="zh-CN"/>
        </w:rPr>
        <w:t>施工期</w:t>
      </w:r>
      <w:r>
        <w:rPr>
          <w:rFonts w:hAnsi="宋体" w:cs="Times New Roman"/>
          <w:color w:val="auto"/>
          <w:highlight w:val="none"/>
        </w:rPr>
        <w:t>在迁徙强度大的季节，如春秋两季，如果碰到有大雾、暴雨或大</w:t>
      </w:r>
      <w:r>
        <w:rPr>
          <w:rFonts w:cs="Times New Roman"/>
          <w:color w:val="auto"/>
          <w:highlight w:val="none"/>
        </w:rPr>
        <w:t>风的夜晚，风电场室外的照明尽量最小化，不要使用钠蒸汽灯，禁止长时间开启明亮的照明设备。建议使用声控灯，给需要照明的设备加装必要的遮光设施，防止灯光外泄。</w:t>
      </w:r>
    </w:p>
    <w:p w14:paraId="4BF3B897">
      <w:pPr>
        <w:pStyle w:val="29"/>
        <w:ind w:firstLine="480"/>
        <w:jc w:val="left"/>
        <w:rPr>
          <w:rFonts w:cs="Times New Roman"/>
          <w:color w:val="auto"/>
          <w:highlight w:val="none"/>
        </w:rPr>
      </w:pPr>
      <w:r>
        <w:rPr>
          <w:rFonts w:cs="Times New Roman"/>
          <w:color w:val="auto"/>
          <w:highlight w:val="none"/>
        </w:rPr>
        <w:t>（4）设置警示牌：提高施工人员的保护意识，组织施工人员学习相关法律，施工人员必须遵守《中华人民共和国野生动物</w:t>
      </w:r>
      <w:bookmarkStart w:id="100" w:name="_Toc448490659"/>
      <w:bookmarkStart w:id="101" w:name="_Toc478148625"/>
      <w:r>
        <w:rPr>
          <w:rFonts w:cs="Times New Roman"/>
          <w:color w:val="auto"/>
          <w:highlight w:val="none"/>
        </w:rPr>
        <w:t>保护法》，严禁施工</w:t>
      </w:r>
      <w:bookmarkEnd w:id="100"/>
      <w:bookmarkEnd w:id="101"/>
      <w:r>
        <w:rPr>
          <w:rFonts w:cs="Times New Roman"/>
          <w:color w:val="auto"/>
          <w:highlight w:val="none"/>
        </w:rPr>
        <w:t>人</w:t>
      </w:r>
      <w:bookmarkStart w:id="102" w:name="_Toc478148626"/>
      <w:bookmarkStart w:id="103" w:name="_Toc448490660"/>
      <w:r>
        <w:rPr>
          <w:rFonts w:cs="Times New Roman"/>
          <w:color w:val="auto"/>
          <w:highlight w:val="none"/>
        </w:rPr>
        <w:t>员捕猎野生动物，特</w:t>
      </w:r>
      <w:bookmarkEnd w:id="102"/>
      <w:bookmarkEnd w:id="103"/>
      <w:r>
        <w:rPr>
          <w:rFonts w:cs="Times New Roman"/>
          <w:color w:val="auto"/>
          <w:highlight w:val="none"/>
        </w:rPr>
        <w:t>别是国家级和省级重点保护动物。</w:t>
      </w:r>
    </w:p>
    <w:p w14:paraId="2459B857">
      <w:pPr>
        <w:pStyle w:val="29"/>
        <w:ind w:firstLine="480"/>
        <w:jc w:val="left"/>
        <w:rPr>
          <w:rFonts w:cs="Times New Roman"/>
          <w:color w:val="auto"/>
          <w:highlight w:val="none"/>
        </w:rPr>
      </w:pPr>
      <w:r>
        <w:rPr>
          <w:rFonts w:hint="eastAsia" w:cs="Times New Roman"/>
          <w:color w:val="auto"/>
          <w:highlight w:val="none"/>
        </w:rPr>
        <w:t>（</w:t>
      </w:r>
      <w:r>
        <w:rPr>
          <w:rFonts w:hint="eastAsia" w:cs="Times New Roman"/>
          <w:color w:val="auto"/>
          <w:highlight w:val="none"/>
          <w:lang w:val="en-US" w:eastAsia="zh-CN"/>
        </w:rPr>
        <w:t>5</w:t>
      </w:r>
      <w:r>
        <w:rPr>
          <w:rFonts w:hint="eastAsia" w:cs="Times New Roman"/>
          <w:color w:val="auto"/>
          <w:highlight w:val="none"/>
        </w:rPr>
        <w:t>）</w:t>
      </w:r>
      <w:r>
        <w:rPr>
          <w:rFonts w:cs="Times New Roman"/>
          <w:color w:val="auto"/>
          <w:highlight w:val="none"/>
        </w:rPr>
        <w:t>优选施工时间，避开野生动物活动的高峰时段。野生鸟类和兽类大多是早晨、黄昏或夜间外出觅食，正午是鸟类休息时间。为了减少工程施工噪声对野生动物的惊扰，应做好施工方式和时间的计划，并力求避免在晨昏和正午施工。</w:t>
      </w:r>
    </w:p>
    <w:p w14:paraId="4C6B9F3C">
      <w:pPr>
        <w:pStyle w:val="29"/>
        <w:ind w:firstLine="480"/>
        <w:jc w:val="left"/>
        <w:rPr>
          <w:rFonts w:cs="Times New Roman"/>
          <w:color w:val="auto"/>
          <w:highlight w:val="none"/>
        </w:rPr>
      </w:pPr>
      <w:r>
        <w:rPr>
          <w:rFonts w:hint="eastAsia" w:cs="Times New Roman"/>
          <w:color w:val="auto"/>
          <w:highlight w:val="none"/>
        </w:rPr>
        <w:t>（</w:t>
      </w:r>
      <w:r>
        <w:rPr>
          <w:rFonts w:hint="eastAsia" w:cs="Times New Roman"/>
          <w:color w:val="auto"/>
          <w:highlight w:val="none"/>
          <w:lang w:val="en-US" w:eastAsia="zh-CN"/>
        </w:rPr>
        <w:t>6</w:t>
      </w:r>
      <w:r>
        <w:rPr>
          <w:rFonts w:hint="eastAsia" w:cs="Times New Roman"/>
          <w:color w:val="auto"/>
          <w:highlight w:val="none"/>
        </w:rPr>
        <w:t>）</w:t>
      </w:r>
      <w:r>
        <w:rPr>
          <w:rFonts w:cs="Times New Roman"/>
          <w:color w:val="auto"/>
          <w:highlight w:val="none"/>
        </w:rPr>
        <w:t>工程完工后尽快做好生态环境的恢复工作，每个风机和集电线路施工完成后，在临时占地及其附近合理复绿，种植本地植被，</w:t>
      </w:r>
      <w:r>
        <w:rPr>
          <w:rFonts w:hint="eastAsia" w:cs="Times New Roman"/>
          <w:color w:val="auto"/>
          <w:highlight w:val="none"/>
        </w:rPr>
        <w:t>采用乔灌草相结合的方式进行复绿，</w:t>
      </w:r>
      <w:r>
        <w:rPr>
          <w:rFonts w:cs="Times New Roman"/>
          <w:color w:val="auto"/>
          <w:highlight w:val="none"/>
        </w:rPr>
        <w:t>尽快恢复动物生境，以尽量减少生境破坏对动物的不利影响。</w:t>
      </w:r>
    </w:p>
    <w:p w14:paraId="40EA3E73">
      <w:pPr>
        <w:pStyle w:val="6"/>
        <w:rPr>
          <w:rFonts w:hint="eastAsia" w:ascii="Times New Roman" w:hAnsi="Times New Roman" w:eastAsia="宋体" w:cs="Times New Roman"/>
          <w:color w:val="auto"/>
          <w:highlight w:val="none"/>
          <w:lang w:val="en-US" w:eastAsia="zh-CN"/>
        </w:rPr>
      </w:pPr>
      <w:r>
        <w:rPr>
          <w:rFonts w:hint="eastAsia" w:eastAsia="宋体"/>
          <w:b/>
          <w:bCs/>
          <w:color w:val="auto"/>
          <w:sz w:val="24"/>
          <w:highlight w:val="none"/>
          <w:lang w:eastAsia="zh-CN"/>
        </w:rPr>
        <w:t>管理</w:t>
      </w:r>
      <w:r>
        <w:rPr>
          <w:rFonts w:hint="eastAsia" w:ascii="Times New Roman" w:hAnsi="Times New Roman" w:eastAsia="宋体" w:cs="Times New Roman"/>
          <w:color w:val="auto"/>
          <w:highlight w:val="none"/>
          <w:lang w:val="en-US" w:eastAsia="zh-CN"/>
        </w:rPr>
        <w:t>措施</w:t>
      </w:r>
    </w:p>
    <w:p w14:paraId="1553BBEA">
      <w:pPr>
        <w:adjustRightInd w:val="0"/>
        <w:snapToGrid w:val="0"/>
        <w:spacing w:line="360" w:lineRule="auto"/>
        <w:ind w:firstLine="480" w:firstLineChars="200"/>
        <w:jc w:val="left"/>
        <w:rPr>
          <w:color w:val="auto"/>
          <w:sz w:val="24"/>
          <w:highlight w:val="none"/>
        </w:rPr>
      </w:pPr>
      <w:r>
        <w:rPr>
          <w:color w:val="auto"/>
          <w:sz w:val="24"/>
          <w:highlight w:val="none"/>
        </w:rPr>
        <w:t>（1）防止外来入侵物种的扩散。加大宣传力度，对外来入侵植物的危害以及传播途径向施工人员进行宣传；对现有的外来种，利用工程施工的机会，采用有效的防治措施，消除其危害。</w:t>
      </w:r>
    </w:p>
    <w:p w14:paraId="2A6B9910">
      <w:pPr>
        <w:adjustRightInd w:val="0"/>
        <w:snapToGrid w:val="0"/>
        <w:spacing w:line="360" w:lineRule="auto"/>
        <w:ind w:firstLine="480" w:firstLineChars="200"/>
        <w:jc w:val="left"/>
        <w:rPr>
          <w:color w:val="auto"/>
          <w:sz w:val="24"/>
          <w:highlight w:val="none"/>
        </w:rPr>
      </w:pPr>
      <w:r>
        <w:rPr>
          <w:color w:val="auto"/>
          <w:sz w:val="24"/>
          <w:highlight w:val="none"/>
        </w:rPr>
        <w:t>（2）预防火灾。在工程建设期，更应加强防护，如在施工区、临时居住区及周围山上竖立防火警示牌，划出可生火范围、巡回检查、搞好消防队伍及设施的建设等，以预防和杜绝火灾发生。</w:t>
      </w:r>
    </w:p>
    <w:p w14:paraId="2E332554">
      <w:pPr>
        <w:adjustRightInd w:val="0"/>
        <w:snapToGrid w:val="0"/>
        <w:spacing w:line="360" w:lineRule="auto"/>
        <w:ind w:firstLine="480" w:firstLineChars="200"/>
        <w:jc w:val="left"/>
        <w:rPr>
          <w:color w:val="auto"/>
          <w:sz w:val="24"/>
          <w:highlight w:val="none"/>
        </w:rPr>
      </w:pPr>
      <w:r>
        <w:rPr>
          <w:color w:val="auto"/>
          <w:sz w:val="24"/>
          <w:highlight w:val="none"/>
        </w:rPr>
        <w:t>（3）落实监督机制，保证各项生态措施的实施。工程建设施工期、运行期都应进行生态影响的监测或调查。通过监测，了解植被的变化，数量变化以及生态系统整体性变化，加强对生态的管理，在工程管理机构，应设置生态环境管理人员，建立各种管理及报告制度，开展对工程影响区的环境教育，提高施工人员和管理人员环境意识。通过动态监测和完善管理，使生态向良性或有利方向发展。</w:t>
      </w:r>
    </w:p>
    <w:p w14:paraId="1F66FCF3">
      <w:pPr>
        <w:adjustRightInd w:val="0"/>
        <w:snapToGrid w:val="0"/>
        <w:spacing w:line="360" w:lineRule="auto"/>
        <w:ind w:firstLine="480" w:firstLineChars="200"/>
        <w:jc w:val="left"/>
        <w:rPr>
          <w:color w:val="auto"/>
          <w:sz w:val="24"/>
          <w:highlight w:val="none"/>
        </w:rPr>
      </w:pPr>
      <w:r>
        <w:rPr>
          <w:color w:val="auto"/>
          <w:sz w:val="24"/>
          <w:highlight w:val="none"/>
        </w:rPr>
        <w:t>（4）坚持风机定期检修，退役风机及时更换。风机设计使用寿命约20年，在服役期间应坚持定期进行检修，防止出现塔筒和叶片对植被造成伤害，泄漏油脂等对当地土壤和空气造成污染。由于目前退役风机处理的产业链尚未形成，退役风机翻新成本较高，建议采取更换新的风电机组。</w:t>
      </w:r>
    </w:p>
    <w:p w14:paraId="5B345629">
      <w:pPr>
        <w:adjustRightInd w:val="0"/>
        <w:snapToGrid w:val="0"/>
        <w:spacing w:line="360" w:lineRule="auto"/>
        <w:ind w:firstLine="480" w:firstLineChars="200"/>
        <w:jc w:val="left"/>
        <w:rPr>
          <w:color w:val="auto"/>
          <w:sz w:val="24"/>
          <w:highlight w:val="none"/>
        </w:rPr>
      </w:pPr>
      <w:r>
        <w:rPr>
          <w:color w:val="auto"/>
          <w:sz w:val="24"/>
          <w:highlight w:val="none"/>
        </w:rPr>
        <w:t>（5）施工期制定严格的施工纪律和规章制度，规范施工行为，严格控制施工人员数量、设备和施工作业时间，严格划定施工范围，严禁越</w:t>
      </w:r>
      <w:bookmarkStart w:id="104" w:name="_Toc448490663"/>
      <w:bookmarkStart w:id="105" w:name="_Toc478148629"/>
      <w:r>
        <w:rPr>
          <w:color w:val="auto"/>
          <w:sz w:val="24"/>
          <w:highlight w:val="none"/>
        </w:rPr>
        <w:t>界施工，严禁施工人</w:t>
      </w:r>
      <w:bookmarkEnd w:id="104"/>
      <w:bookmarkEnd w:id="105"/>
      <w:r>
        <w:rPr>
          <w:color w:val="auto"/>
          <w:sz w:val="24"/>
          <w:highlight w:val="none"/>
        </w:rPr>
        <w:t>员进入非施工区域或从事与施工活动无关的活动，特别是要杜绝捕杀、伤害、惊吓、袭击动物等行为。开展施工期的工程环境监理工作，切实保障各项措施的落实，控制工程施工对植被资源和野生动物的影响。</w:t>
      </w:r>
    </w:p>
    <w:p w14:paraId="596F2D43">
      <w:pPr>
        <w:adjustRightInd w:val="0"/>
        <w:snapToGrid w:val="0"/>
        <w:spacing w:line="360" w:lineRule="auto"/>
        <w:ind w:firstLine="480" w:firstLineChars="200"/>
        <w:jc w:val="left"/>
        <w:rPr>
          <w:color w:val="auto"/>
          <w:sz w:val="24"/>
          <w:highlight w:val="none"/>
        </w:rPr>
      </w:pPr>
      <w:r>
        <w:rPr>
          <w:color w:val="auto"/>
          <w:sz w:val="24"/>
          <w:highlight w:val="none"/>
        </w:rPr>
        <w:t>（6）施工期做好施工生产区的卫生，避免吸引啮齿类动物，导致啮齿类动物集群，若啮齿类动物集群，将会使以其为食的蛇类和猛禽聚集于此，增加蛇类和猛禽类动物事故发生的概率；运营时控制风电场内及周边地区昆虫的数量，防止来此觅食的鸟类撞击风机。</w:t>
      </w:r>
    </w:p>
    <w:p w14:paraId="407C5F22">
      <w:pPr>
        <w:adjustRightInd w:val="0"/>
        <w:snapToGrid w:val="0"/>
        <w:spacing w:line="360" w:lineRule="auto"/>
        <w:ind w:firstLine="480" w:firstLineChars="200"/>
        <w:jc w:val="left"/>
        <w:rPr>
          <w:color w:val="auto"/>
          <w:sz w:val="24"/>
          <w:highlight w:val="none"/>
        </w:rPr>
      </w:pPr>
      <w:r>
        <w:rPr>
          <w:color w:val="auto"/>
          <w:sz w:val="24"/>
          <w:highlight w:val="none"/>
        </w:rPr>
        <w:t>（7）加强野生动物的救护管理体系，建立与林业野生动物管理单位的联系制度，接受其指导。施工期和运营期发生的与野生动物有关的问题，及时向动物管理部门报告。如发现病伤的野生动物或者被遗弃的幼体、鸟卵等，不得私自处理，要及时通知野生动物管理部门，派专业技术人员进行救护。</w:t>
      </w:r>
    </w:p>
    <w:p w14:paraId="1BCCDA25">
      <w:pPr>
        <w:pStyle w:val="29"/>
        <w:ind w:firstLine="480"/>
        <w:jc w:val="left"/>
        <w:rPr>
          <w:rFonts w:hint="eastAsia"/>
          <w:i w:val="0"/>
          <w:iCs w:val="0"/>
          <w:color w:val="auto"/>
          <w:highlight w:val="none"/>
          <w:u w:val="none"/>
        </w:rPr>
      </w:pPr>
      <w:r>
        <w:rPr>
          <w:rFonts w:hint="eastAsia"/>
          <w:color w:val="auto"/>
          <w:sz w:val="24"/>
          <w:highlight w:val="none"/>
        </w:rPr>
        <w:t>（</w:t>
      </w:r>
      <w:r>
        <w:rPr>
          <w:color w:val="auto"/>
          <w:sz w:val="24"/>
          <w:highlight w:val="none"/>
        </w:rPr>
        <w:t>8</w:t>
      </w:r>
      <w:r>
        <w:rPr>
          <w:rFonts w:hint="eastAsia"/>
          <w:color w:val="auto"/>
          <w:sz w:val="24"/>
          <w:highlight w:val="none"/>
        </w:rPr>
        <w:t>）加强施工期废气、废水、固废、水土流失控制措施管理。避免因废气、废水、固废、水土流失控制措施不到位，造成的生态环境破坏。</w:t>
      </w:r>
    </w:p>
    <w:p w14:paraId="79882F20">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施工期废气污染防治措施</w:t>
      </w:r>
    </w:p>
    <w:p w14:paraId="25EF5A8F">
      <w:pPr>
        <w:pStyle w:val="29"/>
        <w:ind w:firstLine="480"/>
        <w:jc w:val="left"/>
        <w:rPr>
          <w:rFonts w:hAnsi="宋体" w:cs="Times New Roman"/>
          <w:color w:val="auto"/>
          <w:highlight w:val="none"/>
        </w:rPr>
      </w:pPr>
      <w:r>
        <w:rPr>
          <w:rFonts w:hAnsi="宋体" w:cs="Times New Roman"/>
          <w:color w:val="auto"/>
          <w:highlight w:val="none"/>
        </w:rPr>
        <w:t>（1）扬尘控制措施</w:t>
      </w:r>
    </w:p>
    <w:p w14:paraId="144605DA">
      <w:pPr>
        <w:pStyle w:val="29"/>
        <w:ind w:firstLine="480"/>
        <w:jc w:val="left"/>
        <w:rPr>
          <w:rFonts w:hAnsi="宋体" w:cs="Times New Roman"/>
          <w:color w:val="auto"/>
          <w:highlight w:val="none"/>
        </w:rPr>
      </w:pPr>
      <w:r>
        <w:rPr>
          <w:rFonts w:hint="eastAsia" w:hAnsi="宋体" w:cs="Times New Roman"/>
          <w:color w:val="auto"/>
          <w:highlight w:val="none"/>
        </w:rPr>
        <w:t>①</w:t>
      </w:r>
      <w:r>
        <w:rPr>
          <w:rFonts w:hAnsi="宋体" w:cs="Times New Roman"/>
          <w:color w:val="auto"/>
          <w:highlight w:val="none"/>
        </w:rPr>
        <w:t>为防止施工粉尘对环境空气质量的影响，施工作业区及时洒水，非雨天每天洒水不少于4次。</w:t>
      </w:r>
      <w:r>
        <w:rPr>
          <w:rFonts w:hint="eastAsia" w:hAnsi="宋体" w:cs="Times New Roman"/>
          <w:color w:val="auto"/>
          <w:highlight w:val="none"/>
        </w:rPr>
        <w:t>加强居民区附近的道路清洁及道路防尘措施。</w:t>
      </w:r>
    </w:p>
    <w:p w14:paraId="5D2E24A2">
      <w:pPr>
        <w:pStyle w:val="29"/>
        <w:ind w:firstLine="480"/>
        <w:jc w:val="left"/>
        <w:rPr>
          <w:rFonts w:hAnsi="宋体" w:cs="Times New Roman"/>
          <w:color w:val="auto"/>
          <w:highlight w:val="none"/>
        </w:rPr>
      </w:pPr>
      <w:r>
        <w:rPr>
          <w:rFonts w:hint="eastAsia" w:hAnsi="宋体" w:cs="Times New Roman"/>
          <w:color w:val="auto"/>
          <w:highlight w:val="none"/>
        </w:rPr>
        <w:t>②</w:t>
      </w:r>
      <w:r>
        <w:rPr>
          <w:rFonts w:hAnsi="宋体" w:cs="Times New Roman"/>
          <w:color w:val="auto"/>
          <w:highlight w:val="none"/>
        </w:rPr>
        <w:t>对施工区道路进行管理与养护，对进场道路和施工区道路进行硬化，使路面保持清洁，处于良好运行状况；</w:t>
      </w:r>
      <w:r>
        <w:rPr>
          <w:rFonts w:hint="eastAsia" w:hAnsi="宋体" w:cs="Times New Roman"/>
          <w:color w:val="auto"/>
          <w:highlight w:val="none"/>
        </w:rPr>
        <w:t>运输车辆进入场区范围内后降低车速，同时采取洒水降尘措施。</w:t>
      </w:r>
      <w:r>
        <w:rPr>
          <w:rFonts w:cs="Times New Roman"/>
          <w:color w:val="auto"/>
          <w:szCs w:val="24"/>
          <w:highlight w:val="none"/>
        </w:rPr>
        <w:t>粉状材料使用帆布密封或采用罐体车运输</w:t>
      </w:r>
      <w:r>
        <w:rPr>
          <w:rFonts w:hint="eastAsia" w:cs="Times New Roman"/>
          <w:color w:val="auto"/>
          <w:szCs w:val="24"/>
          <w:highlight w:val="none"/>
        </w:rPr>
        <w:t>。</w:t>
      </w:r>
    </w:p>
    <w:p w14:paraId="256426A5">
      <w:pPr>
        <w:pStyle w:val="29"/>
        <w:ind w:firstLine="480"/>
        <w:jc w:val="left"/>
        <w:rPr>
          <w:rFonts w:hAnsi="宋体" w:cs="Times New Roman"/>
          <w:color w:val="auto"/>
          <w:highlight w:val="none"/>
        </w:rPr>
      </w:pPr>
      <w:r>
        <w:rPr>
          <w:rFonts w:hAnsi="宋体" w:cs="Times New Roman"/>
          <w:color w:val="auto"/>
          <w:highlight w:val="none"/>
        </w:rPr>
        <w:fldChar w:fldCharType="begin"/>
      </w:r>
      <w:r>
        <w:rPr>
          <w:rFonts w:hAnsi="宋体" w:cs="Times New Roman"/>
          <w:color w:val="auto"/>
          <w:highlight w:val="none"/>
        </w:rPr>
        <w:instrText xml:space="preserve"> </w:instrText>
      </w:r>
      <w:r>
        <w:rPr>
          <w:rFonts w:hint="eastAsia" w:hAnsi="宋体" w:cs="Times New Roman"/>
          <w:color w:val="auto"/>
          <w:highlight w:val="none"/>
        </w:rPr>
        <w:instrText xml:space="preserve">= 3 \* GB3</w:instrText>
      </w:r>
      <w:r>
        <w:rPr>
          <w:rFonts w:hAnsi="宋体" w:cs="Times New Roman"/>
          <w:color w:val="auto"/>
          <w:highlight w:val="none"/>
        </w:rPr>
        <w:instrText xml:space="preserve"> </w:instrText>
      </w:r>
      <w:r>
        <w:rPr>
          <w:rFonts w:hAnsi="宋体" w:cs="Times New Roman"/>
          <w:color w:val="auto"/>
          <w:highlight w:val="none"/>
        </w:rPr>
        <w:fldChar w:fldCharType="separate"/>
      </w:r>
      <w:r>
        <w:rPr>
          <w:rFonts w:hint="eastAsia" w:hAnsi="宋体" w:cs="Times New Roman"/>
          <w:color w:val="auto"/>
          <w:highlight w:val="none"/>
        </w:rPr>
        <w:t>③</w:t>
      </w:r>
      <w:r>
        <w:rPr>
          <w:rFonts w:hAnsi="宋体" w:cs="Times New Roman"/>
          <w:color w:val="auto"/>
          <w:highlight w:val="none"/>
        </w:rPr>
        <w:fldChar w:fldCharType="end"/>
      </w:r>
      <w:r>
        <w:rPr>
          <w:rFonts w:hint="eastAsia" w:hAnsi="宋体" w:cs="Times New Roman"/>
          <w:color w:val="auto"/>
          <w:highlight w:val="none"/>
        </w:rPr>
        <w:t>施工生产区地面做硬化处理，不定期洒水，运输车辆进出施工生产区前冲洗车身、车轮。</w:t>
      </w:r>
    </w:p>
    <w:p w14:paraId="3C66A9A4">
      <w:pPr>
        <w:pStyle w:val="29"/>
        <w:ind w:firstLine="480"/>
        <w:jc w:val="left"/>
        <w:rPr>
          <w:rFonts w:hAnsi="宋体" w:cs="Times New Roman"/>
          <w:color w:val="auto"/>
          <w:highlight w:val="none"/>
        </w:rPr>
      </w:pPr>
      <w:r>
        <w:rPr>
          <w:rFonts w:hAnsi="宋体" w:cs="Times New Roman"/>
          <w:color w:val="auto"/>
          <w:highlight w:val="none"/>
        </w:rPr>
        <w:fldChar w:fldCharType="begin"/>
      </w:r>
      <w:r>
        <w:rPr>
          <w:rFonts w:hAnsi="宋体" w:cs="Times New Roman"/>
          <w:color w:val="auto"/>
          <w:highlight w:val="none"/>
        </w:rPr>
        <w:instrText xml:space="preserve"> </w:instrText>
      </w:r>
      <w:r>
        <w:rPr>
          <w:rFonts w:hint="eastAsia" w:hAnsi="宋体" w:cs="Times New Roman"/>
          <w:color w:val="auto"/>
          <w:highlight w:val="none"/>
        </w:rPr>
        <w:instrText xml:space="preserve">= 4 \* GB3</w:instrText>
      </w:r>
      <w:r>
        <w:rPr>
          <w:rFonts w:hAnsi="宋体" w:cs="Times New Roman"/>
          <w:color w:val="auto"/>
          <w:highlight w:val="none"/>
        </w:rPr>
        <w:instrText xml:space="preserve"> </w:instrText>
      </w:r>
      <w:r>
        <w:rPr>
          <w:rFonts w:hAnsi="宋体" w:cs="Times New Roman"/>
          <w:color w:val="auto"/>
          <w:highlight w:val="none"/>
        </w:rPr>
        <w:fldChar w:fldCharType="separate"/>
      </w:r>
      <w:r>
        <w:rPr>
          <w:rFonts w:hint="eastAsia" w:hAnsi="宋体" w:cs="Times New Roman"/>
          <w:color w:val="auto"/>
          <w:highlight w:val="none"/>
        </w:rPr>
        <w:t>④</w:t>
      </w:r>
      <w:r>
        <w:rPr>
          <w:rFonts w:hAnsi="宋体" w:cs="Times New Roman"/>
          <w:color w:val="auto"/>
          <w:highlight w:val="none"/>
        </w:rPr>
        <w:fldChar w:fldCharType="end"/>
      </w:r>
      <w:r>
        <w:rPr>
          <w:rFonts w:hAnsi="宋体" w:cs="Times New Roman"/>
          <w:color w:val="auto"/>
          <w:highlight w:val="none"/>
        </w:rPr>
        <w:t>回填土、废弃物和临时堆料应按指定的堆放地堆放，场地周围采取</w:t>
      </w:r>
      <w:r>
        <w:rPr>
          <w:rFonts w:hint="eastAsia" w:hAnsi="宋体" w:cs="Times New Roman"/>
          <w:color w:val="auto"/>
          <w:highlight w:val="none"/>
        </w:rPr>
        <w:t>洒水、篷布覆盖、</w:t>
      </w:r>
      <w:r>
        <w:rPr>
          <w:rFonts w:hAnsi="宋体" w:cs="Times New Roman"/>
          <w:color w:val="auto"/>
          <w:highlight w:val="none"/>
        </w:rPr>
        <w:t>围挡</w:t>
      </w:r>
      <w:r>
        <w:rPr>
          <w:rFonts w:hint="eastAsia" w:hAnsi="宋体" w:cs="Times New Roman"/>
          <w:color w:val="auto"/>
          <w:highlight w:val="none"/>
        </w:rPr>
        <w:t>等</w:t>
      </w:r>
      <w:r>
        <w:rPr>
          <w:rFonts w:hAnsi="宋体" w:cs="Times New Roman"/>
          <w:color w:val="auto"/>
          <w:highlight w:val="none"/>
        </w:rPr>
        <w:t>措施。</w:t>
      </w:r>
    </w:p>
    <w:p w14:paraId="1E8229DF">
      <w:pPr>
        <w:pStyle w:val="29"/>
        <w:ind w:firstLine="480"/>
        <w:jc w:val="left"/>
        <w:rPr>
          <w:rFonts w:hAnsi="宋体" w:cs="Times New Roman"/>
          <w:color w:val="auto"/>
          <w:highlight w:val="none"/>
        </w:rPr>
      </w:pPr>
      <w:r>
        <w:rPr>
          <w:rFonts w:hint="eastAsia" w:hAnsi="宋体" w:cs="Times New Roman"/>
          <w:color w:val="auto"/>
          <w:highlight w:val="none"/>
        </w:rPr>
        <w:t>⑤</w:t>
      </w:r>
      <w:r>
        <w:rPr>
          <w:rFonts w:hAnsi="宋体" w:cs="Times New Roman"/>
          <w:color w:val="auto"/>
          <w:highlight w:val="none"/>
        </w:rPr>
        <w:t>施工拌合场作业区进行洒水，降低混凝土拌和区粉尘排放，每天洒水不少于3次；</w:t>
      </w:r>
      <w:r>
        <w:rPr>
          <w:rFonts w:hint="eastAsia" w:hAnsi="宋体" w:cs="Times New Roman"/>
          <w:color w:val="auto"/>
          <w:highlight w:val="none"/>
          <w:lang w:eastAsia="zh-CN"/>
        </w:rPr>
        <w:t>采用商品混凝土，不在场地内设置</w:t>
      </w:r>
      <w:r>
        <w:rPr>
          <w:rFonts w:hint="eastAsia" w:hAnsi="宋体" w:cs="Times New Roman"/>
          <w:color w:val="auto"/>
          <w:highlight w:val="none"/>
        </w:rPr>
        <w:t>混凝土</w:t>
      </w:r>
      <w:r>
        <w:rPr>
          <w:rFonts w:hint="eastAsia" w:hAnsi="宋体" w:cs="Times New Roman"/>
          <w:color w:val="auto"/>
          <w:highlight w:val="none"/>
          <w:lang w:eastAsia="zh-CN"/>
        </w:rPr>
        <w:t>拌合站</w:t>
      </w:r>
      <w:r>
        <w:rPr>
          <w:rFonts w:hAnsi="宋体" w:cs="Times New Roman"/>
          <w:color w:val="auto"/>
          <w:highlight w:val="none"/>
        </w:rPr>
        <w:t>。</w:t>
      </w:r>
    </w:p>
    <w:p w14:paraId="481C5761">
      <w:pPr>
        <w:pStyle w:val="29"/>
        <w:ind w:firstLine="480"/>
        <w:jc w:val="left"/>
        <w:rPr>
          <w:rFonts w:hAnsi="宋体" w:cs="Times New Roman"/>
          <w:color w:val="auto"/>
          <w:highlight w:val="none"/>
        </w:rPr>
      </w:pPr>
      <w:r>
        <w:rPr>
          <w:rFonts w:hAnsi="宋体" w:cs="Times New Roman"/>
          <w:color w:val="auto"/>
          <w:highlight w:val="none"/>
        </w:rPr>
        <w:t>（2）汽车尾气控制措施</w:t>
      </w:r>
    </w:p>
    <w:p w14:paraId="36E92E77">
      <w:pPr>
        <w:pStyle w:val="29"/>
        <w:ind w:firstLine="480"/>
        <w:jc w:val="left"/>
        <w:rPr>
          <w:rFonts w:hAnsi="宋体" w:cs="Times New Roman"/>
          <w:color w:val="auto"/>
          <w:highlight w:val="none"/>
        </w:rPr>
      </w:pPr>
      <w:r>
        <w:rPr>
          <w:rFonts w:hAnsi="宋体" w:cs="Times New Roman"/>
          <w:color w:val="auto"/>
          <w:highlight w:val="none"/>
        </w:rPr>
        <w:t>本工程使用的多为大型运输车辆，尾气排放量与污染物含量均较轻型车辆高，因此，按照国家的有关规定，施工运输车辆必须执行《在用汽车报废标准》，推行强制更新报废制度，对于发动机耗油多、效率低、排放尾气严重超标的老、旧车辆，要及时更新；燃油机械设备应选用符合国家有关卫生标准的施工机械，使其排放的废气符合国家有关标准。</w:t>
      </w:r>
    </w:p>
    <w:p w14:paraId="6C53F4E2">
      <w:pPr>
        <w:pStyle w:val="29"/>
        <w:ind w:firstLine="480"/>
        <w:jc w:val="left"/>
        <w:rPr>
          <w:rFonts w:hAnsi="宋体" w:cs="Times New Roman"/>
          <w:color w:val="auto"/>
          <w:highlight w:val="none"/>
        </w:rPr>
      </w:pPr>
      <w:r>
        <w:rPr>
          <w:rFonts w:hAnsi="宋体" w:cs="Times New Roman"/>
          <w:color w:val="auto"/>
          <w:highlight w:val="none"/>
        </w:rPr>
        <w:t>（3）钻爆粉尘</w:t>
      </w:r>
    </w:p>
    <w:p w14:paraId="3DEFCBD1">
      <w:pPr>
        <w:pStyle w:val="29"/>
        <w:ind w:firstLine="480"/>
        <w:jc w:val="left"/>
        <w:rPr>
          <w:rFonts w:hint="eastAsia"/>
          <w:i w:val="0"/>
          <w:iCs w:val="0"/>
          <w:color w:val="auto"/>
          <w:highlight w:val="none"/>
          <w:u w:val="none"/>
        </w:rPr>
      </w:pPr>
      <w:r>
        <w:rPr>
          <w:rFonts w:hAnsi="宋体"/>
          <w:color w:val="auto"/>
          <w:sz w:val="24"/>
          <w:szCs w:val="20"/>
          <w:highlight w:val="none"/>
        </w:rPr>
        <w:t>爆破应多打眼、少装药的方式，减少爆破振动，爆前采用喷雾洒水，即在距工作面15-20m处安装除尘喷雾装置，在爆破后30分钟关闭。</w:t>
      </w:r>
    </w:p>
    <w:p w14:paraId="292C3E5C">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施工期废水污染防治措施</w:t>
      </w:r>
    </w:p>
    <w:p w14:paraId="5D9A8B98">
      <w:pPr>
        <w:pStyle w:val="29"/>
        <w:ind w:firstLine="480"/>
        <w:jc w:val="left"/>
        <w:rPr>
          <w:rFonts w:hAnsi="宋体" w:cs="Times New Roman"/>
          <w:color w:val="auto"/>
          <w:szCs w:val="24"/>
          <w:highlight w:val="none"/>
        </w:rPr>
      </w:pPr>
      <w:r>
        <w:rPr>
          <w:rFonts w:hint="eastAsia" w:hAnsi="宋体" w:cs="Times New Roman"/>
          <w:color w:val="auto"/>
          <w:szCs w:val="24"/>
          <w:highlight w:val="none"/>
          <w:lang w:eastAsia="zh-CN"/>
        </w:rPr>
        <w:t>（</w:t>
      </w:r>
      <w:r>
        <w:rPr>
          <w:rFonts w:hint="eastAsia" w:hAnsi="宋体" w:cs="Times New Roman"/>
          <w:color w:val="auto"/>
          <w:szCs w:val="24"/>
          <w:highlight w:val="none"/>
          <w:lang w:val="en-US" w:eastAsia="zh-CN"/>
        </w:rPr>
        <w:t>1</w:t>
      </w:r>
      <w:r>
        <w:rPr>
          <w:rFonts w:hint="eastAsia" w:hAnsi="宋体" w:cs="Times New Roman"/>
          <w:color w:val="auto"/>
          <w:szCs w:val="24"/>
          <w:highlight w:val="none"/>
          <w:lang w:eastAsia="zh-CN"/>
        </w:rPr>
        <w:t>）</w:t>
      </w:r>
      <w:r>
        <w:rPr>
          <w:rFonts w:hAnsi="宋体" w:cs="Times New Roman"/>
          <w:color w:val="auto"/>
          <w:szCs w:val="24"/>
          <w:highlight w:val="none"/>
        </w:rPr>
        <w:t>施工废水防治措施</w:t>
      </w:r>
    </w:p>
    <w:p w14:paraId="2596A549">
      <w:pPr>
        <w:pStyle w:val="63"/>
        <w:adjustRightInd w:val="0"/>
        <w:snapToGrid w:val="0"/>
        <w:jc w:val="left"/>
        <w:rPr>
          <w:rFonts w:hAnsi="Times New Roman"/>
          <w:color w:val="auto"/>
          <w:kern w:val="2"/>
          <w:szCs w:val="24"/>
          <w:highlight w:val="none"/>
          <w:u w:val="none"/>
        </w:rPr>
      </w:pPr>
      <w:r>
        <w:rPr>
          <w:rFonts w:hint="eastAsia" w:ascii="宋体" w:cs="宋体"/>
          <w:color w:val="auto"/>
          <w:kern w:val="2"/>
          <w:szCs w:val="24"/>
          <w:highlight w:val="none"/>
          <w:u w:val="none"/>
        </w:rPr>
        <w:t>①</w:t>
      </w:r>
      <w:r>
        <w:rPr>
          <w:rFonts w:hAnsi="Times New Roman"/>
          <w:color w:val="auto"/>
          <w:kern w:val="2"/>
          <w:szCs w:val="24"/>
          <w:highlight w:val="none"/>
          <w:u w:val="none"/>
        </w:rPr>
        <w:t>严格划定施工边界，</w:t>
      </w:r>
      <w:r>
        <w:rPr>
          <w:rFonts w:hint="eastAsia" w:hAnsi="Times New Roman"/>
          <w:color w:val="auto"/>
          <w:kern w:val="2"/>
          <w:szCs w:val="24"/>
          <w:highlight w:val="none"/>
          <w:u w:val="none"/>
        </w:rPr>
        <w:t>严禁任意扩大施工区域，严禁野蛮施工</w:t>
      </w:r>
      <w:r>
        <w:rPr>
          <w:rFonts w:hAnsi="Times New Roman"/>
          <w:color w:val="auto"/>
          <w:kern w:val="2"/>
          <w:szCs w:val="24"/>
          <w:highlight w:val="none"/>
          <w:u w:val="none"/>
        </w:rPr>
        <w:t>。</w:t>
      </w:r>
    </w:p>
    <w:p w14:paraId="0410DAD1">
      <w:pPr>
        <w:pStyle w:val="63"/>
        <w:adjustRightInd w:val="0"/>
        <w:snapToGrid w:val="0"/>
        <w:jc w:val="left"/>
        <w:rPr>
          <w:rFonts w:hint="default" w:hAnsi="Times New Roman" w:eastAsia="宋体"/>
          <w:color w:val="auto"/>
          <w:kern w:val="2"/>
          <w:szCs w:val="24"/>
          <w:highlight w:val="none"/>
          <w:u w:val="none"/>
          <w:lang w:val="en-US" w:eastAsia="zh-CN"/>
        </w:rPr>
      </w:pPr>
      <w:r>
        <w:rPr>
          <w:rFonts w:hint="eastAsia" w:ascii="宋体" w:cs="宋体"/>
          <w:color w:val="auto"/>
          <w:kern w:val="2"/>
          <w:szCs w:val="24"/>
          <w:highlight w:val="none"/>
          <w:u w:val="none"/>
        </w:rPr>
        <w:t>②</w:t>
      </w:r>
      <w:r>
        <w:rPr>
          <w:rFonts w:hint="eastAsia"/>
          <w:color w:val="auto"/>
          <w:highlight w:val="none"/>
          <w:lang w:eastAsia="zh-CN"/>
        </w:rPr>
        <w:t>本项目</w:t>
      </w:r>
      <w:r>
        <w:rPr>
          <w:rFonts w:hint="eastAsia"/>
          <w:color w:val="auto"/>
          <w:highlight w:val="none"/>
          <w:lang w:val="en-US" w:eastAsia="zh-CN"/>
        </w:rPr>
        <w:t>1#风机机位、集电线路、道路工程</w:t>
      </w:r>
      <w:r>
        <w:rPr>
          <w:rFonts w:hint="eastAsia" w:ascii="Times New Roman" w:hAnsi="Times New Roman" w:cs="Times New Roman"/>
          <w:bCs/>
          <w:color w:val="auto"/>
          <w:sz w:val="24"/>
          <w:szCs w:val="24"/>
          <w:highlight w:val="none"/>
          <w:lang w:val="en-US" w:eastAsia="zh-CN"/>
        </w:rPr>
        <w:t>均不在炳溪冲水库饮用水源保护区汇水范围内；5#风机</w:t>
      </w:r>
      <w:r>
        <w:rPr>
          <w:rFonts w:hint="eastAsia"/>
          <w:color w:val="auto"/>
          <w:highlight w:val="none"/>
          <w:lang w:val="en-US" w:eastAsia="zh-CN"/>
        </w:rPr>
        <w:t>机位、集电线路、道路工程均不在刘家冲水库饮用水源保护区汇水范围内；13#机位不在，</w:t>
      </w:r>
      <w:r>
        <w:rPr>
          <w:rFonts w:hint="eastAsia"/>
          <w:b w:val="0"/>
          <w:bCs/>
          <w:lang w:val="en-US" w:eastAsia="zh-CN"/>
        </w:rPr>
        <w:t>祁东县马杜桥乡延塘村山溪饮用水水源保护区汇水范围内，</w:t>
      </w:r>
      <w:r>
        <w:rPr>
          <w:rFonts w:hint="eastAsia" w:ascii="Times New Roman" w:hAnsi="Times New Roman" w:cs="Times New Roman"/>
          <w:bCs/>
          <w:color w:val="auto"/>
          <w:sz w:val="24"/>
          <w:szCs w:val="24"/>
          <w:highlight w:val="none"/>
          <w:lang w:val="en-US" w:eastAsia="zh-CN"/>
        </w:rPr>
        <w:t>14#风机机位不在</w:t>
      </w:r>
      <w:r>
        <w:rPr>
          <w:rFonts w:hint="eastAsia" w:ascii="Times New Roman" w:hAnsi="Times New Roman" w:cs="Times New Roman"/>
          <w:b w:val="0"/>
          <w:bCs/>
          <w:color w:val="auto"/>
          <w:sz w:val="24"/>
          <w:szCs w:val="24"/>
          <w:highlight w:val="none"/>
          <w:lang w:val="en-US" w:eastAsia="zh-CN"/>
        </w:rPr>
        <w:t>马杜桥村（罗江桥）山溪饮用水源保护区汇水范围内，15#风机机位不在马杜桥乡山溪饮用水源保护区汇水范围内</w:t>
      </w:r>
      <w:r>
        <w:rPr>
          <w:rFonts w:hint="eastAsia"/>
          <w:color w:val="auto"/>
          <w:highlight w:val="none"/>
          <w:lang w:val="en-US" w:eastAsia="zh-CN"/>
        </w:rPr>
        <w:t>，</w:t>
      </w:r>
      <w:r>
        <w:rPr>
          <w:rFonts w:hint="eastAsia" w:ascii="Times New Roman" w:hAnsi="Times New Roman" w:cs="Times New Roman"/>
          <w:bCs/>
          <w:color w:val="auto"/>
          <w:sz w:val="24"/>
          <w:szCs w:val="24"/>
          <w:highlight w:val="none"/>
          <w:lang w:val="en-US" w:eastAsia="zh-CN"/>
        </w:rPr>
        <w:t>施工期不会对饮用水源地水质产生明显影响。施工期需重点在13#、15#机位进场道路、集电线路工程靠近水源地施工时，</w:t>
      </w:r>
      <w:r>
        <w:rPr>
          <w:rFonts w:hAnsi="Times New Roman"/>
          <w:color w:val="auto"/>
          <w:kern w:val="2"/>
          <w:szCs w:val="24"/>
          <w:highlight w:val="none"/>
          <w:u w:val="none"/>
        </w:rPr>
        <w:t>设置截、排、引流以及拦挡措施，</w:t>
      </w:r>
      <w:r>
        <w:rPr>
          <w:rFonts w:hint="eastAsia" w:hAnsi="Times New Roman"/>
          <w:color w:val="auto"/>
          <w:kern w:val="2"/>
          <w:szCs w:val="24"/>
          <w:highlight w:val="none"/>
          <w:u w:val="none"/>
          <w:lang w:eastAsia="zh-CN"/>
        </w:rPr>
        <w:t>确保所有废水</w:t>
      </w:r>
      <w:r>
        <w:rPr>
          <w:rFonts w:hint="eastAsia" w:ascii="Times New Roman" w:hAnsi="Times New Roman" w:cs="Times New Roman"/>
          <w:bCs/>
          <w:color w:val="auto"/>
          <w:sz w:val="24"/>
          <w:szCs w:val="24"/>
          <w:highlight w:val="none"/>
          <w:lang w:val="en-US" w:eastAsia="zh-CN"/>
        </w:rPr>
        <w:t>不进入饮用水水源地。</w:t>
      </w:r>
    </w:p>
    <w:p w14:paraId="1314D21B">
      <w:pPr>
        <w:pStyle w:val="63"/>
        <w:adjustRightInd w:val="0"/>
        <w:snapToGrid w:val="0"/>
        <w:jc w:val="left"/>
        <w:rPr>
          <w:rFonts w:hAnsi="Times New Roman"/>
          <w:color w:val="auto"/>
          <w:kern w:val="2"/>
          <w:szCs w:val="24"/>
          <w:highlight w:val="none"/>
          <w:u w:val="none"/>
        </w:rPr>
      </w:pPr>
      <w:r>
        <w:rPr>
          <w:rFonts w:hint="eastAsia" w:ascii="宋体" w:cs="宋体"/>
          <w:color w:val="auto"/>
          <w:kern w:val="2"/>
          <w:szCs w:val="24"/>
          <w:highlight w:val="none"/>
          <w:u w:val="none"/>
        </w:rPr>
        <w:t>③</w:t>
      </w:r>
      <w:r>
        <w:rPr>
          <w:rFonts w:hAnsi="Times New Roman"/>
          <w:color w:val="auto"/>
          <w:kern w:val="2"/>
          <w:szCs w:val="24"/>
          <w:highlight w:val="none"/>
          <w:u w:val="none"/>
        </w:rPr>
        <w:t>施工期间要求做到边施工边绿化，土方开挖、表土堆存等应合理有序，尽可能选择降雨较少的旱季施工，最大限度减少水土流失发生的可能性，同时应做好工程加固措施，以防止山体滑坡等事故风险发生。</w:t>
      </w:r>
    </w:p>
    <w:p w14:paraId="4323D9AD">
      <w:pPr>
        <w:pStyle w:val="29"/>
        <w:ind w:firstLine="480"/>
        <w:jc w:val="left"/>
        <w:rPr>
          <w:rFonts w:hAnsi="宋体" w:cs="Times New Roman"/>
          <w:color w:val="auto"/>
          <w:szCs w:val="24"/>
          <w:highlight w:val="none"/>
          <w:u w:val="none"/>
        </w:rPr>
      </w:pPr>
      <w:r>
        <w:rPr>
          <w:rFonts w:cs="Times New Roman"/>
          <w:color w:val="auto"/>
          <w:szCs w:val="24"/>
          <w:highlight w:val="none"/>
          <w:u w:val="none"/>
        </w:rPr>
        <w:fldChar w:fldCharType="begin"/>
      </w:r>
      <w:r>
        <w:rPr>
          <w:rFonts w:cs="Times New Roman"/>
          <w:color w:val="auto"/>
          <w:szCs w:val="24"/>
          <w:highlight w:val="none"/>
          <w:u w:val="none"/>
        </w:rPr>
        <w:instrText xml:space="preserve"> = 4 \* GB3 \* MERGEFORMAT </w:instrText>
      </w:r>
      <w:r>
        <w:rPr>
          <w:rFonts w:cs="Times New Roman"/>
          <w:color w:val="auto"/>
          <w:szCs w:val="24"/>
          <w:highlight w:val="none"/>
          <w:u w:val="none"/>
        </w:rPr>
        <w:fldChar w:fldCharType="separate"/>
      </w:r>
      <w:r>
        <w:rPr>
          <w:rFonts w:hint="eastAsia" w:ascii="宋体" w:hAnsi="宋体"/>
          <w:color w:val="auto"/>
          <w:highlight w:val="none"/>
          <w:u w:val="none"/>
        </w:rPr>
        <w:t>④</w:t>
      </w:r>
      <w:r>
        <w:rPr>
          <w:rFonts w:cs="Times New Roman"/>
          <w:color w:val="auto"/>
          <w:szCs w:val="24"/>
          <w:highlight w:val="none"/>
          <w:u w:val="none"/>
        </w:rPr>
        <w:fldChar w:fldCharType="end"/>
      </w:r>
      <w:r>
        <w:rPr>
          <w:rFonts w:cs="Times New Roman"/>
          <w:color w:val="auto"/>
          <w:highlight w:val="none"/>
          <w:u w:val="none"/>
        </w:rPr>
        <w:t>运输车辆</w:t>
      </w:r>
      <w:r>
        <w:rPr>
          <w:rFonts w:hint="eastAsia" w:cs="Times New Roman"/>
          <w:color w:val="auto"/>
          <w:highlight w:val="none"/>
          <w:u w:val="none"/>
        </w:rPr>
        <w:t>运输</w:t>
      </w:r>
      <w:r>
        <w:rPr>
          <w:rFonts w:cs="Times New Roman"/>
          <w:color w:val="auto"/>
          <w:highlight w:val="none"/>
          <w:u w:val="none"/>
        </w:rPr>
        <w:t>时应减速行驶，防止建筑材料和弃渣掉落。施工弃渣应及时清运，</w:t>
      </w:r>
      <w:r>
        <w:rPr>
          <w:rFonts w:hint="eastAsia" w:cs="Times New Roman"/>
          <w:color w:val="auto"/>
          <w:highlight w:val="none"/>
          <w:u w:val="none"/>
        </w:rPr>
        <w:t>禁止乱弃。</w:t>
      </w:r>
    </w:p>
    <w:p w14:paraId="6F54CE11">
      <w:pPr>
        <w:pStyle w:val="29"/>
        <w:ind w:firstLine="480"/>
        <w:jc w:val="left"/>
        <w:rPr>
          <w:rFonts w:hAnsi="宋体" w:cs="Times New Roman"/>
          <w:color w:val="auto"/>
          <w:szCs w:val="24"/>
          <w:highlight w:val="none"/>
        </w:rPr>
      </w:pPr>
      <w:r>
        <w:rPr>
          <w:rFonts w:hint="eastAsia" w:hAnsi="宋体" w:cs="Times New Roman"/>
          <w:color w:val="auto"/>
          <w:szCs w:val="24"/>
          <w:highlight w:val="none"/>
          <w:lang w:eastAsia="zh-CN"/>
        </w:rPr>
        <w:t>⑤</w:t>
      </w:r>
      <w:r>
        <w:rPr>
          <w:rFonts w:hAnsi="宋体" w:cs="Times New Roman"/>
          <w:color w:val="auto"/>
          <w:szCs w:val="24"/>
          <w:highlight w:val="none"/>
        </w:rPr>
        <w:t>施工设备与车辆清洗必须集中到施工生产区进行，并在施工生产区布设沉淀池和隔油池</w:t>
      </w:r>
      <w:r>
        <w:rPr>
          <w:rFonts w:hint="eastAsia" w:hAnsi="宋体" w:cs="Times New Roman"/>
          <w:color w:val="auto"/>
          <w:szCs w:val="24"/>
          <w:highlight w:val="none"/>
        </w:rPr>
        <w:t>，废水统一</w:t>
      </w:r>
      <w:r>
        <w:rPr>
          <w:rFonts w:hAnsi="宋体" w:cs="Times New Roman"/>
          <w:color w:val="auto"/>
          <w:szCs w:val="24"/>
          <w:highlight w:val="none"/>
        </w:rPr>
        <w:t>收集后进入</w:t>
      </w:r>
      <w:r>
        <w:rPr>
          <w:rFonts w:hint="eastAsia" w:hAnsi="宋体" w:cs="Times New Roman"/>
          <w:color w:val="auto"/>
          <w:szCs w:val="24"/>
          <w:highlight w:val="none"/>
        </w:rPr>
        <w:t>隔油</w:t>
      </w:r>
      <w:r>
        <w:rPr>
          <w:rFonts w:hAnsi="宋体" w:cs="Times New Roman"/>
          <w:color w:val="auto"/>
          <w:szCs w:val="24"/>
          <w:highlight w:val="none"/>
        </w:rPr>
        <w:t>沉淀池</w:t>
      </w:r>
      <w:r>
        <w:rPr>
          <w:rFonts w:hint="eastAsia" w:hAnsi="宋体" w:cs="Times New Roman"/>
          <w:color w:val="auto"/>
          <w:szCs w:val="24"/>
          <w:highlight w:val="none"/>
        </w:rPr>
        <w:t>处理</w:t>
      </w:r>
      <w:r>
        <w:rPr>
          <w:rFonts w:hAnsi="宋体" w:cs="Times New Roman"/>
          <w:color w:val="auto"/>
          <w:szCs w:val="24"/>
          <w:highlight w:val="none"/>
        </w:rPr>
        <w:t>，</w:t>
      </w:r>
      <w:r>
        <w:rPr>
          <w:rFonts w:hint="eastAsia" w:hAnsi="宋体" w:cs="Times New Roman"/>
          <w:color w:val="auto"/>
          <w:szCs w:val="24"/>
          <w:highlight w:val="none"/>
        </w:rPr>
        <w:t>经</w:t>
      </w:r>
      <w:r>
        <w:rPr>
          <w:rFonts w:hAnsi="宋体" w:cs="Times New Roman"/>
          <w:color w:val="auto"/>
          <w:szCs w:val="24"/>
          <w:highlight w:val="none"/>
        </w:rPr>
        <w:t>处理后的</w:t>
      </w:r>
      <w:r>
        <w:rPr>
          <w:rFonts w:hint="eastAsia" w:hAnsi="宋体" w:cs="Times New Roman"/>
          <w:color w:val="auto"/>
          <w:szCs w:val="24"/>
          <w:highlight w:val="none"/>
        </w:rPr>
        <w:t>废水</w:t>
      </w:r>
      <w:r>
        <w:rPr>
          <w:rFonts w:hAnsi="宋体" w:cs="Times New Roman"/>
          <w:color w:val="auto"/>
          <w:szCs w:val="24"/>
          <w:highlight w:val="none"/>
        </w:rPr>
        <w:t>全部回用于车辆清洗或道路洒水</w:t>
      </w:r>
      <w:r>
        <w:rPr>
          <w:rFonts w:hint="eastAsia" w:hAnsi="宋体" w:cs="Times New Roman"/>
          <w:color w:val="auto"/>
          <w:szCs w:val="24"/>
          <w:highlight w:val="none"/>
        </w:rPr>
        <w:t>，</w:t>
      </w:r>
      <w:r>
        <w:rPr>
          <w:rFonts w:hAnsi="宋体" w:cs="Times New Roman"/>
          <w:color w:val="auto"/>
          <w:szCs w:val="24"/>
          <w:highlight w:val="none"/>
        </w:rPr>
        <w:t>由于油池中分离出的油污量很小，可收集后放在专门的贮存场所，最终统一交由有资质的处置单位回收利用或合理处置，沉淀污泥干化后</w:t>
      </w:r>
      <w:r>
        <w:rPr>
          <w:rFonts w:hint="eastAsia" w:hAnsi="宋体" w:cs="Times New Roman"/>
          <w:color w:val="auto"/>
          <w:szCs w:val="24"/>
          <w:highlight w:val="none"/>
        </w:rPr>
        <w:t>同生活垃圾一同委托当地环卫部门清运、处置。</w:t>
      </w:r>
    </w:p>
    <w:p w14:paraId="2771433F">
      <w:pPr>
        <w:pStyle w:val="29"/>
        <w:ind w:firstLine="480"/>
        <w:jc w:val="left"/>
        <w:rPr>
          <w:rFonts w:hAnsi="宋体" w:cs="Times New Roman"/>
          <w:color w:val="auto"/>
          <w:szCs w:val="24"/>
          <w:highlight w:val="none"/>
        </w:rPr>
      </w:pPr>
      <w:r>
        <w:rPr>
          <w:rFonts w:hint="eastAsia" w:hAnsi="宋体" w:cs="Times New Roman"/>
          <w:color w:val="auto"/>
          <w:szCs w:val="24"/>
          <w:highlight w:val="none"/>
          <w:lang w:eastAsia="zh-CN"/>
        </w:rPr>
        <w:t>（</w:t>
      </w:r>
      <w:r>
        <w:rPr>
          <w:rFonts w:hint="eastAsia" w:hAnsi="宋体" w:cs="Times New Roman"/>
          <w:color w:val="auto"/>
          <w:szCs w:val="24"/>
          <w:highlight w:val="none"/>
          <w:lang w:val="en-US" w:eastAsia="zh-CN"/>
        </w:rPr>
        <w:t>2</w:t>
      </w:r>
      <w:r>
        <w:rPr>
          <w:rFonts w:hint="eastAsia" w:hAnsi="宋体" w:cs="Times New Roman"/>
          <w:color w:val="auto"/>
          <w:szCs w:val="24"/>
          <w:highlight w:val="none"/>
          <w:lang w:eastAsia="zh-CN"/>
        </w:rPr>
        <w:t>）</w:t>
      </w:r>
      <w:r>
        <w:rPr>
          <w:rFonts w:hAnsi="宋体" w:cs="Times New Roman"/>
          <w:color w:val="auto"/>
          <w:szCs w:val="24"/>
          <w:highlight w:val="none"/>
        </w:rPr>
        <w:t>施工生活污水防治措施</w:t>
      </w:r>
    </w:p>
    <w:p w14:paraId="4EAD2B3C">
      <w:pPr>
        <w:pStyle w:val="29"/>
        <w:ind w:firstLine="480"/>
        <w:jc w:val="left"/>
        <w:rPr>
          <w:rFonts w:hint="eastAsia"/>
          <w:i w:val="0"/>
          <w:iCs w:val="0"/>
          <w:color w:val="auto"/>
          <w:highlight w:val="none"/>
          <w:u w:val="none"/>
        </w:rPr>
      </w:pPr>
      <w:r>
        <w:rPr>
          <w:rFonts w:hint="eastAsia" w:hAnsi="宋体" w:cs="Times New Roman"/>
          <w:color w:val="auto"/>
          <w:szCs w:val="24"/>
          <w:highlight w:val="none"/>
          <w:lang w:eastAsia="zh-CN"/>
        </w:rPr>
        <w:t>本项目施工期租用山脚下民房，</w:t>
      </w:r>
      <w:r>
        <w:rPr>
          <w:rFonts w:hint="eastAsia" w:hAnsi="宋体" w:cs="Times New Roman"/>
          <w:color w:val="auto"/>
          <w:szCs w:val="24"/>
          <w:highlight w:val="none"/>
          <w:lang w:val="en-US" w:eastAsia="zh-CN"/>
        </w:rPr>
        <w:t>生活污水依托租用民房的化粪池处理，粪污处理后定期清理</w:t>
      </w:r>
      <w:r>
        <w:rPr>
          <w:rFonts w:hint="eastAsia" w:hAnsi="宋体" w:cs="Times New Roman"/>
          <w:color w:val="auto"/>
          <w:szCs w:val="24"/>
          <w:highlight w:val="none"/>
        </w:rPr>
        <w:t>，</w:t>
      </w:r>
      <w:r>
        <w:rPr>
          <w:rFonts w:hAnsi="宋体" w:cs="Times New Roman"/>
          <w:color w:val="auto"/>
          <w:szCs w:val="24"/>
          <w:highlight w:val="none"/>
        </w:rPr>
        <w:t>用于周边</w:t>
      </w:r>
      <w:r>
        <w:rPr>
          <w:rFonts w:hint="eastAsia" w:hAnsi="宋体" w:cs="Times New Roman"/>
          <w:color w:val="auto"/>
          <w:szCs w:val="24"/>
          <w:highlight w:val="none"/>
        </w:rPr>
        <w:t>旱地、农田</w:t>
      </w:r>
      <w:r>
        <w:rPr>
          <w:rFonts w:hAnsi="宋体" w:cs="Times New Roman"/>
          <w:color w:val="auto"/>
          <w:szCs w:val="24"/>
          <w:highlight w:val="none"/>
        </w:rPr>
        <w:t>施肥，不外排。</w:t>
      </w:r>
      <w:r>
        <w:rPr>
          <w:rFonts w:hint="eastAsia" w:hAnsi="宋体" w:cs="Times New Roman"/>
          <w:color w:val="auto"/>
          <w:szCs w:val="24"/>
          <w:highlight w:val="none"/>
        </w:rPr>
        <w:t>其他生活污水污染物含量较低，经沉淀池处理后浇灌周边林地，对环境影响较小。</w:t>
      </w:r>
    </w:p>
    <w:p w14:paraId="7E9B1FE0">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施工期噪声污染防治措施</w:t>
      </w:r>
    </w:p>
    <w:p w14:paraId="273B6AC8">
      <w:pPr>
        <w:pStyle w:val="29"/>
        <w:ind w:firstLine="480"/>
        <w:jc w:val="left"/>
        <w:rPr>
          <w:rFonts w:eastAsia="宋体" w:cs="Times New Roman"/>
          <w:color w:val="auto"/>
          <w:szCs w:val="24"/>
          <w:highlight w:val="none"/>
        </w:rPr>
      </w:pPr>
      <w:r>
        <w:rPr>
          <w:rFonts w:eastAsia="宋体" w:cs="Times New Roman"/>
          <w:color w:val="auto"/>
          <w:szCs w:val="24"/>
          <w:highlight w:val="none"/>
        </w:rPr>
        <w:t>施工过程中加强设备的维护和保养，保持机械润滑，降低运行噪声。施工单位必须选用符合国家有关环保标准的施工机械，尽量选用低噪声设备和施工工艺。应尽量缩短高噪音机械设备的使用时间，配备、使用减震坐垫和隔音装置，降低噪声源的声级强度。施工中加强各种机械设备的维修和保养，做好机械设备使用前的检修，使设备性能处于良好状态，运行时可减少噪声。优化施工工艺，减小施工爆破噪声；爆破作业须在上午8:30~11:30、下午2:30~6:30进行；并尽量知会受影响的居民，做好防范措施。此外，要求在下一步设计阶段对施工布置进行优化，将高噪声设备远离施工场界布置。</w:t>
      </w:r>
    </w:p>
    <w:p w14:paraId="447AD1CD">
      <w:pPr>
        <w:pStyle w:val="29"/>
        <w:ind w:firstLine="480"/>
        <w:jc w:val="left"/>
        <w:rPr>
          <w:rFonts w:eastAsia="宋体" w:cs="Times New Roman"/>
          <w:color w:val="auto"/>
          <w:szCs w:val="24"/>
          <w:highlight w:val="none"/>
          <w:u w:val="none"/>
        </w:rPr>
      </w:pPr>
      <w:r>
        <w:rPr>
          <w:rFonts w:eastAsia="宋体" w:cs="Times New Roman"/>
          <w:color w:val="auto"/>
          <w:szCs w:val="24"/>
          <w:highlight w:val="none"/>
          <w:u w:val="none"/>
        </w:rPr>
        <w:t>加强道路交通管理，对外交通干线上的运输车辆在居民聚居点时应适当减速行驶，并禁鸣高音喇叭；运输时间应相对固定，应避免夜间运输。在位于各支路起点附近的居民点设置减速墩、禁鸣标志。</w:t>
      </w:r>
    </w:p>
    <w:p w14:paraId="5DAAC640">
      <w:pPr>
        <w:pStyle w:val="29"/>
        <w:ind w:firstLine="480"/>
        <w:jc w:val="left"/>
        <w:rPr>
          <w:rFonts w:hint="eastAsia"/>
          <w:i w:val="0"/>
          <w:iCs w:val="0"/>
          <w:color w:val="auto"/>
          <w:highlight w:val="none"/>
          <w:u w:val="none"/>
        </w:rPr>
      </w:pPr>
      <w:r>
        <w:rPr>
          <w:rFonts w:eastAsia="宋体"/>
          <w:color w:val="auto"/>
          <w:sz w:val="24"/>
          <w:highlight w:val="none"/>
        </w:rPr>
        <w:t>加强与敏感点的沟通，在施工前首先在工程影响范围内，特别是工程周边敏感目标处，以张贴公告或其他方式对施工情况发布公告，以获得谅解。</w:t>
      </w:r>
    </w:p>
    <w:p w14:paraId="320BB949">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施工期</w:t>
      </w:r>
      <w:r>
        <w:rPr>
          <w:rFonts w:hint="eastAsia"/>
          <w:b/>
          <w:bCs/>
          <w:color w:val="auto"/>
          <w:sz w:val="24"/>
          <w:highlight w:val="none"/>
        </w:rPr>
        <w:t>固体废物</w:t>
      </w:r>
      <w:r>
        <w:rPr>
          <w:rFonts w:hint="eastAsia" w:ascii="Times New Roman" w:hAnsi="Times New Roman" w:eastAsia="宋体" w:cs="Times New Roman"/>
          <w:color w:val="auto"/>
          <w:highlight w:val="none"/>
          <w:lang w:val="en-US" w:eastAsia="zh-CN"/>
        </w:rPr>
        <w:t>污染防治措施</w:t>
      </w:r>
    </w:p>
    <w:p w14:paraId="17E9AA27">
      <w:pPr>
        <w:pStyle w:val="29"/>
        <w:ind w:firstLine="480"/>
        <w:jc w:val="left"/>
        <w:rPr>
          <w:rFonts w:hAnsi="宋体" w:cs="Times New Roman"/>
          <w:color w:val="auto"/>
          <w:highlight w:val="none"/>
        </w:rPr>
      </w:pPr>
      <w:r>
        <w:rPr>
          <w:rFonts w:hAnsi="宋体" w:cs="Times New Roman"/>
          <w:color w:val="auto"/>
          <w:highlight w:val="none"/>
        </w:rPr>
        <w:t>施工期产生的弃渣存放于专门的弃渣场，并采取水土保持措施，防止水土流失。</w:t>
      </w:r>
    </w:p>
    <w:p w14:paraId="4F9AF467">
      <w:pPr>
        <w:pStyle w:val="29"/>
        <w:ind w:firstLine="480"/>
        <w:jc w:val="left"/>
        <w:rPr>
          <w:rFonts w:hAnsi="宋体" w:cs="Times New Roman"/>
          <w:color w:val="auto"/>
          <w:highlight w:val="none"/>
        </w:rPr>
      </w:pPr>
      <w:r>
        <w:rPr>
          <w:rFonts w:hAnsi="宋体" w:cs="Times New Roman"/>
          <w:color w:val="auto"/>
          <w:highlight w:val="none"/>
        </w:rPr>
        <w:t>施工人员生活垃圾主要产生在施工</w:t>
      </w:r>
      <w:r>
        <w:rPr>
          <w:rFonts w:hint="eastAsia" w:hAnsi="宋体" w:cs="Times New Roman"/>
          <w:color w:val="auto"/>
          <w:highlight w:val="none"/>
          <w:lang w:eastAsia="zh-CN"/>
        </w:rPr>
        <w:t>场地</w:t>
      </w:r>
      <w:r>
        <w:rPr>
          <w:rFonts w:hAnsi="宋体" w:cs="Times New Roman"/>
          <w:color w:val="auto"/>
          <w:highlight w:val="none"/>
        </w:rPr>
        <w:t>，为保持施工区环境卫生，可在施工</w:t>
      </w:r>
      <w:r>
        <w:rPr>
          <w:rFonts w:hint="eastAsia" w:hAnsi="宋体" w:cs="Times New Roman"/>
          <w:color w:val="auto"/>
          <w:highlight w:val="none"/>
          <w:lang w:eastAsia="zh-CN"/>
        </w:rPr>
        <w:t>场地</w:t>
      </w:r>
      <w:r>
        <w:rPr>
          <w:rFonts w:hAnsi="宋体" w:cs="Times New Roman"/>
          <w:color w:val="auto"/>
          <w:highlight w:val="none"/>
        </w:rPr>
        <w:t>配备垃圾桶。生活垃圾产生量不大，定期收集清运至</w:t>
      </w:r>
      <w:r>
        <w:rPr>
          <w:rFonts w:hint="eastAsia" w:hAnsi="宋体" w:cs="Times New Roman"/>
          <w:color w:val="auto"/>
          <w:highlight w:val="none"/>
        </w:rPr>
        <w:t>当地</w:t>
      </w:r>
      <w:r>
        <w:rPr>
          <w:rFonts w:hAnsi="宋体" w:cs="Times New Roman"/>
          <w:color w:val="auto"/>
          <w:highlight w:val="none"/>
        </w:rPr>
        <w:t>垃圾中转站进行处理。</w:t>
      </w:r>
    </w:p>
    <w:p w14:paraId="1AC978B2">
      <w:pPr>
        <w:pStyle w:val="29"/>
        <w:ind w:firstLine="480"/>
        <w:jc w:val="left"/>
        <w:rPr>
          <w:rFonts w:hint="eastAsia"/>
          <w:i w:val="0"/>
          <w:iCs w:val="0"/>
          <w:color w:val="auto"/>
          <w:highlight w:val="none"/>
          <w:u w:val="none"/>
        </w:rPr>
      </w:pPr>
      <w:r>
        <w:rPr>
          <w:rFonts w:hAnsi="宋体" w:cs="Times New Roman"/>
          <w:color w:val="auto"/>
          <w:highlight w:val="none"/>
        </w:rPr>
        <w:t>同时施工期施工车辆检修产生废机油，擦拭零件的抹布，以及检修含油废水经隔油池隔油处理后产生的含油污泥，均属于危险废物，需对废机油、含油抹布和含油污泥统一收集并委托具有危废处理资质的单位进行处理。加强施工期现场管理，及时清理建筑废料。</w:t>
      </w:r>
    </w:p>
    <w:p w14:paraId="6C05389A">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施工期</w:t>
      </w:r>
      <w:r>
        <w:rPr>
          <w:rFonts w:hint="eastAsia" w:eastAsia="宋体"/>
          <w:b/>
          <w:bCs/>
          <w:color w:val="auto"/>
          <w:sz w:val="24"/>
          <w:highlight w:val="none"/>
          <w:lang w:eastAsia="zh-CN"/>
        </w:rPr>
        <w:t>水土流失</w:t>
      </w:r>
      <w:r>
        <w:rPr>
          <w:rFonts w:hint="eastAsia" w:ascii="Times New Roman" w:hAnsi="Times New Roman" w:eastAsia="宋体" w:cs="Times New Roman"/>
          <w:color w:val="auto"/>
          <w:highlight w:val="none"/>
          <w:lang w:val="en-US" w:eastAsia="zh-CN"/>
        </w:rPr>
        <w:t>防治措施</w:t>
      </w:r>
    </w:p>
    <w:p w14:paraId="472ABDD9">
      <w:pPr>
        <w:adjustRightInd w:val="0"/>
        <w:snapToGrid w:val="0"/>
        <w:spacing w:line="360" w:lineRule="auto"/>
        <w:ind w:firstLine="480" w:firstLineChars="200"/>
        <w:jc w:val="left"/>
        <w:rPr>
          <w:color w:val="auto"/>
          <w:sz w:val="24"/>
          <w:highlight w:val="none"/>
        </w:rPr>
      </w:pPr>
      <w:r>
        <w:rPr>
          <w:rFonts w:hint="eastAsia" w:ascii="Times New Roman" w:hAnsi="Times New Roman" w:cs="Times New Roman"/>
          <w:b w:val="0"/>
          <w:bCs w:val="0"/>
          <w:color w:val="auto"/>
          <w:kern w:val="0"/>
          <w:sz w:val="24"/>
          <w:szCs w:val="24"/>
          <w:highlight w:val="none"/>
          <w:lang w:val="en-US" w:eastAsia="zh-CN"/>
        </w:rPr>
        <w:t>根据《祁东县南冲风电场（大马二期）工程水土保持方案报告书》，</w:t>
      </w:r>
      <w:r>
        <w:rPr>
          <w:color w:val="auto"/>
          <w:sz w:val="24"/>
          <w:highlight w:val="none"/>
        </w:rPr>
        <w:t>本项目水土流失防治措施体系图见下图：</w:t>
      </w:r>
    </w:p>
    <w:p w14:paraId="70972FE1">
      <w:pPr>
        <w:pStyle w:val="63"/>
        <w:adjustRightInd w:val="0"/>
        <w:snapToGrid w:val="0"/>
        <w:ind w:firstLine="0" w:firstLineChars="0"/>
        <w:jc w:val="center"/>
        <w:rPr>
          <w:rFonts w:hAnsi="Times New Roman"/>
          <w:color w:val="auto"/>
          <w:sz w:val="21"/>
          <w:szCs w:val="21"/>
          <w:highlight w:val="none"/>
        </w:rPr>
      </w:pPr>
      <w:r>
        <w:rPr>
          <w:color w:val="auto"/>
          <w:highlight w:val="none"/>
        </w:rPr>
        <w:object>
          <v:shape id="_x0000_i1030" o:spt="75" type="#_x0000_t75" style="height:416.95pt;width:424.5pt;" o:ole="t" filled="f" o:preferrelative="t" stroked="f" coordsize="21600,21600">
            <v:path/>
            <v:fill on="f" focussize="0,0"/>
            <v:stroke on="f"/>
            <v:imagedata r:id="rId68" o:title=""/>
            <o:lock v:ext="edit" aspectratio="t"/>
            <w10:wrap type="none"/>
            <w10:anchorlock/>
          </v:shape>
          <o:OLEObject Type="Embed" ProgID="Visio.Drawing.15" ShapeID="_x0000_i1030" DrawAspect="Content" ObjectID="_1468075730">
            <o:LockedField>false</o:LockedField>
          </o:OLEObject>
        </w:object>
      </w:r>
      <w:r>
        <w:rPr>
          <w:rFonts w:hAnsi="Times New Roman"/>
          <w:b/>
          <w:bCs/>
          <w:color w:val="auto"/>
          <w:kern w:val="2"/>
          <w:sz w:val="21"/>
          <w:szCs w:val="21"/>
          <w:highlight w:val="none"/>
        </w:rPr>
        <w:t>图</w:t>
      </w:r>
      <w:r>
        <w:rPr>
          <w:rFonts w:hint="eastAsia" w:hAnsi="Times New Roman"/>
          <w:b/>
          <w:bCs/>
          <w:color w:val="auto"/>
          <w:kern w:val="2"/>
          <w:sz w:val="21"/>
          <w:szCs w:val="21"/>
          <w:highlight w:val="none"/>
          <w:lang w:val="en-US" w:eastAsia="zh-CN"/>
        </w:rPr>
        <w:t>9.2</w:t>
      </w:r>
      <w:r>
        <w:rPr>
          <w:rFonts w:hAnsi="Times New Roman"/>
          <w:b/>
          <w:bCs/>
          <w:color w:val="auto"/>
          <w:kern w:val="2"/>
          <w:sz w:val="21"/>
          <w:szCs w:val="21"/>
          <w:highlight w:val="none"/>
        </w:rPr>
        <w:t>-1</w:t>
      </w:r>
      <w:r>
        <w:rPr>
          <w:rFonts w:hint="eastAsia" w:hAnsi="Times New Roman"/>
          <w:b/>
          <w:bCs/>
          <w:color w:val="auto"/>
          <w:kern w:val="2"/>
          <w:sz w:val="21"/>
          <w:szCs w:val="21"/>
          <w:highlight w:val="none"/>
          <w:lang w:val="en-US" w:eastAsia="zh-CN"/>
        </w:rPr>
        <w:t xml:space="preserve">  </w:t>
      </w:r>
      <w:r>
        <w:rPr>
          <w:rFonts w:hAnsi="Times New Roman"/>
          <w:b/>
          <w:bCs/>
          <w:color w:val="auto"/>
          <w:kern w:val="2"/>
          <w:sz w:val="21"/>
          <w:szCs w:val="21"/>
          <w:highlight w:val="none"/>
        </w:rPr>
        <w:t>水土流失防治措施体系图</w:t>
      </w:r>
    </w:p>
    <w:p w14:paraId="4203A03C">
      <w:pPr>
        <w:pStyle w:val="6"/>
        <w:rPr>
          <w:rFonts w:hint="eastAsia" w:ascii="Times New Roman" w:hAnsi="Times New Roman" w:eastAsia="宋体" w:cs="Times New Roman"/>
          <w:b/>
          <w:bCs/>
          <w:color w:val="auto"/>
          <w:sz w:val="24"/>
          <w:highlight w:val="none"/>
          <w:lang w:eastAsia="zh-CN"/>
        </w:rPr>
      </w:pPr>
      <w:r>
        <w:rPr>
          <w:rFonts w:hint="eastAsia" w:ascii="Times New Roman" w:hAnsi="Times New Roman" w:eastAsia="宋体" w:cs="Times New Roman"/>
          <w:b/>
          <w:bCs/>
          <w:color w:val="auto"/>
          <w:sz w:val="24"/>
          <w:highlight w:val="none"/>
          <w:lang w:eastAsia="zh-CN"/>
        </w:rPr>
        <w:t>风电机组区水土流失防治措施</w:t>
      </w:r>
    </w:p>
    <w:p w14:paraId="0E317BBB">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（1）工程措施</w:t>
      </w:r>
    </w:p>
    <w:p w14:paraId="3FBE5A09">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1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①</w:t>
      </w:r>
      <w:r>
        <w:rPr>
          <w:rFonts w:hAnsi="宋体"/>
          <w:color w:val="auto"/>
          <w:sz w:val="24"/>
          <w:highlight w:val="none"/>
        </w:rPr>
        <w:fldChar w:fldCharType="end"/>
      </w:r>
      <w:r>
        <w:rPr>
          <w:rFonts w:hint="eastAsia" w:hAnsi="宋体"/>
          <w:color w:val="auto"/>
          <w:sz w:val="24"/>
          <w:highlight w:val="none"/>
        </w:rPr>
        <w:t>排水措施</w:t>
      </w:r>
    </w:p>
    <w:p w14:paraId="49880615">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风机安装场地平整后，场地周边设置排水沟，并与检修道路的排水沟或周边原有排水系统连接。</w:t>
      </w:r>
    </w:p>
    <w:p w14:paraId="713F294D">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永久排水沟采用浆砌石砌筑，断面根据当地暴雨特征值与汇流面积按明渠均匀流公式计算确定。</w:t>
      </w:r>
    </w:p>
    <w:p w14:paraId="026ABDC4">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2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②</w:t>
      </w:r>
      <w:r>
        <w:rPr>
          <w:rFonts w:hAnsi="宋体"/>
          <w:color w:val="auto"/>
          <w:sz w:val="24"/>
          <w:highlight w:val="none"/>
        </w:rPr>
        <w:fldChar w:fldCharType="end"/>
      </w:r>
      <w:r>
        <w:rPr>
          <w:rFonts w:hAnsi="宋体"/>
          <w:color w:val="auto"/>
          <w:sz w:val="24"/>
          <w:highlight w:val="none"/>
        </w:rPr>
        <w:t>沉沙措施</w:t>
      </w:r>
    </w:p>
    <w:p w14:paraId="0C0D1609">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排水沟出口设置沉沙措施，经</w:t>
      </w:r>
      <w:r>
        <w:rPr>
          <w:rFonts w:hAnsi="宋体"/>
          <w:color w:val="auto"/>
          <w:sz w:val="24"/>
          <w:highlight w:val="none"/>
        </w:rPr>
        <w:t>Ⅰ</w:t>
      </w:r>
      <w:r>
        <w:rPr>
          <w:rFonts w:hint="eastAsia" w:hAnsi="宋体"/>
          <w:color w:val="auto"/>
          <w:sz w:val="24"/>
          <w:highlight w:val="none"/>
        </w:rPr>
        <w:t>型沉沙池后顺接新建道路排水沟或自然沟道，沉沙池规格为</w:t>
      </w:r>
      <w:r>
        <w:rPr>
          <w:rFonts w:hAnsi="宋体"/>
          <w:color w:val="auto"/>
          <w:sz w:val="24"/>
          <w:highlight w:val="none"/>
        </w:rPr>
        <w:t>1.0m×1.0m×1.0m(</w:t>
      </w:r>
      <w:r>
        <w:rPr>
          <w:rFonts w:hint="eastAsia" w:hAnsi="宋体"/>
          <w:color w:val="auto"/>
          <w:sz w:val="24"/>
          <w:highlight w:val="none"/>
        </w:rPr>
        <w:t>长</w:t>
      </w:r>
      <w:r>
        <w:rPr>
          <w:rFonts w:hAnsi="宋体"/>
          <w:color w:val="auto"/>
          <w:sz w:val="24"/>
          <w:highlight w:val="none"/>
        </w:rPr>
        <w:t>×</w:t>
      </w:r>
      <w:r>
        <w:rPr>
          <w:rFonts w:hint="eastAsia" w:hAnsi="宋体"/>
          <w:color w:val="auto"/>
          <w:sz w:val="24"/>
          <w:highlight w:val="none"/>
        </w:rPr>
        <w:t>宽</w:t>
      </w:r>
      <w:r>
        <w:rPr>
          <w:rFonts w:hAnsi="宋体"/>
          <w:color w:val="auto"/>
          <w:sz w:val="24"/>
          <w:highlight w:val="none"/>
        </w:rPr>
        <w:t>×</w:t>
      </w:r>
      <w:r>
        <w:rPr>
          <w:rFonts w:hint="eastAsia" w:hAnsi="宋体"/>
          <w:color w:val="auto"/>
          <w:sz w:val="24"/>
          <w:highlight w:val="none"/>
        </w:rPr>
        <w:t>深</w:t>
      </w:r>
      <w:r>
        <w:rPr>
          <w:rFonts w:hAnsi="宋体"/>
          <w:color w:val="auto"/>
          <w:sz w:val="24"/>
          <w:highlight w:val="none"/>
        </w:rPr>
        <w:t>)</w:t>
      </w:r>
      <w:r>
        <w:rPr>
          <w:rFonts w:hint="eastAsia" w:hAnsi="宋体"/>
          <w:color w:val="auto"/>
          <w:sz w:val="24"/>
          <w:highlight w:val="none"/>
        </w:rPr>
        <w:t>，池底夯实后铺</w:t>
      </w:r>
      <w:r>
        <w:rPr>
          <w:rFonts w:hAnsi="宋体"/>
          <w:color w:val="auto"/>
          <w:sz w:val="24"/>
          <w:highlight w:val="none"/>
        </w:rPr>
        <w:t>C15</w:t>
      </w:r>
      <w:r>
        <w:rPr>
          <w:rFonts w:hint="eastAsia" w:hAnsi="宋体"/>
          <w:color w:val="auto"/>
          <w:sz w:val="24"/>
          <w:highlight w:val="none"/>
        </w:rPr>
        <w:t>混凝土垫层，厚度</w:t>
      </w:r>
      <w:r>
        <w:rPr>
          <w:rFonts w:hAnsi="宋体"/>
          <w:color w:val="auto"/>
          <w:sz w:val="24"/>
          <w:highlight w:val="none"/>
        </w:rPr>
        <w:t>10cm</w:t>
      </w:r>
      <w:r>
        <w:rPr>
          <w:rFonts w:hint="eastAsia" w:hAnsi="宋体"/>
          <w:color w:val="auto"/>
          <w:sz w:val="24"/>
          <w:highlight w:val="none"/>
        </w:rPr>
        <w:t>，池身用</w:t>
      </w:r>
      <w:r>
        <w:rPr>
          <w:rFonts w:hAnsi="宋体"/>
          <w:color w:val="auto"/>
          <w:sz w:val="24"/>
          <w:highlight w:val="none"/>
        </w:rPr>
        <w:t>M7.5</w:t>
      </w:r>
      <w:r>
        <w:rPr>
          <w:rFonts w:hint="eastAsia" w:hAnsi="宋体"/>
          <w:color w:val="auto"/>
          <w:sz w:val="24"/>
          <w:highlight w:val="none"/>
        </w:rPr>
        <w:t>片石砌筑，并以</w:t>
      </w:r>
      <w:r>
        <w:rPr>
          <w:rFonts w:hAnsi="宋体"/>
          <w:color w:val="auto"/>
          <w:sz w:val="24"/>
          <w:highlight w:val="none"/>
        </w:rPr>
        <w:t>M10</w:t>
      </w:r>
      <w:r>
        <w:rPr>
          <w:rFonts w:hint="eastAsia" w:hAnsi="宋体"/>
          <w:color w:val="auto"/>
          <w:sz w:val="24"/>
          <w:highlight w:val="none"/>
        </w:rPr>
        <w:t>水泥砂浆抹面，抹面厚度</w:t>
      </w:r>
      <w:r>
        <w:rPr>
          <w:rFonts w:hAnsi="宋体"/>
          <w:color w:val="auto"/>
          <w:sz w:val="24"/>
          <w:highlight w:val="none"/>
        </w:rPr>
        <w:t>2cm</w:t>
      </w:r>
      <w:r>
        <w:rPr>
          <w:rFonts w:hint="eastAsia" w:hAnsi="宋体"/>
          <w:color w:val="auto"/>
          <w:sz w:val="24"/>
          <w:highlight w:val="none"/>
        </w:rPr>
        <w:t>。沉沙池投入运行后需定期进行清淤。</w:t>
      </w:r>
    </w:p>
    <w:p w14:paraId="0666DF27">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3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③</w:t>
      </w:r>
      <w:r>
        <w:rPr>
          <w:rFonts w:hAnsi="宋体"/>
          <w:color w:val="auto"/>
          <w:sz w:val="24"/>
          <w:highlight w:val="none"/>
        </w:rPr>
        <w:fldChar w:fldCharType="end"/>
      </w:r>
      <w:r>
        <w:rPr>
          <w:rFonts w:hAnsi="宋体"/>
          <w:color w:val="auto"/>
          <w:sz w:val="24"/>
          <w:highlight w:val="none"/>
        </w:rPr>
        <w:t>土地整治措施</w:t>
      </w:r>
    </w:p>
    <w:p w14:paraId="034B3817">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风电机组区施工完毕，对风机平台、风机平台填方边坡采取土地整治措施，采用全面整地，为实施植物措施做好准备工作。</w:t>
      </w:r>
    </w:p>
    <w:p w14:paraId="03E84186">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4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④</w:t>
      </w:r>
      <w:r>
        <w:rPr>
          <w:rFonts w:hAnsi="宋体"/>
          <w:color w:val="auto"/>
          <w:sz w:val="24"/>
          <w:highlight w:val="none"/>
        </w:rPr>
        <w:fldChar w:fldCharType="end"/>
      </w:r>
      <w:r>
        <w:rPr>
          <w:rFonts w:hAnsi="宋体"/>
          <w:color w:val="auto"/>
          <w:sz w:val="24"/>
          <w:highlight w:val="none"/>
        </w:rPr>
        <w:t>表土剥离及回填</w:t>
      </w:r>
    </w:p>
    <w:p w14:paraId="578F6983">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风机平台场平前将场地内表土进行剥离，剥离的表土集中起来堆存在平台范围内，剥离厚度按</w:t>
      </w:r>
      <w:r>
        <w:rPr>
          <w:rFonts w:hAnsi="宋体"/>
          <w:color w:val="auto"/>
          <w:sz w:val="24"/>
          <w:highlight w:val="none"/>
        </w:rPr>
        <w:t>20cm</w:t>
      </w:r>
      <w:r>
        <w:rPr>
          <w:rFonts w:hint="eastAsia" w:hAnsi="宋体"/>
          <w:color w:val="auto"/>
          <w:sz w:val="24"/>
          <w:highlight w:val="none"/>
        </w:rPr>
        <w:t>考虑。实施植被恢复措施前，在植物措施占地上覆表土，厚度为</w:t>
      </w:r>
      <w:r>
        <w:rPr>
          <w:rFonts w:hAnsi="宋体"/>
          <w:color w:val="auto"/>
          <w:sz w:val="24"/>
          <w:highlight w:val="none"/>
        </w:rPr>
        <w:t>30cm</w:t>
      </w:r>
      <w:r>
        <w:rPr>
          <w:rFonts w:hint="eastAsia" w:hAnsi="宋体"/>
          <w:color w:val="auto"/>
          <w:sz w:val="24"/>
          <w:highlight w:val="none"/>
        </w:rPr>
        <w:t>。</w:t>
      </w:r>
    </w:p>
    <w:p w14:paraId="20D5ED62">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（2）植物措施</w:t>
      </w:r>
    </w:p>
    <w:p w14:paraId="233F083D">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树草种选择按照</w:t>
      </w:r>
      <w:r>
        <w:rPr>
          <w:rFonts w:hAnsi="宋体"/>
          <w:color w:val="auto"/>
          <w:sz w:val="24"/>
          <w:highlight w:val="none"/>
        </w:rPr>
        <w:t>“</w:t>
      </w:r>
      <w:r>
        <w:rPr>
          <w:rFonts w:hint="eastAsia" w:hAnsi="宋体"/>
          <w:color w:val="auto"/>
          <w:sz w:val="24"/>
          <w:highlight w:val="none"/>
        </w:rPr>
        <w:t>适地适树、适地适草</w:t>
      </w:r>
      <w:r>
        <w:rPr>
          <w:rFonts w:hAnsi="宋体"/>
          <w:color w:val="auto"/>
          <w:sz w:val="24"/>
          <w:highlight w:val="none"/>
        </w:rPr>
        <w:t>”</w:t>
      </w:r>
      <w:r>
        <w:rPr>
          <w:rFonts w:hint="eastAsia" w:hAnsi="宋体"/>
          <w:color w:val="auto"/>
          <w:sz w:val="24"/>
          <w:highlight w:val="none"/>
        </w:rPr>
        <w:t>的原则，以当地优良土树、草种为主，以保证林草成活和正常生长，同时满足生物多样性和群落稳定性的要求。植草宜选择耐寒、抗污染、耐践踏、耐贫瘠的草种，具有改良土壤理化性状能力等，具有较强的水土保持作用。</w:t>
      </w:r>
    </w:p>
    <w:p w14:paraId="12174B49">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（3）临时措施</w:t>
      </w:r>
    </w:p>
    <w:p w14:paraId="2F732C09">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1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①</w:t>
      </w:r>
      <w:r>
        <w:rPr>
          <w:rFonts w:hAnsi="宋体"/>
          <w:color w:val="auto"/>
          <w:sz w:val="24"/>
          <w:highlight w:val="none"/>
        </w:rPr>
        <w:fldChar w:fldCharType="end"/>
      </w:r>
      <w:r>
        <w:rPr>
          <w:rFonts w:hint="eastAsia" w:hAnsi="宋体"/>
          <w:color w:val="auto"/>
          <w:sz w:val="24"/>
          <w:highlight w:val="none"/>
        </w:rPr>
        <w:t>临时沉沙措施</w:t>
      </w:r>
    </w:p>
    <w:p w14:paraId="1A292552">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沉沙池为土质沉沙池，临时沉沙池与临时排水沟配套使用。临时沉沙池采用长</w:t>
      </w:r>
      <w:r>
        <w:rPr>
          <w:rFonts w:hAnsi="宋体"/>
          <w:color w:val="auto"/>
          <w:sz w:val="24"/>
          <w:highlight w:val="none"/>
        </w:rPr>
        <w:t>1.50m</w:t>
      </w:r>
      <w:r>
        <w:rPr>
          <w:rFonts w:hint="eastAsia" w:hAnsi="宋体"/>
          <w:color w:val="auto"/>
          <w:sz w:val="24"/>
          <w:highlight w:val="none"/>
        </w:rPr>
        <w:t>，宽</w:t>
      </w:r>
      <w:r>
        <w:rPr>
          <w:rFonts w:hAnsi="宋体"/>
          <w:color w:val="auto"/>
          <w:sz w:val="24"/>
          <w:highlight w:val="none"/>
        </w:rPr>
        <w:t>1.50m</w:t>
      </w:r>
      <w:r>
        <w:rPr>
          <w:rFonts w:hint="eastAsia" w:hAnsi="宋体"/>
          <w:color w:val="auto"/>
          <w:sz w:val="24"/>
          <w:highlight w:val="none"/>
        </w:rPr>
        <w:t>，深</w:t>
      </w:r>
      <w:r>
        <w:rPr>
          <w:rFonts w:hAnsi="宋体"/>
          <w:color w:val="auto"/>
          <w:sz w:val="24"/>
          <w:highlight w:val="none"/>
        </w:rPr>
        <w:t>1.00m</w:t>
      </w:r>
      <w:r>
        <w:rPr>
          <w:rFonts w:hint="eastAsia" w:hAnsi="宋体"/>
          <w:color w:val="auto"/>
          <w:sz w:val="24"/>
          <w:highlight w:val="none"/>
        </w:rPr>
        <w:t>，梯形断面，内坡比</w:t>
      </w:r>
      <w:r>
        <w:rPr>
          <w:rFonts w:hAnsi="宋体"/>
          <w:color w:val="auto"/>
          <w:sz w:val="24"/>
          <w:highlight w:val="none"/>
        </w:rPr>
        <w:t>1:0.3</w:t>
      </w:r>
      <w:r>
        <w:rPr>
          <w:rFonts w:hint="eastAsia" w:hAnsi="宋体"/>
          <w:color w:val="auto"/>
          <w:sz w:val="24"/>
          <w:highlight w:val="none"/>
        </w:rPr>
        <w:t>。当沉沙池沉积沙石时，需及时清除。</w:t>
      </w:r>
    </w:p>
    <w:p w14:paraId="4F2F8C5E">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2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②</w:t>
      </w:r>
      <w:r>
        <w:rPr>
          <w:rFonts w:hAnsi="宋体"/>
          <w:color w:val="auto"/>
          <w:sz w:val="24"/>
          <w:highlight w:val="none"/>
        </w:rPr>
        <w:fldChar w:fldCharType="end"/>
      </w:r>
      <w:r>
        <w:rPr>
          <w:rFonts w:hint="eastAsia" w:hAnsi="宋体"/>
          <w:color w:val="auto"/>
          <w:sz w:val="24"/>
          <w:highlight w:val="none"/>
        </w:rPr>
        <w:t>临时拦挡措施</w:t>
      </w:r>
    </w:p>
    <w:p w14:paraId="0DC5B40D">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对填方边坡坡脚及临时堆土堆放地四周采用袋装土垒砌，规格为</w:t>
      </w:r>
      <w:r>
        <w:rPr>
          <w:rFonts w:hAnsi="宋体"/>
          <w:color w:val="auto"/>
          <w:sz w:val="24"/>
          <w:highlight w:val="none"/>
        </w:rPr>
        <w:t>0.5m×0.5m</w:t>
      </w:r>
      <w:r>
        <w:rPr>
          <w:rFonts w:hint="eastAsia" w:hAnsi="宋体"/>
          <w:color w:val="auto"/>
          <w:sz w:val="24"/>
          <w:highlight w:val="none"/>
        </w:rPr>
        <w:t>。</w:t>
      </w:r>
    </w:p>
    <w:p w14:paraId="32400AF4">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3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③</w:t>
      </w:r>
      <w:r>
        <w:rPr>
          <w:rFonts w:hAnsi="宋体"/>
          <w:color w:val="auto"/>
          <w:sz w:val="24"/>
          <w:highlight w:val="none"/>
        </w:rPr>
        <w:fldChar w:fldCharType="end"/>
      </w:r>
      <w:r>
        <w:rPr>
          <w:rFonts w:hint="eastAsia" w:hAnsi="宋体"/>
          <w:color w:val="auto"/>
          <w:sz w:val="24"/>
          <w:highlight w:val="none"/>
        </w:rPr>
        <w:t>临时排水沟</w:t>
      </w:r>
    </w:p>
    <w:p w14:paraId="01EFDFA0">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施工时，安装平台留</w:t>
      </w:r>
      <w:r>
        <w:rPr>
          <w:rFonts w:hAnsi="宋体"/>
          <w:color w:val="auto"/>
          <w:sz w:val="24"/>
          <w:highlight w:val="none"/>
        </w:rPr>
        <w:t>1%</w:t>
      </w:r>
      <w:r>
        <w:rPr>
          <w:rFonts w:hint="eastAsia" w:hAnsi="宋体"/>
          <w:color w:val="auto"/>
          <w:sz w:val="24"/>
          <w:highlight w:val="none"/>
        </w:rPr>
        <w:t>排水坡度，场内风机基坑、箱变以及临时堆土周边依地势布设临时排水和沉沙措施，与周边现有的排水相接，构成完整的排水体系，以防止作业面出现积水现象，并防止降水和地表径流对临时堆土的冲刷。临时排水沟断面根据当期暴雨特征值与汇流面积按明渠均匀流公式计算确定，采用梯形土沟形式，尺寸为下底宽</w:t>
      </w:r>
      <w:r>
        <w:rPr>
          <w:rFonts w:hAnsi="宋体"/>
          <w:color w:val="auto"/>
          <w:sz w:val="24"/>
          <w:highlight w:val="none"/>
        </w:rPr>
        <w:t>0.3m</w:t>
      </w:r>
      <w:r>
        <w:rPr>
          <w:rFonts w:hint="eastAsia" w:hAnsi="宋体"/>
          <w:color w:val="auto"/>
          <w:sz w:val="24"/>
          <w:highlight w:val="none"/>
        </w:rPr>
        <w:t>，上底宽</w:t>
      </w:r>
      <w:r>
        <w:rPr>
          <w:rFonts w:hAnsi="宋体"/>
          <w:color w:val="auto"/>
          <w:sz w:val="24"/>
          <w:highlight w:val="none"/>
        </w:rPr>
        <w:t>0.6m</w:t>
      </w:r>
      <w:r>
        <w:rPr>
          <w:rFonts w:hint="eastAsia" w:hAnsi="宋体"/>
          <w:color w:val="auto"/>
          <w:sz w:val="24"/>
          <w:highlight w:val="none"/>
        </w:rPr>
        <w:t>，深</w:t>
      </w:r>
      <w:r>
        <w:rPr>
          <w:rFonts w:hAnsi="宋体"/>
          <w:color w:val="auto"/>
          <w:sz w:val="24"/>
          <w:highlight w:val="none"/>
        </w:rPr>
        <w:t>0.3m</w:t>
      </w:r>
      <w:r>
        <w:rPr>
          <w:rFonts w:hint="eastAsia" w:hAnsi="宋体"/>
          <w:color w:val="auto"/>
          <w:sz w:val="24"/>
          <w:highlight w:val="none"/>
        </w:rPr>
        <w:t>。</w:t>
      </w:r>
    </w:p>
    <w:p w14:paraId="48D981A6">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4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④</w:t>
      </w:r>
      <w:r>
        <w:rPr>
          <w:rFonts w:hAnsi="宋体"/>
          <w:color w:val="auto"/>
          <w:sz w:val="24"/>
          <w:highlight w:val="none"/>
        </w:rPr>
        <w:fldChar w:fldCharType="end"/>
      </w:r>
      <w:r>
        <w:rPr>
          <w:rFonts w:hint="eastAsia" w:hAnsi="宋体"/>
          <w:color w:val="auto"/>
          <w:sz w:val="24"/>
          <w:highlight w:val="none"/>
        </w:rPr>
        <w:t>临时覆盖措施</w:t>
      </w:r>
    </w:p>
    <w:p w14:paraId="7F64958D">
      <w:pPr>
        <w:pStyle w:val="63"/>
        <w:adjustRightInd w:val="0"/>
        <w:snapToGrid w:val="0"/>
        <w:jc w:val="left"/>
        <w:rPr>
          <w:color w:val="auto"/>
          <w:highlight w:val="none"/>
        </w:rPr>
      </w:pPr>
      <w:r>
        <w:rPr>
          <w:rFonts w:hint="eastAsia"/>
          <w:color w:val="auto"/>
          <w:highlight w:val="none"/>
        </w:rPr>
        <w:t>风机平台以及填方边坡在未采取防护措施前，因降雨、人为扰动等易产生水土流失，因此在风机平台裸露地表及裸露边坡覆盖无纺布防止产生新增水土流失。</w:t>
      </w:r>
    </w:p>
    <w:p w14:paraId="79A3BA7A">
      <w:pPr>
        <w:pStyle w:val="6"/>
        <w:rPr>
          <w:rFonts w:hint="eastAsia" w:ascii="Times New Roman" w:hAnsi="Times New Roman" w:eastAsia="宋体" w:cs="Times New Roman"/>
          <w:b/>
          <w:bCs/>
          <w:color w:val="auto"/>
          <w:sz w:val="24"/>
          <w:highlight w:val="none"/>
          <w:lang w:eastAsia="zh-CN"/>
        </w:rPr>
      </w:pPr>
      <w:r>
        <w:rPr>
          <w:rFonts w:hint="eastAsia" w:ascii="Times New Roman" w:hAnsi="Times New Roman" w:eastAsia="宋体" w:cs="Times New Roman"/>
          <w:b/>
          <w:bCs/>
          <w:color w:val="auto"/>
          <w:sz w:val="24"/>
          <w:highlight w:val="none"/>
          <w:lang w:eastAsia="zh-CN"/>
        </w:rPr>
        <w:t>道路工程区水土流失防治措施</w:t>
      </w:r>
    </w:p>
    <w:p w14:paraId="00891BC3">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（1）工程措施</w:t>
      </w:r>
    </w:p>
    <w:p w14:paraId="2B8800B7">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1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①</w:t>
      </w:r>
      <w:r>
        <w:rPr>
          <w:rFonts w:hAnsi="宋体"/>
          <w:color w:val="auto"/>
          <w:sz w:val="24"/>
          <w:highlight w:val="none"/>
        </w:rPr>
        <w:fldChar w:fldCharType="end"/>
      </w:r>
      <w:r>
        <w:rPr>
          <w:rFonts w:hint="eastAsia" w:hAnsi="宋体"/>
          <w:color w:val="auto"/>
          <w:sz w:val="24"/>
          <w:highlight w:val="none"/>
        </w:rPr>
        <w:t>挡护措施</w:t>
      </w:r>
    </w:p>
    <w:p w14:paraId="025A371E">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主体设计已考虑拦挡措施，经本方案复核拦挡工程量，满足水土保持要求。</w:t>
      </w:r>
    </w:p>
    <w:p w14:paraId="6536F93D">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2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②</w:t>
      </w:r>
      <w:r>
        <w:rPr>
          <w:rFonts w:hAnsi="宋体"/>
          <w:color w:val="auto"/>
          <w:sz w:val="24"/>
          <w:highlight w:val="none"/>
        </w:rPr>
        <w:fldChar w:fldCharType="end"/>
      </w:r>
      <w:r>
        <w:rPr>
          <w:rFonts w:hint="eastAsia" w:hAnsi="宋体"/>
          <w:color w:val="auto"/>
          <w:sz w:val="24"/>
          <w:highlight w:val="none"/>
        </w:rPr>
        <w:t>土地整治</w:t>
      </w:r>
    </w:p>
    <w:p w14:paraId="34E471B6">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在施工结束后，对场内道路填方边坡及绿化区域进行土地整治，施工工艺主要为清除施工垃圾</w:t>
      </w:r>
      <w:r>
        <w:rPr>
          <w:rFonts w:hAnsi="宋体"/>
          <w:color w:val="auto"/>
          <w:sz w:val="24"/>
          <w:highlight w:val="none"/>
        </w:rPr>
        <w:t>→</w:t>
      </w:r>
      <w:r>
        <w:rPr>
          <w:rFonts w:hint="eastAsia" w:hAnsi="宋体"/>
          <w:color w:val="auto"/>
          <w:sz w:val="24"/>
          <w:highlight w:val="none"/>
        </w:rPr>
        <w:t>回填土方</w:t>
      </w:r>
      <w:r>
        <w:rPr>
          <w:rFonts w:hAnsi="宋体"/>
          <w:color w:val="auto"/>
          <w:sz w:val="24"/>
          <w:highlight w:val="none"/>
        </w:rPr>
        <w:t>→</w:t>
      </w:r>
      <w:r>
        <w:rPr>
          <w:rFonts w:hint="eastAsia" w:hAnsi="宋体"/>
          <w:color w:val="auto"/>
          <w:sz w:val="24"/>
          <w:highlight w:val="none"/>
        </w:rPr>
        <w:t>人工平整</w:t>
      </w:r>
      <w:r>
        <w:rPr>
          <w:rFonts w:hAnsi="宋体"/>
          <w:color w:val="auto"/>
          <w:sz w:val="24"/>
          <w:highlight w:val="none"/>
        </w:rPr>
        <w:t>→</w:t>
      </w:r>
      <w:r>
        <w:rPr>
          <w:rFonts w:hint="eastAsia" w:hAnsi="宋体"/>
          <w:color w:val="auto"/>
          <w:sz w:val="24"/>
          <w:highlight w:val="none"/>
        </w:rPr>
        <w:t>覆表土，平台预留</w:t>
      </w:r>
      <w:r>
        <w:rPr>
          <w:rFonts w:hAnsi="宋体"/>
          <w:color w:val="auto"/>
          <w:sz w:val="24"/>
          <w:highlight w:val="none"/>
        </w:rPr>
        <w:t>2%</w:t>
      </w:r>
      <w:r>
        <w:rPr>
          <w:rFonts w:hint="eastAsia" w:hAnsi="宋体"/>
          <w:color w:val="auto"/>
          <w:sz w:val="24"/>
          <w:highlight w:val="none"/>
        </w:rPr>
        <w:t>的排水坡度。土地整治完毕，立即实施植物措施。</w:t>
      </w:r>
    </w:p>
    <w:p w14:paraId="50FB6B66">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3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③</w:t>
      </w:r>
      <w:r>
        <w:rPr>
          <w:rFonts w:hAnsi="宋体"/>
          <w:color w:val="auto"/>
          <w:sz w:val="24"/>
          <w:highlight w:val="none"/>
        </w:rPr>
        <w:fldChar w:fldCharType="end"/>
      </w:r>
      <w:r>
        <w:rPr>
          <w:rFonts w:hAnsi="宋体"/>
          <w:color w:val="auto"/>
          <w:sz w:val="24"/>
          <w:highlight w:val="none"/>
        </w:rPr>
        <w:t xml:space="preserve"> </w:t>
      </w:r>
      <w:r>
        <w:rPr>
          <w:rFonts w:hint="eastAsia" w:hAnsi="宋体"/>
          <w:color w:val="auto"/>
          <w:sz w:val="24"/>
          <w:highlight w:val="none"/>
        </w:rPr>
        <w:t>排水沟</w:t>
      </w:r>
    </w:p>
    <w:p w14:paraId="35830E1E">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排水沟采用浆砌石矩形排水沟，设计标准为</w:t>
      </w:r>
      <w:r>
        <w:rPr>
          <w:rFonts w:hAnsi="宋体"/>
          <w:color w:val="auto"/>
          <w:sz w:val="24"/>
          <w:highlight w:val="none"/>
        </w:rPr>
        <w:t xml:space="preserve">10 </w:t>
      </w:r>
      <w:r>
        <w:rPr>
          <w:rFonts w:hint="eastAsia" w:hAnsi="宋体"/>
          <w:color w:val="auto"/>
          <w:sz w:val="24"/>
          <w:highlight w:val="none"/>
        </w:rPr>
        <w:t>年一遇最大</w:t>
      </w:r>
      <w:r>
        <w:rPr>
          <w:rFonts w:hAnsi="宋体"/>
          <w:color w:val="auto"/>
          <w:sz w:val="24"/>
          <w:highlight w:val="none"/>
        </w:rPr>
        <w:t xml:space="preserve">1h </w:t>
      </w:r>
      <w:r>
        <w:rPr>
          <w:rFonts w:hint="eastAsia" w:hAnsi="宋体"/>
          <w:color w:val="auto"/>
          <w:sz w:val="24"/>
          <w:highlight w:val="none"/>
        </w:rPr>
        <w:t>暴雨强度，断面根据当地暴雨特征值与最大汇流面积按明渠均匀流公式计算确定，不考虑安全加高，满足过水流量计最小施工断面即可。</w:t>
      </w:r>
    </w:p>
    <w:p w14:paraId="40646ED4">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4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④</w:t>
      </w:r>
      <w:r>
        <w:rPr>
          <w:rFonts w:hAnsi="宋体"/>
          <w:color w:val="auto"/>
          <w:sz w:val="24"/>
          <w:highlight w:val="none"/>
        </w:rPr>
        <w:fldChar w:fldCharType="end"/>
      </w:r>
      <w:r>
        <w:rPr>
          <w:rFonts w:hint="eastAsia" w:hAnsi="宋体"/>
          <w:color w:val="auto"/>
          <w:sz w:val="24"/>
          <w:highlight w:val="none"/>
        </w:rPr>
        <w:t>沉沙池</w:t>
      </w:r>
    </w:p>
    <w:p w14:paraId="69EEEC86">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为减少水流中泥沙含量，防止泥沙淤积排水沟，影响排水通畅，根据道路两侧排水沟布设Ⅱ型沉沙池（尺寸为</w:t>
      </w:r>
      <w:r>
        <w:rPr>
          <w:rFonts w:hAnsi="宋体"/>
          <w:color w:val="auto"/>
          <w:sz w:val="24"/>
          <w:highlight w:val="none"/>
        </w:rPr>
        <w:t>2.0m(</w:t>
      </w:r>
      <w:r>
        <w:rPr>
          <w:rFonts w:hint="eastAsia" w:hAnsi="宋体"/>
          <w:color w:val="auto"/>
          <w:sz w:val="24"/>
          <w:highlight w:val="none"/>
        </w:rPr>
        <w:t>长</w:t>
      </w:r>
      <w:r>
        <w:rPr>
          <w:rFonts w:hAnsi="宋体"/>
          <w:color w:val="auto"/>
          <w:sz w:val="24"/>
          <w:highlight w:val="none"/>
        </w:rPr>
        <w:t>)×1.0m(</w:t>
      </w:r>
      <w:r>
        <w:rPr>
          <w:rFonts w:hint="eastAsia" w:hAnsi="宋体"/>
          <w:color w:val="auto"/>
          <w:sz w:val="24"/>
          <w:highlight w:val="none"/>
        </w:rPr>
        <w:t>宽</w:t>
      </w:r>
      <w:r>
        <w:rPr>
          <w:rFonts w:hAnsi="宋体"/>
          <w:color w:val="auto"/>
          <w:sz w:val="24"/>
          <w:highlight w:val="none"/>
        </w:rPr>
        <w:t>)×1.5m(</w:t>
      </w:r>
      <w:r>
        <w:rPr>
          <w:rFonts w:hint="eastAsia" w:hAnsi="宋体"/>
          <w:color w:val="auto"/>
          <w:sz w:val="24"/>
          <w:highlight w:val="none"/>
        </w:rPr>
        <w:t>深</w:t>
      </w:r>
      <w:r>
        <w:rPr>
          <w:rFonts w:hAnsi="宋体"/>
          <w:color w:val="auto"/>
          <w:sz w:val="24"/>
          <w:highlight w:val="none"/>
        </w:rPr>
        <w:t>)</w:t>
      </w:r>
      <w:r>
        <w:rPr>
          <w:rFonts w:hint="eastAsia" w:hAnsi="宋体"/>
          <w:color w:val="auto"/>
          <w:sz w:val="24"/>
          <w:highlight w:val="none"/>
        </w:rPr>
        <w:t>），沉沙池布设在排水沟汇入自然溪沟和管涵交汇处。</w:t>
      </w:r>
    </w:p>
    <w:p w14:paraId="119D6F7E">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5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⑤</w:t>
      </w:r>
      <w:r>
        <w:rPr>
          <w:rFonts w:hAnsi="宋体"/>
          <w:color w:val="auto"/>
          <w:sz w:val="24"/>
          <w:highlight w:val="none"/>
        </w:rPr>
        <w:fldChar w:fldCharType="end"/>
      </w:r>
      <w:r>
        <w:rPr>
          <w:rFonts w:hint="eastAsia" w:hAnsi="宋体"/>
          <w:color w:val="auto"/>
          <w:sz w:val="24"/>
          <w:highlight w:val="none"/>
        </w:rPr>
        <w:t>急流槽</w:t>
      </w:r>
    </w:p>
    <w:p w14:paraId="2ADCF730">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本项目在排水沟较陡处加设急流槽进行消能，采用</w:t>
      </w:r>
      <w:r>
        <w:rPr>
          <w:rFonts w:hAnsi="宋体"/>
          <w:color w:val="auto"/>
          <w:sz w:val="24"/>
          <w:highlight w:val="none"/>
        </w:rPr>
        <w:t xml:space="preserve">M7.5 </w:t>
      </w:r>
      <w:r>
        <w:rPr>
          <w:rFonts w:hint="eastAsia" w:hAnsi="宋体"/>
          <w:color w:val="auto"/>
          <w:sz w:val="24"/>
          <w:highlight w:val="none"/>
        </w:rPr>
        <w:t>浆砌石砌筑，断面为矩形，尺寸与排水沟相同。急流槽槽身每</w:t>
      </w:r>
      <w:r>
        <w:rPr>
          <w:rFonts w:hAnsi="宋体"/>
          <w:color w:val="auto"/>
          <w:sz w:val="24"/>
          <w:highlight w:val="none"/>
        </w:rPr>
        <w:t xml:space="preserve">10m~15m </w:t>
      </w:r>
      <w:r>
        <w:rPr>
          <w:rFonts w:hint="eastAsia" w:hAnsi="宋体"/>
          <w:color w:val="auto"/>
          <w:sz w:val="24"/>
          <w:highlight w:val="none"/>
        </w:rPr>
        <w:t>设一条伸缩缝，缝宽</w:t>
      </w:r>
      <w:r>
        <w:rPr>
          <w:rFonts w:hAnsi="宋体"/>
          <w:color w:val="auto"/>
          <w:sz w:val="24"/>
          <w:highlight w:val="none"/>
        </w:rPr>
        <w:t>2cm</w:t>
      </w:r>
      <w:r>
        <w:rPr>
          <w:rFonts w:hint="eastAsia" w:hAnsi="宋体"/>
          <w:color w:val="auto"/>
          <w:sz w:val="24"/>
          <w:highlight w:val="none"/>
        </w:rPr>
        <w:t>，缝间填塞沥青麻絮。每隔</w:t>
      </w:r>
      <w:r>
        <w:rPr>
          <w:rFonts w:hAnsi="宋体"/>
          <w:color w:val="auto"/>
          <w:sz w:val="24"/>
          <w:highlight w:val="none"/>
        </w:rPr>
        <w:t xml:space="preserve">2.0m </w:t>
      </w:r>
      <w:r>
        <w:rPr>
          <w:rFonts w:hint="eastAsia" w:hAnsi="宋体"/>
          <w:color w:val="auto"/>
          <w:sz w:val="24"/>
          <w:highlight w:val="none"/>
        </w:rPr>
        <w:t>设置防滑平台，出水部分设置长</w:t>
      </w:r>
      <w:r>
        <w:rPr>
          <w:rFonts w:hAnsi="宋体"/>
          <w:color w:val="auto"/>
          <w:sz w:val="24"/>
          <w:highlight w:val="none"/>
        </w:rPr>
        <w:t xml:space="preserve">3.0m </w:t>
      </w:r>
      <w:r>
        <w:rPr>
          <w:rFonts w:hint="eastAsia" w:hAnsi="宋体"/>
          <w:color w:val="auto"/>
          <w:sz w:val="24"/>
          <w:highlight w:val="none"/>
        </w:rPr>
        <w:t>的消力池。</w:t>
      </w:r>
    </w:p>
    <w:p w14:paraId="00DC546B">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6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⑥</w:t>
      </w:r>
      <w:r>
        <w:rPr>
          <w:rFonts w:hAnsi="宋体"/>
          <w:color w:val="auto"/>
          <w:sz w:val="24"/>
          <w:highlight w:val="none"/>
        </w:rPr>
        <w:fldChar w:fldCharType="end"/>
      </w:r>
      <w:r>
        <w:rPr>
          <w:rFonts w:hint="eastAsia" w:hAnsi="宋体"/>
          <w:color w:val="auto"/>
          <w:sz w:val="24"/>
          <w:highlight w:val="none"/>
        </w:rPr>
        <w:t>表土剥离及回填利用</w:t>
      </w:r>
    </w:p>
    <w:p w14:paraId="7AD05AA2">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施工前将道路用地范围内满足剥离要求的表土进行剥离，剥离的表土就地堆存在道路区内。道路施工完毕，覆盖至填方边坡，为实施植物措施做好铺垫。</w:t>
      </w:r>
    </w:p>
    <w:p w14:paraId="16A93610">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（2）植物措施</w:t>
      </w:r>
    </w:p>
    <w:p w14:paraId="631D36D8">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为满足水土保持要求，针对坡度较长且稳定的采取灌草结合的型式进行防护。挖方边坡采取挂网喷播绿化，填方边坡采取撒播灌草籽绿化。</w:t>
      </w:r>
    </w:p>
    <w:p w14:paraId="1FB1CA65">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1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①</w:t>
      </w:r>
      <w:r>
        <w:rPr>
          <w:rFonts w:hAnsi="宋体"/>
          <w:color w:val="auto"/>
          <w:sz w:val="24"/>
          <w:highlight w:val="none"/>
        </w:rPr>
        <w:fldChar w:fldCharType="end"/>
      </w:r>
      <w:r>
        <w:rPr>
          <w:rFonts w:hint="eastAsia" w:hAnsi="宋体"/>
          <w:color w:val="auto"/>
          <w:sz w:val="24"/>
          <w:highlight w:val="none"/>
        </w:rPr>
        <w:t>挂网喷播绿化：针对高陡开挖土质边坡，采取挂网喷播绿化，首先修整边坡，清除风化物，然后再坡面上安装Ф</w:t>
      </w:r>
      <w:r>
        <w:rPr>
          <w:rFonts w:hAnsi="宋体"/>
          <w:color w:val="auto"/>
          <w:sz w:val="24"/>
          <w:highlight w:val="none"/>
        </w:rPr>
        <w:t xml:space="preserve">16mm </w:t>
      </w:r>
      <w:r>
        <w:rPr>
          <w:rFonts w:hint="eastAsia" w:hAnsi="宋体"/>
          <w:color w:val="auto"/>
          <w:sz w:val="24"/>
          <w:highlight w:val="none"/>
        </w:rPr>
        <w:t>的钢筋锚钉，按</w:t>
      </w:r>
      <w:r>
        <w:rPr>
          <w:rFonts w:hAnsi="宋体"/>
          <w:color w:val="auto"/>
          <w:sz w:val="24"/>
          <w:highlight w:val="none"/>
        </w:rPr>
        <w:t>1m</w:t>
      </w:r>
      <w:r>
        <w:rPr>
          <w:rFonts w:hint="eastAsia" w:hAnsi="宋体"/>
          <w:color w:val="auto"/>
          <w:sz w:val="24"/>
          <w:highlight w:val="none"/>
        </w:rPr>
        <w:t>×</w:t>
      </w:r>
      <w:r>
        <w:rPr>
          <w:rFonts w:hAnsi="宋体"/>
          <w:color w:val="auto"/>
          <w:sz w:val="24"/>
          <w:highlight w:val="none"/>
        </w:rPr>
        <w:t xml:space="preserve">1m </w:t>
      </w:r>
      <w:r>
        <w:rPr>
          <w:rFonts w:hint="eastAsia" w:hAnsi="宋体"/>
          <w:color w:val="auto"/>
          <w:sz w:val="24"/>
          <w:highlight w:val="none"/>
        </w:rPr>
        <w:t>交叉布置，锚钉长</w:t>
      </w:r>
      <w:r>
        <w:rPr>
          <w:rFonts w:hAnsi="宋体"/>
          <w:color w:val="auto"/>
          <w:sz w:val="24"/>
          <w:highlight w:val="none"/>
        </w:rPr>
        <w:t>50cm</w:t>
      </w:r>
      <w:r>
        <w:rPr>
          <w:rFonts w:hint="eastAsia" w:hAnsi="宋体"/>
          <w:color w:val="auto"/>
          <w:sz w:val="24"/>
          <w:highlight w:val="none"/>
        </w:rPr>
        <w:t>。然后按设计要求将镀锌网挂在锚钉上，调平拉紧，确保镀锌网稳定，然后喷</w:t>
      </w:r>
      <w:r>
        <w:rPr>
          <w:rFonts w:hAnsi="宋体"/>
          <w:color w:val="auto"/>
          <w:sz w:val="24"/>
          <w:highlight w:val="none"/>
        </w:rPr>
        <w:t xml:space="preserve">10cm </w:t>
      </w:r>
      <w:r>
        <w:rPr>
          <w:rFonts w:hint="eastAsia" w:hAnsi="宋体"/>
          <w:color w:val="auto"/>
          <w:sz w:val="24"/>
          <w:highlight w:val="none"/>
        </w:rPr>
        <w:t>厚的基质，喷射完成后覆盖无纺布保墒，营造种子快速发芽环境。基质厚</w:t>
      </w:r>
      <w:r>
        <w:rPr>
          <w:rFonts w:hAnsi="宋体"/>
          <w:color w:val="auto"/>
          <w:sz w:val="24"/>
          <w:highlight w:val="none"/>
        </w:rPr>
        <w:t>10cm</w:t>
      </w:r>
      <w:r>
        <w:rPr>
          <w:rFonts w:hint="eastAsia" w:hAnsi="宋体"/>
          <w:color w:val="auto"/>
          <w:sz w:val="24"/>
          <w:highlight w:val="none"/>
        </w:rPr>
        <w:t>，分两次喷播，第一次喷基层，厚</w:t>
      </w:r>
      <w:r>
        <w:rPr>
          <w:rFonts w:hAnsi="宋体"/>
          <w:color w:val="auto"/>
          <w:sz w:val="24"/>
          <w:highlight w:val="none"/>
        </w:rPr>
        <w:t>8cm</w:t>
      </w:r>
      <w:r>
        <w:rPr>
          <w:rFonts w:hint="eastAsia" w:hAnsi="宋体"/>
          <w:color w:val="auto"/>
          <w:sz w:val="24"/>
          <w:highlight w:val="none"/>
        </w:rPr>
        <w:t>，第二次喷面层，厚</w:t>
      </w:r>
      <w:r>
        <w:rPr>
          <w:rFonts w:hAnsi="宋体"/>
          <w:color w:val="auto"/>
          <w:sz w:val="24"/>
          <w:highlight w:val="none"/>
        </w:rPr>
        <w:t>2cm</w:t>
      </w:r>
      <w:r>
        <w:rPr>
          <w:rFonts w:hint="eastAsia" w:hAnsi="宋体"/>
          <w:color w:val="auto"/>
          <w:sz w:val="24"/>
          <w:highlight w:val="none"/>
        </w:rPr>
        <w:t>，面层含白三叶草籽，密度为</w:t>
      </w:r>
      <w:r>
        <w:rPr>
          <w:rFonts w:hAnsi="宋体"/>
          <w:color w:val="auto"/>
          <w:sz w:val="24"/>
          <w:highlight w:val="none"/>
        </w:rPr>
        <w:t>12g/m</w:t>
      </w:r>
      <w:r>
        <w:rPr>
          <w:rFonts w:hAnsi="宋体"/>
          <w:color w:val="auto"/>
          <w:sz w:val="24"/>
          <w:highlight w:val="none"/>
          <w:vertAlign w:val="superscript"/>
        </w:rPr>
        <w:t>2</w:t>
      </w:r>
      <w:r>
        <w:rPr>
          <w:rFonts w:hint="eastAsia" w:hAnsi="宋体"/>
          <w:color w:val="auto"/>
          <w:sz w:val="24"/>
          <w:highlight w:val="none"/>
        </w:rPr>
        <w:t>。针对高陡开挖石质边坡及地质条件差的边坡区域，采取加筋麦克垫植草护坡绿化，首先修整边坡，清除风化物，然后再坡面上安装Ф</w:t>
      </w:r>
      <w:r>
        <w:rPr>
          <w:rFonts w:hAnsi="宋体"/>
          <w:color w:val="auto"/>
          <w:sz w:val="24"/>
          <w:highlight w:val="none"/>
        </w:rPr>
        <w:t xml:space="preserve">16mm </w:t>
      </w:r>
      <w:r>
        <w:rPr>
          <w:rFonts w:hint="eastAsia" w:hAnsi="宋体"/>
          <w:color w:val="auto"/>
          <w:sz w:val="24"/>
          <w:highlight w:val="none"/>
        </w:rPr>
        <w:t>的钢筋锚钉，按</w:t>
      </w:r>
      <w:r>
        <w:rPr>
          <w:rFonts w:hAnsi="宋体"/>
          <w:color w:val="auto"/>
          <w:sz w:val="24"/>
          <w:highlight w:val="none"/>
        </w:rPr>
        <w:t>1m</w:t>
      </w:r>
      <w:r>
        <w:rPr>
          <w:rFonts w:hint="eastAsia" w:hAnsi="宋体"/>
          <w:color w:val="auto"/>
          <w:sz w:val="24"/>
          <w:highlight w:val="none"/>
        </w:rPr>
        <w:t>×</w:t>
      </w:r>
      <w:r>
        <w:rPr>
          <w:rFonts w:hAnsi="宋体"/>
          <w:color w:val="auto"/>
          <w:sz w:val="24"/>
          <w:highlight w:val="none"/>
        </w:rPr>
        <w:t xml:space="preserve">1m </w:t>
      </w:r>
      <w:r>
        <w:rPr>
          <w:rFonts w:hint="eastAsia" w:hAnsi="宋体"/>
          <w:color w:val="auto"/>
          <w:sz w:val="24"/>
          <w:highlight w:val="none"/>
        </w:rPr>
        <w:t>交叉布置，锚钉长</w:t>
      </w:r>
      <w:r>
        <w:rPr>
          <w:rFonts w:hAnsi="宋体"/>
          <w:color w:val="auto"/>
          <w:sz w:val="24"/>
          <w:highlight w:val="none"/>
        </w:rPr>
        <w:t>50cm</w:t>
      </w:r>
      <w:r>
        <w:rPr>
          <w:rFonts w:hint="eastAsia" w:hAnsi="宋体"/>
          <w:color w:val="auto"/>
          <w:sz w:val="24"/>
          <w:highlight w:val="none"/>
        </w:rPr>
        <w:t>。然后按设计要求将镀锌加筋麦克垫挂在锚钉上，调平拉紧，确保镀锌加筋麦克垫稳定，然后喷</w:t>
      </w:r>
      <w:r>
        <w:rPr>
          <w:rFonts w:hAnsi="宋体"/>
          <w:color w:val="auto"/>
          <w:sz w:val="24"/>
          <w:highlight w:val="none"/>
        </w:rPr>
        <w:t xml:space="preserve">10cm </w:t>
      </w:r>
      <w:r>
        <w:rPr>
          <w:rFonts w:hint="eastAsia" w:hAnsi="宋体"/>
          <w:color w:val="auto"/>
          <w:sz w:val="24"/>
          <w:highlight w:val="none"/>
        </w:rPr>
        <w:t>厚的基质，喷射完成后覆盖无纺布保墒，营造种子快速发芽环境。基质厚</w:t>
      </w:r>
      <w:r>
        <w:rPr>
          <w:rFonts w:hAnsi="宋体"/>
          <w:color w:val="auto"/>
          <w:sz w:val="24"/>
          <w:highlight w:val="none"/>
        </w:rPr>
        <w:t>10cm</w:t>
      </w:r>
      <w:r>
        <w:rPr>
          <w:rFonts w:hint="eastAsia" w:hAnsi="宋体"/>
          <w:color w:val="auto"/>
          <w:sz w:val="24"/>
          <w:highlight w:val="none"/>
        </w:rPr>
        <w:t>，分两次喷播，第一次喷基层，厚</w:t>
      </w:r>
      <w:r>
        <w:rPr>
          <w:rFonts w:hAnsi="宋体"/>
          <w:color w:val="auto"/>
          <w:sz w:val="24"/>
          <w:highlight w:val="none"/>
        </w:rPr>
        <w:t>8cm</w:t>
      </w:r>
      <w:r>
        <w:rPr>
          <w:rFonts w:hint="eastAsia" w:hAnsi="宋体"/>
          <w:color w:val="auto"/>
          <w:sz w:val="24"/>
          <w:highlight w:val="none"/>
        </w:rPr>
        <w:t>，第二次喷面层，厚</w:t>
      </w:r>
      <w:r>
        <w:rPr>
          <w:rFonts w:hAnsi="宋体"/>
          <w:color w:val="auto"/>
          <w:sz w:val="24"/>
          <w:highlight w:val="none"/>
        </w:rPr>
        <w:t>2cm</w:t>
      </w:r>
      <w:r>
        <w:rPr>
          <w:rFonts w:hint="eastAsia" w:hAnsi="宋体"/>
          <w:color w:val="auto"/>
          <w:sz w:val="24"/>
          <w:highlight w:val="none"/>
        </w:rPr>
        <w:t>，面层含白三叶草籽，密度为</w:t>
      </w:r>
      <w:r>
        <w:rPr>
          <w:rFonts w:hAnsi="宋体"/>
          <w:color w:val="auto"/>
          <w:sz w:val="24"/>
          <w:highlight w:val="none"/>
        </w:rPr>
        <w:t>12g/m</w:t>
      </w:r>
      <w:r>
        <w:rPr>
          <w:rFonts w:hAnsi="宋体"/>
          <w:color w:val="auto"/>
          <w:sz w:val="24"/>
          <w:highlight w:val="none"/>
          <w:vertAlign w:val="superscript"/>
        </w:rPr>
        <w:t>2</w:t>
      </w:r>
      <w:r>
        <w:rPr>
          <w:rFonts w:hint="eastAsia" w:hAnsi="宋体"/>
          <w:color w:val="auto"/>
          <w:sz w:val="24"/>
          <w:highlight w:val="none"/>
        </w:rPr>
        <w:t>。</w:t>
      </w:r>
    </w:p>
    <w:p w14:paraId="02406870">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2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②</w:t>
      </w:r>
      <w:r>
        <w:rPr>
          <w:rFonts w:hAnsi="宋体"/>
          <w:color w:val="auto"/>
          <w:sz w:val="24"/>
          <w:highlight w:val="none"/>
        </w:rPr>
        <w:fldChar w:fldCharType="end"/>
      </w:r>
      <w:r>
        <w:rPr>
          <w:rFonts w:hint="eastAsia" w:hAnsi="宋体"/>
          <w:color w:val="auto"/>
          <w:sz w:val="24"/>
          <w:highlight w:val="none"/>
        </w:rPr>
        <w:t>填方边坡撒播灌草籽：填方边坡形成后，立即覆土，然后撒播草籽恢复植被，灌草混播比例为</w:t>
      </w:r>
      <w:r>
        <w:rPr>
          <w:rFonts w:hAnsi="宋体"/>
          <w:color w:val="auto"/>
          <w:sz w:val="24"/>
          <w:highlight w:val="none"/>
        </w:rPr>
        <w:t>1:4</w:t>
      </w:r>
      <w:r>
        <w:rPr>
          <w:rFonts w:hint="eastAsia" w:hAnsi="宋体"/>
          <w:color w:val="auto"/>
          <w:sz w:val="24"/>
          <w:highlight w:val="none"/>
        </w:rPr>
        <w:t>，草籽撒播用量为</w:t>
      </w:r>
      <w:r>
        <w:rPr>
          <w:rFonts w:hAnsi="宋体"/>
          <w:color w:val="auto"/>
          <w:sz w:val="24"/>
          <w:highlight w:val="none"/>
        </w:rPr>
        <w:t>80kg/hm</w:t>
      </w:r>
      <w:r>
        <w:rPr>
          <w:rFonts w:hAnsi="宋体"/>
          <w:color w:val="auto"/>
          <w:sz w:val="24"/>
          <w:highlight w:val="none"/>
          <w:vertAlign w:val="superscript"/>
        </w:rPr>
        <w:t>2</w:t>
      </w:r>
      <w:r>
        <w:rPr>
          <w:rFonts w:hint="eastAsia" w:hAnsi="宋体"/>
          <w:color w:val="auto"/>
          <w:sz w:val="24"/>
          <w:highlight w:val="none"/>
        </w:rPr>
        <w:t>。</w:t>
      </w:r>
    </w:p>
    <w:p w14:paraId="29B0C8E1">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（3）临时措施</w:t>
      </w:r>
    </w:p>
    <w:p w14:paraId="7E2D4082">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1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①</w:t>
      </w:r>
      <w:r>
        <w:rPr>
          <w:rFonts w:hAnsi="宋体"/>
          <w:color w:val="auto"/>
          <w:sz w:val="24"/>
          <w:highlight w:val="none"/>
        </w:rPr>
        <w:fldChar w:fldCharType="end"/>
      </w:r>
      <w:r>
        <w:rPr>
          <w:rFonts w:hint="eastAsia" w:hAnsi="宋体"/>
          <w:color w:val="auto"/>
          <w:sz w:val="24"/>
          <w:highlight w:val="none"/>
        </w:rPr>
        <w:t>临时覆盖措施</w:t>
      </w:r>
    </w:p>
    <w:p w14:paraId="7B1A0C80">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施工形成的挖、填路基边坡在防护措施还未到位的情况下需采取临时覆盖，防止边坡冲刷。</w:t>
      </w:r>
    </w:p>
    <w:p w14:paraId="20DA4B0E">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2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②</w:t>
      </w:r>
      <w:r>
        <w:rPr>
          <w:rFonts w:hAnsi="宋体"/>
          <w:color w:val="auto"/>
          <w:sz w:val="24"/>
          <w:highlight w:val="none"/>
        </w:rPr>
        <w:fldChar w:fldCharType="end"/>
      </w:r>
      <w:r>
        <w:rPr>
          <w:rFonts w:hint="eastAsia" w:hAnsi="宋体"/>
          <w:color w:val="auto"/>
          <w:sz w:val="24"/>
          <w:highlight w:val="none"/>
        </w:rPr>
        <w:t>临时排水、沉沙措施</w:t>
      </w:r>
    </w:p>
    <w:p w14:paraId="378B29A4">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施工前，设置临时排水、沉沙措施，防止施工期产生新增水土流失。临时截排水沟予以保留，再此基础上修建永久排水沟。临时排水沟采用梯形土沟，尺寸为下底宽</w:t>
      </w:r>
      <w:r>
        <w:rPr>
          <w:rFonts w:hAnsi="宋体"/>
          <w:color w:val="auto"/>
          <w:sz w:val="24"/>
          <w:highlight w:val="none"/>
        </w:rPr>
        <w:t>0.3m</w:t>
      </w:r>
      <w:r>
        <w:rPr>
          <w:rFonts w:hint="eastAsia" w:hAnsi="宋体"/>
          <w:color w:val="auto"/>
          <w:sz w:val="24"/>
          <w:highlight w:val="none"/>
        </w:rPr>
        <w:t>，上底宽</w:t>
      </w:r>
      <w:r>
        <w:rPr>
          <w:rFonts w:hAnsi="宋体"/>
          <w:color w:val="auto"/>
          <w:sz w:val="24"/>
          <w:highlight w:val="none"/>
        </w:rPr>
        <w:t>0.6m</w:t>
      </w:r>
      <w:r>
        <w:rPr>
          <w:rFonts w:hint="eastAsia" w:hAnsi="宋体"/>
          <w:color w:val="auto"/>
          <w:sz w:val="24"/>
          <w:highlight w:val="none"/>
        </w:rPr>
        <w:t>，深</w:t>
      </w:r>
      <w:r>
        <w:rPr>
          <w:rFonts w:hAnsi="宋体"/>
          <w:color w:val="auto"/>
          <w:sz w:val="24"/>
          <w:highlight w:val="none"/>
        </w:rPr>
        <w:t>0.3m</w:t>
      </w:r>
      <w:r>
        <w:rPr>
          <w:rFonts w:hint="eastAsia" w:hAnsi="宋体"/>
          <w:color w:val="auto"/>
          <w:sz w:val="24"/>
          <w:highlight w:val="none"/>
        </w:rPr>
        <w:t>。临时排水沟末端需设置沉沙池，沉沙池尺寸为：长</w:t>
      </w:r>
      <w:r>
        <w:rPr>
          <w:rFonts w:hAnsi="宋体"/>
          <w:color w:val="auto"/>
          <w:sz w:val="24"/>
          <w:highlight w:val="none"/>
        </w:rPr>
        <w:t>×</w:t>
      </w:r>
      <w:r>
        <w:rPr>
          <w:rFonts w:hint="eastAsia" w:hAnsi="宋体"/>
          <w:color w:val="auto"/>
          <w:sz w:val="24"/>
          <w:highlight w:val="none"/>
        </w:rPr>
        <w:t>宽</w:t>
      </w:r>
      <w:r>
        <w:rPr>
          <w:rFonts w:hAnsi="宋体"/>
          <w:color w:val="auto"/>
          <w:sz w:val="24"/>
          <w:highlight w:val="none"/>
        </w:rPr>
        <w:t>×</w:t>
      </w:r>
      <w:r>
        <w:rPr>
          <w:rFonts w:hint="eastAsia" w:hAnsi="宋体"/>
          <w:color w:val="auto"/>
          <w:sz w:val="24"/>
          <w:highlight w:val="none"/>
        </w:rPr>
        <w:t>深</w:t>
      </w:r>
      <w:r>
        <w:rPr>
          <w:rFonts w:hAnsi="宋体"/>
          <w:color w:val="auto"/>
          <w:sz w:val="24"/>
          <w:highlight w:val="none"/>
        </w:rPr>
        <w:t>=1.5m×1.5m×1.0m</w:t>
      </w:r>
      <w:r>
        <w:rPr>
          <w:rFonts w:hint="eastAsia" w:hAnsi="宋体"/>
          <w:color w:val="auto"/>
          <w:sz w:val="24"/>
          <w:highlight w:val="none"/>
        </w:rPr>
        <w:t>，土质，开挖后夯实。</w:t>
      </w:r>
    </w:p>
    <w:p w14:paraId="17EA9298">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3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③</w:t>
      </w:r>
      <w:r>
        <w:rPr>
          <w:rFonts w:hAnsi="宋体"/>
          <w:color w:val="auto"/>
          <w:sz w:val="24"/>
          <w:highlight w:val="none"/>
        </w:rPr>
        <w:fldChar w:fldCharType="end"/>
      </w:r>
      <w:r>
        <w:rPr>
          <w:rFonts w:hint="eastAsia" w:hAnsi="宋体"/>
          <w:color w:val="auto"/>
          <w:sz w:val="24"/>
          <w:highlight w:val="none"/>
        </w:rPr>
        <w:t>临时拦挡措施</w:t>
      </w:r>
    </w:p>
    <w:p w14:paraId="02F5A225">
      <w:pPr>
        <w:pStyle w:val="63"/>
        <w:adjustRightInd w:val="0"/>
        <w:snapToGrid w:val="0"/>
        <w:jc w:val="left"/>
        <w:rPr>
          <w:rFonts w:hAnsi="Times New Roman"/>
          <w:color w:val="auto"/>
          <w:kern w:val="2"/>
          <w:szCs w:val="21"/>
          <w:highlight w:val="none"/>
        </w:rPr>
      </w:pPr>
      <w:r>
        <w:rPr>
          <w:rFonts w:hint="eastAsia"/>
          <w:color w:val="auto"/>
          <w:highlight w:val="none"/>
        </w:rPr>
        <w:t>为防止道路路基施工时边坡回填土下泄，在边坡下游侧布设临时拦挡措施：采用建筑竹夹板</w:t>
      </w:r>
      <w:r>
        <w:rPr>
          <w:color w:val="auto"/>
          <w:highlight w:val="none"/>
        </w:rPr>
        <w:t>(1.0m</w:t>
      </w:r>
      <w:r>
        <w:rPr>
          <w:rFonts w:hint="eastAsia"/>
          <w:color w:val="auto"/>
          <w:highlight w:val="none"/>
        </w:rPr>
        <w:t>×</w:t>
      </w:r>
      <w:r>
        <w:rPr>
          <w:color w:val="auto"/>
          <w:highlight w:val="none"/>
        </w:rPr>
        <w:t>1.8m)</w:t>
      </w:r>
      <w:r>
        <w:rPr>
          <w:rFonts w:hint="eastAsia"/>
          <w:color w:val="auto"/>
          <w:highlight w:val="none"/>
        </w:rPr>
        <w:t>和施工脚手架绑结，竹夹板高度为</w:t>
      </w:r>
      <w:r>
        <w:rPr>
          <w:color w:val="auto"/>
          <w:highlight w:val="none"/>
        </w:rPr>
        <w:t>1.0m</w:t>
      </w:r>
      <w:r>
        <w:rPr>
          <w:rFonts w:hint="eastAsia"/>
          <w:color w:val="auto"/>
          <w:highlight w:val="none"/>
        </w:rPr>
        <w:t>，可根据施工进度轮流使用。</w:t>
      </w:r>
    </w:p>
    <w:p w14:paraId="642A512A">
      <w:pPr>
        <w:pStyle w:val="6"/>
        <w:rPr>
          <w:rFonts w:hint="eastAsia" w:ascii="Times New Roman" w:hAnsi="Times New Roman" w:eastAsia="宋体" w:cs="Times New Roman"/>
          <w:b/>
          <w:bCs/>
          <w:color w:val="auto"/>
          <w:sz w:val="24"/>
          <w:highlight w:val="none"/>
          <w:lang w:eastAsia="zh-CN"/>
        </w:rPr>
      </w:pPr>
      <w:r>
        <w:rPr>
          <w:rFonts w:hint="eastAsia" w:ascii="Times New Roman" w:hAnsi="Times New Roman" w:eastAsia="宋体" w:cs="Times New Roman"/>
          <w:b/>
          <w:bCs/>
          <w:color w:val="auto"/>
          <w:sz w:val="24"/>
          <w:highlight w:val="none"/>
          <w:lang w:eastAsia="zh-CN"/>
        </w:rPr>
        <w:t>集电线路区水土流失防治措施</w:t>
      </w:r>
    </w:p>
    <w:p w14:paraId="7A3436DE">
      <w:pPr>
        <w:pStyle w:val="63"/>
        <w:adjustRightInd w:val="0"/>
        <w:snapToGrid w:val="0"/>
        <w:jc w:val="left"/>
        <w:rPr>
          <w:color w:val="auto"/>
          <w:highlight w:val="none"/>
        </w:rPr>
      </w:pPr>
      <w:r>
        <w:rPr>
          <w:rFonts w:hint="eastAsia"/>
          <w:color w:val="auto"/>
          <w:highlight w:val="none"/>
        </w:rPr>
        <w:t>本工程集电线路采用直埋电缆方案，施工完成后整平，撒播草种。施工过程中新增临时覆盖措施，防止开挖后松散土石方流失。</w:t>
      </w:r>
    </w:p>
    <w:p w14:paraId="2FC2C6E9">
      <w:pPr>
        <w:pStyle w:val="6"/>
        <w:rPr>
          <w:rFonts w:hint="eastAsia" w:ascii="Times New Roman" w:hAnsi="Times New Roman" w:eastAsia="宋体" w:cs="Times New Roman"/>
          <w:b/>
          <w:bCs/>
          <w:color w:val="auto"/>
          <w:sz w:val="24"/>
          <w:highlight w:val="none"/>
          <w:lang w:eastAsia="zh-CN"/>
        </w:rPr>
      </w:pPr>
      <w:r>
        <w:rPr>
          <w:rFonts w:hint="eastAsia" w:ascii="Times New Roman" w:hAnsi="Times New Roman" w:eastAsia="宋体" w:cs="Times New Roman"/>
          <w:b/>
          <w:bCs/>
          <w:color w:val="auto"/>
          <w:sz w:val="24"/>
          <w:highlight w:val="none"/>
          <w:lang w:eastAsia="zh-CN"/>
        </w:rPr>
        <w:t>弃渣场区水土流失防治措施</w:t>
      </w:r>
    </w:p>
    <w:p w14:paraId="76B6F3D8">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（1）措施布置</w:t>
      </w:r>
    </w:p>
    <w:p w14:paraId="6BB0C01E">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1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①</w:t>
      </w:r>
      <w:r>
        <w:rPr>
          <w:rFonts w:hAnsi="宋体"/>
          <w:color w:val="auto"/>
          <w:sz w:val="24"/>
          <w:highlight w:val="none"/>
        </w:rPr>
        <w:fldChar w:fldCharType="end"/>
      </w:r>
      <w:r>
        <w:rPr>
          <w:rFonts w:hint="eastAsia" w:hAnsi="宋体"/>
          <w:color w:val="auto"/>
          <w:sz w:val="24"/>
          <w:highlight w:val="none"/>
        </w:rPr>
        <w:t>按照</w:t>
      </w:r>
      <w:r>
        <w:rPr>
          <w:rFonts w:hAnsi="宋体"/>
          <w:color w:val="auto"/>
          <w:sz w:val="24"/>
          <w:highlight w:val="none"/>
        </w:rPr>
        <w:t>“</w:t>
      </w:r>
      <w:r>
        <w:rPr>
          <w:rFonts w:hint="eastAsia" w:hAnsi="宋体"/>
          <w:color w:val="auto"/>
          <w:sz w:val="24"/>
          <w:highlight w:val="none"/>
        </w:rPr>
        <w:t>上截下拦</w:t>
      </w:r>
      <w:r>
        <w:rPr>
          <w:rFonts w:hAnsi="宋体"/>
          <w:color w:val="auto"/>
          <w:sz w:val="24"/>
          <w:highlight w:val="none"/>
        </w:rPr>
        <w:t>”</w:t>
      </w:r>
      <w:r>
        <w:rPr>
          <w:rFonts w:hint="eastAsia" w:hAnsi="宋体"/>
          <w:color w:val="auto"/>
          <w:sz w:val="24"/>
          <w:highlight w:val="none"/>
        </w:rPr>
        <w:t>的原则，弃渣前在弃渣场下侧修建浆砌石挡渣墙，挡渣墙修建应根据弃渣堆放的位置和地形特点进行设置，应安全、经济、合理。在弃渣场坡顶上侧修截水沟拦截坡面径流，排水沟出口处落差</w:t>
      </w:r>
      <w:r>
        <w:rPr>
          <w:rFonts w:hAnsi="宋体"/>
          <w:color w:val="auto"/>
          <w:sz w:val="24"/>
          <w:highlight w:val="none"/>
        </w:rPr>
        <w:t xml:space="preserve">≥5.0m </w:t>
      </w:r>
      <w:r>
        <w:rPr>
          <w:rFonts w:hint="eastAsia" w:hAnsi="宋体"/>
          <w:color w:val="auto"/>
          <w:sz w:val="24"/>
          <w:highlight w:val="none"/>
        </w:rPr>
        <w:t>时，出口末端设置陡槽消能措施。</w:t>
      </w:r>
    </w:p>
    <w:p w14:paraId="2E308A4D">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2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②</w:t>
      </w:r>
      <w:r>
        <w:rPr>
          <w:rFonts w:hAnsi="宋体"/>
          <w:color w:val="auto"/>
          <w:sz w:val="24"/>
          <w:highlight w:val="none"/>
        </w:rPr>
        <w:fldChar w:fldCharType="end"/>
      </w:r>
      <w:r>
        <w:rPr>
          <w:rFonts w:hint="eastAsia" w:hAnsi="宋体"/>
          <w:color w:val="auto"/>
          <w:sz w:val="24"/>
          <w:highlight w:val="none"/>
        </w:rPr>
        <w:t>弃渣应分层碾压，沿弃渣高度每隔</w:t>
      </w:r>
      <w:r>
        <w:rPr>
          <w:rFonts w:hAnsi="宋体"/>
          <w:color w:val="auto"/>
          <w:sz w:val="24"/>
          <w:highlight w:val="none"/>
        </w:rPr>
        <w:t>8m</w:t>
      </w:r>
      <w:r>
        <w:rPr>
          <w:rFonts w:hint="eastAsia" w:hAnsi="宋体"/>
          <w:color w:val="auto"/>
          <w:sz w:val="24"/>
          <w:highlight w:val="none"/>
        </w:rPr>
        <w:t>设一级马道，马道宽度为</w:t>
      </w:r>
      <w:r>
        <w:rPr>
          <w:rFonts w:hAnsi="宋体"/>
          <w:color w:val="auto"/>
          <w:sz w:val="24"/>
          <w:highlight w:val="none"/>
        </w:rPr>
        <w:t>2m</w:t>
      </w:r>
      <w:r>
        <w:rPr>
          <w:rFonts w:hint="eastAsia" w:hAnsi="宋体"/>
          <w:color w:val="auto"/>
          <w:sz w:val="24"/>
          <w:highlight w:val="none"/>
        </w:rPr>
        <w:t>，马道内侧设置排水沟，排水沟与截水沟相互顺接。</w:t>
      </w:r>
    </w:p>
    <w:p w14:paraId="6A41DDB7">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3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③</w:t>
      </w:r>
      <w:r>
        <w:rPr>
          <w:rFonts w:hAnsi="宋体"/>
          <w:color w:val="auto"/>
          <w:sz w:val="24"/>
          <w:highlight w:val="none"/>
        </w:rPr>
        <w:fldChar w:fldCharType="end"/>
      </w:r>
      <w:r>
        <w:rPr>
          <w:rFonts w:hint="eastAsia" w:hAnsi="宋体"/>
          <w:color w:val="auto"/>
          <w:sz w:val="24"/>
          <w:highlight w:val="none"/>
        </w:rPr>
        <w:t>为保证弃渣边坡的稳定，从挡渣墙顶至弃渣面按</w:t>
      </w:r>
      <w:r>
        <w:rPr>
          <w:rFonts w:hAnsi="宋体"/>
          <w:color w:val="auto"/>
          <w:sz w:val="24"/>
          <w:highlight w:val="none"/>
        </w:rPr>
        <w:t xml:space="preserve">1:1.5~1:2 </w:t>
      </w:r>
      <w:r>
        <w:rPr>
          <w:rFonts w:hint="eastAsia" w:hAnsi="宋体"/>
          <w:color w:val="auto"/>
          <w:sz w:val="24"/>
          <w:highlight w:val="none"/>
        </w:rPr>
        <w:t>放坡。</w:t>
      </w:r>
    </w:p>
    <w:p w14:paraId="6E0C5319">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4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④</w:t>
      </w:r>
      <w:r>
        <w:rPr>
          <w:rFonts w:hAnsi="宋体"/>
          <w:color w:val="auto"/>
          <w:sz w:val="24"/>
          <w:highlight w:val="none"/>
        </w:rPr>
        <w:fldChar w:fldCharType="end"/>
      </w:r>
      <w:r>
        <w:rPr>
          <w:rFonts w:hint="eastAsia" w:hAnsi="宋体"/>
          <w:color w:val="auto"/>
          <w:sz w:val="24"/>
          <w:highlight w:val="none"/>
        </w:rPr>
        <w:t>弃渣完成后应对弃渣面进行平整。在渣面修建浆砌石排水沟与渣场下游原有排水体系相连，以排泄渣面积水并防止雨水对渣体边坡的冲刷。</w:t>
      </w:r>
    </w:p>
    <w:p w14:paraId="29EC6E5A">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5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⑤</w:t>
      </w:r>
      <w:r>
        <w:rPr>
          <w:rFonts w:hAnsi="宋体"/>
          <w:color w:val="auto"/>
          <w:sz w:val="24"/>
          <w:highlight w:val="none"/>
        </w:rPr>
        <w:fldChar w:fldCharType="end"/>
      </w:r>
      <w:r>
        <w:rPr>
          <w:rFonts w:hint="eastAsia" w:hAnsi="宋体"/>
          <w:color w:val="auto"/>
          <w:sz w:val="24"/>
          <w:highlight w:val="none"/>
        </w:rPr>
        <w:t>弃渣完毕后，对渣体边坡进行修整，撒播草籽</w:t>
      </w:r>
      <w:r>
        <w:rPr>
          <w:rFonts w:hAnsi="宋体"/>
          <w:color w:val="auto"/>
          <w:sz w:val="24"/>
          <w:highlight w:val="none"/>
        </w:rPr>
        <w:t>+</w:t>
      </w:r>
      <w:r>
        <w:rPr>
          <w:rFonts w:hint="eastAsia" w:hAnsi="宋体"/>
          <w:color w:val="auto"/>
          <w:sz w:val="24"/>
          <w:highlight w:val="none"/>
        </w:rPr>
        <w:t>栽植灌木恢复植被。弃渣场顶部采取撒播草籽</w:t>
      </w:r>
      <w:r>
        <w:rPr>
          <w:rFonts w:hAnsi="宋体"/>
          <w:color w:val="auto"/>
          <w:sz w:val="24"/>
          <w:highlight w:val="none"/>
        </w:rPr>
        <w:t>+</w:t>
      </w:r>
      <w:r>
        <w:rPr>
          <w:rFonts w:hint="eastAsia" w:hAnsi="宋体"/>
          <w:color w:val="auto"/>
          <w:sz w:val="24"/>
          <w:highlight w:val="none"/>
        </w:rPr>
        <w:t>种植水土保持林恢复植被。</w:t>
      </w:r>
    </w:p>
    <w:p w14:paraId="4F1E65EC">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（2）工程措施</w:t>
      </w:r>
    </w:p>
    <w:p w14:paraId="518A6C60">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1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①</w:t>
      </w:r>
      <w:r>
        <w:rPr>
          <w:rFonts w:hAnsi="宋体"/>
          <w:color w:val="auto"/>
          <w:sz w:val="24"/>
          <w:highlight w:val="none"/>
        </w:rPr>
        <w:fldChar w:fldCharType="end"/>
      </w:r>
      <w:r>
        <w:rPr>
          <w:rFonts w:hint="eastAsia" w:hAnsi="宋体"/>
          <w:color w:val="auto"/>
          <w:sz w:val="24"/>
          <w:highlight w:val="none"/>
        </w:rPr>
        <w:t>浆砌石挡渣墙</w:t>
      </w:r>
    </w:p>
    <w:p w14:paraId="52E17F7C">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根据弃渣场地形，弃渣场应在沟口用挡渣墙拦挡，挡渣墙布设应尽量选择</w:t>
      </w:r>
      <w:r>
        <w:rPr>
          <w:rFonts w:hAnsi="宋体"/>
          <w:color w:val="auto"/>
          <w:sz w:val="24"/>
          <w:highlight w:val="none"/>
        </w:rPr>
        <w:t>“</w:t>
      </w:r>
      <w:r>
        <w:rPr>
          <w:rFonts w:hint="eastAsia" w:hAnsi="宋体"/>
          <w:color w:val="auto"/>
          <w:sz w:val="24"/>
          <w:highlight w:val="none"/>
        </w:rPr>
        <w:t>口小</w:t>
      </w:r>
      <w:r>
        <w:rPr>
          <w:rFonts w:hAnsi="宋体"/>
          <w:color w:val="auto"/>
          <w:sz w:val="24"/>
          <w:highlight w:val="none"/>
        </w:rPr>
        <w:t>”</w:t>
      </w:r>
      <w:r>
        <w:rPr>
          <w:rFonts w:hint="eastAsia" w:hAnsi="宋体"/>
          <w:color w:val="auto"/>
          <w:sz w:val="24"/>
          <w:highlight w:val="none"/>
        </w:rPr>
        <w:t>地段，并避开不良地形地质地段，在保证弃渣场安全的前提下尽量减少挡渣墙的高度和断面尺寸，考虑到项目位置属低山丘陵区，渣场地面横坡一般较大，挡渣墙结构型式按重力式浆砌石挡渣墙考虑，内侧面竖直，外侧面坡比</w:t>
      </w:r>
      <w:r>
        <w:rPr>
          <w:rFonts w:hAnsi="宋体"/>
          <w:color w:val="auto"/>
          <w:sz w:val="24"/>
          <w:highlight w:val="none"/>
        </w:rPr>
        <w:t>1:0.4</w:t>
      </w:r>
      <w:r>
        <w:rPr>
          <w:rFonts w:hint="eastAsia" w:hAnsi="宋体"/>
          <w:color w:val="auto"/>
          <w:sz w:val="24"/>
          <w:highlight w:val="none"/>
        </w:rPr>
        <w:t>，基础埋深＞</w:t>
      </w:r>
      <w:r>
        <w:rPr>
          <w:rFonts w:hAnsi="宋体"/>
          <w:color w:val="auto"/>
          <w:sz w:val="24"/>
          <w:highlight w:val="none"/>
        </w:rPr>
        <w:t>1.0m</w:t>
      </w:r>
      <w:r>
        <w:rPr>
          <w:rFonts w:hint="eastAsia" w:hAnsi="宋体"/>
          <w:color w:val="auto"/>
          <w:sz w:val="24"/>
          <w:highlight w:val="none"/>
        </w:rPr>
        <w:t>。</w:t>
      </w:r>
    </w:p>
    <w:p w14:paraId="5B1FD660">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2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②</w:t>
      </w:r>
      <w:r>
        <w:rPr>
          <w:rFonts w:hAnsi="宋体"/>
          <w:color w:val="auto"/>
          <w:sz w:val="24"/>
          <w:highlight w:val="none"/>
        </w:rPr>
        <w:fldChar w:fldCharType="end"/>
      </w:r>
      <w:r>
        <w:rPr>
          <w:rFonts w:hAnsi="宋体"/>
          <w:color w:val="auto"/>
          <w:sz w:val="24"/>
          <w:highlight w:val="none"/>
        </w:rPr>
        <w:t>截排水沟</w:t>
      </w:r>
    </w:p>
    <w:p w14:paraId="7B82FD3F">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矩形排水沟，宽</w:t>
      </w:r>
      <w:r>
        <w:rPr>
          <w:rFonts w:hAnsi="宋体"/>
          <w:color w:val="auto"/>
          <w:sz w:val="24"/>
          <w:highlight w:val="none"/>
        </w:rPr>
        <w:t>0.3m</w:t>
      </w:r>
      <w:r>
        <w:rPr>
          <w:rFonts w:hint="eastAsia" w:hAnsi="宋体"/>
          <w:color w:val="auto"/>
          <w:sz w:val="24"/>
          <w:highlight w:val="none"/>
        </w:rPr>
        <w:t>，高</w:t>
      </w:r>
      <w:r>
        <w:rPr>
          <w:rFonts w:hAnsi="宋体"/>
          <w:color w:val="auto"/>
          <w:sz w:val="24"/>
          <w:highlight w:val="none"/>
        </w:rPr>
        <w:t>0.3m</w:t>
      </w:r>
      <w:r>
        <w:rPr>
          <w:rFonts w:hint="eastAsia" w:hAnsi="宋体"/>
          <w:color w:val="auto"/>
          <w:sz w:val="24"/>
          <w:highlight w:val="none"/>
        </w:rPr>
        <w:t>，纵坡为</w:t>
      </w:r>
      <w:r>
        <w:rPr>
          <w:rFonts w:hAnsi="宋体"/>
          <w:color w:val="auto"/>
          <w:sz w:val="24"/>
          <w:highlight w:val="none"/>
        </w:rPr>
        <w:t>1/200</w:t>
      </w:r>
      <w:r>
        <w:rPr>
          <w:rFonts w:hint="eastAsia" w:hAnsi="宋体"/>
          <w:color w:val="auto"/>
          <w:sz w:val="24"/>
          <w:highlight w:val="none"/>
        </w:rPr>
        <w:t>，</w:t>
      </w:r>
      <w:r>
        <w:rPr>
          <w:rFonts w:hAnsi="宋体"/>
          <w:color w:val="auto"/>
          <w:sz w:val="24"/>
          <w:highlight w:val="none"/>
        </w:rPr>
        <w:t xml:space="preserve">M7.5 </w:t>
      </w:r>
      <w:r>
        <w:rPr>
          <w:rFonts w:hint="eastAsia" w:hAnsi="宋体"/>
          <w:color w:val="auto"/>
          <w:sz w:val="24"/>
          <w:highlight w:val="none"/>
        </w:rPr>
        <w:t>浆砌石砌筑；梯形排水沟底宽</w:t>
      </w:r>
      <w:r>
        <w:rPr>
          <w:rFonts w:hAnsi="宋体"/>
          <w:color w:val="auto"/>
          <w:sz w:val="24"/>
          <w:highlight w:val="none"/>
        </w:rPr>
        <w:t>0.4</w:t>
      </w:r>
      <w:r>
        <w:rPr>
          <w:rFonts w:hint="eastAsia" w:hAnsi="宋体"/>
          <w:color w:val="auto"/>
          <w:sz w:val="24"/>
          <w:highlight w:val="none"/>
        </w:rPr>
        <w:t>，高</w:t>
      </w:r>
      <w:r>
        <w:rPr>
          <w:rFonts w:hAnsi="宋体"/>
          <w:color w:val="auto"/>
          <w:sz w:val="24"/>
          <w:highlight w:val="none"/>
        </w:rPr>
        <w:t>0.5m</w:t>
      </w:r>
      <w:r>
        <w:rPr>
          <w:rFonts w:hint="eastAsia" w:hAnsi="宋体"/>
          <w:color w:val="auto"/>
          <w:sz w:val="24"/>
          <w:highlight w:val="none"/>
        </w:rPr>
        <w:t>，内坡比</w:t>
      </w:r>
      <w:r>
        <w:rPr>
          <w:rFonts w:hAnsi="宋体"/>
          <w:color w:val="auto"/>
          <w:sz w:val="24"/>
          <w:highlight w:val="none"/>
        </w:rPr>
        <w:t>0.5</w:t>
      </w:r>
      <w:r>
        <w:rPr>
          <w:rFonts w:hint="eastAsia" w:hAnsi="宋体"/>
          <w:color w:val="auto"/>
          <w:sz w:val="24"/>
          <w:highlight w:val="none"/>
        </w:rPr>
        <w:t>。经验算，矩形排水沟过水能力为</w:t>
      </w:r>
      <w:r>
        <w:rPr>
          <w:rFonts w:hAnsi="宋体"/>
          <w:color w:val="auto"/>
          <w:sz w:val="24"/>
          <w:highlight w:val="none"/>
        </w:rPr>
        <w:t>0.0914m</w:t>
      </w:r>
      <w:r>
        <w:rPr>
          <w:rFonts w:hAnsi="宋体"/>
          <w:color w:val="auto"/>
          <w:sz w:val="24"/>
          <w:highlight w:val="none"/>
          <w:vertAlign w:val="superscript"/>
        </w:rPr>
        <w:t>3</w:t>
      </w:r>
      <w:r>
        <w:rPr>
          <w:rFonts w:hAnsi="宋体"/>
          <w:color w:val="auto"/>
          <w:sz w:val="24"/>
          <w:highlight w:val="none"/>
        </w:rPr>
        <w:t>/s</w:t>
      </w:r>
      <w:r>
        <w:rPr>
          <w:rFonts w:hint="eastAsia" w:hAnsi="宋体"/>
          <w:color w:val="auto"/>
          <w:sz w:val="24"/>
          <w:highlight w:val="none"/>
        </w:rPr>
        <w:t>，梯形排水沟过水能力为</w:t>
      </w:r>
      <w:r>
        <w:rPr>
          <w:rFonts w:hAnsi="宋体"/>
          <w:color w:val="auto"/>
          <w:sz w:val="24"/>
          <w:highlight w:val="none"/>
        </w:rPr>
        <w:t>0.9376m</w:t>
      </w:r>
      <w:r>
        <w:rPr>
          <w:rFonts w:hAnsi="宋体"/>
          <w:color w:val="auto"/>
          <w:sz w:val="24"/>
          <w:highlight w:val="none"/>
          <w:vertAlign w:val="superscript"/>
        </w:rPr>
        <w:t>3</w:t>
      </w:r>
      <w:r>
        <w:rPr>
          <w:rFonts w:hAnsi="宋体"/>
          <w:color w:val="auto"/>
          <w:sz w:val="24"/>
          <w:highlight w:val="none"/>
        </w:rPr>
        <w:t>/s</w:t>
      </w:r>
      <w:r>
        <w:rPr>
          <w:rFonts w:hint="eastAsia" w:hAnsi="宋体"/>
          <w:color w:val="auto"/>
          <w:sz w:val="24"/>
          <w:highlight w:val="none"/>
        </w:rPr>
        <w:t>，满足排水要求。</w:t>
      </w:r>
    </w:p>
    <w:p w14:paraId="528C4F26">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3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③</w:t>
      </w:r>
      <w:r>
        <w:rPr>
          <w:rFonts w:hAnsi="宋体"/>
          <w:color w:val="auto"/>
          <w:sz w:val="24"/>
          <w:highlight w:val="none"/>
        </w:rPr>
        <w:fldChar w:fldCharType="end"/>
      </w:r>
      <w:r>
        <w:rPr>
          <w:rFonts w:hAnsi="宋体"/>
          <w:color w:val="auto"/>
          <w:sz w:val="24"/>
          <w:highlight w:val="none"/>
        </w:rPr>
        <w:t>永久性沉砂池</w:t>
      </w:r>
    </w:p>
    <w:p w14:paraId="56453066">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为减少水流中泥沙含量，防止泥沙淤积排水沟，影响排水通畅，排水沟布设</w:t>
      </w:r>
      <w:r>
        <w:rPr>
          <w:rFonts w:hAnsi="宋体"/>
          <w:color w:val="auto"/>
          <w:sz w:val="24"/>
          <w:highlight w:val="none"/>
        </w:rPr>
        <w:t>Ⅱ</w:t>
      </w:r>
      <w:r>
        <w:rPr>
          <w:rFonts w:hint="eastAsia" w:hAnsi="宋体"/>
          <w:color w:val="auto"/>
          <w:sz w:val="24"/>
          <w:highlight w:val="none"/>
        </w:rPr>
        <w:t>型沉沙池，尺寸为</w:t>
      </w:r>
      <w:r>
        <w:rPr>
          <w:rFonts w:hAnsi="宋体"/>
          <w:color w:val="auto"/>
          <w:sz w:val="24"/>
          <w:highlight w:val="none"/>
        </w:rPr>
        <w:t>2.0m(</w:t>
      </w:r>
      <w:r>
        <w:rPr>
          <w:rFonts w:hint="eastAsia" w:hAnsi="宋体"/>
          <w:color w:val="auto"/>
          <w:sz w:val="24"/>
          <w:highlight w:val="none"/>
        </w:rPr>
        <w:t>长</w:t>
      </w:r>
      <w:r>
        <w:rPr>
          <w:rFonts w:hAnsi="宋体"/>
          <w:color w:val="auto"/>
          <w:sz w:val="24"/>
          <w:highlight w:val="none"/>
        </w:rPr>
        <w:t>)×1.0m(</w:t>
      </w:r>
      <w:r>
        <w:rPr>
          <w:rFonts w:hint="eastAsia" w:hAnsi="宋体"/>
          <w:color w:val="auto"/>
          <w:sz w:val="24"/>
          <w:highlight w:val="none"/>
        </w:rPr>
        <w:t>宽</w:t>
      </w:r>
      <w:r>
        <w:rPr>
          <w:rFonts w:hAnsi="宋体"/>
          <w:color w:val="auto"/>
          <w:sz w:val="24"/>
          <w:highlight w:val="none"/>
        </w:rPr>
        <w:t>)×1.5m(</w:t>
      </w:r>
      <w:r>
        <w:rPr>
          <w:rFonts w:hint="eastAsia" w:hAnsi="宋体"/>
          <w:color w:val="auto"/>
          <w:sz w:val="24"/>
          <w:highlight w:val="none"/>
        </w:rPr>
        <w:t>深</w:t>
      </w:r>
      <w:r>
        <w:rPr>
          <w:rFonts w:hAnsi="宋体"/>
          <w:color w:val="auto"/>
          <w:sz w:val="24"/>
          <w:highlight w:val="none"/>
        </w:rPr>
        <w:t>)</w:t>
      </w:r>
      <w:r>
        <w:rPr>
          <w:rFonts w:hint="eastAsia" w:hAnsi="宋体"/>
          <w:color w:val="auto"/>
          <w:sz w:val="24"/>
          <w:highlight w:val="none"/>
        </w:rPr>
        <w:t>，沉沙池布设在排水沟汇入自然溪沟。</w:t>
      </w:r>
    </w:p>
    <w:p w14:paraId="7E0E264B">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4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④</w:t>
      </w:r>
      <w:r>
        <w:rPr>
          <w:rFonts w:hAnsi="宋体"/>
          <w:color w:val="auto"/>
          <w:sz w:val="24"/>
          <w:highlight w:val="none"/>
        </w:rPr>
        <w:fldChar w:fldCharType="end"/>
      </w:r>
      <w:r>
        <w:rPr>
          <w:rFonts w:hAnsi="宋体"/>
          <w:color w:val="auto"/>
          <w:sz w:val="24"/>
          <w:highlight w:val="none"/>
        </w:rPr>
        <w:t>土地整治</w:t>
      </w:r>
    </w:p>
    <w:p w14:paraId="55CF9760">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弃渣场堆渣完毕，采取土地整治措施。</w:t>
      </w:r>
    </w:p>
    <w:p w14:paraId="22945CFD">
      <w:pPr>
        <w:autoSpaceDE w:val="0"/>
        <w:adjustRightInd w:val="0"/>
        <w:snapToGrid w:val="0"/>
        <w:spacing w:line="360" w:lineRule="auto"/>
        <w:ind w:firstLine="480" w:firstLineChars="200"/>
        <w:jc w:val="left"/>
        <w:rPr>
          <w:rFonts w:hAnsi="宋体"/>
          <w:color w:val="auto"/>
          <w:sz w:val="24"/>
          <w:highlight w:val="none"/>
        </w:rPr>
      </w:pPr>
      <w:r>
        <w:rPr>
          <w:rFonts w:hAnsi="宋体"/>
          <w:color w:val="auto"/>
          <w:sz w:val="24"/>
          <w:highlight w:val="none"/>
        </w:rPr>
        <w:fldChar w:fldCharType="begin"/>
      </w:r>
      <w:r>
        <w:rPr>
          <w:rFonts w:hAnsi="宋体"/>
          <w:color w:val="auto"/>
          <w:sz w:val="24"/>
          <w:highlight w:val="none"/>
        </w:rPr>
        <w:instrText xml:space="preserve"> </w:instrText>
      </w:r>
      <w:r>
        <w:rPr>
          <w:rFonts w:hint="eastAsia" w:hAnsi="宋体"/>
          <w:color w:val="auto"/>
          <w:sz w:val="24"/>
          <w:highlight w:val="none"/>
        </w:rPr>
        <w:instrText xml:space="preserve">= 5 \* GB3</w:instrText>
      </w:r>
      <w:r>
        <w:rPr>
          <w:rFonts w:hAnsi="宋体"/>
          <w:color w:val="auto"/>
          <w:sz w:val="24"/>
          <w:highlight w:val="none"/>
        </w:rPr>
        <w:instrText xml:space="preserve"> </w:instrText>
      </w:r>
      <w:r>
        <w:rPr>
          <w:rFonts w:hAnsi="宋体"/>
          <w:color w:val="auto"/>
          <w:sz w:val="24"/>
          <w:highlight w:val="none"/>
        </w:rPr>
        <w:fldChar w:fldCharType="separate"/>
      </w:r>
      <w:r>
        <w:rPr>
          <w:rFonts w:hint="eastAsia" w:hAnsi="宋体"/>
          <w:color w:val="auto"/>
          <w:sz w:val="24"/>
          <w:highlight w:val="none"/>
        </w:rPr>
        <w:t>⑤</w:t>
      </w:r>
      <w:r>
        <w:rPr>
          <w:rFonts w:hAnsi="宋体"/>
          <w:color w:val="auto"/>
          <w:sz w:val="24"/>
          <w:highlight w:val="none"/>
        </w:rPr>
        <w:fldChar w:fldCharType="end"/>
      </w:r>
      <w:r>
        <w:rPr>
          <w:rFonts w:hAnsi="宋体"/>
          <w:color w:val="auto"/>
          <w:sz w:val="24"/>
          <w:highlight w:val="none"/>
        </w:rPr>
        <w:t>表土剥离及回填</w:t>
      </w:r>
    </w:p>
    <w:p w14:paraId="0D81380F">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根据现场实际情况本工程不对弃渣场区的表土进行剥离，堆渣完毕，从其他防治分区调入表土进行回填，作为绿化种植土。</w:t>
      </w:r>
    </w:p>
    <w:p w14:paraId="283075FE">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（3）植物措施</w:t>
      </w:r>
    </w:p>
    <w:p w14:paraId="4509EA5D">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边坡采用植假俭草草皮护坡，对弃渣场采取乔灌草结合的林草措施。</w:t>
      </w:r>
    </w:p>
    <w:p w14:paraId="6504FFE7">
      <w:pPr>
        <w:autoSpaceDE w:val="0"/>
        <w:adjustRightInd w:val="0"/>
        <w:snapToGrid w:val="0"/>
        <w:spacing w:line="360" w:lineRule="auto"/>
        <w:ind w:firstLine="480" w:firstLineChars="200"/>
        <w:jc w:val="left"/>
        <w:rPr>
          <w:rFonts w:hAnsi="宋体"/>
          <w:color w:val="auto"/>
          <w:sz w:val="24"/>
          <w:highlight w:val="none"/>
        </w:rPr>
      </w:pPr>
      <w:r>
        <w:rPr>
          <w:rFonts w:hint="eastAsia" w:hAnsi="宋体"/>
          <w:color w:val="auto"/>
          <w:sz w:val="24"/>
          <w:highlight w:val="none"/>
        </w:rPr>
        <w:t>（</w:t>
      </w:r>
      <w:r>
        <w:rPr>
          <w:rFonts w:hAnsi="宋体"/>
          <w:color w:val="auto"/>
          <w:sz w:val="24"/>
          <w:highlight w:val="none"/>
        </w:rPr>
        <w:t>4</w:t>
      </w:r>
      <w:r>
        <w:rPr>
          <w:rFonts w:hint="eastAsia" w:hAnsi="宋体"/>
          <w:color w:val="auto"/>
          <w:sz w:val="24"/>
          <w:highlight w:val="none"/>
        </w:rPr>
        <w:t>）临时措施</w:t>
      </w:r>
    </w:p>
    <w:p w14:paraId="7E3BB905">
      <w:pPr>
        <w:pStyle w:val="63"/>
        <w:adjustRightInd w:val="0"/>
        <w:snapToGrid w:val="0"/>
        <w:jc w:val="left"/>
        <w:rPr>
          <w:color w:val="auto"/>
          <w:highlight w:val="none"/>
        </w:rPr>
      </w:pPr>
      <w:r>
        <w:rPr>
          <w:rFonts w:hint="eastAsia"/>
          <w:color w:val="auto"/>
          <w:highlight w:val="none"/>
        </w:rPr>
        <w:t>对弃渣场区的临时堆渣采取临时覆盖措施。</w:t>
      </w:r>
    </w:p>
    <w:p w14:paraId="75C50321">
      <w:pPr>
        <w:pStyle w:val="4"/>
        <w:bidi w:val="0"/>
        <w:rPr>
          <w:rFonts w:hint="default" w:ascii="Times New Roman" w:hAnsi="Times New Roman" w:cs="Times New Roman"/>
          <w:color w:val="auto"/>
          <w:highlight w:val="none"/>
        </w:rPr>
      </w:pPr>
      <w:bookmarkStart w:id="106" w:name="_Toc21625"/>
      <w:r>
        <w:rPr>
          <w:rFonts w:hint="eastAsia" w:cs="Times New Roman"/>
          <w:color w:val="auto"/>
          <w:highlight w:val="none"/>
          <w:lang w:eastAsia="zh-CN"/>
        </w:rPr>
        <w:t>运营期环境保护措施及建议</w:t>
      </w:r>
      <w:bookmarkEnd w:id="106"/>
    </w:p>
    <w:p w14:paraId="6D8DAC9D">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营运期生态保护措施</w:t>
      </w:r>
    </w:p>
    <w:p w14:paraId="29B01027">
      <w:pPr>
        <w:pStyle w:val="29"/>
        <w:ind w:firstLine="480"/>
        <w:jc w:val="left"/>
        <w:rPr>
          <w:rFonts w:hint="eastAsia" w:hAnsi="宋体" w:eastAsia="宋体" w:cs="Times New Roman"/>
          <w:color w:val="auto"/>
          <w:highlight w:val="none"/>
          <w:lang w:eastAsia="zh-CN"/>
        </w:rPr>
      </w:pPr>
      <w:r>
        <w:rPr>
          <w:rFonts w:hint="eastAsia" w:hAnsi="宋体" w:cs="Times New Roman"/>
          <w:color w:val="auto"/>
          <w:highlight w:val="none"/>
          <w:lang w:eastAsia="zh-CN"/>
        </w:rPr>
        <w:t>（</w:t>
      </w:r>
      <w:r>
        <w:rPr>
          <w:rFonts w:hint="eastAsia" w:hAnsi="宋体" w:cs="Times New Roman"/>
          <w:color w:val="auto"/>
          <w:highlight w:val="none"/>
          <w:lang w:val="en-US" w:eastAsia="zh-CN"/>
        </w:rPr>
        <w:t>1）营运期生态恢复措施</w:t>
      </w:r>
    </w:p>
    <w:p w14:paraId="01B13CCA">
      <w:pPr>
        <w:pStyle w:val="29"/>
        <w:ind w:firstLine="480"/>
        <w:jc w:val="left"/>
        <w:rPr>
          <w:rFonts w:hAnsi="宋体" w:cs="Times New Roman"/>
          <w:color w:val="auto"/>
          <w:highlight w:val="none"/>
        </w:rPr>
      </w:pPr>
      <w:r>
        <w:rPr>
          <w:rFonts w:hAnsi="宋体" w:cs="Times New Roman"/>
          <w:color w:val="auto"/>
          <w:highlight w:val="none"/>
        </w:rPr>
        <w:fldChar w:fldCharType="begin"/>
      </w:r>
      <w:r>
        <w:rPr>
          <w:rFonts w:hAnsi="宋体" w:cs="Times New Roman"/>
          <w:color w:val="auto"/>
          <w:highlight w:val="none"/>
        </w:rPr>
        <w:instrText xml:space="preserve"> </w:instrText>
      </w:r>
      <w:r>
        <w:rPr>
          <w:rFonts w:hint="eastAsia" w:hAnsi="宋体" w:cs="Times New Roman"/>
          <w:color w:val="auto"/>
          <w:highlight w:val="none"/>
        </w:rPr>
        <w:instrText xml:space="preserve">= 1 \* GB3</w:instrText>
      </w:r>
      <w:r>
        <w:rPr>
          <w:rFonts w:hAnsi="宋体" w:cs="Times New Roman"/>
          <w:color w:val="auto"/>
          <w:highlight w:val="none"/>
        </w:rPr>
        <w:instrText xml:space="preserve"> </w:instrText>
      </w:r>
      <w:r>
        <w:rPr>
          <w:rFonts w:hAnsi="宋体" w:cs="Times New Roman"/>
          <w:color w:val="auto"/>
          <w:highlight w:val="none"/>
        </w:rPr>
        <w:fldChar w:fldCharType="separate"/>
      </w:r>
      <w:r>
        <w:rPr>
          <w:rFonts w:hint="eastAsia" w:hAnsi="宋体" w:cs="Times New Roman"/>
          <w:color w:val="auto"/>
          <w:highlight w:val="none"/>
        </w:rPr>
        <w:t>①</w:t>
      </w:r>
      <w:r>
        <w:rPr>
          <w:rFonts w:hAnsi="宋体" w:cs="Times New Roman"/>
          <w:color w:val="auto"/>
          <w:highlight w:val="none"/>
        </w:rPr>
        <w:fldChar w:fldCharType="end"/>
      </w:r>
      <w:r>
        <w:rPr>
          <w:rFonts w:hint="eastAsia" w:hAnsi="宋体" w:cs="Times New Roman"/>
          <w:color w:val="auto"/>
          <w:highlight w:val="none"/>
        </w:rPr>
        <w:t>施工后植被恢复</w:t>
      </w:r>
    </w:p>
    <w:p w14:paraId="04688EAC">
      <w:pPr>
        <w:pStyle w:val="29"/>
        <w:ind w:firstLine="480"/>
        <w:jc w:val="left"/>
        <w:rPr>
          <w:rFonts w:hAnsi="宋体" w:cs="Times New Roman"/>
          <w:color w:val="auto"/>
          <w:highlight w:val="none"/>
        </w:rPr>
      </w:pPr>
      <w:r>
        <w:rPr>
          <w:rFonts w:hAnsi="宋体" w:cs="Times New Roman"/>
          <w:color w:val="auto"/>
          <w:highlight w:val="none"/>
        </w:rPr>
        <w:t>工程完工后尽快做好生态环境的恢复工作，以尽量减少生境破坏对动物的不利影响。每个风机和集电线路施工完成后，在临时占地及其附近合理绿化，种植本地土著的灌木为主，尽快恢复动物生境。</w:t>
      </w:r>
      <w:r>
        <w:rPr>
          <w:rFonts w:hint="eastAsia" w:hAnsi="宋体" w:cs="Times New Roman"/>
          <w:color w:val="auto"/>
          <w:highlight w:val="none"/>
        </w:rPr>
        <w:t>尽</w:t>
      </w:r>
      <w:r>
        <w:rPr>
          <w:rFonts w:hAnsi="宋体" w:cs="Times New Roman"/>
          <w:color w:val="auto"/>
          <w:highlight w:val="none"/>
        </w:rPr>
        <w:t>可能即时恢复自然植被、掩盖施工痕迹，保护生态环境，使之与自然环境和风景相协调。在植被恢复措施中</w:t>
      </w:r>
      <w:r>
        <w:rPr>
          <w:rFonts w:hint="eastAsia" w:hAnsi="宋体" w:cs="Times New Roman"/>
          <w:color w:val="auto"/>
          <w:highlight w:val="none"/>
        </w:rPr>
        <w:t>，</w:t>
      </w:r>
      <w:r>
        <w:rPr>
          <w:rFonts w:hAnsi="宋体" w:cs="Times New Roman"/>
          <w:color w:val="auto"/>
          <w:highlight w:val="none"/>
        </w:rPr>
        <w:t>同时应关注主要植草、乔灌木的比例，尽量使其比重协调，避免区域内某一物种的锐减或锐增</w:t>
      </w:r>
      <w:r>
        <w:rPr>
          <w:rFonts w:hint="eastAsia" w:hAnsi="宋体" w:cs="Times New Roman"/>
          <w:color w:val="auto"/>
          <w:highlight w:val="none"/>
        </w:rPr>
        <w:t>，</w:t>
      </w:r>
      <w:r>
        <w:rPr>
          <w:rFonts w:hAnsi="宋体" w:cs="Times New Roman"/>
          <w:color w:val="auto"/>
          <w:highlight w:val="none"/>
        </w:rPr>
        <w:t>减少对生态稳定性的影响。建议选择当地容易恢复的优势植物种类进行植被恢复</w:t>
      </w:r>
      <w:r>
        <w:rPr>
          <w:rFonts w:hint="eastAsia" w:hAnsi="宋体" w:cs="Times New Roman"/>
          <w:color w:val="auto"/>
          <w:highlight w:val="none"/>
        </w:rPr>
        <w:t>。</w:t>
      </w:r>
    </w:p>
    <w:p w14:paraId="3CDF5BB5">
      <w:pPr>
        <w:pStyle w:val="29"/>
        <w:ind w:firstLine="480"/>
        <w:jc w:val="left"/>
        <w:rPr>
          <w:rFonts w:hAnsi="宋体" w:cs="Times New Roman"/>
          <w:color w:val="auto"/>
          <w:szCs w:val="24"/>
          <w:highlight w:val="none"/>
        </w:rPr>
      </w:pPr>
      <w:r>
        <w:rPr>
          <w:rFonts w:hAnsi="宋体" w:cs="Times New Roman"/>
          <w:color w:val="auto"/>
          <w:szCs w:val="24"/>
          <w:highlight w:val="none"/>
        </w:rPr>
        <w:fldChar w:fldCharType="begin"/>
      </w:r>
      <w:r>
        <w:rPr>
          <w:rFonts w:hAnsi="宋体" w:cs="Times New Roman"/>
          <w:color w:val="auto"/>
          <w:szCs w:val="24"/>
          <w:highlight w:val="none"/>
        </w:rPr>
        <w:instrText xml:space="preserve"> </w:instrText>
      </w:r>
      <w:r>
        <w:rPr>
          <w:rFonts w:hint="eastAsia" w:hAnsi="宋体" w:cs="Times New Roman"/>
          <w:color w:val="auto"/>
          <w:szCs w:val="24"/>
          <w:highlight w:val="none"/>
        </w:rPr>
        <w:instrText xml:space="preserve">= 2 \* GB3</w:instrText>
      </w:r>
      <w:r>
        <w:rPr>
          <w:rFonts w:hAnsi="宋体" w:cs="Times New Roman"/>
          <w:color w:val="auto"/>
          <w:szCs w:val="24"/>
          <w:highlight w:val="none"/>
        </w:rPr>
        <w:instrText xml:space="preserve"> </w:instrText>
      </w:r>
      <w:r>
        <w:rPr>
          <w:rFonts w:hAnsi="宋体" w:cs="Times New Roman"/>
          <w:color w:val="auto"/>
          <w:szCs w:val="24"/>
          <w:highlight w:val="none"/>
        </w:rPr>
        <w:fldChar w:fldCharType="separate"/>
      </w:r>
      <w:r>
        <w:rPr>
          <w:rFonts w:hint="eastAsia" w:hAnsi="宋体" w:cs="Times New Roman"/>
          <w:color w:val="auto"/>
          <w:szCs w:val="24"/>
          <w:highlight w:val="none"/>
        </w:rPr>
        <w:t>②</w:t>
      </w:r>
      <w:r>
        <w:rPr>
          <w:rFonts w:hAnsi="宋体" w:cs="Times New Roman"/>
          <w:color w:val="auto"/>
          <w:szCs w:val="24"/>
          <w:highlight w:val="none"/>
        </w:rPr>
        <w:fldChar w:fldCharType="end"/>
      </w:r>
      <w:r>
        <w:rPr>
          <w:rFonts w:hint="eastAsia" w:hAnsi="宋体" w:cs="Times New Roman"/>
          <w:color w:val="auto"/>
          <w:szCs w:val="24"/>
          <w:highlight w:val="none"/>
        </w:rPr>
        <w:t>运营期持续维护</w:t>
      </w:r>
    </w:p>
    <w:p w14:paraId="696BFFAF">
      <w:pPr>
        <w:pStyle w:val="29"/>
        <w:ind w:firstLine="480"/>
        <w:jc w:val="left"/>
        <w:rPr>
          <w:rFonts w:hAnsi="宋体" w:cs="Times New Roman"/>
          <w:color w:val="auto"/>
          <w:szCs w:val="24"/>
          <w:highlight w:val="none"/>
        </w:rPr>
      </w:pPr>
      <w:r>
        <w:rPr>
          <w:rFonts w:hint="eastAsia" w:hAnsi="宋体" w:cs="Times New Roman"/>
          <w:color w:val="auto"/>
          <w:szCs w:val="24"/>
          <w:highlight w:val="none"/>
        </w:rPr>
        <w:t>运营期应关注恢复植被的成活率及生物量补偿效果，及时对植物生长量不足的区域进行分析，补充营养或补种植物。</w:t>
      </w:r>
    </w:p>
    <w:p w14:paraId="490B286C">
      <w:pPr>
        <w:pStyle w:val="29"/>
        <w:ind w:firstLine="480"/>
        <w:jc w:val="left"/>
        <w:rPr>
          <w:rFonts w:cs="Times New Roman"/>
          <w:color w:val="auto"/>
          <w:highlight w:val="none"/>
        </w:rPr>
      </w:pPr>
      <w:r>
        <w:rPr>
          <w:rFonts w:hint="eastAsia" w:cs="Times New Roman"/>
          <w:color w:val="auto"/>
          <w:highlight w:val="none"/>
        </w:rPr>
        <w:t>（</w:t>
      </w:r>
      <w:r>
        <w:rPr>
          <w:rFonts w:hint="eastAsia" w:cs="Times New Roman"/>
          <w:color w:val="auto"/>
          <w:highlight w:val="none"/>
          <w:lang w:val="en-US" w:eastAsia="zh-CN"/>
        </w:rPr>
        <w:t>2</w:t>
      </w:r>
      <w:r>
        <w:rPr>
          <w:rFonts w:hint="eastAsia" w:cs="Times New Roman"/>
          <w:color w:val="auto"/>
          <w:highlight w:val="none"/>
        </w:rPr>
        <w:t>）对迁徙鸟类的保护措施</w:t>
      </w:r>
    </w:p>
    <w:p w14:paraId="5FCD2148">
      <w:pPr>
        <w:adjustRightInd w:val="0"/>
        <w:snapToGrid w:val="0"/>
        <w:spacing w:line="360" w:lineRule="auto"/>
        <w:ind w:firstLine="480" w:firstLineChars="200"/>
        <w:jc w:val="left"/>
        <w:rPr>
          <w:color w:val="auto"/>
          <w:sz w:val="24"/>
          <w:highlight w:val="none"/>
        </w:rPr>
      </w:pPr>
      <w:bookmarkStart w:id="107" w:name="_Toc478148630"/>
      <w:r>
        <w:rPr>
          <w:color w:val="auto"/>
          <w:sz w:val="24"/>
          <w:highlight w:val="none"/>
        </w:rPr>
        <w:fldChar w:fldCharType="begin"/>
      </w:r>
      <w:r>
        <w:rPr>
          <w:color w:val="auto"/>
          <w:sz w:val="24"/>
          <w:highlight w:val="none"/>
        </w:rPr>
        <w:instrText xml:space="preserve"> </w:instrText>
      </w:r>
      <w:r>
        <w:rPr>
          <w:rFonts w:hint="eastAsia"/>
          <w:color w:val="auto"/>
          <w:sz w:val="24"/>
          <w:highlight w:val="none"/>
        </w:rPr>
        <w:instrText xml:space="preserve">= 1 \* GB3</w:instrText>
      </w:r>
      <w:r>
        <w:rPr>
          <w:color w:val="auto"/>
          <w:sz w:val="24"/>
          <w:highlight w:val="none"/>
        </w:rPr>
        <w:instrText xml:space="preserve"> </w:instrText>
      </w:r>
      <w:r>
        <w:rPr>
          <w:color w:val="auto"/>
          <w:sz w:val="24"/>
          <w:highlight w:val="none"/>
        </w:rPr>
        <w:fldChar w:fldCharType="separate"/>
      </w:r>
      <w:r>
        <w:rPr>
          <w:rFonts w:hint="eastAsia"/>
          <w:color w:val="auto"/>
          <w:sz w:val="24"/>
          <w:highlight w:val="none"/>
        </w:rPr>
        <w:t>①</w:t>
      </w:r>
      <w:r>
        <w:rPr>
          <w:color w:val="auto"/>
          <w:sz w:val="24"/>
          <w:highlight w:val="none"/>
        </w:rPr>
        <w:fldChar w:fldCharType="end"/>
      </w:r>
      <w:r>
        <w:rPr>
          <w:color w:val="auto"/>
          <w:sz w:val="24"/>
          <w:highlight w:val="none"/>
        </w:rPr>
        <w:t>加强在运营期的鸟类监测活动，采用人工观测记</w:t>
      </w:r>
      <w:bookmarkEnd w:id="107"/>
      <w:r>
        <w:rPr>
          <w:color w:val="auto"/>
          <w:sz w:val="24"/>
          <w:highlight w:val="none"/>
        </w:rPr>
        <w:t>录或者红外监控系统进行观测鸟类迁徙活动。根据鸟类观测结果，在发现大量鸟类迁徙的情况下关闭可能威胁到鸟类迁徙的风机，避免迁徙鸟类撞击风机叶片。</w:t>
      </w:r>
    </w:p>
    <w:p w14:paraId="5D485ACB">
      <w:pPr>
        <w:adjustRightInd w:val="0"/>
        <w:snapToGrid w:val="0"/>
        <w:spacing w:line="360" w:lineRule="auto"/>
        <w:ind w:firstLine="480" w:firstLineChars="200"/>
        <w:jc w:val="left"/>
        <w:rPr>
          <w:color w:val="auto"/>
          <w:sz w:val="24"/>
          <w:highlight w:val="none"/>
        </w:rPr>
      </w:pPr>
      <w:r>
        <w:rPr>
          <w:color w:val="auto"/>
          <w:sz w:val="24"/>
          <w:highlight w:val="none"/>
        </w:rPr>
        <w:fldChar w:fldCharType="begin"/>
      </w:r>
      <w:r>
        <w:rPr>
          <w:color w:val="auto"/>
          <w:sz w:val="24"/>
          <w:highlight w:val="none"/>
        </w:rPr>
        <w:instrText xml:space="preserve"> </w:instrText>
      </w:r>
      <w:r>
        <w:rPr>
          <w:rFonts w:hint="eastAsia"/>
          <w:color w:val="auto"/>
          <w:sz w:val="24"/>
          <w:highlight w:val="none"/>
        </w:rPr>
        <w:instrText xml:space="preserve">= 2 \* GB3</w:instrText>
      </w:r>
      <w:r>
        <w:rPr>
          <w:color w:val="auto"/>
          <w:sz w:val="24"/>
          <w:highlight w:val="none"/>
        </w:rPr>
        <w:instrText xml:space="preserve"> </w:instrText>
      </w:r>
      <w:r>
        <w:rPr>
          <w:color w:val="auto"/>
          <w:sz w:val="24"/>
          <w:highlight w:val="none"/>
        </w:rPr>
        <w:fldChar w:fldCharType="separate"/>
      </w:r>
      <w:r>
        <w:rPr>
          <w:rFonts w:hint="eastAsia"/>
          <w:color w:val="auto"/>
          <w:sz w:val="24"/>
          <w:highlight w:val="none"/>
        </w:rPr>
        <w:t>②</w:t>
      </w:r>
      <w:r>
        <w:rPr>
          <w:color w:val="auto"/>
          <w:sz w:val="24"/>
          <w:highlight w:val="none"/>
        </w:rPr>
        <w:fldChar w:fldCharType="end"/>
      </w:r>
      <w:r>
        <w:rPr>
          <w:color w:val="auto"/>
          <w:sz w:val="24"/>
          <w:highlight w:val="none"/>
        </w:rPr>
        <w:t>在鸟类观测站配备相应的鸟类救护设备，对巡护人员进行基础救护培训，加强巡护过程中对鸟类的救护，鸟类伤势严重的情况下及时送往野保站进行救护。</w:t>
      </w:r>
    </w:p>
    <w:p w14:paraId="70EAAEF5">
      <w:pPr>
        <w:adjustRightInd w:val="0"/>
        <w:snapToGrid w:val="0"/>
        <w:spacing w:line="360" w:lineRule="auto"/>
        <w:ind w:firstLine="480" w:firstLineChars="200"/>
        <w:jc w:val="left"/>
        <w:rPr>
          <w:color w:val="auto"/>
          <w:sz w:val="24"/>
          <w:highlight w:val="none"/>
        </w:rPr>
      </w:pPr>
      <w:r>
        <w:rPr>
          <w:color w:val="auto"/>
          <w:sz w:val="24"/>
          <w:highlight w:val="none"/>
        </w:rPr>
        <w:fldChar w:fldCharType="begin"/>
      </w:r>
      <w:r>
        <w:rPr>
          <w:color w:val="auto"/>
          <w:sz w:val="24"/>
          <w:highlight w:val="none"/>
        </w:rPr>
        <w:instrText xml:space="preserve"> </w:instrText>
      </w:r>
      <w:r>
        <w:rPr>
          <w:rFonts w:hint="eastAsia"/>
          <w:color w:val="auto"/>
          <w:sz w:val="24"/>
          <w:highlight w:val="none"/>
        </w:rPr>
        <w:instrText xml:space="preserve">= 3 \* GB3</w:instrText>
      </w:r>
      <w:r>
        <w:rPr>
          <w:color w:val="auto"/>
          <w:sz w:val="24"/>
          <w:highlight w:val="none"/>
        </w:rPr>
        <w:instrText xml:space="preserve"> </w:instrText>
      </w:r>
      <w:r>
        <w:rPr>
          <w:color w:val="auto"/>
          <w:sz w:val="24"/>
          <w:highlight w:val="none"/>
        </w:rPr>
        <w:fldChar w:fldCharType="separate"/>
      </w:r>
      <w:r>
        <w:rPr>
          <w:rFonts w:hint="eastAsia"/>
          <w:color w:val="auto"/>
          <w:sz w:val="24"/>
          <w:highlight w:val="none"/>
        </w:rPr>
        <w:t>③</w:t>
      </w:r>
      <w:r>
        <w:rPr>
          <w:color w:val="auto"/>
          <w:sz w:val="24"/>
          <w:highlight w:val="none"/>
        </w:rPr>
        <w:fldChar w:fldCharType="end"/>
      </w:r>
      <w:r>
        <w:rPr>
          <w:color w:val="auto"/>
          <w:sz w:val="24"/>
          <w:highlight w:val="none"/>
        </w:rPr>
        <w:t>提高鸟类对风电机敏感性，在风机的叶片上涂上能吸引鸟类注意力的反射紫外线涂层或鲜艳颜色，如红色、橙色等，提高鸟类的注意力，避免白天鸟类撞击风机。</w:t>
      </w:r>
    </w:p>
    <w:p w14:paraId="27B9A53C">
      <w:pPr>
        <w:adjustRightInd w:val="0"/>
        <w:snapToGrid w:val="0"/>
        <w:spacing w:line="360" w:lineRule="auto"/>
        <w:ind w:firstLine="480" w:firstLineChars="200"/>
        <w:jc w:val="left"/>
        <w:rPr>
          <w:rFonts w:hint="eastAsia" w:eastAsia="宋体"/>
          <w:color w:val="auto"/>
          <w:sz w:val="24"/>
          <w:highlight w:val="none"/>
          <w:lang w:eastAsia="zh-CN"/>
        </w:rPr>
      </w:pPr>
      <w:r>
        <w:rPr>
          <w:rFonts w:hint="eastAsia"/>
          <w:color w:val="auto"/>
          <w:sz w:val="24"/>
          <w:highlight w:val="none"/>
          <w:lang w:eastAsia="zh-CN"/>
        </w:rPr>
        <w:t>④</w:t>
      </w:r>
      <w:r>
        <w:rPr>
          <w:rFonts w:hint="eastAsia"/>
          <w:color w:val="auto"/>
          <w:sz w:val="24"/>
          <w:highlight w:val="none"/>
        </w:rPr>
        <w:t>南冲风电场区有一窄幅候鸟通道，候鸟过境时巡航空域与绝大部分机位不冲突或影响极小；建议NC10</w:t>
      </w:r>
      <w:r>
        <w:rPr>
          <w:rFonts w:hint="eastAsia"/>
          <w:color w:val="auto"/>
          <w:sz w:val="24"/>
          <w:highlight w:val="none"/>
          <w:lang w:eastAsia="zh-CN"/>
        </w:rPr>
        <w:t>机位附近</w:t>
      </w:r>
      <w:r>
        <w:rPr>
          <w:rFonts w:hint="eastAsia"/>
          <w:color w:val="auto"/>
          <w:sz w:val="24"/>
          <w:highlight w:val="none"/>
        </w:rPr>
        <w:t>配备驱鸟设施；并加强巡查观测，如候鸟迁徙高峰期、气象条件差的时段有大群候鸟跨越风电场机位区，立即停机。</w:t>
      </w:r>
    </w:p>
    <w:p w14:paraId="6FBE4C89">
      <w:pPr>
        <w:pStyle w:val="29"/>
        <w:ind w:firstLine="480"/>
        <w:jc w:val="left"/>
        <w:rPr>
          <w:rFonts w:hAnsi="宋体" w:cs="Times New Roman"/>
          <w:color w:val="auto"/>
          <w:highlight w:val="none"/>
        </w:rPr>
      </w:pPr>
      <w:r>
        <w:rPr>
          <w:rFonts w:hAnsi="宋体" w:cs="Times New Roman"/>
          <w:color w:val="auto"/>
          <w:highlight w:val="none"/>
        </w:rPr>
        <w:t>（</w:t>
      </w:r>
      <w:r>
        <w:rPr>
          <w:rFonts w:hint="eastAsia" w:hAnsi="宋体" w:cs="Times New Roman"/>
          <w:color w:val="auto"/>
          <w:highlight w:val="none"/>
          <w:lang w:val="en-US" w:eastAsia="zh-CN"/>
        </w:rPr>
        <w:t>3</w:t>
      </w:r>
      <w:r>
        <w:rPr>
          <w:rFonts w:hAnsi="宋体" w:cs="Times New Roman"/>
          <w:color w:val="auto"/>
          <w:highlight w:val="none"/>
        </w:rPr>
        <w:t>）</w:t>
      </w:r>
      <w:r>
        <w:rPr>
          <w:rFonts w:hint="eastAsia" w:hAnsi="宋体" w:cs="Times New Roman"/>
          <w:color w:val="auto"/>
          <w:highlight w:val="none"/>
        </w:rPr>
        <w:t>运营期管理措施</w:t>
      </w:r>
    </w:p>
    <w:p w14:paraId="6FF0AF1F">
      <w:pPr>
        <w:pStyle w:val="29"/>
        <w:ind w:firstLine="480"/>
        <w:jc w:val="left"/>
        <w:rPr>
          <w:rFonts w:hAnsi="宋体" w:cs="Times New Roman"/>
          <w:color w:val="auto"/>
          <w:highlight w:val="none"/>
        </w:rPr>
      </w:pPr>
      <w:r>
        <w:rPr>
          <w:rFonts w:hint="eastAsia" w:hAnsi="宋体" w:cs="Times New Roman"/>
          <w:color w:val="auto"/>
          <w:highlight w:val="none"/>
        </w:rPr>
        <w:t>运营期应对运营人员进行教育后上岗，普及国家及地方野生动植物保护法律法规，制定风电场内部管理制度，约束运营人员行为，杜绝出现私自砍伐树木、破坏植被林地或猎杀野生动植物的现象。同时，风电场内维修产生的维修废物应集中收集处理，禁止随意扔弃至外环境中。</w:t>
      </w:r>
    </w:p>
    <w:p w14:paraId="546A1185">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营运期废气污染防治措施</w:t>
      </w:r>
    </w:p>
    <w:p w14:paraId="5977FF1B">
      <w:pPr>
        <w:pStyle w:val="29"/>
        <w:ind w:firstLine="480"/>
        <w:rPr>
          <w:rFonts w:hAnsi="宋体" w:cs="Times New Roman"/>
          <w:color w:val="auto"/>
          <w:highlight w:val="none"/>
        </w:rPr>
      </w:pPr>
      <w:r>
        <w:rPr>
          <w:rFonts w:hAnsi="宋体" w:cs="Times New Roman"/>
          <w:color w:val="auto"/>
          <w:highlight w:val="none"/>
        </w:rPr>
        <w:t>本项目运营期职工日常生活所需能源均采用电能，</w:t>
      </w:r>
      <w:r>
        <w:rPr>
          <w:rFonts w:hint="eastAsia" w:hAnsi="宋体" w:cs="Times New Roman"/>
          <w:color w:val="auto"/>
          <w:highlight w:val="none"/>
          <w:lang w:eastAsia="zh-CN"/>
        </w:rPr>
        <w:t>设备检修及巡查从大马一期风电场现有劳动定员中调配，本次不新增劳动定员，不新增食堂油烟，现有</w:t>
      </w:r>
      <w:r>
        <w:rPr>
          <w:rFonts w:hAnsi="宋体" w:cs="Times New Roman"/>
          <w:color w:val="auto"/>
          <w:highlight w:val="none"/>
        </w:rPr>
        <w:t>食堂烹饪过程中产生的油烟，</w:t>
      </w:r>
      <w:r>
        <w:rPr>
          <w:rFonts w:hint="eastAsia" w:hAnsi="宋体" w:cs="Times New Roman"/>
          <w:color w:val="auto"/>
          <w:highlight w:val="none"/>
          <w:lang w:eastAsia="zh-CN"/>
        </w:rPr>
        <w:t>通过大马风电场升压站内</w:t>
      </w:r>
      <w:r>
        <w:rPr>
          <w:rFonts w:hAnsi="宋体" w:cs="Times New Roman"/>
          <w:color w:val="auto"/>
          <w:highlight w:val="none"/>
        </w:rPr>
        <w:t>油烟经油烟净化器处理后引致屋顶达标排放</w:t>
      </w:r>
      <w:r>
        <w:rPr>
          <w:rFonts w:hint="eastAsia" w:hAnsi="宋体" w:cs="Times New Roman"/>
          <w:color w:val="auto"/>
          <w:highlight w:val="none"/>
        </w:rPr>
        <w:t>。</w:t>
      </w:r>
    </w:p>
    <w:p w14:paraId="1727733E">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营运期水污染防治措施</w:t>
      </w:r>
    </w:p>
    <w:p w14:paraId="1DCF00F7">
      <w:pPr>
        <w:pStyle w:val="29"/>
        <w:ind w:firstLine="480"/>
        <w:rPr>
          <w:rFonts w:hAnsi="宋体" w:cs="Times New Roman"/>
          <w:color w:val="auto"/>
          <w:highlight w:val="none"/>
        </w:rPr>
      </w:pPr>
      <w:r>
        <w:rPr>
          <w:rFonts w:hint="eastAsia" w:hAnsi="宋体" w:cs="Times New Roman"/>
          <w:color w:val="auto"/>
          <w:highlight w:val="none"/>
          <w:lang w:eastAsia="zh-CN"/>
        </w:rPr>
        <w:t>本工程营运期不新增生活污水。现有</w:t>
      </w:r>
      <w:r>
        <w:rPr>
          <w:rFonts w:hAnsi="宋体" w:cs="Times New Roman"/>
          <w:color w:val="auto"/>
          <w:highlight w:val="none"/>
        </w:rPr>
        <w:t>升压站</w:t>
      </w:r>
      <w:r>
        <w:rPr>
          <w:rFonts w:hint="eastAsia" w:hAnsi="宋体" w:cs="Times New Roman"/>
          <w:color w:val="auto"/>
          <w:highlight w:val="none"/>
          <w:lang w:eastAsia="zh-CN"/>
        </w:rPr>
        <w:t>已</w:t>
      </w:r>
      <w:r>
        <w:rPr>
          <w:rFonts w:hAnsi="宋体" w:cs="Times New Roman"/>
          <w:color w:val="auto"/>
          <w:highlight w:val="none"/>
        </w:rPr>
        <w:t>配套建设</w:t>
      </w:r>
      <w:r>
        <w:rPr>
          <w:rFonts w:hint="eastAsia" w:hAnsi="宋体" w:cs="Times New Roman"/>
          <w:color w:val="auto"/>
          <w:highlight w:val="none"/>
        </w:rPr>
        <w:t>1套</w:t>
      </w:r>
      <w:r>
        <w:rPr>
          <w:rFonts w:hAnsi="宋体" w:cs="Times New Roman"/>
          <w:color w:val="auto"/>
          <w:highlight w:val="none"/>
        </w:rPr>
        <w:t>一体化污水处理系统</w:t>
      </w:r>
      <w:r>
        <w:rPr>
          <w:rFonts w:hint="eastAsia" w:hAnsi="宋体" w:cs="Times New Roman"/>
          <w:color w:val="auto"/>
          <w:highlight w:val="none"/>
          <w:lang w:eastAsia="zh-CN"/>
        </w:rPr>
        <w:t>处理现有人员的生活污水</w:t>
      </w:r>
      <w:r>
        <w:rPr>
          <w:rFonts w:hAnsi="宋体" w:cs="Times New Roman"/>
          <w:color w:val="auto"/>
          <w:highlight w:val="none"/>
        </w:rPr>
        <w:t>，经处理达标后作为绿化用水，不外排。</w:t>
      </w:r>
    </w:p>
    <w:p w14:paraId="6AE6E84C">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营运期噪声污染防治措施</w:t>
      </w:r>
    </w:p>
    <w:p w14:paraId="52074E60">
      <w:pPr>
        <w:autoSpaceDE w:val="0"/>
        <w:spacing w:line="360" w:lineRule="auto"/>
        <w:ind w:firstLine="480" w:firstLineChars="200"/>
        <w:rPr>
          <w:rFonts w:hAnsi="宋体"/>
          <w:color w:val="auto"/>
          <w:sz w:val="24"/>
          <w:highlight w:val="none"/>
        </w:rPr>
      </w:pPr>
      <w:r>
        <w:rPr>
          <w:rFonts w:hAnsi="宋体"/>
          <w:color w:val="auto"/>
          <w:sz w:val="24"/>
          <w:highlight w:val="none"/>
        </w:rPr>
        <w:t>（1）正常风机噪声控制措施</w:t>
      </w:r>
    </w:p>
    <w:p w14:paraId="51E454E5">
      <w:pPr>
        <w:autoSpaceDE w:val="0"/>
        <w:spacing w:line="360" w:lineRule="auto"/>
        <w:ind w:firstLine="480" w:firstLineChars="200"/>
        <w:rPr>
          <w:rFonts w:hAnsi="宋体"/>
          <w:color w:val="auto"/>
          <w:sz w:val="24"/>
          <w:highlight w:val="none"/>
        </w:rPr>
      </w:pPr>
      <w:r>
        <w:rPr>
          <w:rFonts w:hAnsi="宋体"/>
          <w:color w:val="auto"/>
          <w:sz w:val="24"/>
          <w:highlight w:val="none"/>
        </w:rPr>
        <w:t>风电场运营期，风力发电机组在运转过程中产生的噪声来自于风轮叶片旋转时产生的空气动力噪声和齿轮箱和发电机等部件发出的机械噪声，其中以机组内部的机械噪声为主。为保障风电机组运行对周围环境不产生影响，在机组招标设计时，选择低噪声机组，在风电机组控制系统中设置降噪管理系统，通过改变风轮转速和变桨系统来调整运行状态，进而降低噪声源强；运营期加强对风机的维护，使其处于良好的运行状态，避免风电机组运行对工作人员以及周边环境产生干扰。</w:t>
      </w:r>
    </w:p>
    <w:p w14:paraId="535C5275">
      <w:pPr>
        <w:autoSpaceDE w:val="0"/>
        <w:spacing w:line="360" w:lineRule="auto"/>
        <w:ind w:firstLine="480" w:firstLineChars="200"/>
        <w:rPr>
          <w:rFonts w:hAnsi="宋体"/>
          <w:color w:val="auto"/>
          <w:sz w:val="24"/>
          <w:highlight w:val="none"/>
        </w:rPr>
      </w:pPr>
      <w:r>
        <w:rPr>
          <w:rFonts w:hAnsi="宋体"/>
          <w:color w:val="auto"/>
          <w:sz w:val="24"/>
          <w:highlight w:val="none"/>
        </w:rPr>
        <w:t>（2）偏航系统运行单个风电机组突发噪声防治措施</w:t>
      </w:r>
    </w:p>
    <w:p w14:paraId="59E8A4E2">
      <w:pPr>
        <w:autoSpaceDE w:val="0"/>
        <w:spacing w:line="360" w:lineRule="auto"/>
        <w:ind w:firstLine="480" w:firstLineChars="200"/>
        <w:rPr>
          <w:rFonts w:hAnsi="宋体"/>
          <w:color w:val="auto"/>
          <w:sz w:val="24"/>
          <w:highlight w:val="none"/>
        </w:rPr>
      </w:pPr>
      <w:r>
        <w:rPr>
          <w:rFonts w:hAnsi="宋体"/>
          <w:color w:val="auto"/>
          <w:sz w:val="24"/>
          <w:highlight w:val="none"/>
        </w:rPr>
        <w:t>风电机组在运行过程中应加强偏航系统的维护保养并应尽量避免运行偏航系统，将风电机组对噪声敏感建筑物的影响降低至最小。</w:t>
      </w:r>
    </w:p>
    <w:p w14:paraId="716E2804">
      <w:pPr>
        <w:autoSpaceDE w:val="0"/>
        <w:spacing w:line="360" w:lineRule="auto"/>
        <w:ind w:firstLine="480" w:firstLineChars="200"/>
        <w:rPr>
          <w:rFonts w:hAnsi="宋体"/>
          <w:color w:val="auto"/>
          <w:sz w:val="24"/>
          <w:highlight w:val="none"/>
        </w:rPr>
      </w:pPr>
      <w:r>
        <w:rPr>
          <w:rFonts w:hAnsi="宋体"/>
          <w:color w:val="auto"/>
          <w:sz w:val="24"/>
          <w:highlight w:val="none"/>
        </w:rPr>
        <w:t>（3）噪声控制措施</w:t>
      </w:r>
    </w:p>
    <w:p w14:paraId="786F189A">
      <w:pPr>
        <w:autoSpaceDE w:val="0"/>
        <w:spacing w:line="360" w:lineRule="auto"/>
        <w:ind w:firstLine="480" w:firstLineChars="200"/>
        <w:rPr>
          <w:rFonts w:eastAsia="宋体"/>
          <w:color w:val="auto"/>
          <w:sz w:val="24"/>
          <w:highlight w:val="none"/>
          <w:u w:val="none"/>
        </w:rPr>
      </w:pPr>
      <w:r>
        <w:rPr>
          <w:rFonts w:hint="eastAsia" w:hAnsi="宋体"/>
          <w:color w:val="auto"/>
          <w:sz w:val="24"/>
          <w:highlight w:val="none"/>
          <w:u w:val="none"/>
          <w:lang w:eastAsia="zh-CN"/>
        </w:rPr>
        <w:t>根据</w:t>
      </w:r>
      <w:r>
        <w:rPr>
          <w:rFonts w:hAnsi="宋体"/>
          <w:color w:val="auto"/>
          <w:sz w:val="24"/>
          <w:highlight w:val="none"/>
          <w:u w:val="none"/>
        </w:rPr>
        <w:t>本项目风机单机容量及噪声预测结果情况，</w:t>
      </w:r>
      <w:r>
        <w:rPr>
          <w:color w:val="auto"/>
          <w:sz w:val="24"/>
          <w:highlight w:val="none"/>
          <w:u w:val="none"/>
        </w:rPr>
        <w:t>环评建议以风电机组</w:t>
      </w:r>
      <w:r>
        <w:rPr>
          <w:rFonts w:hint="eastAsia"/>
          <w:color w:val="auto"/>
          <w:sz w:val="24"/>
          <w:highlight w:val="none"/>
          <w:u w:val="none"/>
          <w:lang w:eastAsia="zh-CN"/>
        </w:rPr>
        <w:t>基座</w:t>
      </w:r>
      <w:r>
        <w:rPr>
          <w:color w:val="auto"/>
          <w:sz w:val="24"/>
          <w:highlight w:val="none"/>
          <w:u w:val="none"/>
        </w:rPr>
        <w:t>外延</w:t>
      </w:r>
      <w:r>
        <w:rPr>
          <w:rFonts w:hint="eastAsia"/>
          <w:color w:val="auto"/>
          <w:sz w:val="24"/>
          <w:highlight w:val="none"/>
          <w:u w:val="none"/>
          <w:lang w:val="en-US" w:eastAsia="zh-CN"/>
        </w:rPr>
        <w:t>34</w:t>
      </w:r>
      <w:r>
        <w:rPr>
          <w:color w:val="auto"/>
          <w:sz w:val="24"/>
          <w:highlight w:val="none"/>
          <w:u w:val="none"/>
        </w:rPr>
        <w:t>0m范围</w:t>
      </w:r>
      <w:r>
        <w:rPr>
          <w:rFonts w:hint="eastAsia"/>
          <w:color w:val="auto"/>
          <w:sz w:val="24"/>
          <w:highlight w:val="none"/>
          <w:u w:val="none"/>
        </w:rPr>
        <w:t>内</w:t>
      </w:r>
      <w:r>
        <w:rPr>
          <w:color w:val="auto"/>
          <w:sz w:val="24"/>
          <w:highlight w:val="none"/>
          <w:u w:val="none"/>
        </w:rPr>
        <w:t>的区域为噪声影响控制区，在该区域范围内，不得新建居民住宅、学校、医院等噪声敏感建筑物</w:t>
      </w:r>
      <w:r>
        <w:rPr>
          <w:rFonts w:eastAsia="宋体"/>
          <w:color w:val="auto"/>
          <w:sz w:val="24"/>
          <w:highlight w:val="none"/>
          <w:u w:val="none"/>
        </w:rPr>
        <w:t>。</w:t>
      </w:r>
    </w:p>
    <w:p w14:paraId="44EFDA25">
      <w:pPr>
        <w:autoSpaceDE w:val="0"/>
        <w:spacing w:line="360" w:lineRule="auto"/>
        <w:ind w:firstLine="480" w:firstLineChars="200"/>
        <w:rPr>
          <w:rFonts w:hAnsi="宋体"/>
          <w:color w:val="auto"/>
          <w:sz w:val="24"/>
          <w:highlight w:val="none"/>
          <w:u w:val="none"/>
        </w:rPr>
      </w:pPr>
      <w:r>
        <w:rPr>
          <w:rFonts w:hint="eastAsia" w:hAnsi="宋体"/>
          <w:color w:val="auto"/>
          <w:sz w:val="24"/>
          <w:highlight w:val="none"/>
          <w:u w:val="none"/>
        </w:rPr>
        <w:t>为保障风电机组运行期不对周围声环境敏感目标产生不利影响，运行期需加强对风电机组的维护，定期检修风机转动连接处，使其处于良好的运行状态。</w:t>
      </w:r>
    </w:p>
    <w:p w14:paraId="6CB18CF1">
      <w:pPr>
        <w:autoSpaceDE w:val="0"/>
        <w:spacing w:line="360" w:lineRule="auto"/>
        <w:ind w:firstLine="480" w:firstLineChars="200"/>
        <w:rPr>
          <w:rFonts w:hAnsi="宋体"/>
          <w:color w:val="auto"/>
          <w:sz w:val="24"/>
          <w:highlight w:val="none"/>
          <w:u w:val="none"/>
        </w:rPr>
      </w:pPr>
      <w:r>
        <w:rPr>
          <w:rFonts w:hint="eastAsia" w:hAnsi="宋体"/>
          <w:color w:val="auto"/>
          <w:sz w:val="24"/>
          <w:highlight w:val="none"/>
          <w:u w:val="none"/>
        </w:rPr>
        <w:t>风机运行过程中应加强偏航系统的维护保养，并应尽量避免运行偏航系统，将风电机组对噪声敏感建筑物的影响降低至最小。</w:t>
      </w:r>
    </w:p>
    <w:p w14:paraId="2ED94E4D">
      <w:pPr>
        <w:autoSpaceDE w:val="0"/>
        <w:spacing w:line="360" w:lineRule="auto"/>
        <w:ind w:firstLine="480" w:firstLineChars="200"/>
        <w:rPr>
          <w:rFonts w:hAnsi="宋体"/>
          <w:color w:val="auto"/>
          <w:sz w:val="24"/>
          <w:highlight w:val="none"/>
        </w:rPr>
      </w:pPr>
      <w:r>
        <w:rPr>
          <w:rFonts w:hint="eastAsia" w:hAnsi="宋体"/>
          <w:color w:val="auto"/>
          <w:sz w:val="24"/>
          <w:highlight w:val="none"/>
        </w:rPr>
        <w:t>同时本项目应加强对敏感点的噪声跟踪监测，并预留资金，一旦出现敏感点噪声超标情况，立即进行噪声防治措施改进。</w:t>
      </w:r>
    </w:p>
    <w:p w14:paraId="3C14A117">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营运期固废污染防治措施</w:t>
      </w:r>
    </w:p>
    <w:p w14:paraId="4CC3284F">
      <w:pPr>
        <w:pStyle w:val="29"/>
        <w:ind w:firstLine="480"/>
        <w:rPr>
          <w:rFonts w:hAnsi="宋体" w:cs="Times New Roman"/>
          <w:color w:val="auto"/>
          <w:highlight w:val="none"/>
        </w:rPr>
      </w:pPr>
      <w:r>
        <w:rPr>
          <w:rFonts w:hAnsi="宋体" w:cs="Times New Roman"/>
          <w:color w:val="auto"/>
          <w:highlight w:val="none"/>
        </w:rPr>
        <w:t>运营期产生的生活垃圾收集清运后，纳入当地生活垃圾中转系统处理。</w:t>
      </w:r>
    </w:p>
    <w:p w14:paraId="514BA936">
      <w:pPr>
        <w:pStyle w:val="29"/>
        <w:ind w:firstLine="480"/>
        <w:rPr>
          <w:rFonts w:hAnsi="宋体" w:cs="Times New Roman"/>
          <w:color w:val="auto"/>
          <w:highlight w:val="none"/>
          <w:u w:val="none"/>
        </w:rPr>
      </w:pPr>
      <w:r>
        <w:rPr>
          <w:rFonts w:hAnsi="宋体" w:cs="Times New Roman"/>
          <w:color w:val="auto"/>
          <w:highlight w:val="none"/>
          <w:u w:val="none"/>
        </w:rPr>
        <w:t>运营期产生的危险废物包括</w:t>
      </w:r>
      <w:r>
        <w:rPr>
          <w:rFonts w:hint="eastAsia" w:hAnsi="宋体" w:cs="Times New Roman"/>
          <w:color w:val="auto"/>
          <w:highlight w:val="none"/>
          <w:u w:val="none"/>
          <w:lang w:eastAsia="zh-CN"/>
        </w:rPr>
        <w:t>废机油、废液压油</w:t>
      </w:r>
      <w:r>
        <w:rPr>
          <w:rFonts w:hAnsi="宋体" w:cs="Times New Roman"/>
          <w:color w:val="auto"/>
          <w:highlight w:val="none"/>
          <w:u w:val="none"/>
        </w:rPr>
        <w:t>、废</w:t>
      </w:r>
      <w:r>
        <w:rPr>
          <w:rFonts w:hint="eastAsia" w:hAnsi="宋体" w:cs="Times New Roman"/>
          <w:color w:val="auto"/>
          <w:highlight w:val="none"/>
          <w:u w:val="none"/>
          <w:lang w:eastAsia="zh-CN"/>
        </w:rPr>
        <w:t>铅蓄电池</w:t>
      </w:r>
      <w:r>
        <w:rPr>
          <w:rFonts w:hAnsi="宋体" w:cs="Times New Roman"/>
          <w:color w:val="auto"/>
          <w:highlight w:val="none"/>
          <w:u w:val="none"/>
        </w:rPr>
        <w:t>等，须设置危废暂存间</w:t>
      </w:r>
      <w:r>
        <w:rPr>
          <w:rFonts w:hint="eastAsia" w:hAnsi="宋体" w:cs="Times New Roman"/>
          <w:color w:val="auto"/>
          <w:highlight w:val="none"/>
          <w:u w:val="none"/>
        </w:rPr>
        <w:t>，</w:t>
      </w:r>
      <w:r>
        <w:rPr>
          <w:rFonts w:hAnsi="宋体" w:cs="Times New Roman"/>
          <w:color w:val="auto"/>
          <w:highlight w:val="none"/>
          <w:u w:val="none"/>
        </w:rPr>
        <w:t>运营期更换的废油经密封储存罐收集后存于危废暂存间，定期送厂家回收或由具有危险废物处理资质的单位处置。</w:t>
      </w:r>
    </w:p>
    <w:p w14:paraId="1A3B2F30">
      <w:pPr>
        <w:pStyle w:val="29"/>
        <w:ind w:firstLine="480"/>
        <w:rPr>
          <w:rFonts w:hint="default" w:hAnsi="宋体" w:eastAsia="宋体" w:cs="Times New Roman"/>
          <w:color w:val="auto"/>
          <w:highlight w:val="none"/>
          <w:u w:val="none"/>
          <w:lang w:val="en-US" w:eastAsia="zh-CN"/>
        </w:rPr>
      </w:pPr>
      <w:r>
        <w:rPr>
          <w:rFonts w:hint="eastAsia" w:hAnsi="宋体" w:cs="Times New Roman"/>
          <w:color w:val="auto"/>
          <w:highlight w:val="none"/>
          <w:u w:val="none"/>
          <w:lang w:eastAsia="zh-CN"/>
        </w:rPr>
        <w:t>本工程依托大马一期风电场设置在升压站内的危废暂存间，暂存间面积约</w:t>
      </w:r>
      <w:r>
        <w:rPr>
          <w:rFonts w:hint="eastAsia" w:hAnsi="宋体" w:cs="Times New Roman"/>
          <w:color w:val="auto"/>
          <w:highlight w:val="none"/>
          <w:u w:val="none"/>
          <w:lang w:val="en-US" w:eastAsia="zh-CN"/>
        </w:rPr>
        <w:t>10m</w:t>
      </w:r>
      <w:r>
        <w:rPr>
          <w:rFonts w:hint="eastAsia" w:hAnsi="宋体" w:cs="Times New Roman"/>
          <w:color w:val="auto"/>
          <w:highlight w:val="none"/>
          <w:u w:val="none"/>
          <w:vertAlign w:val="superscript"/>
          <w:lang w:val="en-US" w:eastAsia="zh-CN"/>
        </w:rPr>
        <w:t>2</w:t>
      </w:r>
      <w:r>
        <w:rPr>
          <w:rFonts w:hint="eastAsia" w:hAnsi="宋体" w:cs="Times New Roman"/>
          <w:color w:val="auto"/>
          <w:highlight w:val="none"/>
          <w:u w:val="none"/>
          <w:lang w:val="en-US" w:eastAsia="zh-CN"/>
        </w:rPr>
        <w:t>，目前未暂存危险废物，容积能满足暂存要求。</w:t>
      </w:r>
    </w:p>
    <w:p w14:paraId="35C237FD">
      <w:pPr>
        <w:pStyle w:val="29"/>
        <w:ind w:firstLine="480"/>
        <w:rPr>
          <w:rFonts w:hAnsi="宋体" w:cs="Times New Roman"/>
          <w:color w:val="auto"/>
          <w:highlight w:val="none"/>
          <w:u w:val="none"/>
        </w:rPr>
      </w:pPr>
      <w:r>
        <w:rPr>
          <w:rFonts w:hAnsi="宋体" w:cs="Times New Roman"/>
          <w:color w:val="auto"/>
          <w:highlight w:val="none"/>
          <w:u w:val="none"/>
        </w:rPr>
        <w:t>根据《危险废物贮存污染控制标准》（GB18597-20</w:t>
      </w:r>
      <w:r>
        <w:rPr>
          <w:rFonts w:hint="eastAsia" w:hAnsi="宋体" w:cs="Times New Roman"/>
          <w:color w:val="auto"/>
          <w:highlight w:val="none"/>
          <w:u w:val="none"/>
          <w:lang w:val="en-US" w:eastAsia="zh-CN"/>
        </w:rPr>
        <w:t>23</w:t>
      </w:r>
      <w:r>
        <w:rPr>
          <w:rFonts w:hAnsi="宋体" w:cs="Times New Roman"/>
          <w:color w:val="auto"/>
          <w:highlight w:val="none"/>
          <w:u w:val="none"/>
        </w:rPr>
        <w:t>）的相关要求，项目危废的收集、暂存、运输需满足以下：</w:t>
      </w:r>
    </w:p>
    <w:p w14:paraId="1AFA9EB0">
      <w:pPr>
        <w:pStyle w:val="29"/>
        <w:ind w:firstLine="480"/>
        <w:rPr>
          <w:rFonts w:hAnsi="宋体" w:cs="Times New Roman"/>
          <w:color w:val="auto"/>
          <w:highlight w:val="none"/>
          <w:u w:val="none"/>
        </w:rPr>
      </w:pPr>
      <w:r>
        <w:rPr>
          <w:rFonts w:hint="eastAsia" w:hAnsi="宋体" w:cs="Times New Roman"/>
          <w:color w:val="auto"/>
          <w:highlight w:val="none"/>
          <w:u w:val="none"/>
          <w:lang w:val="en-US" w:eastAsia="zh-CN"/>
        </w:rPr>
        <w:t>1</w:t>
      </w:r>
      <w:r>
        <w:rPr>
          <w:rFonts w:hAnsi="宋体" w:cs="Times New Roman"/>
          <w:color w:val="auto"/>
          <w:highlight w:val="none"/>
          <w:u w:val="none"/>
        </w:rPr>
        <w:t>、危险废物的收集包装：</w:t>
      </w:r>
    </w:p>
    <w:p w14:paraId="73A8C1BB">
      <w:pPr>
        <w:pStyle w:val="29"/>
        <w:ind w:firstLine="480"/>
        <w:rPr>
          <w:rFonts w:hAnsi="宋体" w:cs="Times New Roman"/>
          <w:color w:val="auto"/>
          <w:highlight w:val="none"/>
          <w:u w:val="none"/>
        </w:rPr>
      </w:pPr>
      <w:r>
        <w:rPr>
          <w:rFonts w:hint="eastAsia" w:hAnsi="宋体" w:cs="Times New Roman"/>
          <w:color w:val="auto"/>
          <w:highlight w:val="none"/>
          <w:u w:val="none"/>
          <w:lang w:eastAsia="zh-CN"/>
        </w:rPr>
        <w:t>①</w:t>
      </w:r>
      <w:r>
        <w:rPr>
          <w:rFonts w:hAnsi="宋体" w:cs="Times New Roman"/>
          <w:color w:val="auto"/>
          <w:highlight w:val="none"/>
          <w:u w:val="none"/>
        </w:rPr>
        <w:t>有符合要求的包装容器、收集人员的个人防护设备。</w:t>
      </w:r>
    </w:p>
    <w:p w14:paraId="6C063FD7">
      <w:pPr>
        <w:pStyle w:val="29"/>
        <w:ind w:firstLine="480"/>
        <w:rPr>
          <w:rFonts w:hAnsi="宋体" w:cs="Times New Roman"/>
          <w:color w:val="auto"/>
          <w:highlight w:val="none"/>
          <w:u w:val="none"/>
        </w:rPr>
      </w:pPr>
      <w:r>
        <w:rPr>
          <w:rFonts w:hint="eastAsia" w:hAnsi="宋体" w:cs="Times New Roman"/>
          <w:color w:val="auto"/>
          <w:highlight w:val="none"/>
          <w:u w:val="none"/>
          <w:lang w:eastAsia="zh-CN"/>
        </w:rPr>
        <w:t>②</w:t>
      </w:r>
      <w:r>
        <w:rPr>
          <w:rFonts w:hAnsi="宋体" w:cs="Times New Roman"/>
          <w:color w:val="auto"/>
          <w:highlight w:val="none"/>
          <w:u w:val="none"/>
        </w:rPr>
        <w:t>危险废物的收集容器应在醒目位置贴有危险废物标签，在收集场所醒目的地方设置危险废物警告标识。</w:t>
      </w:r>
    </w:p>
    <w:p w14:paraId="16C4829B">
      <w:pPr>
        <w:pStyle w:val="29"/>
        <w:ind w:firstLine="480"/>
        <w:rPr>
          <w:rFonts w:hAnsi="宋体" w:cs="Times New Roman"/>
          <w:color w:val="auto"/>
          <w:highlight w:val="none"/>
          <w:u w:val="none"/>
        </w:rPr>
      </w:pPr>
      <w:r>
        <w:rPr>
          <w:rFonts w:hint="eastAsia" w:hAnsi="宋体" w:cs="Times New Roman"/>
          <w:color w:val="auto"/>
          <w:highlight w:val="none"/>
          <w:u w:val="none"/>
          <w:lang w:eastAsia="zh-CN"/>
        </w:rPr>
        <w:t>③</w:t>
      </w:r>
      <w:r>
        <w:rPr>
          <w:rFonts w:hAnsi="宋体" w:cs="Times New Roman"/>
          <w:color w:val="auto"/>
          <w:highlight w:val="none"/>
          <w:u w:val="none"/>
        </w:rPr>
        <w:t>危险废物标签应标明以下信息：主要化学成分或危险废物名称、数量、物理形态、危险类别、安全措施以及危险废物产生单位名称、地址、联系人及电话。</w:t>
      </w:r>
    </w:p>
    <w:p w14:paraId="78F394A1">
      <w:pPr>
        <w:pStyle w:val="29"/>
        <w:ind w:firstLine="480"/>
        <w:rPr>
          <w:rFonts w:hAnsi="宋体" w:cs="Times New Roman"/>
          <w:color w:val="auto"/>
          <w:highlight w:val="none"/>
          <w:u w:val="none"/>
        </w:rPr>
      </w:pPr>
      <w:r>
        <w:rPr>
          <w:rFonts w:hint="eastAsia" w:hAnsi="宋体" w:cs="Times New Roman"/>
          <w:color w:val="auto"/>
          <w:highlight w:val="none"/>
          <w:u w:val="none"/>
          <w:lang w:val="en-US" w:eastAsia="zh-CN"/>
        </w:rPr>
        <w:t>2、</w:t>
      </w:r>
      <w:r>
        <w:rPr>
          <w:rFonts w:hAnsi="宋体" w:cs="Times New Roman"/>
          <w:color w:val="auto"/>
          <w:highlight w:val="none"/>
          <w:u w:val="none"/>
        </w:rPr>
        <w:t>危险废物的暂存要求：</w:t>
      </w:r>
    </w:p>
    <w:p w14:paraId="2F878AC9">
      <w:pPr>
        <w:pStyle w:val="29"/>
        <w:ind w:firstLine="480"/>
        <w:rPr>
          <w:rFonts w:hAnsi="宋体" w:cs="Times New Roman"/>
          <w:color w:val="auto"/>
          <w:highlight w:val="none"/>
          <w:u w:val="none"/>
        </w:rPr>
      </w:pPr>
      <w:r>
        <w:rPr>
          <w:rFonts w:hAnsi="宋体" w:cs="Times New Roman"/>
          <w:color w:val="auto"/>
          <w:highlight w:val="none"/>
          <w:u w:val="none"/>
        </w:rPr>
        <w:t>危险废物堆放场所应满足GB18597-20</w:t>
      </w:r>
      <w:r>
        <w:rPr>
          <w:rFonts w:hint="eastAsia" w:hAnsi="宋体" w:cs="Times New Roman"/>
          <w:color w:val="auto"/>
          <w:highlight w:val="none"/>
          <w:u w:val="none"/>
          <w:lang w:val="en-US" w:eastAsia="zh-CN"/>
        </w:rPr>
        <w:t>23</w:t>
      </w:r>
      <w:r>
        <w:rPr>
          <w:rFonts w:hAnsi="宋体" w:cs="Times New Roman"/>
          <w:color w:val="auto"/>
          <w:highlight w:val="none"/>
          <w:u w:val="none"/>
        </w:rPr>
        <w:t>《危险废物贮存污染控制标准》中的有关规定：</w:t>
      </w:r>
    </w:p>
    <w:p w14:paraId="0DEC9167">
      <w:pPr>
        <w:pStyle w:val="29"/>
        <w:ind w:firstLine="480"/>
        <w:rPr>
          <w:rFonts w:hAnsi="宋体" w:cs="Times New Roman"/>
          <w:color w:val="auto"/>
          <w:highlight w:val="none"/>
          <w:u w:val="none"/>
        </w:rPr>
      </w:pPr>
      <w:r>
        <w:rPr>
          <w:rFonts w:hint="eastAsia" w:hAnsi="宋体" w:cs="Times New Roman"/>
          <w:color w:val="auto"/>
          <w:highlight w:val="none"/>
          <w:u w:val="none"/>
          <w:lang w:eastAsia="zh-CN"/>
        </w:rPr>
        <w:t>①</w:t>
      </w:r>
      <w:r>
        <w:rPr>
          <w:rFonts w:hAnsi="宋体" w:cs="Times New Roman"/>
          <w:color w:val="auto"/>
          <w:highlight w:val="none"/>
          <w:u w:val="none"/>
        </w:rPr>
        <w:t>按GB15562.2《环境保护图形标识—固体废物贮存（处置）场》</w:t>
      </w:r>
      <w:r>
        <w:rPr>
          <w:rFonts w:hint="eastAsia" w:hAnsi="宋体" w:cs="Times New Roman"/>
          <w:color w:val="auto"/>
          <w:highlight w:val="none"/>
          <w:u w:val="none"/>
          <w:lang w:eastAsia="zh-CN"/>
        </w:rPr>
        <w:t>（</w:t>
      </w:r>
      <w:r>
        <w:rPr>
          <w:rFonts w:hint="eastAsia" w:hAnsi="宋体" w:cs="Times New Roman"/>
          <w:color w:val="auto"/>
          <w:highlight w:val="none"/>
          <w:u w:val="none"/>
          <w:lang w:val="en-US" w:eastAsia="zh-CN"/>
        </w:rPr>
        <w:t>2023年修改单</w:t>
      </w:r>
      <w:r>
        <w:rPr>
          <w:rFonts w:hint="eastAsia" w:hAnsi="宋体" w:cs="Times New Roman"/>
          <w:color w:val="auto"/>
          <w:highlight w:val="none"/>
          <w:u w:val="none"/>
          <w:lang w:eastAsia="zh-CN"/>
        </w:rPr>
        <w:t>）</w:t>
      </w:r>
      <w:r>
        <w:rPr>
          <w:rFonts w:hAnsi="宋体" w:cs="Times New Roman"/>
          <w:color w:val="auto"/>
          <w:highlight w:val="none"/>
          <w:u w:val="none"/>
        </w:rPr>
        <w:t>设置警示标志。</w:t>
      </w:r>
    </w:p>
    <w:p w14:paraId="7F2BB194">
      <w:pPr>
        <w:pStyle w:val="29"/>
        <w:ind w:firstLine="480"/>
        <w:rPr>
          <w:rFonts w:hAnsi="宋体" w:cs="Times New Roman"/>
          <w:color w:val="auto"/>
          <w:highlight w:val="none"/>
          <w:u w:val="none"/>
        </w:rPr>
      </w:pPr>
      <w:r>
        <w:rPr>
          <w:rFonts w:hint="eastAsia" w:hAnsi="宋体" w:cs="Times New Roman"/>
          <w:color w:val="auto"/>
          <w:highlight w:val="none"/>
          <w:u w:val="none"/>
          <w:lang w:eastAsia="zh-CN"/>
        </w:rPr>
        <w:t>②</w:t>
      </w:r>
      <w:r>
        <w:rPr>
          <w:rFonts w:hAnsi="宋体" w:cs="Times New Roman"/>
          <w:color w:val="auto"/>
          <w:highlight w:val="none"/>
          <w:u w:val="none"/>
        </w:rPr>
        <w:t>必须有耐腐蚀的硬化地面和基础防渗层，地面无裂隙；设施底部必须高于地下水最高水位。</w:t>
      </w:r>
    </w:p>
    <w:p w14:paraId="42CD0F0E">
      <w:pPr>
        <w:pStyle w:val="29"/>
        <w:ind w:firstLine="480"/>
        <w:rPr>
          <w:rFonts w:hAnsi="宋体" w:cs="Times New Roman"/>
          <w:color w:val="auto"/>
          <w:highlight w:val="none"/>
          <w:u w:val="none"/>
        </w:rPr>
      </w:pPr>
      <w:r>
        <w:rPr>
          <w:rFonts w:hint="eastAsia" w:hAnsi="宋体" w:cs="Times New Roman"/>
          <w:color w:val="auto"/>
          <w:highlight w:val="none"/>
          <w:u w:val="none"/>
          <w:lang w:eastAsia="zh-CN"/>
        </w:rPr>
        <w:t>③</w:t>
      </w:r>
      <w:r>
        <w:rPr>
          <w:rFonts w:hAnsi="宋体" w:cs="Times New Roman"/>
          <w:color w:val="auto"/>
          <w:highlight w:val="none"/>
          <w:u w:val="none"/>
        </w:rPr>
        <w:t>要求有必要的防风、防雨、防晒措施。</w:t>
      </w:r>
    </w:p>
    <w:p w14:paraId="49A7AC94">
      <w:pPr>
        <w:pStyle w:val="29"/>
        <w:ind w:firstLine="480"/>
        <w:rPr>
          <w:rFonts w:hAnsi="宋体" w:cs="Times New Roman"/>
          <w:color w:val="auto"/>
          <w:highlight w:val="none"/>
          <w:u w:val="none"/>
        </w:rPr>
      </w:pPr>
      <w:r>
        <w:rPr>
          <w:rFonts w:hint="eastAsia" w:hAnsi="宋体" w:cs="Times New Roman"/>
          <w:color w:val="auto"/>
          <w:highlight w:val="none"/>
          <w:u w:val="none"/>
          <w:lang w:eastAsia="zh-CN"/>
        </w:rPr>
        <w:t>④</w:t>
      </w:r>
      <w:r>
        <w:rPr>
          <w:rFonts w:hAnsi="宋体" w:cs="Times New Roman"/>
          <w:color w:val="auto"/>
          <w:highlight w:val="none"/>
          <w:u w:val="none"/>
        </w:rPr>
        <w:t>要有隔离设施或其它防护栅栏。</w:t>
      </w:r>
    </w:p>
    <w:p w14:paraId="7D4F8E58">
      <w:pPr>
        <w:pStyle w:val="29"/>
        <w:ind w:firstLine="480"/>
        <w:rPr>
          <w:rFonts w:hAnsi="宋体" w:cs="Times New Roman"/>
          <w:color w:val="auto"/>
          <w:highlight w:val="none"/>
          <w:u w:val="none"/>
        </w:rPr>
      </w:pPr>
      <w:r>
        <w:rPr>
          <w:rFonts w:hint="eastAsia" w:hAnsi="宋体" w:cs="Times New Roman"/>
          <w:color w:val="auto"/>
          <w:highlight w:val="none"/>
          <w:u w:val="none"/>
          <w:lang w:eastAsia="zh-CN"/>
        </w:rPr>
        <w:t>⑤</w:t>
      </w:r>
      <w:r>
        <w:rPr>
          <w:rFonts w:hAnsi="宋体" w:cs="Times New Roman"/>
          <w:color w:val="auto"/>
          <w:highlight w:val="none"/>
          <w:u w:val="none"/>
        </w:rPr>
        <w:t>配备通讯设备、照明设施、安全防护服装，设有报警装置和应急防护设施。</w:t>
      </w:r>
    </w:p>
    <w:p w14:paraId="223A175D">
      <w:pPr>
        <w:pStyle w:val="29"/>
        <w:ind w:firstLine="480"/>
        <w:rPr>
          <w:rFonts w:hAnsi="宋体" w:cs="Times New Roman"/>
          <w:color w:val="auto"/>
          <w:highlight w:val="none"/>
          <w:u w:val="none"/>
        </w:rPr>
      </w:pPr>
      <w:r>
        <w:rPr>
          <w:rFonts w:hint="eastAsia" w:hAnsi="宋体" w:cs="Times New Roman"/>
          <w:color w:val="auto"/>
          <w:highlight w:val="none"/>
          <w:u w:val="none"/>
          <w:lang w:eastAsia="zh-CN"/>
        </w:rPr>
        <w:t>⑥</w:t>
      </w:r>
      <w:r>
        <w:rPr>
          <w:rFonts w:hAnsi="宋体" w:cs="Times New Roman"/>
          <w:color w:val="auto"/>
          <w:highlight w:val="none"/>
          <w:u w:val="none"/>
        </w:rPr>
        <w:t>危险废物必须装入容器内，禁止将不相容的危险废物在同一容器内混装。无法装入常用容器的危险废物可用防漏胶袋等盛装。盛装危险废物的容器上必须粘贴符合危险废物不同类别的标签。</w:t>
      </w:r>
    </w:p>
    <w:p w14:paraId="79BE6E8D">
      <w:pPr>
        <w:pStyle w:val="29"/>
        <w:ind w:firstLine="480"/>
        <w:rPr>
          <w:rFonts w:hAnsi="宋体" w:cs="Times New Roman"/>
          <w:color w:val="auto"/>
          <w:highlight w:val="none"/>
          <w:u w:val="none"/>
        </w:rPr>
      </w:pPr>
      <w:r>
        <w:rPr>
          <w:rFonts w:hint="eastAsia" w:hAnsi="宋体" w:cs="Times New Roman"/>
          <w:color w:val="auto"/>
          <w:highlight w:val="none"/>
          <w:u w:val="none"/>
          <w:lang w:eastAsia="zh-CN"/>
        </w:rPr>
        <w:t>⑦</w:t>
      </w:r>
      <w:r>
        <w:rPr>
          <w:rFonts w:hAnsi="宋体" w:cs="Times New Roman"/>
          <w:color w:val="auto"/>
          <w:highlight w:val="none"/>
          <w:u w:val="none"/>
        </w:rPr>
        <w:t>本项目单位应做好危险废物产生情况的记录，建立台账系统，记录上须注明危险废物的名称、来源、数量、特性和包装容器的类别，入库日期，存放库位，废物出库日期及接收单位名称。危险废物的记录和货单在危险废物回取后应继续保留3年。</w:t>
      </w:r>
    </w:p>
    <w:p w14:paraId="4EDD2605">
      <w:pPr>
        <w:pStyle w:val="29"/>
        <w:ind w:firstLine="480"/>
        <w:rPr>
          <w:rFonts w:hAnsi="宋体" w:cs="Times New Roman"/>
          <w:color w:val="auto"/>
          <w:highlight w:val="none"/>
          <w:u w:val="none"/>
        </w:rPr>
      </w:pPr>
      <w:r>
        <w:rPr>
          <w:rFonts w:hint="eastAsia" w:hAnsi="宋体" w:cs="Times New Roman"/>
          <w:color w:val="auto"/>
          <w:highlight w:val="none"/>
          <w:u w:val="none"/>
          <w:lang w:val="en-US" w:eastAsia="zh-CN"/>
        </w:rPr>
        <w:t>3、</w:t>
      </w:r>
      <w:r>
        <w:rPr>
          <w:rFonts w:hAnsi="宋体" w:cs="Times New Roman"/>
          <w:color w:val="auto"/>
          <w:highlight w:val="none"/>
          <w:u w:val="none"/>
        </w:rPr>
        <w:t>危险废物内部转运作业应满足如下要求：</w:t>
      </w:r>
    </w:p>
    <w:p w14:paraId="6FD302C5">
      <w:pPr>
        <w:pStyle w:val="29"/>
        <w:ind w:firstLine="480"/>
        <w:rPr>
          <w:rFonts w:hAnsi="宋体" w:cs="Times New Roman"/>
          <w:color w:val="auto"/>
          <w:highlight w:val="none"/>
          <w:u w:val="none"/>
        </w:rPr>
      </w:pPr>
      <w:r>
        <w:rPr>
          <w:rFonts w:hint="eastAsia" w:hAnsi="宋体" w:cs="Times New Roman"/>
          <w:color w:val="auto"/>
          <w:highlight w:val="none"/>
          <w:u w:val="none"/>
          <w:lang w:eastAsia="zh-CN"/>
        </w:rPr>
        <w:t>①</w:t>
      </w:r>
      <w:r>
        <w:rPr>
          <w:rFonts w:hAnsi="宋体" w:cs="Times New Roman"/>
          <w:color w:val="auto"/>
          <w:highlight w:val="none"/>
          <w:u w:val="none"/>
        </w:rPr>
        <w:t>危险废物内部转运应综合考虑</w:t>
      </w:r>
      <w:r>
        <w:rPr>
          <w:rFonts w:hint="eastAsia" w:hAnsi="宋体" w:cs="Times New Roman"/>
          <w:color w:val="auto"/>
          <w:highlight w:val="none"/>
          <w:u w:val="none"/>
        </w:rPr>
        <w:t>升压站</w:t>
      </w:r>
      <w:r>
        <w:rPr>
          <w:rFonts w:hAnsi="宋体" w:cs="Times New Roman"/>
          <w:color w:val="auto"/>
          <w:highlight w:val="none"/>
          <w:u w:val="none"/>
        </w:rPr>
        <w:t>的实际情况确定转运路线，尽量避开办公区和生活区。</w:t>
      </w:r>
    </w:p>
    <w:p w14:paraId="5779DD1C">
      <w:pPr>
        <w:pStyle w:val="29"/>
        <w:ind w:firstLine="480"/>
        <w:rPr>
          <w:rFonts w:hAnsi="宋体" w:cs="Times New Roman"/>
          <w:color w:val="auto"/>
          <w:highlight w:val="none"/>
          <w:u w:val="none"/>
        </w:rPr>
      </w:pPr>
      <w:r>
        <w:rPr>
          <w:rFonts w:hint="eastAsia" w:hAnsi="宋体" w:cs="Times New Roman"/>
          <w:color w:val="auto"/>
          <w:highlight w:val="none"/>
          <w:u w:val="none"/>
          <w:lang w:eastAsia="zh-CN"/>
        </w:rPr>
        <w:t>②</w:t>
      </w:r>
      <w:r>
        <w:rPr>
          <w:rFonts w:hAnsi="宋体" w:cs="Times New Roman"/>
          <w:color w:val="auto"/>
          <w:highlight w:val="none"/>
          <w:u w:val="none"/>
        </w:rPr>
        <w:t>危险废物内部转运作业应采用专用的工具，危险废物内部转运应填写《危险废物场内转运记录表》。</w:t>
      </w:r>
    </w:p>
    <w:p w14:paraId="1DC2D5AE">
      <w:pPr>
        <w:pStyle w:val="29"/>
        <w:ind w:firstLine="480"/>
        <w:rPr>
          <w:rFonts w:hAnsi="宋体" w:cs="Times New Roman"/>
          <w:color w:val="auto"/>
          <w:highlight w:val="none"/>
          <w:u w:val="none"/>
        </w:rPr>
      </w:pPr>
      <w:r>
        <w:rPr>
          <w:rFonts w:hint="eastAsia" w:hAnsi="宋体" w:cs="Times New Roman"/>
          <w:color w:val="auto"/>
          <w:highlight w:val="none"/>
          <w:u w:val="none"/>
          <w:lang w:eastAsia="zh-CN"/>
        </w:rPr>
        <w:t>③</w:t>
      </w:r>
      <w:r>
        <w:rPr>
          <w:rFonts w:hAnsi="宋体" w:cs="Times New Roman"/>
          <w:color w:val="auto"/>
          <w:highlight w:val="none"/>
          <w:u w:val="none"/>
        </w:rPr>
        <w:t>危险废物内部转运结束后，应对转运路线进行检查和清理，确保无危险废物遗失在转运路线上，并对转运工具进行清洗。</w:t>
      </w:r>
    </w:p>
    <w:p w14:paraId="08458C11">
      <w:pPr>
        <w:pStyle w:val="29"/>
        <w:ind w:firstLine="480"/>
        <w:rPr>
          <w:rFonts w:hAnsi="宋体" w:cs="Times New Roman"/>
          <w:color w:val="auto"/>
          <w:highlight w:val="none"/>
          <w:u w:val="none"/>
        </w:rPr>
      </w:pPr>
      <w:r>
        <w:rPr>
          <w:rFonts w:hint="eastAsia" w:hAnsi="宋体" w:cs="Times New Roman"/>
          <w:color w:val="auto"/>
          <w:highlight w:val="none"/>
          <w:u w:val="none"/>
          <w:lang w:val="en-US" w:eastAsia="zh-CN"/>
        </w:rPr>
        <w:t>4、</w:t>
      </w:r>
      <w:r>
        <w:rPr>
          <w:rFonts w:hAnsi="宋体" w:cs="Times New Roman"/>
          <w:color w:val="auto"/>
          <w:highlight w:val="none"/>
          <w:u w:val="none"/>
        </w:rPr>
        <w:t>危险废物的运输要求：</w:t>
      </w:r>
    </w:p>
    <w:p w14:paraId="4263A4A6">
      <w:pPr>
        <w:pStyle w:val="29"/>
        <w:ind w:firstLine="480"/>
        <w:rPr>
          <w:rFonts w:hAnsi="宋体" w:cs="Times New Roman"/>
          <w:color w:val="auto"/>
          <w:highlight w:val="none"/>
          <w:u w:val="none"/>
        </w:rPr>
      </w:pPr>
      <w:r>
        <w:rPr>
          <w:rFonts w:hint="eastAsia" w:hAnsi="宋体" w:cs="Times New Roman"/>
          <w:color w:val="auto"/>
          <w:highlight w:val="none"/>
          <w:u w:val="none"/>
          <w:lang w:eastAsia="zh-CN"/>
        </w:rPr>
        <w:t>①</w:t>
      </w:r>
      <w:r>
        <w:rPr>
          <w:rFonts w:hAnsi="宋体" w:cs="Times New Roman"/>
          <w:color w:val="auto"/>
          <w:highlight w:val="none"/>
          <w:u w:val="none"/>
        </w:rPr>
        <w:t>危险废物产生单位每转移一车同类危险废物，应当填写一份联单，每车有多类危险废物的，应当按每一类危险废物填写一份联单。</w:t>
      </w:r>
    </w:p>
    <w:p w14:paraId="67BABFB4">
      <w:pPr>
        <w:pStyle w:val="29"/>
        <w:ind w:firstLine="480"/>
        <w:rPr>
          <w:rFonts w:hAnsi="宋体" w:cs="Times New Roman"/>
          <w:color w:val="auto"/>
          <w:highlight w:val="none"/>
          <w:u w:val="none"/>
        </w:rPr>
      </w:pPr>
      <w:r>
        <w:rPr>
          <w:rFonts w:hint="eastAsia" w:hAnsi="宋体" w:cs="Times New Roman"/>
          <w:color w:val="auto"/>
          <w:highlight w:val="none"/>
          <w:u w:val="none"/>
          <w:lang w:eastAsia="zh-CN"/>
        </w:rPr>
        <w:t>②</w:t>
      </w:r>
      <w:r>
        <w:rPr>
          <w:rFonts w:hAnsi="宋体" w:cs="Times New Roman"/>
          <w:color w:val="auto"/>
          <w:highlight w:val="none"/>
          <w:u w:val="none"/>
        </w:rPr>
        <w:t>危险废物产生单位应当如实填写联单中产生单位栏目，并加盖公章，经交付危险废物运输单位核实验收签字后，将联单第一联副联自留存档，将联单第二联交移出地环境保护行政主管部门，联单第一联正联及其余各联交付运输单位随危险废物转移运行。</w:t>
      </w:r>
    </w:p>
    <w:p w14:paraId="2B41D10D">
      <w:pPr>
        <w:pStyle w:val="29"/>
        <w:ind w:firstLine="480"/>
        <w:rPr>
          <w:rFonts w:hAnsi="宋体" w:cs="Times New Roman"/>
          <w:color w:val="auto"/>
          <w:highlight w:val="none"/>
          <w:u w:val="none"/>
        </w:rPr>
      </w:pPr>
      <w:r>
        <w:rPr>
          <w:rFonts w:hint="eastAsia" w:hAnsi="宋体" w:cs="Times New Roman"/>
          <w:color w:val="auto"/>
          <w:highlight w:val="none"/>
          <w:u w:val="none"/>
          <w:lang w:eastAsia="zh-CN"/>
        </w:rPr>
        <w:t>③</w:t>
      </w:r>
      <w:r>
        <w:rPr>
          <w:rFonts w:hAnsi="宋体" w:cs="Times New Roman"/>
          <w:color w:val="auto"/>
          <w:highlight w:val="none"/>
          <w:u w:val="none"/>
        </w:rPr>
        <w:t>危险废物接收单位应当按照联单填写的内容对危险废物核实验收，如实填写联单中接收单位栏目并加盖公章。</w:t>
      </w:r>
    </w:p>
    <w:p w14:paraId="38F49C3D">
      <w:pPr>
        <w:pStyle w:val="29"/>
        <w:ind w:firstLine="480"/>
        <w:rPr>
          <w:rFonts w:hAnsi="宋体" w:cs="Times New Roman"/>
          <w:color w:val="auto"/>
          <w:highlight w:val="none"/>
          <w:u w:val="none"/>
        </w:rPr>
      </w:pPr>
      <w:r>
        <w:rPr>
          <w:rFonts w:hint="eastAsia" w:hAnsi="宋体" w:cs="Times New Roman"/>
          <w:color w:val="auto"/>
          <w:highlight w:val="none"/>
          <w:u w:val="none"/>
          <w:lang w:eastAsia="zh-CN"/>
        </w:rPr>
        <w:t>④</w:t>
      </w:r>
      <w:r>
        <w:rPr>
          <w:rFonts w:hAnsi="宋体" w:cs="Times New Roman"/>
          <w:color w:val="auto"/>
          <w:highlight w:val="none"/>
          <w:u w:val="none"/>
        </w:rPr>
        <w:t>接收单位应当将联单第一联、第二联副联自接受危险废物之日起十日内交付产生单位，联单第一联由产生单位自留存档，联单第二联副联由产生单位在二日内报送移出地环境保护行政主管部门；接收单位将联单第三联交付运输单位存档；将联单第四联自留存档；将联单第五联自接受危险废物之日起二日内报送接受地环境保护行政主管部门。</w:t>
      </w:r>
    </w:p>
    <w:p w14:paraId="359BB5BD">
      <w:pPr>
        <w:pStyle w:val="29"/>
        <w:ind w:firstLine="480"/>
        <w:rPr>
          <w:rFonts w:hAnsi="宋体" w:cs="Times New Roman"/>
          <w:color w:val="auto"/>
          <w:szCs w:val="24"/>
          <w:highlight w:val="none"/>
          <w:u w:val="none"/>
        </w:rPr>
      </w:pPr>
      <w:r>
        <w:rPr>
          <w:rFonts w:hint="eastAsia" w:hAnsi="宋体" w:cs="Times New Roman"/>
          <w:color w:val="auto"/>
          <w:highlight w:val="none"/>
          <w:u w:val="none"/>
          <w:lang w:eastAsia="zh-CN"/>
        </w:rPr>
        <w:t>⑤</w:t>
      </w:r>
      <w:r>
        <w:rPr>
          <w:rFonts w:hAnsi="宋体" w:cs="Times New Roman"/>
          <w:color w:val="auto"/>
          <w:highlight w:val="none"/>
          <w:u w:val="none"/>
        </w:rPr>
        <w:t>危险废物接收单位验收发现危险废物的名称、数量、特性、形态、包装方式与联</w:t>
      </w:r>
      <w:r>
        <w:rPr>
          <w:rFonts w:hAnsi="宋体" w:cs="Times New Roman"/>
          <w:color w:val="auto"/>
          <w:szCs w:val="24"/>
          <w:highlight w:val="none"/>
          <w:u w:val="none"/>
        </w:rPr>
        <w:t>单填写内容不符的，应当及时向接受地环境保护行政主管部门报告，并通知产生单位。</w:t>
      </w:r>
    </w:p>
    <w:p w14:paraId="73C68589">
      <w:pPr>
        <w:bidi w:val="0"/>
        <w:rPr>
          <w:rFonts w:ascii="Times New Roman" w:hAnsi="Times New Roman" w:eastAsia="宋体" w:cs="Times New Roman"/>
          <w:color w:val="auto"/>
          <w:highlight w:val="none"/>
        </w:rPr>
      </w:pPr>
      <w:r>
        <w:rPr>
          <w:rFonts w:hAnsi="宋体"/>
          <w:color w:val="auto"/>
          <w:sz w:val="24"/>
          <w:highlight w:val="none"/>
          <w:u w:val="none"/>
        </w:rPr>
        <w:t>采取上述措施后，项目产生的固体废物处置可以做到</w:t>
      </w:r>
      <w:r>
        <w:rPr>
          <w:rFonts w:hint="eastAsia" w:hAnsi="宋体"/>
          <w:color w:val="auto"/>
          <w:sz w:val="24"/>
          <w:highlight w:val="none"/>
          <w:u w:val="none"/>
          <w:lang w:eastAsia="zh-CN"/>
        </w:rPr>
        <w:t>妥善处理处置</w:t>
      </w:r>
      <w:r>
        <w:rPr>
          <w:rFonts w:hAnsi="宋体"/>
          <w:color w:val="auto"/>
          <w:sz w:val="24"/>
          <w:highlight w:val="none"/>
          <w:u w:val="none"/>
        </w:rPr>
        <w:t>。</w:t>
      </w:r>
    </w:p>
    <w:p w14:paraId="0C053F36">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营运期</w:t>
      </w:r>
      <w:r>
        <w:rPr>
          <w:rFonts w:hint="default" w:ascii="Times New Roman" w:hAnsi="Times New Roman" w:cs="Times New Roman"/>
          <w:color w:val="auto"/>
          <w:sz w:val="24"/>
          <w:szCs w:val="24"/>
          <w:highlight w:val="none"/>
          <w:u w:val="none"/>
          <w:lang w:val="en-US" w:eastAsia="zh-CN"/>
        </w:rPr>
        <w:t>电磁辐射</w:t>
      </w:r>
      <w:r>
        <w:rPr>
          <w:rFonts w:hint="eastAsia" w:ascii="Times New Roman" w:hAnsi="Times New Roman" w:eastAsia="宋体" w:cs="Times New Roman"/>
          <w:color w:val="auto"/>
          <w:highlight w:val="none"/>
          <w:lang w:val="en-US" w:eastAsia="zh-CN"/>
        </w:rPr>
        <w:t>污染防治措施</w:t>
      </w:r>
    </w:p>
    <w:p w14:paraId="6122F147">
      <w:pPr>
        <w:pStyle w:val="61"/>
        <w:numPr>
          <w:ilvl w:val="0"/>
          <w:numId w:val="12"/>
        </w:numPr>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严格按照《35～110kV 变电所设计规范》（GB50059－2011）及《35kV～220kV 无人值班变电站设计规程》（DL/T5103－2012）的要求选择电气设备，对高压一次设备采用均压措施。</w:t>
      </w:r>
    </w:p>
    <w:p w14:paraId="236DC998">
      <w:pPr>
        <w:pStyle w:val="61"/>
        <w:numPr>
          <w:ilvl w:val="0"/>
          <w:numId w:val="12"/>
        </w:numPr>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控制导体和电气设备安全距离，选用具有抗干扰能力的设备，设置防雷接地保护装置等；同时在升压站设备定货时，要求导线、母线、均压环、管母线终端球和其它金具等提高加工工艺，防止尖端放电和起电晕。</w:t>
      </w:r>
    </w:p>
    <w:p w14:paraId="59525BA0">
      <w:pPr>
        <w:pStyle w:val="61"/>
        <w:numPr>
          <w:ilvl w:val="0"/>
          <w:numId w:val="12"/>
        </w:numPr>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控制配电构架高度、对地和相间距离，控制设备间连线离地面的最低高度，确保 110kV升压站厂界工频电场强度水平符合标准。</w:t>
      </w:r>
    </w:p>
    <w:p w14:paraId="4DEDE444">
      <w:pPr>
        <w:pStyle w:val="61"/>
        <w:numPr>
          <w:ilvl w:val="0"/>
          <w:numId w:val="12"/>
        </w:numPr>
        <w:bidi w:val="0"/>
        <w:rPr>
          <w:rFonts w:hint="default" w:ascii="Times New Roman" w:hAnsi="Times New Roman" w:cs="Times New Roman"/>
          <w:color w:val="auto"/>
          <w:highlight w:val="none"/>
        </w:rPr>
      </w:pPr>
      <w:r>
        <w:rPr>
          <w:rFonts w:hint="default" w:ascii="Times New Roman" w:hAnsi="Times New Roman" w:cs="Times New Roman"/>
          <w:color w:val="auto"/>
          <w:highlight w:val="none"/>
        </w:rPr>
        <w:t>为避免运营期外来人员进入变电所附近、保证外来人员的生命安全，升压站四周应设置高的实体围墙，围墙周围挂设警示标志，禁止外来人员进入变电</w:t>
      </w:r>
      <w:r>
        <w:rPr>
          <w:rFonts w:hint="default" w:ascii="Times New Roman" w:hAnsi="Times New Roman" w:cs="Times New Roman"/>
          <w:color w:val="auto"/>
          <w:highlight w:val="none"/>
          <w:lang w:val="en-US" w:eastAsia="zh-CN"/>
        </w:rPr>
        <w:t>站</w:t>
      </w:r>
      <w:r>
        <w:rPr>
          <w:rFonts w:hint="default" w:ascii="Times New Roman" w:hAnsi="Times New Roman" w:cs="Times New Roman"/>
          <w:color w:val="auto"/>
          <w:highlight w:val="none"/>
        </w:rPr>
        <w:t>区域。</w:t>
      </w:r>
    </w:p>
    <w:p w14:paraId="4E4FAD7B">
      <w:pPr>
        <w:pStyle w:val="61"/>
        <w:numPr>
          <w:ilvl w:val="-1"/>
          <w:numId w:val="0"/>
        </w:numPr>
        <w:bidi w:val="0"/>
        <w:ind w:left="480" w:leftChars="200" w:firstLine="480"/>
        <w:rPr>
          <w:rFonts w:hint="default" w:ascii="Times New Roman" w:hAnsi="Times New Roman" w:eastAsia="宋体" w:cs="Times New Roman"/>
          <w:color w:val="auto"/>
          <w:highlight w:val="none"/>
          <w:lang w:eastAsia="zh-CN"/>
        </w:rPr>
      </w:pPr>
      <w:r>
        <w:rPr>
          <w:rFonts w:hint="default" w:ascii="Times New Roman" w:hAnsi="Times New Roman" w:cs="Times New Roman"/>
          <w:color w:val="auto"/>
          <w:highlight w:val="none"/>
          <w:lang w:eastAsia="zh-CN"/>
        </w:rPr>
        <w:t>电磁环境保护措施重点是工程设备的选择和围墙，此部分投资计入工程建设和设备采购费用中，不单独核算电磁环境保护措施投资额。</w:t>
      </w:r>
    </w:p>
    <w:p w14:paraId="030CC6F0">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营运期</w:t>
      </w:r>
      <w:r>
        <w:rPr>
          <w:rFonts w:hint="eastAsia" w:ascii="Times New Roman" w:hAnsi="Times New Roman" w:cs="Times New Roman"/>
          <w:color w:val="auto"/>
          <w:sz w:val="24"/>
          <w:szCs w:val="24"/>
          <w:highlight w:val="none"/>
          <w:u w:val="none"/>
          <w:lang w:val="en-US" w:eastAsia="zh-CN"/>
        </w:rPr>
        <w:t>风险防范</w:t>
      </w:r>
      <w:r>
        <w:rPr>
          <w:rFonts w:hint="eastAsia" w:ascii="Times New Roman" w:hAnsi="Times New Roman" w:eastAsia="宋体" w:cs="Times New Roman"/>
          <w:color w:val="auto"/>
          <w:highlight w:val="none"/>
          <w:lang w:val="en-US" w:eastAsia="zh-CN"/>
        </w:rPr>
        <w:t>措施</w:t>
      </w:r>
    </w:p>
    <w:p w14:paraId="4026FA95">
      <w:pPr>
        <w:pStyle w:val="29"/>
        <w:ind w:firstLine="480"/>
        <w:rPr>
          <w:rFonts w:hAnsi="宋体" w:cs="Times New Roman"/>
          <w:color w:val="auto"/>
          <w:highlight w:val="none"/>
          <w:u w:val="none"/>
        </w:rPr>
      </w:pPr>
      <w:r>
        <w:rPr>
          <w:rFonts w:hint="eastAsia" w:hAnsi="宋体" w:cs="Times New Roman"/>
          <w:color w:val="auto"/>
          <w:highlight w:val="none"/>
        </w:rPr>
        <w:t>本项目</w:t>
      </w:r>
      <w:r>
        <w:rPr>
          <w:rFonts w:hAnsi="宋体" w:cs="Times New Roman"/>
          <w:color w:val="auto"/>
          <w:highlight w:val="none"/>
        </w:rPr>
        <w:t>升压站变压器的下方建</w:t>
      </w:r>
      <w:r>
        <w:rPr>
          <w:rFonts w:hint="eastAsia" w:hAnsi="宋体" w:cs="Times New Roman"/>
          <w:color w:val="auto"/>
          <w:highlight w:val="none"/>
          <w:lang w:eastAsia="zh-CN"/>
        </w:rPr>
        <w:t>有</w:t>
      </w:r>
      <w:r>
        <w:rPr>
          <w:rFonts w:hAnsi="宋体" w:cs="Times New Roman"/>
          <w:color w:val="auto"/>
          <w:highlight w:val="none"/>
          <w:u w:val="none"/>
        </w:rPr>
        <w:t>30m</w:t>
      </w:r>
      <w:r>
        <w:rPr>
          <w:rFonts w:hAnsi="宋体" w:cs="Times New Roman"/>
          <w:color w:val="auto"/>
          <w:highlight w:val="none"/>
          <w:u w:val="none"/>
          <w:vertAlign w:val="superscript"/>
        </w:rPr>
        <w:t>3</w:t>
      </w:r>
      <w:r>
        <w:rPr>
          <w:rFonts w:hAnsi="宋体" w:cs="Times New Roman"/>
          <w:color w:val="auto"/>
          <w:highlight w:val="none"/>
        </w:rPr>
        <w:t>事故油池，并在主变压器四周设置排油沟槽，相关的管道、池壁和池底均进行水泥防渗处理，以免污染物下渗对周边区域地下水环境造成影响。</w:t>
      </w:r>
      <w:r>
        <w:rPr>
          <w:rFonts w:hint="eastAsia"/>
          <w:color w:val="auto"/>
          <w:szCs w:val="32"/>
          <w:highlight w:val="none"/>
          <w:u w:val="none"/>
          <w:lang w:val="sq-AL"/>
        </w:rPr>
        <w:t>本项目各箱式变压器下方各设置1个</w:t>
      </w:r>
      <w:r>
        <w:rPr>
          <w:color w:val="auto"/>
          <w:szCs w:val="32"/>
          <w:highlight w:val="none"/>
          <w:u w:val="none"/>
          <w:lang w:val="sq-AL"/>
        </w:rPr>
        <w:t>1.5</w:t>
      </w:r>
      <w:r>
        <w:rPr>
          <w:rFonts w:hint="eastAsia"/>
          <w:color w:val="auto"/>
          <w:szCs w:val="32"/>
          <w:highlight w:val="none"/>
          <w:u w:val="none"/>
          <w:lang w:val="sq-AL"/>
        </w:rPr>
        <w:t>m</w:t>
      </w:r>
      <w:r>
        <w:rPr>
          <w:color w:val="auto"/>
          <w:szCs w:val="32"/>
          <w:highlight w:val="none"/>
          <w:u w:val="none"/>
          <w:vertAlign w:val="superscript"/>
          <w:lang w:val="sq-AL"/>
        </w:rPr>
        <w:t>3</w:t>
      </w:r>
      <w:r>
        <w:rPr>
          <w:rFonts w:hint="eastAsia"/>
          <w:color w:val="auto"/>
          <w:szCs w:val="32"/>
          <w:highlight w:val="none"/>
          <w:u w:val="none"/>
          <w:lang w:val="sq-AL"/>
        </w:rPr>
        <w:t>的事故油池，共1</w:t>
      </w:r>
      <w:r>
        <w:rPr>
          <w:color w:val="auto"/>
          <w:szCs w:val="32"/>
          <w:highlight w:val="none"/>
          <w:u w:val="none"/>
          <w:lang w:val="sq-AL"/>
        </w:rPr>
        <w:t>0</w:t>
      </w:r>
      <w:r>
        <w:rPr>
          <w:rFonts w:hint="eastAsia"/>
          <w:color w:val="auto"/>
          <w:szCs w:val="32"/>
          <w:highlight w:val="none"/>
          <w:u w:val="none"/>
          <w:lang w:val="sq-AL"/>
        </w:rPr>
        <w:t>个事故油池。</w:t>
      </w:r>
    </w:p>
    <w:p w14:paraId="25E0F918">
      <w:pPr>
        <w:pStyle w:val="53"/>
        <w:adjustRightInd/>
        <w:snapToGrid/>
        <w:ind w:firstLine="480"/>
        <w:rPr>
          <w:rFonts w:cs="Times New Roman"/>
          <w:color w:val="auto"/>
          <w:highlight w:val="none"/>
        </w:rPr>
      </w:pPr>
      <w:r>
        <w:rPr>
          <w:rFonts w:hint="eastAsia" w:cs="Times New Roman"/>
          <w:color w:val="auto"/>
          <w:highlight w:val="none"/>
        </w:rPr>
        <w:t>运行人员在巡视设备中，发现变压器油发生泄漏，及时汇报和通知电力检修公司人员进行抢修，并加强对变压器油位泄漏的监视。并设好围挡、悬挂标示牌，疏散现场，并向主管生产的部门汇报；一旦发生变压器油泄漏，不得有明火靠近，并严格按照消防管理制度执行；检修单位应指定专人负责抢修现场指挥，运行单位积极配合，运行人员将去对设备的监督和巡视，做好安全措施后，检修单位及时组织抢修人员进行查漏、堵漏，严防事故有外漏而造成的环境污染。</w:t>
      </w:r>
    </w:p>
    <w:p w14:paraId="193BFD1E">
      <w:pPr>
        <w:adjustRightInd w:val="0"/>
        <w:snapToGrid w:val="0"/>
        <w:spacing w:line="360" w:lineRule="auto"/>
        <w:ind w:firstLine="480" w:firstLineChars="200"/>
        <w:jc w:val="left"/>
        <w:rPr>
          <w:color w:val="auto"/>
          <w:sz w:val="24"/>
          <w:highlight w:val="none"/>
        </w:rPr>
      </w:pPr>
      <w:r>
        <w:rPr>
          <w:color w:val="auto"/>
          <w:sz w:val="24"/>
          <w:highlight w:val="none"/>
        </w:rPr>
        <w:t>因此，通过采取以上防范措施后，运行期环境风险较小。</w:t>
      </w:r>
    </w:p>
    <w:p w14:paraId="327040A2">
      <w:pPr>
        <w:bidi w:val="0"/>
        <w:rPr>
          <w:rFonts w:ascii="Times New Roman" w:hAnsi="Times New Roman" w:eastAsia="宋体" w:cs="Times New Roman"/>
          <w:color w:val="auto"/>
          <w:highlight w:val="none"/>
        </w:rPr>
      </w:pPr>
    </w:p>
    <w:p w14:paraId="1206458B">
      <w:pPr>
        <w:bidi w:val="0"/>
        <w:rPr>
          <w:rFonts w:ascii="Times New Roman" w:hAnsi="Times New Roman" w:eastAsia="宋体" w:cs="Times New Roman"/>
          <w:color w:val="auto"/>
          <w:highlight w:val="none"/>
        </w:rPr>
      </w:pPr>
    </w:p>
    <w:p w14:paraId="0492FF6D">
      <w:pPr>
        <w:bidi w:val="0"/>
        <w:rPr>
          <w:rFonts w:ascii="Times New Roman" w:hAnsi="Times New Roman" w:eastAsia="宋体" w:cs="Times New Roman"/>
          <w:color w:val="auto"/>
          <w:highlight w:val="none"/>
        </w:rPr>
      </w:pPr>
    </w:p>
    <w:p w14:paraId="19DC8E01">
      <w:pPr>
        <w:pStyle w:val="25"/>
        <w:rPr>
          <w:color w:val="auto"/>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6E7CBFAC">
      <w:pPr>
        <w:pStyle w:val="3"/>
        <w:rPr>
          <w:rFonts w:hint="default" w:ascii="Times New Roman" w:hAnsi="Times New Roman" w:cs="Times New Roman"/>
          <w:color w:val="auto"/>
          <w:highlight w:val="none"/>
        </w:rPr>
      </w:pPr>
      <w:bookmarkStart w:id="108" w:name="_Toc14941"/>
      <w:r>
        <w:rPr>
          <w:rFonts w:hint="eastAsia" w:ascii="Times New Roman" w:hAnsi="Times New Roman" w:cs="Times New Roman"/>
          <w:color w:val="auto"/>
          <w:highlight w:val="none"/>
          <w:lang w:eastAsia="zh-CN"/>
        </w:rPr>
        <w:t>环境保护管理及监测计划</w:t>
      </w:r>
      <w:bookmarkEnd w:id="108"/>
    </w:p>
    <w:p w14:paraId="4DF97C2A">
      <w:pPr>
        <w:pStyle w:val="4"/>
        <w:bidi w:val="0"/>
        <w:rPr>
          <w:rFonts w:hint="default" w:ascii="Times New Roman" w:hAnsi="Times New Roman" w:cs="Times New Roman"/>
          <w:color w:val="auto"/>
          <w:highlight w:val="none"/>
        </w:rPr>
      </w:pPr>
      <w:bookmarkStart w:id="109" w:name="_Toc9933"/>
      <w:r>
        <w:rPr>
          <w:rFonts w:hint="eastAsia" w:cs="Times New Roman"/>
          <w:color w:val="auto"/>
          <w:highlight w:val="none"/>
          <w:lang w:eastAsia="zh-CN"/>
        </w:rPr>
        <w:t>环境保护管理计划</w:t>
      </w:r>
      <w:bookmarkEnd w:id="109"/>
    </w:p>
    <w:p w14:paraId="6959736E">
      <w:pPr>
        <w:bidi w:val="0"/>
        <w:rPr>
          <w:rFonts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环境管理计划可划分为可行性研究阶段、设计阶段、施工阶段以及营运期环境管理计划，相应的环境管理机构一般包括管理机构、监督机构和监测机构。</w:t>
      </w:r>
    </w:p>
    <w:p w14:paraId="5902B224">
      <w:pPr>
        <w:bidi w:val="0"/>
        <w:rPr>
          <w:rFonts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通过环境管理计划的实施，以达到如下目的：</w:t>
      </w:r>
    </w:p>
    <w:p w14:paraId="232706DF">
      <w:pPr>
        <w:bidi w:val="0"/>
        <w:rPr>
          <w:rFonts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⑴使本项目的建设符合国家经济建设和环境建设同步规划、同步发展和同步实施的</w:t>
      </w:r>
      <w:r>
        <w:rPr>
          <w:rFonts w:hint="default"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lang w:val="en-US" w:eastAsia="zh-CN"/>
        </w:rPr>
        <w:t>三同时</w:t>
      </w:r>
      <w:r>
        <w:rPr>
          <w:rFonts w:hint="default"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lang w:val="en-US" w:eastAsia="zh-CN"/>
        </w:rPr>
        <w:t>原则，为环保措施的落实及监督、为项目环境保护审批及环境保护竣工验收提供依据。</w:t>
      </w:r>
    </w:p>
    <w:p w14:paraId="6FFD3359">
      <w:pPr>
        <w:bidi w:val="0"/>
        <w:rPr>
          <w:rFonts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⑵通过环境管理计划的实施，将本项目对沿线环境带来的不利影响减少至最低程度，使该项目的经济效益和环境效益得以协调发展。</w:t>
      </w:r>
    </w:p>
    <w:p w14:paraId="0244E747">
      <w:pPr>
        <w:keepNext w:val="0"/>
        <w:keepLines w:val="0"/>
        <w:widowControl/>
        <w:suppressLineNumbers w:val="0"/>
        <w:jc w:val="left"/>
        <w:rPr>
          <w:color w:val="auto"/>
          <w:highlight w:val="none"/>
        </w:rPr>
      </w:pPr>
      <w:r>
        <w:rPr>
          <w:rFonts w:hint="eastAsia" w:ascii="宋体" w:hAnsi="宋体" w:eastAsia="宋体" w:cs="宋体"/>
          <w:color w:val="auto"/>
          <w:kern w:val="0"/>
          <w:sz w:val="24"/>
          <w:szCs w:val="24"/>
          <w:highlight w:val="none"/>
          <w:lang w:val="en-US" w:eastAsia="zh-CN" w:bidi="ar"/>
        </w:rPr>
        <w:t>环境保护计划的制定主要是为了落实本环境影响报告书所提出的环境保护措施及建议；对项目的实施（设计、施工）期间的监督和营运期的监测等工作提出要求。</w:t>
      </w:r>
    </w:p>
    <w:p w14:paraId="0E4E5DBE">
      <w:pPr>
        <w:keepNext w:val="0"/>
        <w:keepLines w:val="0"/>
        <w:widowControl/>
        <w:suppressLineNumbers w:val="0"/>
        <w:jc w:val="left"/>
        <w:rPr>
          <w:color w:val="auto"/>
          <w:highlight w:val="none"/>
        </w:rPr>
      </w:pPr>
      <w:r>
        <w:rPr>
          <w:rFonts w:hint="default" w:ascii="Times New Roman" w:hAnsi="Times New Roman" w:eastAsia="宋体" w:cs="Times New Roman"/>
          <w:b/>
          <w:bCs/>
          <w:color w:val="auto"/>
          <w:kern w:val="0"/>
          <w:sz w:val="24"/>
          <w:szCs w:val="24"/>
          <w:highlight w:val="none"/>
          <w:lang w:val="en-US" w:eastAsia="zh-CN" w:bidi="ar"/>
        </w:rPr>
        <w:t>1</w:t>
      </w:r>
      <w:r>
        <w:rPr>
          <w:rFonts w:hint="eastAsia" w:ascii="宋体" w:hAnsi="宋体" w:eastAsia="宋体" w:cs="宋体"/>
          <w:b/>
          <w:bCs/>
          <w:color w:val="auto"/>
          <w:kern w:val="0"/>
          <w:sz w:val="24"/>
          <w:szCs w:val="24"/>
          <w:highlight w:val="none"/>
          <w:lang w:val="en-US" w:eastAsia="zh-CN" w:bidi="ar"/>
        </w:rPr>
        <w:t>、设计阶段</w:t>
      </w:r>
    </w:p>
    <w:p w14:paraId="556551F9">
      <w:pPr>
        <w:keepNext w:val="0"/>
        <w:keepLines w:val="0"/>
        <w:widowControl/>
        <w:suppressLineNumbers w:val="0"/>
        <w:jc w:val="left"/>
        <w:rPr>
          <w:color w:val="auto"/>
          <w:highlight w:val="none"/>
        </w:rPr>
      </w:pPr>
      <w:r>
        <w:rPr>
          <w:rFonts w:hint="eastAsia" w:ascii="宋体" w:hAnsi="宋体" w:eastAsia="宋体" w:cs="宋体"/>
          <w:color w:val="auto"/>
          <w:kern w:val="0"/>
          <w:sz w:val="24"/>
          <w:szCs w:val="24"/>
          <w:highlight w:val="none"/>
          <w:lang w:val="en-US" w:eastAsia="zh-CN" w:bidi="ar"/>
        </w:rPr>
        <w:t xml:space="preserve">设计单位应将环境影响报告书提出的环保措施落实到施工图设计中；建设单位、环 </w:t>
      </w:r>
    </w:p>
    <w:p w14:paraId="667EC261">
      <w:pPr>
        <w:keepNext w:val="0"/>
        <w:keepLines w:val="0"/>
        <w:widowControl/>
        <w:suppressLineNumbers w:val="0"/>
        <w:jc w:val="left"/>
        <w:rPr>
          <w:color w:val="auto"/>
          <w:highlight w:val="none"/>
        </w:rPr>
      </w:pPr>
      <w:r>
        <w:rPr>
          <w:rFonts w:hint="eastAsia" w:ascii="宋体" w:hAnsi="宋体" w:eastAsia="宋体" w:cs="宋体"/>
          <w:color w:val="auto"/>
          <w:kern w:val="0"/>
          <w:sz w:val="24"/>
          <w:szCs w:val="24"/>
          <w:highlight w:val="none"/>
          <w:lang w:val="en-US" w:eastAsia="zh-CN" w:bidi="ar"/>
        </w:rPr>
        <w:t xml:space="preserve">境保护部门应负责环保措施的工程设计方案审查工作，并接受当地环保部门监督。 </w:t>
      </w:r>
    </w:p>
    <w:p w14:paraId="6EC4F4CF">
      <w:pPr>
        <w:keepNext w:val="0"/>
        <w:keepLines w:val="0"/>
        <w:widowControl/>
        <w:suppressLineNumbers w:val="0"/>
        <w:jc w:val="left"/>
        <w:rPr>
          <w:color w:val="auto"/>
          <w:highlight w:val="none"/>
        </w:rPr>
      </w:pPr>
      <w:r>
        <w:rPr>
          <w:rFonts w:hint="default" w:ascii="Times New Roman" w:hAnsi="Times New Roman" w:eastAsia="宋体" w:cs="Times New Roman"/>
          <w:b/>
          <w:bCs/>
          <w:color w:val="auto"/>
          <w:kern w:val="0"/>
          <w:sz w:val="24"/>
          <w:szCs w:val="24"/>
          <w:highlight w:val="none"/>
          <w:lang w:val="en-US" w:eastAsia="zh-CN" w:bidi="ar"/>
        </w:rPr>
        <w:t>2</w:t>
      </w:r>
      <w:r>
        <w:rPr>
          <w:rFonts w:hint="eastAsia" w:ascii="宋体" w:hAnsi="宋体" w:eastAsia="宋体" w:cs="宋体"/>
          <w:b/>
          <w:bCs/>
          <w:color w:val="auto"/>
          <w:kern w:val="0"/>
          <w:sz w:val="24"/>
          <w:szCs w:val="24"/>
          <w:highlight w:val="none"/>
          <w:lang w:val="en-US" w:eastAsia="zh-CN" w:bidi="ar"/>
        </w:rPr>
        <w:t xml:space="preserve">、招、投标阶段 </w:t>
      </w:r>
    </w:p>
    <w:p w14:paraId="5090E9A2">
      <w:pPr>
        <w:keepNext w:val="0"/>
        <w:keepLines w:val="0"/>
        <w:widowControl/>
        <w:suppressLineNumbers w:val="0"/>
        <w:jc w:val="left"/>
        <w:rPr>
          <w:color w:val="auto"/>
          <w:highlight w:val="none"/>
        </w:rPr>
      </w:pPr>
      <w:r>
        <w:rPr>
          <w:rFonts w:hint="eastAsia" w:ascii="宋体" w:hAnsi="宋体" w:eastAsia="宋体" w:cs="宋体"/>
          <w:color w:val="auto"/>
          <w:kern w:val="0"/>
          <w:sz w:val="24"/>
          <w:szCs w:val="24"/>
          <w:highlight w:val="none"/>
          <w:lang w:val="en-US" w:eastAsia="zh-CN" w:bidi="ar"/>
        </w:rPr>
        <w:t>建设单位按环评报告书所提出的环境保护措施和建议制定建设期环境保护实施行动计划和管理办法，并将其编入招标文件和承包项目的合同中；施工单位在投标书中应含有包括环境保护和文明施工的内容，在中标的合同中应有环境影响报告书提出的环境保护措施及建议的相应条文。</w:t>
      </w:r>
    </w:p>
    <w:p w14:paraId="6128273C">
      <w:pPr>
        <w:keepNext w:val="0"/>
        <w:keepLines w:val="0"/>
        <w:widowControl/>
        <w:suppressLineNumbers w:val="0"/>
        <w:jc w:val="left"/>
        <w:rPr>
          <w:color w:val="auto"/>
          <w:highlight w:val="none"/>
        </w:rPr>
      </w:pPr>
      <w:r>
        <w:rPr>
          <w:rFonts w:hint="default" w:ascii="Times New Roman" w:hAnsi="Times New Roman" w:eastAsia="宋体" w:cs="Times New Roman"/>
          <w:b/>
          <w:bCs/>
          <w:color w:val="auto"/>
          <w:kern w:val="0"/>
          <w:sz w:val="24"/>
          <w:szCs w:val="24"/>
          <w:highlight w:val="none"/>
          <w:lang w:val="en-US" w:eastAsia="zh-CN" w:bidi="ar"/>
        </w:rPr>
        <w:t>3</w:t>
      </w:r>
      <w:r>
        <w:rPr>
          <w:rFonts w:hint="eastAsia" w:ascii="宋体" w:hAnsi="宋体" w:eastAsia="宋体" w:cs="宋体"/>
          <w:b/>
          <w:bCs/>
          <w:color w:val="auto"/>
          <w:kern w:val="0"/>
          <w:sz w:val="24"/>
          <w:szCs w:val="24"/>
          <w:highlight w:val="none"/>
          <w:lang w:val="en-US" w:eastAsia="zh-CN" w:bidi="ar"/>
        </w:rPr>
        <w:t>、施工期</w:t>
      </w:r>
    </w:p>
    <w:p w14:paraId="2DAD3E90">
      <w:pPr>
        <w:keepNext w:val="0"/>
        <w:keepLines w:val="0"/>
        <w:widowControl/>
        <w:suppressLineNumbers w:val="0"/>
        <w:jc w:val="left"/>
        <w:rPr>
          <w:color w:val="auto"/>
          <w:highlight w:val="none"/>
        </w:rPr>
      </w:pPr>
      <w:r>
        <w:rPr>
          <w:rFonts w:hint="eastAsia" w:ascii="宋体" w:hAnsi="宋体" w:eastAsia="宋体" w:cs="宋体"/>
          <w:color w:val="auto"/>
          <w:kern w:val="0"/>
          <w:sz w:val="24"/>
          <w:szCs w:val="24"/>
          <w:highlight w:val="none"/>
          <w:lang w:val="en-US" w:eastAsia="zh-CN" w:bidi="ar"/>
        </w:rPr>
        <w:t>建设单位组织开展环境保护宣传、教育和培训工作，组织实施工程的环境保护行动计划，及时处理环境污染事故和污染纠纷，接受环保管理部门的监督和指导。建设单位还应要求各施工监理机构配备具有一定的环境保护知识和技能的工作人员，负责施工期的环境管理与监督，重点是取土场作业、景观及植被的保护、施工噪声和粉尘污染。</w:t>
      </w:r>
    </w:p>
    <w:p w14:paraId="791CF06C">
      <w:pPr>
        <w:keepNext w:val="0"/>
        <w:keepLines w:val="0"/>
        <w:widowControl/>
        <w:suppressLineNumbers w:val="0"/>
        <w:jc w:val="left"/>
        <w:rPr>
          <w:color w:val="auto"/>
          <w:highlight w:val="none"/>
        </w:rPr>
      </w:pPr>
      <w:r>
        <w:rPr>
          <w:rFonts w:hint="eastAsia" w:ascii="宋体" w:hAnsi="宋体" w:eastAsia="宋体" w:cs="宋体"/>
          <w:color w:val="auto"/>
          <w:kern w:val="0"/>
          <w:sz w:val="24"/>
          <w:szCs w:val="24"/>
          <w:highlight w:val="none"/>
          <w:lang w:val="en-US" w:eastAsia="zh-CN" w:bidi="ar"/>
        </w:rPr>
        <w:t>施工单位应接受建设单位和当地环保部门的监督和指导，并按中标书、施工合同落实各项环境保护和文明施工措施，各施工单位至少应配备一名专职环保员，具体监督、管理环保措施的实施情况。在施工结束后，建设单位应组织全面检查工程环保措施落实和施工现场的环境恢复情况，督促施工单位及时撤出临时占用场地，拆除临时设施，恢复被破坏的土地和植被。</w:t>
      </w:r>
    </w:p>
    <w:p w14:paraId="40DC1732">
      <w:pPr>
        <w:keepNext w:val="0"/>
        <w:keepLines w:val="0"/>
        <w:widowControl/>
        <w:suppressLineNumbers w:val="0"/>
        <w:jc w:val="left"/>
        <w:rPr>
          <w:color w:val="auto"/>
          <w:highlight w:val="none"/>
        </w:rPr>
      </w:pPr>
      <w:r>
        <w:rPr>
          <w:rFonts w:hint="default" w:ascii="Times New Roman" w:hAnsi="Times New Roman" w:eastAsia="宋体" w:cs="Times New Roman"/>
          <w:b/>
          <w:bCs/>
          <w:color w:val="auto"/>
          <w:kern w:val="0"/>
          <w:sz w:val="24"/>
          <w:szCs w:val="24"/>
          <w:highlight w:val="none"/>
          <w:lang w:val="en-US" w:eastAsia="zh-CN" w:bidi="ar"/>
        </w:rPr>
        <w:t>4</w:t>
      </w:r>
      <w:r>
        <w:rPr>
          <w:rFonts w:hint="eastAsia" w:ascii="宋体" w:hAnsi="宋体" w:eastAsia="宋体" w:cs="宋体"/>
          <w:b/>
          <w:bCs/>
          <w:color w:val="auto"/>
          <w:kern w:val="0"/>
          <w:sz w:val="24"/>
          <w:szCs w:val="24"/>
          <w:highlight w:val="none"/>
          <w:lang w:val="en-US" w:eastAsia="zh-CN" w:bidi="ar"/>
        </w:rPr>
        <w:t>、营运期</w:t>
      </w:r>
    </w:p>
    <w:p w14:paraId="23A86F2C">
      <w:pPr>
        <w:keepNext w:val="0"/>
        <w:keepLines w:val="0"/>
        <w:widowControl/>
        <w:suppressLineNumbers w:val="0"/>
        <w:jc w:val="left"/>
        <w:rPr>
          <w:color w:val="auto"/>
          <w:highlight w:val="none"/>
        </w:rPr>
      </w:pPr>
      <w:r>
        <w:rPr>
          <w:rFonts w:hint="eastAsia" w:ascii="宋体" w:hAnsi="宋体" w:eastAsia="宋体" w:cs="宋体"/>
          <w:color w:val="auto"/>
          <w:kern w:val="0"/>
          <w:sz w:val="24"/>
          <w:szCs w:val="24"/>
          <w:highlight w:val="none"/>
          <w:lang w:val="en-US" w:eastAsia="zh-CN" w:bidi="ar"/>
        </w:rPr>
        <w:t>营运期的环保管理、监测和需补充的环境保护工程措施等由本项目工程营运管理部门予以实施。</w:t>
      </w:r>
    </w:p>
    <w:p w14:paraId="1C6517D0">
      <w:pPr>
        <w:pStyle w:val="4"/>
        <w:bidi w:val="0"/>
        <w:rPr>
          <w:rFonts w:hint="default" w:ascii="Times New Roman" w:hAnsi="Times New Roman" w:cs="Times New Roman"/>
          <w:color w:val="auto"/>
          <w:highlight w:val="none"/>
        </w:rPr>
      </w:pPr>
      <w:bookmarkStart w:id="110" w:name="_Toc14483"/>
      <w:r>
        <w:rPr>
          <w:rFonts w:hint="eastAsia" w:cs="Times New Roman"/>
          <w:color w:val="auto"/>
          <w:highlight w:val="none"/>
          <w:lang w:eastAsia="zh-CN"/>
        </w:rPr>
        <w:t>环境监测计划</w:t>
      </w:r>
      <w:bookmarkEnd w:id="110"/>
    </w:p>
    <w:p w14:paraId="1B1653A1">
      <w:pPr>
        <w:spacing w:line="360" w:lineRule="auto"/>
        <w:ind w:firstLine="504" w:firstLineChars="200"/>
        <w:rPr>
          <w:bCs/>
          <w:color w:val="auto"/>
          <w:spacing w:val="6"/>
          <w:sz w:val="24"/>
          <w:highlight w:val="none"/>
        </w:rPr>
      </w:pPr>
      <w:bookmarkStart w:id="111" w:name="_Toc288747703"/>
      <w:bookmarkStart w:id="112" w:name="_Toc288736236"/>
      <w:bookmarkStart w:id="113" w:name="_Toc345395932"/>
      <w:r>
        <w:rPr>
          <w:bCs/>
          <w:color w:val="auto"/>
          <w:spacing w:val="6"/>
          <w:sz w:val="24"/>
          <w:highlight w:val="none"/>
        </w:rPr>
        <w:t>（1）生态环境监测</w:t>
      </w:r>
    </w:p>
    <w:p w14:paraId="6AF072A8">
      <w:pPr>
        <w:spacing w:line="360" w:lineRule="auto"/>
        <w:ind w:firstLine="504" w:firstLineChars="200"/>
        <w:rPr>
          <w:bCs/>
          <w:color w:val="auto"/>
          <w:spacing w:val="6"/>
          <w:sz w:val="24"/>
          <w:highlight w:val="none"/>
          <w:u w:val="none"/>
        </w:rPr>
      </w:pPr>
      <w:r>
        <w:rPr>
          <w:bCs/>
          <w:color w:val="auto"/>
          <w:spacing w:val="6"/>
          <w:sz w:val="24"/>
          <w:highlight w:val="none"/>
          <w:u w:val="none"/>
        </w:rPr>
        <w:fldChar w:fldCharType="begin"/>
      </w:r>
      <w:r>
        <w:rPr>
          <w:bCs/>
          <w:color w:val="auto"/>
          <w:spacing w:val="6"/>
          <w:sz w:val="24"/>
          <w:highlight w:val="none"/>
          <w:u w:val="none"/>
        </w:rPr>
        <w:instrText xml:space="preserve"> = 1 \* GB3 \* MERGEFORMAT </w:instrText>
      </w:r>
      <w:r>
        <w:rPr>
          <w:bCs/>
          <w:color w:val="auto"/>
          <w:spacing w:val="6"/>
          <w:sz w:val="24"/>
          <w:highlight w:val="none"/>
          <w:u w:val="none"/>
        </w:rPr>
        <w:fldChar w:fldCharType="separate"/>
      </w:r>
      <w:r>
        <w:rPr>
          <w:bCs/>
          <w:color w:val="auto"/>
          <w:spacing w:val="6"/>
          <w:sz w:val="24"/>
          <w:highlight w:val="none"/>
          <w:u w:val="none"/>
        </w:rPr>
        <w:t>①</w:t>
      </w:r>
      <w:r>
        <w:rPr>
          <w:bCs/>
          <w:color w:val="auto"/>
          <w:spacing w:val="6"/>
          <w:sz w:val="24"/>
          <w:highlight w:val="none"/>
          <w:u w:val="none"/>
        </w:rPr>
        <w:fldChar w:fldCharType="end"/>
      </w:r>
      <w:r>
        <w:rPr>
          <w:bCs/>
          <w:color w:val="auto"/>
          <w:spacing w:val="6"/>
          <w:sz w:val="24"/>
          <w:highlight w:val="none"/>
          <w:u w:val="none"/>
        </w:rPr>
        <w:t>监测内容：景观变化及植被恢复措施落实情况调查。工程施工导致景观的变化情况，景观生态恢复措施的落实情况。</w:t>
      </w:r>
    </w:p>
    <w:p w14:paraId="53247522">
      <w:pPr>
        <w:spacing w:line="360" w:lineRule="auto"/>
        <w:ind w:firstLine="504" w:firstLineChars="200"/>
        <w:rPr>
          <w:bCs/>
          <w:color w:val="auto"/>
          <w:spacing w:val="6"/>
          <w:sz w:val="24"/>
          <w:highlight w:val="none"/>
          <w:u w:val="none"/>
        </w:rPr>
      </w:pPr>
      <w:r>
        <w:rPr>
          <w:bCs/>
          <w:color w:val="auto"/>
          <w:spacing w:val="6"/>
          <w:sz w:val="24"/>
          <w:highlight w:val="none"/>
          <w:u w:val="none"/>
        </w:rPr>
        <w:fldChar w:fldCharType="begin"/>
      </w:r>
      <w:r>
        <w:rPr>
          <w:bCs/>
          <w:color w:val="auto"/>
          <w:spacing w:val="6"/>
          <w:sz w:val="24"/>
          <w:highlight w:val="none"/>
          <w:u w:val="none"/>
        </w:rPr>
        <w:instrText xml:space="preserve"> = 2 \* GB3 \* MERGEFORMAT </w:instrText>
      </w:r>
      <w:r>
        <w:rPr>
          <w:bCs/>
          <w:color w:val="auto"/>
          <w:spacing w:val="6"/>
          <w:sz w:val="24"/>
          <w:highlight w:val="none"/>
          <w:u w:val="none"/>
        </w:rPr>
        <w:fldChar w:fldCharType="separate"/>
      </w:r>
      <w:r>
        <w:rPr>
          <w:bCs/>
          <w:color w:val="auto"/>
          <w:spacing w:val="6"/>
          <w:sz w:val="24"/>
          <w:highlight w:val="none"/>
          <w:u w:val="none"/>
        </w:rPr>
        <w:t>②</w:t>
      </w:r>
      <w:r>
        <w:rPr>
          <w:bCs/>
          <w:color w:val="auto"/>
          <w:spacing w:val="6"/>
          <w:sz w:val="24"/>
          <w:highlight w:val="none"/>
          <w:u w:val="none"/>
        </w:rPr>
        <w:fldChar w:fldCharType="end"/>
      </w:r>
      <w:r>
        <w:rPr>
          <w:bCs/>
          <w:color w:val="auto"/>
          <w:spacing w:val="6"/>
          <w:sz w:val="24"/>
          <w:highlight w:val="none"/>
          <w:u w:val="none"/>
        </w:rPr>
        <w:t>监测方法：主要采取实地调查方式进行。</w:t>
      </w:r>
    </w:p>
    <w:p w14:paraId="06BCA205">
      <w:pPr>
        <w:autoSpaceDE w:val="0"/>
        <w:spacing w:line="360" w:lineRule="auto"/>
        <w:ind w:firstLine="504" w:firstLineChars="200"/>
        <w:rPr>
          <w:bCs/>
          <w:color w:val="auto"/>
          <w:spacing w:val="6"/>
          <w:sz w:val="24"/>
          <w:highlight w:val="none"/>
          <w:u w:val="none"/>
        </w:rPr>
      </w:pPr>
      <w:r>
        <w:rPr>
          <w:bCs/>
          <w:color w:val="auto"/>
          <w:spacing w:val="6"/>
          <w:sz w:val="24"/>
          <w:highlight w:val="none"/>
          <w:u w:val="none"/>
        </w:rPr>
        <w:fldChar w:fldCharType="begin"/>
      </w:r>
      <w:r>
        <w:rPr>
          <w:bCs/>
          <w:color w:val="auto"/>
          <w:spacing w:val="6"/>
          <w:sz w:val="24"/>
          <w:highlight w:val="none"/>
          <w:u w:val="none"/>
        </w:rPr>
        <w:instrText xml:space="preserve"> = 3 \* GB3 \* MERGEFORMAT </w:instrText>
      </w:r>
      <w:r>
        <w:rPr>
          <w:bCs/>
          <w:color w:val="auto"/>
          <w:spacing w:val="6"/>
          <w:sz w:val="24"/>
          <w:highlight w:val="none"/>
          <w:u w:val="none"/>
        </w:rPr>
        <w:fldChar w:fldCharType="separate"/>
      </w:r>
      <w:r>
        <w:rPr>
          <w:bCs/>
          <w:color w:val="auto"/>
          <w:spacing w:val="6"/>
          <w:sz w:val="24"/>
          <w:highlight w:val="none"/>
          <w:u w:val="none"/>
        </w:rPr>
        <w:t>③</w:t>
      </w:r>
      <w:r>
        <w:rPr>
          <w:bCs/>
          <w:color w:val="auto"/>
          <w:spacing w:val="6"/>
          <w:sz w:val="24"/>
          <w:highlight w:val="none"/>
          <w:u w:val="none"/>
        </w:rPr>
        <w:fldChar w:fldCharType="end"/>
      </w:r>
      <w:r>
        <w:rPr>
          <w:bCs/>
          <w:color w:val="auto"/>
          <w:spacing w:val="6"/>
          <w:sz w:val="24"/>
          <w:highlight w:val="none"/>
          <w:u w:val="none"/>
        </w:rPr>
        <w:t>监测时间：3年，施工期1年，营运期2年。</w:t>
      </w:r>
    </w:p>
    <w:p w14:paraId="4983BBB4">
      <w:pPr>
        <w:autoSpaceDE w:val="0"/>
        <w:spacing w:line="360" w:lineRule="auto"/>
        <w:ind w:firstLine="480" w:firstLineChars="200"/>
        <w:rPr>
          <w:rFonts w:hAnsi="宋体"/>
          <w:color w:val="auto"/>
          <w:sz w:val="24"/>
          <w:highlight w:val="none"/>
          <w:u w:val="none"/>
        </w:rPr>
      </w:pPr>
      <w:r>
        <w:rPr>
          <w:rFonts w:hAnsi="宋体"/>
          <w:color w:val="auto"/>
          <w:sz w:val="24"/>
          <w:highlight w:val="none"/>
          <w:u w:val="none"/>
        </w:rPr>
        <w:t>（2）大气环境监测</w:t>
      </w:r>
      <w:bookmarkEnd w:id="111"/>
      <w:bookmarkEnd w:id="112"/>
      <w:bookmarkEnd w:id="113"/>
    </w:p>
    <w:p w14:paraId="4E3F663B">
      <w:pPr>
        <w:spacing w:line="360" w:lineRule="auto"/>
        <w:ind w:firstLine="480" w:firstLineChars="200"/>
        <w:rPr>
          <w:rFonts w:hAnsi="宋体"/>
          <w:color w:val="auto"/>
          <w:sz w:val="24"/>
          <w:highlight w:val="none"/>
          <w:u w:val="none"/>
        </w:rPr>
      </w:pPr>
      <w:r>
        <w:rPr>
          <w:rFonts w:hAnsi="宋体"/>
          <w:color w:val="auto"/>
          <w:sz w:val="24"/>
          <w:highlight w:val="none"/>
          <w:u w:val="none"/>
        </w:rPr>
        <w:t>大气环境影响主要发生在施工期，运营期不会产生影响。因此，环境空气质量监测只考虑施工期，在</w:t>
      </w:r>
      <w:r>
        <w:rPr>
          <w:rFonts w:hint="eastAsia" w:hAnsi="宋体"/>
          <w:color w:val="auto"/>
          <w:sz w:val="24"/>
          <w:highlight w:val="none"/>
          <w:u w:val="none"/>
        </w:rPr>
        <w:t>施工区</w:t>
      </w:r>
      <w:r>
        <w:rPr>
          <w:rFonts w:hAnsi="宋体"/>
          <w:color w:val="auto"/>
          <w:sz w:val="24"/>
          <w:highlight w:val="none"/>
          <w:u w:val="none"/>
        </w:rPr>
        <w:t>边界设置1个大气环境监测点。监测项目为TSP、NO</w:t>
      </w:r>
      <w:r>
        <w:rPr>
          <w:rFonts w:hint="eastAsia" w:hAnsi="宋体"/>
          <w:color w:val="auto"/>
          <w:sz w:val="24"/>
          <w:highlight w:val="none"/>
          <w:u w:val="none"/>
          <w:vertAlign w:val="subscript"/>
        </w:rPr>
        <w:t>x</w:t>
      </w:r>
      <w:r>
        <w:rPr>
          <w:rFonts w:hAnsi="宋体"/>
          <w:color w:val="auto"/>
          <w:sz w:val="24"/>
          <w:highlight w:val="none"/>
          <w:u w:val="none"/>
        </w:rPr>
        <w:t>。施工期间，共监测1次。监测方法按国家环保部规定的大气监测方法进行。</w:t>
      </w:r>
    </w:p>
    <w:p w14:paraId="1E61A5C7">
      <w:pPr>
        <w:autoSpaceDE w:val="0"/>
        <w:spacing w:line="360" w:lineRule="auto"/>
        <w:ind w:firstLine="480" w:firstLineChars="200"/>
        <w:rPr>
          <w:rFonts w:hAnsi="宋体"/>
          <w:color w:val="auto"/>
          <w:sz w:val="24"/>
          <w:highlight w:val="none"/>
          <w:u w:val="none"/>
        </w:rPr>
      </w:pPr>
      <w:bookmarkStart w:id="114" w:name="_Toc345395931"/>
      <w:r>
        <w:rPr>
          <w:rFonts w:hAnsi="宋体"/>
          <w:color w:val="auto"/>
          <w:sz w:val="24"/>
          <w:highlight w:val="none"/>
          <w:u w:val="none"/>
        </w:rPr>
        <w:t>（3）水质监测</w:t>
      </w:r>
      <w:bookmarkEnd w:id="114"/>
    </w:p>
    <w:p w14:paraId="2D188C91">
      <w:pPr>
        <w:spacing w:line="360" w:lineRule="auto"/>
        <w:ind w:firstLine="504" w:firstLineChars="200"/>
        <w:rPr>
          <w:bCs/>
          <w:color w:val="auto"/>
          <w:spacing w:val="6"/>
          <w:sz w:val="24"/>
          <w:highlight w:val="none"/>
          <w:u w:val="none"/>
        </w:rPr>
      </w:pPr>
      <w:r>
        <w:rPr>
          <w:bCs/>
          <w:color w:val="auto"/>
          <w:spacing w:val="6"/>
          <w:sz w:val="24"/>
          <w:highlight w:val="none"/>
          <w:u w:val="none"/>
        </w:rPr>
        <w:fldChar w:fldCharType="begin"/>
      </w:r>
      <w:r>
        <w:rPr>
          <w:bCs/>
          <w:color w:val="auto"/>
          <w:spacing w:val="6"/>
          <w:sz w:val="24"/>
          <w:highlight w:val="none"/>
          <w:u w:val="none"/>
        </w:rPr>
        <w:instrText xml:space="preserve"> = 1 \* GB3 \* MERGEFORMAT </w:instrText>
      </w:r>
      <w:r>
        <w:rPr>
          <w:bCs/>
          <w:color w:val="auto"/>
          <w:spacing w:val="6"/>
          <w:sz w:val="24"/>
          <w:highlight w:val="none"/>
          <w:u w:val="none"/>
        </w:rPr>
        <w:fldChar w:fldCharType="separate"/>
      </w:r>
      <w:r>
        <w:rPr>
          <w:bCs/>
          <w:color w:val="auto"/>
          <w:spacing w:val="6"/>
          <w:sz w:val="24"/>
          <w:highlight w:val="none"/>
          <w:u w:val="none"/>
        </w:rPr>
        <w:t>①</w:t>
      </w:r>
      <w:r>
        <w:rPr>
          <w:bCs/>
          <w:color w:val="auto"/>
          <w:spacing w:val="6"/>
          <w:sz w:val="24"/>
          <w:highlight w:val="none"/>
          <w:u w:val="none"/>
        </w:rPr>
        <w:fldChar w:fldCharType="end"/>
      </w:r>
      <w:r>
        <w:rPr>
          <w:bCs/>
          <w:color w:val="auto"/>
          <w:spacing w:val="6"/>
          <w:sz w:val="24"/>
          <w:highlight w:val="none"/>
          <w:u w:val="none"/>
        </w:rPr>
        <w:t>施工期：施工生产废水经隔油沉淀处理后作为洒水降尘，不外排；施工人员生活污水经化粪池处理后用于农家肥，不外排。</w:t>
      </w:r>
    </w:p>
    <w:p w14:paraId="16444A08">
      <w:pPr>
        <w:spacing w:line="360" w:lineRule="auto"/>
        <w:ind w:firstLine="504" w:firstLineChars="200"/>
        <w:rPr>
          <w:bCs/>
          <w:color w:val="auto"/>
          <w:spacing w:val="6"/>
          <w:sz w:val="24"/>
          <w:highlight w:val="none"/>
          <w:u w:val="none"/>
        </w:rPr>
      </w:pPr>
      <w:r>
        <w:rPr>
          <w:bCs/>
          <w:color w:val="auto"/>
          <w:spacing w:val="6"/>
          <w:sz w:val="24"/>
          <w:highlight w:val="none"/>
          <w:u w:val="none"/>
        </w:rPr>
        <w:fldChar w:fldCharType="begin"/>
      </w:r>
      <w:r>
        <w:rPr>
          <w:bCs/>
          <w:color w:val="auto"/>
          <w:spacing w:val="6"/>
          <w:sz w:val="24"/>
          <w:highlight w:val="none"/>
          <w:u w:val="none"/>
        </w:rPr>
        <w:instrText xml:space="preserve"> = 2 \* GB3 \* MERGEFORMAT </w:instrText>
      </w:r>
      <w:r>
        <w:rPr>
          <w:bCs/>
          <w:color w:val="auto"/>
          <w:spacing w:val="6"/>
          <w:sz w:val="24"/>
          <w:highlight w:val="none"/>
          <w:u w:val="none"/>
        </w:rPr>
        <w:fldChar w:fldCharType="separate"/>
      </w:r>
      <w:r>
        <w:rPr>
          <w:bCs/>
          <w:color w:val="auto"/>
          <w:spacing w:val="6"/>
          <w:sz w:val="24"/>
          <w:highlight w:val="none"/>
          <w:u w:val="none"/>
        </w:rPr>
        <w:t>②</w:t>
      </w:r>
      <w:r>
        <w:rPr>
          <w:bCs/>
          <w:color w:val="auto"/>
          <w:spacing w:val="6"/>
          <w:sz w:val="24"/>
          <w:highlight w:val="none"/>
          <w:u w:val="none"/>
        </w:rPr>
        <w:fldChar w:fldCharType="end"/>
      </w:r>
      <w:r>
        <w:rPr>
          <w:bCs/>
          <w:color w:val="auto"/>
          <w:spacing w:val="6"/>
          <w:sz w:val="24"/>
          <w:highlight w:val="none"/>
          <w:u w:val="none"/>
        </w:rPr>
        <w:t>营运期：在正常情况下，风机运行不会产生生产废水</w:t>
      </w:r>
      <w:r>
        <w:rPr>
          <w:rFonts w:hint="eastAsia"/>
          <w:bCs/>
          <w:color w:val="auto"/>
          <w:spacing w:val="6"/>
          <w:sz w:val="24"/>
          <w:highlight w:val="none"/>
          <w:u w:val="none"/>
        </w:rPr>
        <w:t>，</w:t>
      </w:r>
      <w:r>
        <w:rPr>
          <w:bCs/>
          <w:color w:val="auto"/>
          <w:spacing w:val="6"/>
          <w:sz w:val="24"/>
          <w:highlight w:val="none"/>
          <w:u w:val="none"/>
        </w:rPr>
        <w:t>营运期生活污水经化粪池预处理后，</w:t>
      </w:r>
      <w:r>
        <w:rPr>
          <w:rFonts w:hint="eastAsia"/>
          <w:bCs/>
          <w:color w:val="auto"/>
          <w:spacing w:val="6"/>
          <w:sz w:val="24"/>
          <w:highlight w:val="none"/>
          <w:u w:val="none"/>
        </w:rPr>
        <w:t>再</w:t>
      </w:r>
      <w:r>
        <w:rPr>
          <w:bCs/>
          <w:color w:val="auto"/>
          <w:spacing w:val="6"/>
          <w:sz w:val="24"/>
          <w:highlight w:val="none"/>
          <w:u w:val="none"/>
        </w:rPr>
        <w:t>经一体化污水处理设施处理</w:t>
      </w:r>
      <w:r>
        <w:rPr>
          <w:rFonts w:hint="eastAsia"/>
          <w:bCs/>
          <w:color w:val="auto"/>
          <w:spacing w:val="6"/>
          <w:sz w:val="24"/>
          <w:highlight w:val="none"/>
          <w:u w:val="none"/>
        </w:rPr>
        <w:t>后用于绿化</w:t>
      </w:r>
      <w:r>
        <w:rPr>
          <w:bCs/>
          <w:color w:val="auto"/>
          <w:spacing w:val="6"/>
          <w:sz w:val="24"/>
          <w:highlight w:val="none"/>
          <w:u w:val="none"/>
        </w:rPr>
        <w:t>，不外排。</w:t>
      </w:r>
    </w:p>
    <w:p w14:paraId="03D2ACB2">
      <w:pPr>
        <w:spacing w:line="360" w:lineRule="auto"/>
        <w:ind w:firstLine="504" w:firstLineChars="200"/>
        <w:rPr>
          <w:bCs/>
          <w:color w:val="auto"/>
          <w:spacing w:val="6"/>
          <w:sz w:val="24"/>
          <w:highlight w:val="none"/>
          <w:u w:val="none"/>
        </w:rPr>
      </w:pPr>
      <w:r>
        <w:rPr>
          <w:rFonts w:hint="eastAsia"/>
          <w:bCs/>
          <w:color w:val="auto"/>
          <w:spacing w:val="6"/>
          <w:sz w:val="24"/>
          <w:highlight w:val="none"/>
          <w:u w:val="none"/>
        </w:rPr>
        <w:t>施工期对施工区周边设</w:t>
      </w:r>
      <w:r>
        <w:rPr>
          <w:rFonts w:hint="eastAsia"/>
          <w:bCs/>
          <w:color w:val="auto"/>
          <w:spacing w:val="6"/>
          <w:sz w:val="24"/>
          <w:highlight w:val="none"/>
          <w:u w:val="none"/>
          <w:lang w:val="en-US" w:eastAsia="zh-CN"/>
        </w:rPr>
        <w:t>1</w:t>
      </w:r>
      <w:r>
        <w:rPr>
          <w:rFonts w:hint="eastAsia"/>
          <w:bCs/>
          <w:color w:val="auto"/>
          <w:spacing w:val="6"/>
          <w:sz w:val="24"/>
          <w:highlight w:val="none"/>
          <w:u w:val="none"/>
        </w:rPr>
        <w:t>个监测断面，为</w:t>
      </w:r>
      <w:r>
        <w:rPr>
          <w:rFonts w:hint="eastAsia"/>
          <w:bCs/>
          <w:color w:val="auto"/>
          <w:spacing w:val="6"/>
          <w:sz w:val="24"/>
          <w:highlight w:val="none"/>
          <w:u w:val="none"/>
          <w:lang w:eastAsia="zh-CN"/>
        </w:rPr>
        <w:t>寿岭冲</w:t>
      </w:r>
      <w:r>
        <w:rPr>
          <w:rFonts w:hint="eastAsia"/>
          <w:bCs/>
          <w:color w:val="auto"/>
          <w:spacing w:val="6"/>
          <w:sz w:val="24"/>
          <w:highlight w:val="none"/>
          <w:u w:val="none"/>
        </w:rPr>
        <w:t>水库。</w:t>
      </w:r>
    </w:p>
    <w:p w14:paraId="22C13F85">
      <w:pPr>
        <w:spacing w:line="360" w:lineRule="auto"/>
        <w:ind w:firstLine="504" w:firstLineChars="200"/>
        <w:rPr>
          <w:bCs/>
          <w:color w:val="auto"/>
          <w:spacing w:val="6"/>
          <w:sz w:val="24"/>
          <w:highlight w:val="none"/>
          <w:u w:val="none"/>
        </w:rPr>
      </w:pPr>
      <w:r>
        <w:rPr>
          <w:bCs/>
          <w:color w:val="auto"/>
          <w:spacing w:val="6"/>
          <w:sz w:val="24"/>
          <w:highlight w:val="none"/>
          <w:u w:val="none"/>
        </w:rPr>
        <w:t>水质监测项目为</w:t>
      </w:r>
      <w:r>
        <w:rPr>
          <w:rFonts w:hint="default"/>
          <w:bCs/>
          <w:color w:val="auto"/>
          <w:spacing w:val="6"/>
          <w:sz w:val="24"/>
          <w:highlight w:val="none"/>
          <w:u w:val="none"/>
        </w:rPr>
        <w:t>pH、SS、BOD</w:t>
      </w:r>
      <w:r>
        <w:rPr>
          <w:rFonts w:hint="default"/>
          <w:bCs/>
          <w:color w:val="auto"/>
          <w:spacing w:val="6"/>
          <w:sz w:val="24"/>
          <w:highlight w:val="none"/>
          <w:u w:val="none"/>
          <w:vertAlign w:val="subscript"/>
        </w:rPr>
        <w:t>5</w:t>
      </w:r>
      <w:r>
        <w:rPr>
          <w:rFonts w:hint="default"/>
          <w:bCs/>
          <w:color w:val="auto"/>
          <w:spacing w:val="6"/>
          <w:sz w:val="24"/>
          <w:highlight w:val="none"/>
          <w:u w:val="none"/>
        </w:rPr>
        <w:t>、COD</w:t>
      </w:r>
      <w:r>
        <w:rPr>
          <w:rFonts w:hint="default"/>
          <w:bCs/>
          <w:color w:val="auto"/>
          <w:spacing w:val="6"/>
          <w:sz w:val="24"/>
          <w:highlight w:val="none"/>
          <w:u w:val="none"/>
          <w:vertAlign w:val="subscript"/>
        </w:rPr>
        <w:t>Cr</w:t>
      </w:r>
      <w:r>
        <w:rPr>
          <w:rFonts w:hint="default"/>
          <w:bCs/>
          <w:color w:val="auto"/>
          <w:spacing w:val="6"/>
          <w:sz w:val="24"/>
          <w:highlight w:val="none"/>
          <w:u w:val="none"/>
        </w:rPr>
        <w:t>、氨氮、石油类</w:t>
      </w:r>
      <w:r>
        <w:rPr>
          <w:rFonts w:hint="eastAsia"/>
          <w:bCs/>
          <w:color w:val="auto"/>
          <w:spacing w:val="6"/>
          <w:sz w:val="24"/>
          <w:highlight w:val="none"/>
          <w:u w:val="none"/>
          <w:lang w:eastAsia="zh-CN"/>
        </w:rPr>
        <w:t>、</w:t>
      </w:r>
      <w:r>
        <w:rPr>
          <w:rFonts w:hint="eastAsia"/>
          <w:bCs/>
          <w:color w:val="auto"/>
          <w:spacing w:val="6"/>
          <w:sz w:val="24"/>
          <w:highlight w:val="none"/>
          <w:u w:val="none"/>
          <w:lang w:val="en-US" w:eastAsia="zh-CN"/>
        </w:rPr>
        <w:t>粪大肠菌群、总磷、总氮、叶绿素a、高锰酸盐指数、透明度</w:t>
      </w:r>
      <w:r>
        <w:rPr>
          <w:bCs/>
          <w:color w:val="auto"/>
          <w:spacing w:val="6"/>
          <w:sz w:val="24"/>
          <w:highlight w:val="none"/>
          <w:u w:val="none"/>
        </w:rPr>
        <w:t>等</w:t>
      </w:r>
      <w:r>
        <w:rPr>
          <w:rFonts w:hint="eastAsia"/>
          <w:bCs/>
          <w:color w:val="auto"/>
          <w:spacing w:val="6"/>
          <w:sz w:val="24"/>
          <w:highlight w:val="none"/>
          <w:u w:val="none"/>
          <w:lang w:val="en-US" w:eastAsia="zh-CN"/>
        </w:rPr>
        <w:t>12</w:t>
      </w:r>
      <w:r>
        <w:rPr>
          <w:bCs/>
          <w:color w:val="auto"/>
          <w:spacing w:val="6"/>
          <w:sz w:val="24"/>
          <w:highlight w:val="none"/>
          <w:u w:val="none"/>
        </w:rPr>
        <w:t>项。监测频次</w:t>
      </w:r>
      <w:r>
        <w:rPr>
          <w:rFonts w:hint="eastAsia"/>
          <w:bCs/>
          <w:color w:val="auto"/>
          <w:spacing w:val="6"/>
          <w:sz w:val="24"/>
          <w:highlight w:val="none"/>
          <w:u w:val="none"/>
        </w:rPr>
        <w:t>：施工期</w:t>
      </w:r>
      <w:r>
        <w:rPr>
          <w:bCs/>
          <w:color w:val="auto"/>
          <w:spacing w:val="6"/>
          <w:sz w:val="24"/>
          <w:highlight w:val="none"/>
          <w:u w:val="none"/>
        </w:rPr>
        <w:t>为每半年监测1次，</w:t>
      </w:r>
      <w:r>
        <w:rPr>
          <w:rFonts w:hint="eastAsia"/>
          <w:bCs/>
          <w:color w:val="auto"/>
          <w:spacing w:val="6"/>
          <w:sz w:val="24"/>
          <w:highlight w:val="none"/>
          <w:u w:val="none"/>
        </w:rPr>
        <w:t>运营期</w:t>
      </w:r>
      <w:r>
        <w:rPr>
          <w:bCs/>
          <w:color w:val="auto"/>
          <w:spacing w:val="6"/>
          <w:sz w:val="24"/>
          <w:highlight w:val="none"/>
          <w:u w:val="none"/>
        </w:rPr>
        <w:t>为每</w:t>
      </w:r>
      <w:r>
        <w:rPr>
          <w:rFonts w:hint="eastAsia"/>
          <w:bCs/>
          <w:color w:val="auto"/>
          <w:spacing w:val="6"/>
          <w:sz w:val="24"/>
          <w:highlight w:val="none"/>
          <w:u w:val="none"/>
        </w:rPr>
        <w:t>季度</w:t>
      </w:r>
      <w:r>
        <w:rPr>
          <w:bCs/>
          <w:color w:val="auto"/>
          <w:spacing w:val="6"/>
          <w:sz w:val="24"/>
          <w:highlight w:val="none"/>
          <w:u w:val="none"/>
        </w:rPr>
        <w:t>监测1次。监测方法按照《环境监测技术规范》和《地表水环境质量标准》（GB3838-2002）等相关规范标准进行。</w:t>
      </w:r>
    </w:p>
    <w:p w14:paraId="788263DC">
      <w:pPr>
        <w:autoSpaceDE w:val="0"/>
        <w:spacing w:line="360" w:lineRule="auto"/>
        <w:ind w:firstLine="480" w:firstLineChars="200"/>
        <w:rPr>
          <w:color w:val="auto"/>
          <w:sz w:val="24"/>
          <w:highlight w:val="none"/>
          <w:u w:val="none"/>
        </w:rPr>
      </w:pPr>
      <w:bookmarkStart w:id="115" w:name="_Toc288747704"/>
      <w:bookmarkStart w:id="116" w:name="_Toc288736237"/>
      <w:bookmarkStart w:id="117" w:name="_Toc345395933"/>
      <w:r>
        <w:rPr>
          <w:color w:val="auto"/>
          <w:sz w:val="24"/>
          <w:highlight w:val="none"/>
          <w:u w:val="none"/>
        </w:rPr>
        <w:t>（3）声环境监测</w:t>
      </w:r>
      <w:bookmarkEnd w:id="115"/>
      <w:bookmarkEnd w:id="116"/>
      <w:bookmarkEnd w:id="117"/>
    </w:p>
    <w:p w14:paraId="6BE14D6B">
      <w:pPr>
        <w:spacing w:line="360" w:lineRule="auto"/>
        <w:ind w:firstLine="504" w:firstLineChars="200"/>
        <w:rPr>
          <w:bCs/>
          <w:color w:val="auto"/>
          <w:spacing w:val="6"/>
          <w:sz w:val="24"/>
          <w:highlight w:val="none"/>
          <w:u w:val="none"/>
        </w:rPr>
      </w:pPr>
      <w:r>
        <w:rPr>
          <w:bCs/>
          <w:color w:val="auto"/>
          <w:spacing w:val="6"/>
          <w:sz w:val="24"/>
          <w:highlight w:val="none"/>
          <w:u w:val="none"/>
        </w:rPr>
        <w:fldChar w:fldCharType="begin"/>
      </w:r>
      <w:r>
        <w:rPr>
          <w:bCs/>
          <w:color w:val="auto"/>
          <w:spacing w:val="6"/>
          <w:sz w:val="24"/>
          <w:highlight w:val="none"/>
          <w:u w:val="none"/>
        </w:rPr>
        <w:instrText xml:space="preserve"> = 1 \* GB3 \* MERGEFORMAT </w:instrText>
      </w:r>
      <w:r>
        <w:rPr>
          <w:bCs/>
          <w:color w:val="auto"/>
          <w:spacing w:val="6"/>
          <w:sz w:val="24"/>
          <w:highlight w:val="none"/>
          <w:u w:val="none"/>
        </w:rPr>
        <w:fldChar w:fldCharType="separate"/>
      </w:r>
      <w:r>
        <w:rPr>
          <w:bCs/>
          <w:color w:val="auto"/>
          <w:spacing w:val="6"/>
          <w:sz w:val="24"/>
          <w:highlight w:val="none"/>
          <w:u w:val="none"/>
        </w:rPr>
        <w:t>①</w:t>
      </w:r>
      <w:r>
        <w:rPr>
          <w:bCs/>
          <w:color w:val="auto"/>
          <w:spacing w:val="6"/>
          <w:sz w:val="24"/>
          <w:highlight w:val="none"/>
          <w:u w:val="none"/>
        </w:rPr>
        <w:fldChar w:fldCharType="end"/>
      </w:r>
      <w:r>
        <w:rPr>
          <w:bCs/>
          <w:color w:val="auto"/>
          <w:spacing w:val="6"/>
          <w:sz w:val="24"/>
          <w:highlight w:val="none"/>
          <w:u w:val="none"/>
        </w:rPr>
        <w:t>施工期：根据施工进度、噪声源的分布状况，设定噪声监测点。环境噪声监测</w:t>
      </w:r>
      <w:r>
        <w:rPr>
          <w:rFonts w:hint="eastAsia"/>
          <w:bCs/>
          <w:color w:val="auto"/>
          <w:spacing w:val="6"/>
          <w:sz w:val="24"/>
          <w:highlight w:val="none"/>
          <w:u w:val="none"/>
          <w:lang w:eastAsia="zh-CN"/>
        </w:rPr>
        <w:t>设置在马杜桥乡高峰村、老屋塘村</w:t>
      </w:r>
      <w:r>
        <w:rPr>
          <w:color w:val="auto"/>
          <w:sz w:val="24"/>
          <w:highlight w:val="none"/>
          <w:u w:val="none"/>
        </w:rPr>
        <w:t>居民点</w:t>
      </w:r>
      <w:r>
        <w:rPr>
          <w:bCs/>
          <w:color w:val="auto"/>
          <w:spacing w:val="6"/>
          <w:sz w:val="24"/>
          <w:highlight w:val="none"/>
          <w:u w:val="none"/>
        </w:rPr>
        <w:t>，监测因子为Leq（A）。工程施工期间，每年各季度监测1天，每一测点仅在昼间测量。监测方法按照《环境监测技术规范》和《声环境质量标准》（GB3096-2008）等相关规范标准进行。</w:t>
      </w:r>
    </w:p>
    <w:p w14:paraId="5056AF6D">
      <w:pPr>
        <w:spacing w:line="360" w:lineRule="auto"/>
        <w:ind w:firstLine="504" w:firstLineChars="200"/>
        <w:rPr>
          <w:color w:val="auto"/>
          <w:sz w:val="24"/>
          <w:highlight w:val="none"/>
          <w:u w:val="none"/>
        </w:rPr>
      </w:pPr>
      <w:r>
        <w:rPr>
          <w:bCs/>
          <w:color w:val="auto"/>
          <w:spacing w:val="6"/>
          <w:sz w:val="24"/>
          <w:highlight w:val="none"/>
          <w:u w:val="none"/>
        </w:rPr>
        <w:fldChar w:fldCharType="begin"/>
      </w:r>
      <w:r>
        <w:rPr>
          <w:bCs/>
          <w:color w:val="auto"/>
          <w:spacing w:val="6"/>
          <w:sz w:val="24"/>
          <w:highlight w:val="none"/>
          <w:u w:val="none"/>
        </w:rPr>
        <w:instrText xml:space="preserve"> = 2 \* GB3 \* MERGEFORMAT </w:instrText>
      </w:r>
      <w:r>
        <w:rPr>
          <w:bCs/>
          <w:color w:val="auto"/>
          <w:spacing w:val="6"/>
          <w:sz w:val="24"/>
          <w:highlight w:val="none"/>
          <w:u w:val="none"/>
        </w:rPr>
        <w:fldChar w:fldCharType="separate"/>
      </w:r>
      <w:r>
        <w:rPr>
          <w:bCs/>
          <w:color w:val="auto"/>
          <w:spacing w:val="6"/>
          <w:sz w:val="24"/>
          <w:highlight w:val="none"/>
          <w:u w:val="none"/>
        </w:rPr>
        <w:t>②</w:t>
      </w:r>
      <w:r>
        <w:rPr>
          <w:bCs/>
          <w:color w:val="auto"/>
          <w:spacing w:val="6"/>
          <w:sz w:val="24"/>
          <w:highlight w:val="none"/>
          <w:u w:val="none"/>
        </w:rPr>
        <w:fldChar w:fldCharType="end"/>
      </w:r>
      <w:r>
        <w:rPr>
          <w:bCs/>
          <w:color w:val="auto"/>
          <w:spacing w:val="6"/>
          <w:sz w:val="24"/>
          <w:highlight w:val="none"/>
          <w:u w:val="none"/>
        </w:rPr>
        <w:t>营运期：环境噪声监测点设在风电场边界、</w:t>
      </w:r>
      <w:r>
        <w:rPr>
          <w:rFonts w:hint="eastAsia"/>
          <w:bCs/>
          <w:color w:val="auto"/>
          <w:spacing w:val="6"/>
          <w:sz w:val="24"/>
          <w:highlight w:val="none"/>
          <w:u w:val="none"/>
        </w:rPr>
        <w:t>升压</w:t>
      </w:r>
      <w:r>
        <w:rPr>
          <w:bCs/>
          <w:color w:val="auto"/>
          <w:spacing w:val="6"/>
          <w:sz w:val="24"/>
          <w:highlight w:val="none"/>
          <w:u w:val="none"/>
        </w:rPr>
        <w:t>站、</w:t>
      </w:r>
      <w:r>
        <w:rPr>
          <w:rFonts w:hint="eastAsia"/>
          <w:bCs/>
          <w:color w:val="auto"/>
          <w:spacing w:val="6"/>
          <w:sz w:val="24"/>
          <w:highlight w:val="none"/>
          <w:u w:val="none"/>
        </w:rPr>
        <w:t>风机</w:t>
      </w:r>
      <w:r>
        <w:rPr>
          <w:bCs/>
          <w:color w:val="auto"/>
          <w:spacing w:val="6"/>
          <w:sz w:val="24"/>
          <w:highlight w:val="none"/>
          <w:u w:val="none"/>
        </w:rPr>
        <w:t>500</w:t>
      </w:r>
      <w:r>
        <w:rPr>
          <w:rFonts w:hint="eastAsia"/>
          <w:bCs/>
          <w:color w:val="auto"/>
          <w:spacing w:val="6"/>
          <w:sz w:val="24"/>
          <w:highlight w:val="none"/>
          <w:u w:val="none"/>
        </w:rPr>
        <w:t>m内居</w:t>
      </w:r>
      <w:r>
        <w:rPr>
          <w:color w:val="auto"/>
          <w:sz w:val="24"/>
          <w:highlight w:val="none"/>
          <w:u w:val="none"/>
        </w:rPr>
        <w:t>民点</w:t>
      </w:r>
      <w:r>
        <w:rPr>
          <w:bCs/>
          <w:color w:val="auto"/>
          <w:spacing w:val="6"/>
          <w:sz w:val="24"/>
          <w:highlight w:val="none"/>
          <w:u w:val="none"/>
        </w:rPr>
        <w:t>，监测因子为Leq（A），并且进行昼间和夜间测量。每年各季度监测1天。监测方法按照《环境监测技术规范》和《声环境质量标准》（GB3096-2008）等相关规范标准进行。</w:t>
      </w:r>
    </w:p>
    <w:p w14:paraId="202EF667">
      <w:pPr>
        <w:autoSpaceDE w:val="0"/>
        <w:spacing w:line="360" w:lineRule="auto"/>
        <w:ind w:firstLine="480" w:firstLineChars="200"/>
        <w:rPr>
          <w:color w:val="auto"/>
          <w:sz w:val="24"/>
          <w:highlight w:val="none"/>
          <w:u w:val="none"/>
        </w:rPr>
      </w:pPr>
      <w:r>
        <w:rPr>
          <w:color w:val="auto"/>
          <w:sz w:val="24"/>
          <w:highlight w:val="none"/>
          <w:u w:val="none"/>
        </w:rPr>
        <w:t>（4）电磁场监测</w:t>
      </w:r>
    </w:p>
    <w:p w14:paraId="47AC32A7">
      <w:pPr>
        <w:autoSpaceDE w:val="0"/>
        <w:spacing w:line="360" w:lineRule="auto"/>
        <w:ind w:firstLine="480" w:firstLineChars="200"/>
        <w:rPr>
          <w:color w:val="auto"/>
          <w:sz w:val="24"/>
          <w:highlight w:val="none"/>
          <w:u w:val="none"/>
        </w:rPr>
      </w:pPr>
      <w:r>
        <w:rPr>
          <w:color w:val="auto"/>
          <w:sz w:val="24"/>
          <w:highlight w:val="none"/>
          <w:u w:val="none"/>
        </w:rPr>
        <w:t>施工期：本项目施工期无电磁辐射产生，故施工期不设电磁辐射监测点。</w:t>
      </w:r>
    </w:p>
    <w:p w14:paraId="2217BFF0">
      <w:pPr>
        <w:spacing w:line="360" w:lineRule="auto"/>
        <w:ind w:firstLine="480" w:firstLineChars="200"/>
        <w:rPr>
          <w:bCs/>
          <w:color w:val="auto"/>
          <w:spacing w:val="6"/>
          <w:sz w:val="24"/>
          <w:highlight w:val="none"/>
          <w:u w:val="none"/>
        </w:rPr>
      </w:pPr>
      <w:r>
        <w:rPr>
          <w:color w:val="auto"/>
          <w:sz w:val="24"/>
          <w:highlight w:val="none"/>
          <w:u w:val="none"/>
        </w:rPr>
        <w:t>运营期：本工程完成后，正式投产后第一年结合竣工环境保护验收监测一次。按相关规范在升压站围墙外进行电场强度、磁感应强度监测。</w:t>
      </w:r>
    </w:p>
    <w:p w14:paraId="7CB47226">
      <w:pPr>
        <w:spacing w:line="360" w:lineRule="auto"/>
        <w:ind w:firstLine="480" w:firstLineChars="200"/>
        <w:rPr>
          <w:color w:val="auto"/>
          <w:sz w:val="24"/>
          <w:highlight w:val="none"/>
        </w:rPr>
      </w:pPr>
      <w:r>
        <w:rPr>
          <w:rFonts w:hint="eastAsia"/>
          <w:color w:val="auto"/>
          <w:sz w:val="24"/>
          <w:highlight w:val="none"/>
        </w:rPr>
        <w:t>本项目监测计划汇总表见表</w:t>
      </w:r>
      <w:r>
        <w:rPr>
          <w:rFonts w:hint="eastAsia"/>
          <w:color w:val="auto"/>
          <w:sz w:val="24"/>
          <w:highlight w:val="none"/>
          <w:lang w:val="en-US" w:eastAsia="zh-CN"/>
        </w:rPr>
        <w:t>10.2</w:t>
      </w:r>
      <w:r>
        <w:rPr>
          <w:color w:val="auto"/>
          <w:sz w:val="24"/>
          <w:highlight w:val="none"/>
        </w:rPr>
        <w:t>-1</w:t>
      </w:r>
      <w:r>
        <w:rPr>
          <w:rFonts w:hint="eastAsia"/>
          <w:color w:val="auto"/>
          <w:sz w:val="24"/>
          <w:highlight w:val="none"/>
        </w:rPr>
        <w:t>。</w:t>
      </w:r>
    </w:p>
    <w:p w14:paraId="514EC36A">
      <w:pPr>
        <w:pStyle w:val="46"/>
        <w:bidi w:val="0"/>
        <w:rPr>
          <w:b/>
          <w:bCs/>
          <w:color w:val="auto"/>
          <w:szCs w:val="21"/>
          <w:highlight w:val="none"/>
        </w:rPr>
      </w:pPr>
      <w:r>
        <w:rPr>
          <w:rFonts w:hint="eastAsia"/>
        </w:rPr>
        <w:t>表</w:t>
      </w:r>
      <w:r>
        <w:rPr>
          <w:rFonts w:hint="eastAsia"/>
          <w:lang w:val="en-US" w:eastAsia="zh-CN"/>
        </w:rPr>
        <w:t>10.2</w:t>
      </w:r>
      <w:r>
        <w:rPr>
          <w:rFonts w:hint="eastAsia"/>
        </w:rPr>
        <w:t>-</w:t>
      </w:r>
      <w:r>
        <w:t>1</w:t>
      </w:r>
      <w:r>
        <w:rPr>
          <w:rFonts w:hint="eastAsia"/>
          <w:lang w:val="en-US" w:eastAsia="zh-CN"/>
        </w:rPr>
        <w:t xml:space="preserve">  </w:t>
      </w:r>
      <w:r>
        <w:rPr>
          <w:rFonts w:hint="eastAsia"/>
        </w:rPr>
        <w:t>监测计划汇总表</w:t>
      </w:r>
    </w:p>
    <w:tbl>
      <w:tblPr>
        <w:tblStyle w:val="1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125"/>
        <w:gridCol w:w="2563"/>
        <w:gridCol w:w="2064"/>
        <w:gridCol w:w="1636"/>
      </w:tblGrid>
      <w:tr w14:paraId="6EBA4F2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8" w:type="dxa"/>
            <w:tcBorders>
              <w:tl2br w:val="nil"/>
              <w:tr2bl w:val="nil"/>
            </w:tcBorders>
            <w:noWrap w:val="0"/>
            <w:vAlign w:val="center"/>
          </w:tcPr>
          <w:p w14:paraId="1DD82805">
            <w:pPr>
              <w:pStyle w:val="23"/>
              <w:bidi w:val="0"/>
              <w:rPr>
                <w:color w:val="auto"/>
                <w:highlight w:val="none"/>
              </w:rPr>
            </w:pPr>
            <w:r>
              <w:rPr>
                <w:color w:val="auto"/>
                <w:highlight w:val="none"/>
              </w:rPr>
              <w:t>要素</w:t>
            </w:r>
          </w:p>
        </w:tc>
        <w:tc>
          <w:tcPr>
            <w:tcW w:w="1069" w:type="dxa"/>
            <w:tcBorders>
              <w:tl2br w:val="nil"/>
              <w:tr2bl w:val="nil"/>
            </w:tcBorders>
            <w:noWrap w:val="0"/>
            <w:vAlign w:val="center"/>
          </w:tcPr>
          <w:p w14:paraId="454E820C">
            <w:pPr>
              <w:pStyle w:val="23"/>
              <w:bidi w:val="0"/>
              <w:rPr>
                <w:color w:val="auto"/>
                <w:highlight w:val="none"/>
              </w:rPr>
            </w:pPr>
            <w:r>
              <w:rPr>
                <w:color w:val="auto"/>
                <w:highlight w:val="none"/>
              </w:rPr>
              <w:t>阶段</w:t>
            </w:r>
          </w:p>
        </w:tc>
        <w:tc>
          <w:tcPr>
            <w:tcW w:w="2436" w:type="dxa"/>
            <w:tcBorders>
              <w:tl2br w:val="nil"/>
              <w:tr2bl w:val="nil"/>
            </w:tcBorders>
            <w:noWrap w:val="0"/>
            <w:vAlign w:val="center"/>
          </w:tcPr>
          <w:p w14:paraId="1A963D32">
            <w:pPr>
              <w:pStyle w:val="23"/>
              <w:bidi w:val="0"/>
              <w:rPr>
                <w:color w:val="auto"/>
                <w:highlight w:val="none"/>
              </w:rPr>
            </w:pPr>
            <w:r>
              <w:rPr>
                <w:color w:val="auto"/>
                <w:highlight w:val="none"/>
              </w:rPr>
              <w:t>监测地点</w:t>
            </w:r>
          </w:p>
        </w:tc>
        <w:tc>
          <w:tcPr>
            <w:tcW w:w="1962" w:type="dxa"/>
            <w:tcBorders>
              <w:tl2br w:val="nil"/>
              <w:tr2bl w:val="nil"/>
            </w:tcBorders>
            <w:noWrap w:val="0"/>
            <w:vAlign w:val="center"/>
          </w:tcPr>
          <w:p w14:paraId="149622C4">
            <w:pPr>
              <w:pStyle w:val="23"/>
              <w:bidi w:val="0"/>
              <w:rPr>
                <w:color w:val="auto"/>
                <w:highlight w:val="none"/>
              </w:rPr>
            </w:pPr>
            <w:r>
              <w:rPr>
                <w:color w:val="auto"/>
                <w:highlight w:val="none"/>
              </w:rPr>
              <w:t>监测项目</w:t>
            </w:r>
          </w:p>
        </w:tc>
        <w:tc>
          <w:tcPr>
            <w:tcW w:w="1555" w:type="dxa"/>
            <w:tcBorders>
              <w:tl2br w:val="nil"/>
              <w:tr2bl w:val="nil"/>
            </w:tcBorders>
            <w:noWrap w:val="0"/>
            <w:vAlign w:val="center"/>
          </w:tcPr>
          <w:p w14:paraId="63EF661A">
            <w:pPr>
              <w:pStyle w:val="23"/>
              <w:bidi w:val="0"/>
              <w:rPr>
                <w:color w:val="auto"/>
                <w:highlight w:val="none"/>
              </w:rPr>
            </w:pPr>
            <w:r>
              <w:rPr>
                <w:color w:val="auto"/>
                <w:highlight w:val="none"/>
              </w:rPr>
              <w:t>监测频次</w:t>
            </w:r>
          </w:p>
        </w:tc>
      </w:tr>
      <w:tr w14:paraId="61427D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8" w:type="dxa"/>
            <w:tcBorders>
              <w:tl2br w:val="nil"/>
              <w:tr2bl w:val="nil"/>
            </w:tcBorders>
            <w:noWrap w:val="0"/>
            <w:vAlign w:val="center"/>
          </w:tcPr>
          <w:p w14:paraId="796B7F32">
            <w:pPr>
              <w:pStyle w:val="23"/>
              <w:bidi w:val="0"/>
              <w:rPr>
                <w:color w:val="auto"/>
                <w:highlight w:val="none"/>
              </w:rPr>
            </w:pPr>
            <w:r>
              <w:rPr>
                <w:color w:val="auto"/>
                <w:highlight w:val="none"/>
              </w:rPr>
              <w:t>生态环境监测</w:t>
            </w:r>
          </w:p>
        </w:tc>
        <w:tc>
          <w:tcPr>
            <w:tcW w:w="1069" w:type="dxa"/>
            <w:tcBorders>
              <w:tl2br w:val="nil"/>
              <w:tr2bl w:val="nil"/>
            </w:tcBorders>
            <w:noWrap w:val="0"/>
            <w:vAlign w:val="center"/>
          </w:tcPr>
          <w:p w14:paraId="56C8BB32">
            <w:pPr>
              <w:pStyle w:val="23"/>
              <w:bidi w:val="0"/>
              <w:rPr>
                <w:color w:val="auto"/>
                <w:highlight w:val="none"/>
              </w:rPr>
            </w:pPr>
            <w:r>
              <w:rPr>
                <w:rFonts w:hint="eastAsia"/>
                <w:color w:val="auto"/>
                <w:highlight w:val="none"/>
              </w:rPr>
              <w:t>施工期、</w:t>
            </w:r>
            <w:r>
              <w:rPr>
                <w:color w:val="auto"/>
                <w:highlight w:val="none"/>
              </w:rPr>
              <w:t>营运期</w:t>
            </w:r>
          </w:p>
        </w:tc>
        <w:tc>
          <w:tcPr>
            <w:tcW w:w="2436" w:type="dxa"/>
            <w:tcBorders>
              <w:tl2br w:val="nil"/>
              <w:tr2bl w:val="nil"/>
            </w:tcBorders>
            <w:noWrap w:val="0"/>
            <w:vAlign w:val="center"/>
          </w:tcPr>
          <w:p w14:paraId="650A8BB1">
            <w:pPr>
              <w:pStyle w:val="23"/>
              <w:bidi w:val="0"/>
              <w:rPr>
                <w:color w:val="auto"/>
                <w:highlight w:val="none"/>
              </w:rPr>
            </w:pPr>
            <w:r>
              <w:rPr>
                <w:color w:val="auto"/>
                <w:highlight w:val="none"/>
              </w:rPr>
              <w:t>风机基础及箱变基础区、集电线路区、升压站区、施工道路区、施工生产生活区、弃渣场区、表土堆存场区</w:t>
            </w:r>
          </w:p>
        </w:tc>
        <w:tc>
          <w:tcPr>
            <w:tcW w:w="1962" w:type="dxa"/>
            <w:tcBorders>
              <w:tl2br w:val="nil"/>
              <w:tr2bl w:val="nil"/>
            </w:tcBorders>
            <w:noWrap w:val="0"/>
            <w:vAlign w:val="center"/>
          </w:tcPr>
          <w:p w14:paraId="137CEC1C">
            <w:pPr>
              <w:pStyle w:val="23"/>
              <w:bidi w:val="0"/>
              <w:rPr>
                <w:color w:val="auto"/>
                <w:highlight w:val="none"/>
              </w:rPr>
            </w:pPr>
            <w:r>
              <w:rPr>
                <w:color w:val="auto"/>
                <w:highlight w:val="none"/>
              </w:rPr>
              <w:t>植物监测、动物监测</w:t>
            </w:r>
          </w:p>
        </w:tc>
        <w:tc>
          <w:tcPr>
            <w:tcW w:w="1555" w:type="dxa"/>
            <w:tcBorders>
              <w:tl2br w:val="nil"/>
              <w:tr2bl w:val="nil"/>
            </w:tcBorders>
            <w:noWrap w:val="0"/>
            <w:vAlign w:val="center"/>
          </w:tcPr>
          <w:p w14:paraId="593E74A5">
            <w:pPr>
              <w:pStyle w:val="23"/>
              <w:bidi w:val="0"/>
              <w:rPr>
                <w:color w:val="auto"/>
                <w:highlight w:val="none"/>
              </w:rPr>
            </w:pPr>
            <w:r>
              <w:rPr>
                <w:color w:val="auto"/>
                <w:highlight w:val="none"/>
              </w:rPr>
              <w:t>施工前监测1次、施工期监测1次，施工结束后第1、5年各进行1期</w:t>
            </w:r>
          </w:p>
        </w:tc>
      </w:tr>
      <w:tr w14:paraId="2A0129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8" w:type="dxa"/>
            <w:tcBorders>
              <w:tl2br w:val="nil"/>
              <w:tr2bl w:val="nil"/>
            </w:tcBorders>
            <w:noWrap w:val="0"/>
            <w:vAlign w:val="center"/>
          </w:tcPr>
          <w:p w14:paraId="15D2F7FB">
            <w:pPr>
              <w:pStyle w:val="23"/>
              <w:bidi w:val="0"/>
              <w:rPr>
                <w:color w:val="auto"/>
                <w:highlight w:val="none"/>
              </w:rPr>
            </w:pPr>
            <w:r>
              <w:rPr>
                <w:color w:val="auto"/>
                <w:highlight w:val="none"/>
              </w:rPr>
              <w:t>环境空气</w:t>
            </w:r>
          </w:p>
        </w:tc>
        <w:tc>
          <w:tcPr>
            <w:tcW w:w="1069" w:type="dxa"/>
            <w:tcBorders>
              <w:tl2br w:val="nil"/>
              <w:tr2bl w:val="nil"/>
            </w:tcBorders>
            <w:noWrap w:val="0"/>
            <w:vAlign w:val="center"/>
          </w:tcPr>
          <w:p w14:paraId="4AB9EE99">
            <w:pPr>
              <w:pStyle w:val="23"/>
              <w:bidi w:val="0"/>
              <w:rPr>
                <w:color w:val="auto"/>
                <w:highlight w:val="none"/>
              </w:rPr>
            </w:pPr>
            <w:r>
              <w:rPr>
                <w:color w:val="auto"/>
                <w:highlight w:val="none"/>
              </w:rPr>
              <w:t>施工期</w:t>
            </w:r>
          </w:p>
        </w:tc>
        <w:tc>
          <w:tcPr>
            <w:tcW w:w="2436" w:type="dxa"/>
            <w:tcBorders>
              <w:tl2br w:val="nil"/>
              <w:tr2bl w:val="nil"/>
            </w:tcBorders>
            <w:noWrap w:val="0"/>
            <w:vAlign w:val="center"/>
          </w:tcPr>
          <w:p w14:paraId="2AC4D7F9">
            <w:pPr>
              <w:pStyle w:val="23"/>
              <w:bidi w:val="0"/>
              <w:rPr>
                <w:color w:val="auto"/>
                <w:highlight w:val="none"/>
              </w:rPr>
            </w:pPr>
            <w:r>
              <w:rPr>
                <w:color w:val="auto"/>
                <w:highlight w:val="none"/>
              </w:rPr>
              <w:t>升压站</w:t>
            </w:r>
            <w:r>
              <w:rPr>
                <w:rFonts w:hint="eastAsia"/>
                <w:color w:val="auto"/>
                <w:highlight w:val="none"/>
                <w:lang w:val="en-US" w:eastAsia="zh-CN"/>
              </w:rPr>
              <w:t>场址外下风向1m</w:t>
            </w:r>
          </w:p>
        </w:tc>
        <w:tc>
          <w:tcPr>
            <w:tcW w:w="1962" w:type="dxa"/>
            <w:tcBorders>
              <w:tl2br w:val="nil"/>
              <w:tr2bl w:val="nil"/>
            </w:tcBorders>
            <w:noWrap w:val="0"/>
            <w:vAlign w:val="center"/>
          </w:tcPr>
          <w:p w14:paraId="05E82243">
            <w:pPr>
              <w:pStyle w:val="23"/>
              <w:bidi w:val="0"/>
              <w:rPr>
                <w:color w:val="auto"/>
                <w:highlight w:val="none"/>
              </w:rPr>
            </w:pPr>
            <w:r>
              <w:rPr>
                <w:color w:val="auto"/>
                <w:highlight w:val="none"/>
              </w:rPr>
              <w:t>TSP、NO</w:t>
            </w:r>
            <w:r>
              <w:rPr>
                <w:rFonts w:hint="eastAsia"/>
                <w:color w:val="auto"/>
                <w:highlight w:val="none"/>
              </w:rPr>
              <w:t>x</w:t>
            </w:r>
          </w:p>
        </w:tc>
        <w:tc>
          <w:tcPr>
            <w:tcW w:w="1555" w:type="dxa"/>
            <w:tcBorders>
              <w:tl2br w:val="nil"/>
              <w:tr2bl w:val="nil"/>
            </w:tcBorders>
            <w:noWrap w:val="0"/>
            <w:vAlign w:val="center"/>
          </w:tcPr>
          <w:p w14:paraId="1CB58140">
            <w:pPr>
              <w:pStyle w:val="23"/>
              <w:bidi w:val="0"/>
              <w:rPr>
                <w:color w:val="auto"/>
                <w:highlight w:val="none"/>
              </w:rPr>
            </w:pPr>
            <w:r>
              <w:rPr>
                <w:color w:val="auto"/>
                <w:highlight w:val="none"/>
              </w:rPr>
              <w:t>1次/</w:t>
            </w:r>
            <w:r>
              <w:rPr>
                <w:rFonts w:hint="eastAsia"/>
                <w:color w:val="auto"/>
                <w:highlight w:val="none"/>
              </w:rPr>
              <w:t>半</w:t>
            </w:r>
            <w:r>
              <w:rPr>
                <w:color w:val="auto"/>
                <w:highlight w:val="none"/>
              </w:rPr>
              <w:t>年</w:t>
            </w:r>
          </w:p>
        </w:tc>
      </w:tr>
      <w:tr w14:paraId="46866A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8" w:type="dxa"/>
            <w:tcBorders>
              <w:tl2br w:val="nil"/>
              <w:tr2bl w:val="nil"/>
            </w:tcBorders>
            <w:noWrap w:val="0"/>
            <w:vAlign w:val="center"/>
          </w:tcPr>
          <w:p w14:paraId="25108D38">
            <w:pPr>
              <w:pStyle w:val="23"/>
              <w:bidi w:val="0"/>
              <w:rPr>
                <w:color w:val="auto"/>
                <w:highlight w:val="none"/>
              </w:rPr>
            </w:pPr>
            <w:r>
              <w:rPr>
                <w:color w:val="auto"/>
                <w:highlight w:val="none"/>
              </w:rPr>
              <w:t>水环境</w:t>
            </w:r>
          </w:p>
        </w:tc>
        <w:tc>
          <w:tcPr>
            <w:tcW w:w="1069" w:type="dxa"/>
            <w:tcBorders>
              <w:tl2br w:val="nil"/>
              <w:tr2bl w:val="nil"/>
            </w:tcBorders>
            <w:noWrap w:val="0"/>
            <w:vAlign w:val="center"/>
          </w:tcPr>
          <w:p w14:paraId="03688741">
            <w:pPr>
              <w:pStyle w:val="23"/>
              <w:bidi w:val="0"/>
              <w:rPr>
                <w:color w:val="auto"/>
                <w:highlight w:val="none"/>
              </w:rPr>
            </w:pPr>
            <w:r>
              <w:rPr>
                <w:color w:val="auto"/>
                <w:highlight w:val="none"/>
              </w:rPr>
              <w:t>施工期</w:t>
            </w:r>
          </w:p>
        </w:tc>
        <w:tc>
          <w:tcPr>
            <w:tcW w:w="2436" w:type="dxa"/>
            <w:tcBorders>
              <w:tl2br w:val="nil"/>
              <w:tr2bl w:val="nil"/>
            </w:tcBorders>
            <w:noWrap w:val="0"/>
            <w:vAlign w:val="center"/>
          </w:tcPr>
          <w:p w14:paraId="77F9E4DA">
            <w:pPr>
              <w:pStyle w:val="23"/>
              <w:bidi w:val="0"/>
              <w:rPr>
                <w:rFonts w:hint="eastAsia"/>
                <w:color w:val="auto"/>
                <w:highlight w:val="none"/>
                <w:lang w:eastAsia="zh-CN"/>
              </w:rPr>
            </w:pPr>
            <w:r>
              <w:rPr>
                <w:rFonts w:hint="eastAsia"/>
                <w:color w:val="auto"/>
                <w:highlight w:val="none"/>
                <w:lang w:eastAsia="zh-CN"/>
              </w:rPr>
              <w:t>寿岭冲水库</w:t>
            </w:r>
          </w:p>
        </w:tc>
        <w:tc>
          <w:tcPr>
            <w:tcW w:w="1962" w:type="dxa"/>
            <w:tcBorders>
              <w:tl2br w:val="nil"/>
              <w:tr2bl w:val="nil"/>
            </w:tcBorders>
            <w:noWrap w:val="0"/>
            <w:vAlign w:val="center"/>
          </w:tcPr>
          <w:p w14:paraId="307F1193">
            <w:pPr>
              <w:pStyle w:val="23"/>
              <w:bidi w:val="0"/>
              <w:rPr>
                <w:color w:val="auto"/>
                <w:highlight w:val="none"/>
              </w:rPr>
            </w:pPr>
            <w:r>
              <w:rPr>
                <w:rFonts w:hint="default"/>
                <w:color w:val="auto"/>
                <w:highlight w:val="none"/>
              </w:rPr>
              <w:t>pH、SS、BOD5、CODCr、氨氮、石油类</w:t>
            </w:r>
            <w:r>
              <w:rPr>
                <w:rFonts w:hint="eastAsia"/>
                <w:color w:val="auto"/>
                <w:highlight w:val="none"/>
                <w:lang w:eastAsia="zh-CN"/>
              </w:rPr>
              <w:t>、</w:t>
            </w:r>
            <w:r>
              <w:rPr>
                <w:rFonts w:hint="eastAsia"/>
                <w:color w:val="auto"/>
                <w:highlight w:val="none"/>
                <w:lang w:val="en-US" w:eastAsia="zh-CN"/>
              </w:rPr>
              <w:t>粪大肠菌群、总磷、总氮、叶绿素a、高锰酸盐指数、透明度</w:t>
            </w:r>
          </w:p>
        </w:tc>
        <w:tc>
          <w:tcPr>
            <w:tcW w:w="1555" w:type="dxa"/>
            <w:tcBorders>
              <w:tl2br w:val="nil"/>
              <w:tr2bl w:val="nil"/>
            </w:tcBorders>
            <w:noWrap w:val="0"/>
            <w:vAlign w:val="center"/>
          </w:tcPr>
          <w:p w14:paraId="3AD8A921">
            <w:pPr>
              <w:pStyle w:val="23"/>
              <w:bidi w:val="0"/>
              <w:rPr>
                <w:color w:val="auto"/>
                <w:highlight w:val="none"/>
              </w:rPr>
            </w:pPr>
            <w:r>
              <w:rPr>
                <w:rFonts w:hint="eastAsia"/>
                <w:color w:val="auto"/>
                <w:highlight w:val="none"/>
              </w:rPr>
              <w:t>监测1年，</w:t>
            </w:r>
            <w:r>
              <w:rPr>
                <w:color w:val="auto"/>
                <w:highlight w:val="none"/>
              </w:rPr>
              <w:t>1次</w:t>
            </w:r>
            <w:r>
              <w:rPr>
                <w:rFonts w:hint="eastAsia"/>
                <w:color w:val="auto"/>
                <w:highlight w:val="none"/>
              </w:rPr>
              <w:t>/半年</w:t>
            </w:r>
          </w:p>
        </w:tc>
      </w:tr>
      <w:tr w14:paraId="596CFF9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8" w:type="dxa"/>
            <w:vMerge w:val="restart"/>
            <w:tcBorders>
              <w:tl2br w:val="nil"/>
              <w:tr2bl w:val="nil"/>
            </w:tcBorders>
            <w:noWrap w:val="0"/>
            <w:vAlign w:val="center"/>
          </w:tcPr>
          <w:p w14:paraId="3A53D76F">
            <w:pPr>
              <w:pStyle w:val="23"/>
              <w:bidi w:val="0"/>
              <w:rPr>
                <w:color w:val="auto"/>
                <w:highlight w:val="none"/>
              </w:rPr>
            </w:pPr>
            <w:r>
              <w:rPr>
                <w:color w:val="auto"/>
                <w:highlight w:val="none"/>
              </w:rPr>
              <w:t>环境噪声</w:t>
            </w:r>
          </w:p>
        </w:tc>
        <w:tc>
          <w:tcPr>
            <w:tcW w:w="1069" w:type="dxa"/>
            <w:tcBorders>
              <w:tl2br w:val="nil"/>
              <w:tr2bl w:val="nil"/>
            </w:tcBorders>
            <w:noWrap w:val="0"/>
            <w:vAlign w:val="center"/>
          </w:tcPr>
          <w:p w14:paraId="6C412A04">
            <w:pPr>
              <w:pStyle w:val="23"/>
              <w:bidi w:val="0"/>
              <w:rPr>
                <w:color w:val="auto"/>
                <w:highlight w:val="none"/>
              </w:rPr>
            </w:pPr>
            <w:r>
              <w:rPr>
                <w:color w:val="auto"/>
                <w:highlight w:val="none"/>
              </w:rPr>
              <w:t>施工期</w:t>
            </w:r>
          </w:p>
        </w:tc>
        <w:tc>
          <w:tcPr>
            <w:tcW w:w="2436" w:type="dxa"/>
            <w:tcBorders>
              <w:tl2br w:val="nil"/>
              <w:tr2bl w:val="nil"/>
            </w:tcBorders>
            <w:noWrap w:val="0"/>
            <w:vAlign w:val="center"/>
          </w:tcPr>
          <w:p w14:paraId="51F122DE">
            <w:pPr>
              <w:pStyle w:val="23"/>
              <w:bidi w:val="0"/>
              <w:rPr>
                <w:color w:val="auto"/>
                <w:highlight w:val="none"/>
              </w:rPr>
            </w:pPr>
            <w:r>
              <w:rPr>
                <w:color w:val="auto"/>
                <w:highlight w:val="none"/>
              </w:rPr>
              <w:t>施工</w:t>
            </w:r>
            <w:r>
              <w:rPr>
                <w:rFonts w:hint="eastAsia"/>
                <w:color w:val="auto"/>
                <w:highlight w:val="none"/>
                <w:lang w:eastAsia="zh-CN"/>
              </w:rPr>
              <w:t>临建</w:t>
            </w:r>
            <w:r>
              <w:rPr>
                <w:color w:val="auto"/>
                <w:highlight w:val="none"/>
              </w:rPr>
              <w:t>区、</w:t>
            </w:r>
            <w:r>
              <w:rPr>
                <w:rFonts w:hint="eastAsia"/>
                <w:color w:val="auto"/>
                <w:highlight w:val="none"/>
                <w:lang w:eastAsia="zh-CN"/>
              </w:rPr>
              <w:t>马杜桥乡高峰村、老屋塘村</w:t>
            </w:r>
            <w:r>
              <w:rPr>
                <w:color w:val="auto"/>
                <w:highlight w:val="none"/>
              </w:rPr>
              <w:t>居民点</w:t>
            </w:r>
          </w:p>
        </w:tc>
        <w:tc>
          <w:tcPr>
            <w:tcW w:w="1962" w:type="dxa"/>
            <w:vMerge w:val="restart"/>
            <w:tcBorders>
              <w:tl2br w:val="nil"/>
              <w:tr2bl w:val="nil"/>
            </w:tcBorders>
            <w:noWrap w:val="0"/>
            <w:vAlign w:val="center"/>
          </w:tcPr>
          <w:p w14:paraId="25F2A694">
            <w:pPr>
              <w:pStyle w:val="23"/>
              <w:bidi w:val="0"/>
              <w:rPr>
                <w:color w:val="auto"/>
                <w:highlight w:val="none"/>
              </w:rPr>
            </w:pPr>
            <w:r>
              <w:rPr>
                <w:color w:val="auto"/>
                <w:highlight w:val="none"/>
              </w:rPr>
              <w:t>Leq（A）</w:t>
            </w:r>
          </w:p>
        </w:tc>
        <w:tc>
          <w:tcPr>
            <w:tcW w:w="1555" w:type="dxa"/>
            <w:tcBorders>
              <w:tl2br w:val="nil"/>
              <w:tr2bl w:val="nil"/>
            </w:tcBorders>
            <w:noWrap w:val="0"/>
            <w:vAlign w:val="center"/>
          </w:tcPr>
          <w:p w14:paraId="79A10C40">
            <w:pPr>
              <w:pStyle w:val="23"/>
              <w:bidi w:val="0"/>
              <w:rPr>
                <w:color w:val="auto"/>
                <w:highlight w:val="none"/>
              </w:rPr>
            </w:pPr>
            <w:r>
              <w:rPr>
                <w:color w:val="auto"/>
                <w:highlight w:val="none"/>
              </w:rPr>
              <w:t>监测1年，1次/季，昼夜各监测1次</w:t>
            </w:r>
          </w:p>
        </w:tc>
      </w:tr>
      <w:tr w14:paraId="649C33F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8" w:type="dxa"/>
            <w:vMerge w:val="continue"/>
            <w:tcBorders>
              <w:tl2br w:val="nil"/>
              <w:tr2bl w:val="nil"/>
            </w:tcBorders>
            <w:noWrap w:val="0"/>
            <w:vAlign w:val="center"/>
          </w:tcPr>
          <w:p w14:paraId="0FC0D85C">
            <w:pPr>
              <w:pStyle w:val="23"/>
              <w:bidi w:val="0"/>
              <w:rPr>
                <w:color w:val="auto"/>
                <w:highlight w:val="none"/>
              </w:rPr>
            </w:pPr>
          </w:p>
        </w:tc>
        <w:tc>
          <w:tcPr>
            <w:tcW w:w="1069" w:type="dxa"/>
            <w:tcBorders>
              <w:tl2br w:val="nil"/>
              <w:tr2bl w:val="nil"/>
            </w:tcBorders>
            <w:noWrap w:val="0"/>
            <w:vAlign w:val="center"/>
          </w:tcPr>
          <w:p w14:paraId="4D607B24">
            <w:pPr>
              <w:pStyle w:val="23"/>
              <w:bidi w:val="0"/>
              <w:rPr>
                <w:color w:val="auto"/>
                <w:highlight w:val="none"/>
              </w:rPr>
            </w:pPr>
            <w:r>
              <w:rPr>
                <w:color w:val="auto"/>
                <w:highlight w:val="none"/>
              </w:rPr>
              <w:t>营运期</w:t>
            </w:r>
          </w:p>
        </w:tc>
        <w:tc>
          <w:tcPr>
            <w:tcW w:w="2436" w:type="dxa"/>
            <w:tcBorders>
              <w:tl2br w:val="nil"/>
              <w:tr2bl w:val="nil"/>
            </w:tcBorders>
            <w:noWrap w:val="0"/>
            <w:vAlign w:val="center"/>
          </w:tcPr>
          <w:p w14:paraId="135F92E7">
            <w:pPr>
              <w:pStyle w:val="23"/>
              <w:bidi w:val="0"/>
              <w:rPr>
                <w:color w:val="auto"/>
                <w:highlight w:val="none"/>
              </w:rPr>
            </w:pPr>
            <w:r>
              <w:rPr>
                <w:rFonts w:hint="eastAsia"/>
                <w:color w:val="auto"/>
                <w:highlight w:val="none"/>
              </w:rPr>
              <w:t>升压站场界</w:t>
            </w:r>
            <w:r>
              <w:rPr>
                <w:color w:val="auto"/>
                <w:highlight w:val="none"/>
              </w:rPr>
              <w:t>、</w:t>
            </w:r>
            <w:r>
              <w:rPr>
                <w:rFonts w:hint="eastAsia"/>
                <w:color w:val="auto"/>
                <w:highlight w:val="none"/>
                <w:lang w:eastAsia="zh-CN"/>
              </w:rPr>
              <w:t>马杜桥乡高峰村、老屋塘村、</w:t>
            </w:r>
            <w:r>
              <w:rPr>
                <w:color w:val="auto"/>
                <w:highlight w:val="none"/>
              </w:rPr>
              <w:t>居民点</w:t>
            </w:r>
          </w:p>
        </w:tc>
        <w:tc>
          <w:tcPr>
            <w:tcW w:w="1962" w:type="dxa"/>
            <w:vMerge w:val="continue"/>
            <w:tcBorders>
              <w:tl2br w:val="nil"/>
              <w:tr2bl w:val="nil"/>
            </w:tcBorders>
            <w:noWrap w:val="0"/>
            <w:vAlign w:val="center"/>
          </w:tcPr>
          <w:p w14:paraId="637207DB">
            <w:pPr>
              <w:pStyle w:val="23"/>
              <w:bidi w:val="0"/>
              <w:rPr>
                <w:color w:val="auto"/>
                <w:highlight w:val="none"/>
              </w:rPr>
            </w:pPr>
          </w:p>
        </w:tc>
        <w:tc>
          <w:tcPr>
            <w:tcW w:w="1555" w:type="dxa"/>
            <w:tcBorders>
              <w:tl2br w:val="nil"/>
              <w:tr2bl w:val="nil"/>
            </w:tcBorders>
            <w:noWrap w:val="0"/>
            <w:vAlign w:val="center"/>
          </w:tcPr>
          <w:p w14:paraId="3C45D6B8">
            <w:pPr>
              <w:pStyle w:val="23"/>
              <w:bidi w:val="0"/>
              <w:rPr>
                <w:color w:val="auto"/>
                <w:highlight w:val="none"/>
              </w:rPr>
            </w:pPr>
            <w:r>
              <w:rPr>
                <w:color w:val="auto"/>
                <w:highlight w:val="none"/>
              </w:rPr>
              <w:t>1次/季，每次监测1天，昼夜各监测1次</w:t>
            </w:r>
          </w:p>
        </w:tc>
      </w:tr>
      <w:tr w14:paraId="1263BD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078" w:type="dxa"/>
            <w:tcBorders>
              <w:tl2br w:val="nil"/>
              <w:tr2bl w:val="nil"/>
            </w:tcBorders>
            <w:noWrap w:val="0"/>
            <w:vAlign w:val="center"/>
          </w:tcPr>
          <w:p w14:paraId="1AE3A212">
            <w:pPr>
              <w:pStyle w:val="23"/>
              <w:bidi w:val="0"/>
              <w:rPr>
                <w:rFonts w:hint="eastAsia"/>
                <w:color w:val="auto"/>
                <w:highlight w:val="none"/>
                <w:lang w:eastAsia="zh-CN"/>
              </w:rPr>
            </w:pPr>
            <w:r>
              <w:rPr>
                <w:rFonts w:hint="eastAsia"/>
                <w:color w:val="auto"/>
                <w:highlight w:val="none"/>
                <w:lang w:eastAsia="zh-CN"/>
              </w:rPr>
              <w:t>电磁辐射</w:t>
            </w:r>
          </w:p>
        </w:tc>
        <w:tc>
          <w:tcPr>
            <w:tcW w:w="1069" w:type="dxa"/>
            <w:tcBorders>
              <w:tl2br w:val="nil"/>
              <w:tr2bl w:val="nil"/>
            </w:tcBorders>
            <w:noWrap w:val="0"/>
            <w:vAlign w:val="center"/>
          </w:tcPr>
          <w:p w14:paraId="2A144348">
            <w:pPr>
              <w:pStyle w:val="23"/>
              <w:bidi w:val="0"/>
              <w:rPr>
                <w:rFonts w:hint="eastAsia"/>
                <w:color w:val="auto"/>
                <w:highlight w:val="none"/>
                <w:lang w:eastAsia="zh-CN"/>
              </w:rPr>
            </w:pPr>
            <w:r>
              <w:rPr>
                <w:rFonts w:hint="eastAsia"/>
                <w:color w:val="auto"/>
                <w:highlight w:val="none"/>
                <w:lang w:eastAsia="zh-CN"/>
              </w:rPr>
              <w:t>营运期</w:t>
            </w:r>
          </w:p>
        </w:tc>
        <w:tc>
          <w:tcPr>
            <w:tcW w:w="2436" w:type="dxa"/>
            <w:tcBorders>
              <w:tl2br w:val="nil"/>
              <w:tr2bl w:val="nil"/>
            </w:tcBorders>
            <w:noWrap w:val="0"/>
            <w:vAlign w:val="center"/>
          </w:tcPr>
          <w:p w14:paraId="327E3094">
            <w:pPr>
              <w:pStyle w:val="23"/>
              <w:bidi w:val="0"/>
              <w:rPr>
                <w:rFonts w:hint="default"/>
                <w:color w:val="auto"/>
                <w:highlight w:val="none"/>
                <w:lang w:val="en-US" w:eastAsia="zh-CN"/>
              </w:rPr>
            </w:pPr>
            <w:r>
              <w:rPr>
                <w:rFonts w:hint="default"/>
                <w:color w:val="auto"/>
                <w:highlight w:val="none"/>
                <w:lang w:val="en-US" w:eastAsia="zh-CN"/>
              </w:rPr>
              <w:t>升压站</w:t>
            </w:r>
            <w:r>
              <w:rPr>
                <w:rFonts w:hint="eastAsia"/>
                <w:color w:val="auto"/>
                <w:highlight w:val="none"/>
                <w:lang w:val="en-US" w:eastAsia="zh-CN"/>
              </w:rPr>
              <w:t>四周</w:t>
            </w:r>
            <w:r>
              <w:rPr>
                <w:rFonts w:hint="default"/>
                <w:color w:val="auto"/>
                <w:highlight w:val="none"/>
                <w:lang w:val="en-US" w:eastAsia="zh-CN"/>
              </w:rPr>
              <w:t>围墙外</w:t>
            </w:r>
          </w:p>
        </w:tc>
        <w:tc>
          <w:tcPr>
            <w:tcW w:w="1962" w:type="dxa"/>
            <w:tcBorders>
              <w:tl2br w:val="nil"/>
              <w:tr2bl w:val="nil"/>
            </w:tcBorders>
            <w:noWrap w:val="0"/>
            <w:vAlign w:val="center"/>
          </w:tcPr>
          <w:p w14:paraId="3E8193AF">
            <w:pPr>
              <w:pStyle w:val="23"/>
              <w:bidi w:val="0"/>
              <w:rPr>
                <w:color w:val="auto"/>
                <w:highlight w:val="none"/>
              </w:rPr>
            </w:pPr>
            <w:r>
              <w:rPr>
                <w:rFonts w:hint="eastAsia"/>
                <w:color w:val="auto"/>
                <w:highlight w:val="none"/>
                <w:lang w:val="en-US" w:eastAsia="zh-CN"/>
              </w:rPr>
              <w:t>工频电场（E）、工频磁场（B）</w:t>
            </w:r>
          </w:p>
        </w:tc>
        <w:tc>
          <w:tcPr>
            <w:tcW w:w="1555" w:type="dxa"/>
            <w:tcBorders>
              <w:tl2br w:val="nil"/>
              <w:tr2bl w:val="nil"/>
            </w:tcBorders>
            <w:noWrap w:val="0"/>
            <w:vAlign w:val="center"/>
          </w:tcPr>
          <w:p w14:paraId="257275CF">
            <w:pPr>
              <w:pStyle w:val="23"/>
              <w:bidi w:val="0"/>
              <w:rPr>
                <w:color w:val="auto"/>
                <w:highlight w:val="none"/>
              </w:rPr>
            </w:pPr>
            <w:r>
              <w:rPr>
                <w:color w:val="auto"/>
                <w:highlight w:val="none"/>
              </w:rPr>
              <w:t>正式投产后第一年结合竣工环境保护验收监测一次</w:t>
            </w:r>
          </w:p>
        </w:tc>
      </w:tr>
    </w:tbl>
    <w:p w14:paraId="09FD362E">
      <w:pPr>
        <w:pStyle w:val="4"/>
        <w:bidi w:val="0"/>
        <w:rPr>
          <w:rFonts w:hint="default" w:ascii="Times New Roman" w:hAnsi="Times New Roman" w:cs="Times New Roman"/>
          <w:color w:val="auto"/>
          <w:highlight w:val="none"/>
        </w:rPr>
      </w:pPr>
      <w:bookmarkStart w:id="118" w:name="_Toc10669"/>
      <w:r>
        <w:rPr>
          <w:rFonts w:hint="eastAsia" w:cs="Times New Roman"/>
          <w:color w:val="auto"/>
          <w:highlight w:val="none"/>
          <w:lang w:eastAsia="zh-CN"/>
        </w:rPr>
        <w:t>工程环境监理计划</w:t>
      </w:r>
      <w:bookmarkEnd w:id="118"/>
    </w:p>
    <w:p w14:paraId="2A28D050">
      <w:pPr>
        <w:keepNext w:val="0"/>
        <w:keepLines w:val="0"/>
        <w:widowControl/>
        <w:suppressLineNumbers w:val="0"/>
        <w:jc w:val="left"/>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根据《关于加强公路规划和建设环境影响评价工作的通知》（原国家环境保护总局环发〔</w:t>
      </w:r>
      <w:r>
        <w:rPr>
          <w:rFonts w:hint="default" w:ascii="Times New Roman" w:hAnsi="Times New Roman" w:eastAsia="宋体" w:cs="Times New Roman"/>
          <w:color w:val="auto"/>
          <w:kern w:val="0"/>
          <w:sz w:val="24"/>
          <w:szCs w:val="24"/>
          <w:highlight w:val="none"/>
          <w:lang w:val="en-US" w:eastAsia="zh-CN" w:bidi="ar"/>
        </w:rPr>
        <w:t>2007</w:t>
      </w:r>
      <w:r>
        <w:rPr>
          <w:rFonts w:hint="eastAsia" w:ascii="宋体" w:hAnsi="宋体" w:eastAsia="宋体" w:cs="宋体"/>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lang w:val="en-US" w:eastAsia="zh-CN" w:bidi="ar"/>
        </w:rPr>
        <w:t xml:space="preserve">184 </w:t>
      </w:r>
      <w:r>
        <w:rPr>
          <w:rFonts w:hint="eastAsia" w:ascii="宋体" w:hAnsi="宋体" w:eastAsia="宋体" w:cs="宋体"/>
          <w:color w:val="auto"/>
          <w:kern w:val="0"/>
          <w:sz w:val="24"/>
          <w:szCs w:val="24"/>
          <w:highlight w:val="none"/>
          <w:lang w:val="en-US" w:eastAsia="zh-CN" w:bidi="ar"/>
        </w:rPr>
        <w:t>号）、《关于在公路水运工程建设监理中增加施工安全监理和施工环保监理内容的通知》（交质监发〔</w:t>
      </w:r>
      <w:r>
        <w:rPr>
          <w:rFonts w:hint="default" w:ascii="Times New Roman" w:hAnsi="Times New Roman" w:eastAsia="宋体" w:cs="Times New Roman"/>
          <w:color w:val="auto"/>
          <w:kern w:val="0"/>
          <w:sz w:val="24"/>
          <w:szCs w:val="24"/>
          <w:highlight w:val="none"/>
          <w:lang w:val="en-US" w:eastAsia="zh-CN" w:bidi="ar"/>
        </w:rPr>
        <w:t>2007</w:t>
      </w:r>
      <w:r>
        <w:rPr>
          <w:rFonts w:hint="eastAsia" w:ascii="宋体" w:hAnsi="宋体" w:eastAsia="宋体" w:cs="宋体"/>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lang w:val="en-US" w:eastAsia="zh-CN" w:bidi="ar"/>
        </w:rPr>
        <w:t xml:space="preserve">158 </w:t>
      </w:r>
      <w:r>
        <w:rPr>
          <w:rFonts w:hint="eastAsia" w:ascii="宋体" w:hAnsi="宋体" w:eastAsia="宋体" w:cs="宋体"/>
          <w:color w:val="auto"/>
          <w:kern w:val="0"/>
          <w:sz w:val="24"/>
          <w:szCs w:val="24"/>
          <w:highlight w:val="none"/>
          <w:lang w:val="en-US" w:eastAsia="zh-CN" w:bidi="ar"/>
        </w:rPr>
        <w:t>号）中的有关规定，工程的环境监理工作应作为工程监理的重要组成部分，纳入工程监理管理体系。工程环境监理保护生态保护、水土保持、污染物防治等环境保护方面。建议环境监理工作选择有环境保护工作经验的专业单位承担，做好工程环境监理工作。</w:t>
      </w:r>
    </w:p>
    <w:p w14:paraId="77930D32">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环境监理的一般程序</w:t>
      </w:r>
    </w:p>
    <w:p w14:paraId="09855CEE">
      <w:pPr>
        <w:keepNext w:val="0"/>
        <w:keepLines w:val="0"/>
        <w:widowControl/>
        <w:suppressLineNumbers w:val="0"/>
        <w:jc w:val="left"/>
        <w:rPr>
          <w:rFonts w:hint="eastAsia" w:ascii="宋体" w:hAnsi="宋体" w:eastAsia="宋体" w:cs="宋体"/>
          <w:color w:val="auto"/>
          <w:kern w:val="0"/>
          <w:sz w:val="24"/>
          <w:szCs w:val="24"/>
          <w:highlight w:val="none"/>
          <w:lang w:val="en-US" w:eastAsia="zh-CN" w:bidi="ar"/>
        </w:rPr>
      </w:pPr>
      <w:r>
        <w:rPr>
          <w:rFonts w:hint="eastAsia" w:ascii="宋体" w:hAnsi="宋体" w:cs="宋体"/>
          <w:color w:val="auto"/>
          <w:kern w:val="0"/>
          <w:sz w:val="24"/>
          <w:szCs w:val="24"/>
          <w:highlight w:val="none"/>
          <w:lang w:val="en-US" w:eastAsia="zh-CN" w:bidi="ar"/>
        </w:rPr>
        <w:t>（1）</w:t>
      </w:r>
      <w:r>
        <w:rPr>
          <w:rFonts w:hint="eastAsia" w:ascii="宋体" w:hAnsi="宋体" w:eastAsia="宋体" w:cs="宋体"/>
          <w:color w:val="auto"/>
          <w:kern w:val="0"/>
          <w:sz w:val="24"/>
          <w:szCs w:val="24"/>
          <w:highlight w:val="none"/>
          <w:lang w:val="en-US" w:eastAsia="zh-CN" w:bidi="ar"/>
        </w:rPr>
        <w:t>根据建设项目环境影响评价文件及环境保护性质主管部门批复的要求，编制环境监理工作实施方案；</w:t>
      </w:r>
    </w:p>
    <w:p w14:paraId="30CA5586">
      <w:pPr>
        <w:keepNext w:val="0"/>
        <w:keepLines w:val="0"/>
        <w:widowControl/>
        <w:suppressLineNumbers w:val="0"/>
        <w:jc w:val="left"/>
        <w:rPr>
          <w:rFonts w:hint="eastAsia" w:ascii="宋体" w:hAnsi="宋体" w:eastAsia="宋体" w:cs="宋体"/>
          <w:color w:val="auto"/>
          <w:kern w:val="0"/>
          <w:sz w:val="24"/>
          <w:szCs w:val="24"/>
          <w:highlight w:val="none"/>
          <w:lang w:val="en-US" w:eastAsia="zh-CN" w:bidi="ar"/>
        </w:rPr>
      </w:pPr>
      <w:r>
        <w:rPr>
          <w:rFonts w:hint="eastAsia" w:ascii="宋体" w:hAnsi="宋体" w:cs="宋体"/>
          <w:color w:val="auto"/>
          <w:kern w:val="0"/>
          <w:sz w:val="24"/>
          <w:szCs w:val="24"/>
          <w:highlight w:val="none"/>
          <w:lang w:val="en-US" w:eastAsia="zh-CN" w:bidi="ar"/>
        </w:rPr>
        <w:t>（2）</w:t>
      </w:r>
      <w:r>
        <w:rPr>
          <w:rFonts w:hint="eastAsia" w:ascii="宋体" w:hAnsi="宋体" w:eastAsia="宋体" w:cs="宋体"/>
          <w:color w:val="auto"/>
          <w:kern w:val="0"/>
          <w:sz w:val="24"/>
          <w:szCs w:val="24"/>
          <w:highlight w:val="none"/>
          <w:lang w:val="en-US" w:eastAsia="zh-CN" w:bidi="ar"/>
        </w:rPr>
        <w:t>按照建设项目环境监理实施方案，落实现场环境监理工作；</w:t>
      </w:r>
    </w:p>
    <w:p w14:paraId="7624AD38">
      <w:pPr>
        <w:keepNext w:val="0"/>
        <w:keepLines w:val="0"/>
        <w:widowControl/>
        <w:suppressLineNumbers w:val="0"/>
        <w:jc w:val="left"/>
        <w:rPr>
          <w:rFonts w:hint="eastAsia" w:ascii="宋体" w:hAnsi="宋体" w:eastAsia="宋体" w:cs="宋体"/>
          <w:color w:val="auto"/>
          <w:kern w:val="0"/>
          <w:sz w:val="24"/>
          <w:szCs w:val="24"/>
          <w:highlight w:val="none"/>
          <w:lang w:val="en-US" w:eastAsia="zh-CN" w:bidi="ar"/>
        </w:rPr>
      </w:pPr>
      <w:r>
        <w:rPr>
          <w:rFonts w:hint="eastAsia" w:ascii="宋体" w:hAnsi="宋体" w:cs="宋体"/>
          <w:color w:val="auto"/>
          <w:kern w:val="0"/>
          <w:sz w:val="24"/>
          <w:szCs w:val="24"/>
          <w:highlight w:val="none"/>
          <w:lang w:val="en-US" w:eastAsia="zh-CN" w:bidi="ar"/>
        </w:rPr>
        <w:t>（3）</w:t>
      </w:r>
      <w:r>
        <w:rPr>
          <w:rFonts w:hint="eastAsia" w:ascii="宋体" w:hAnsi="宋体" w:eastAsia="宋体" w:cs="宋体"/>
          <w:color w:val="auto"/>
          <w:kern w:val="0"/>
          <w:sz w:val="24"/>
          <w:szCs w:val="24"/>
          <w:highlight w:val="none"/>
          <w:lang w:val="en-US" w:eastAsia="zh-CN" w:bidi="ar"/>
        </w:rPr>
        <w:t>组织完成阶段性环境监理工作，定期向环境保护性质主管部门提交监理季度报告和年度报告，在工程主要施工阶段应提交环境监理专题报告；</w:t>
      </w:r>
    </w:p>
    <w:p w14:paraId="2E9CAE39">
      <w:pPr>
        <w:keepNext w:val="0"/>
        <w:keepLines w:val="0"/>
        <w:widowControl/>
        <w:suppressLineNumbers w:val="0"/>
        <w:jc w:val="left"/>
        <w:rPr>
          <w:rFonts w:hint="eastAsia" w:ascii="宋体" w:hAnsi="宋体" w:eastAsia="宋体" w:cs="宋体"/>
          <w:color w:val="auto"/>
          <w:kern w:val="0"/>
          <w:sz w:val="24"/>
          <w:szCs w:val="24"/>
          <w:highlight w:val="none"/>
          <w:lang w:val="en-US" w:eastAsia="zh-CN" w:bidi="ar"/>
        </w:rPr>
      </w:pPr>
      <w:r>
        <w:rPr>
          <w:rFonts w:hint="eastAsia" w:ascii="宋体" w:hAnsi="宋体" w:cs="宋体"/>
          <w:color w:val="auto"/>
          <w:kern w:val="0"/>
          <w:sz w:val="24"/>
          <w:szCs w:val="24"/>
          <w:highlight w:val="none"/>
          <w:lang w:val="en-US" w:eastAsia="zh-CN" w:bidi="ar"/>
        </w:rPr>
        <w:t>（4）</w:t>
      </w:r>
      <w:r>
        <w:rPr>
          <w:rFonts w:hint="eastAsia" w:ascii="宋体" w:hAnsi="宋体" w:eastAsia="宋体" w:cs="宋体"/>
          <w:color w:val="auto"/>
          <w:kern w:val="0"/>
          <w:sz w:val="24"/>
          <w:szCs w:val="24"/>
          <w:highlight w:val="none"/>
          <w:lang w:val="en-US" w:eastAsia="zh-CN" w:bidi="ar"/>
        </w:rPr>
        <w:t>环境监理业务实施完成后，监理单位向建设单位提交竣工环境监理报告，并按照规范移交环境监理档案资料。</w:t>
      </w:r>
    </w:p>
    <w:p w14:paraId="53628A0C">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工程环境监理的组织与实施</w:t>
      </w:r>
    </w:p>
    <w:p w14:paraId="4463CD04">
      <w:pPr>
        <w:keepNext w:val="0"/>
        <w:keepLines w:val="0"/>
        <w:widowControl/>
        <w:suppressLineNumbers w:val="0"/>
        <w:jc w:val="left"/>
        <w:rPr>
          <w:rFonts w:hint="eastAsia" w:ascii="宋体" w:hAnsi="宋体" w:eastAsia="宋体" w:cs="宋体"/>
          <w:b/>
          <w:bCs/>
          <w:color w:val="auto"/>
          <w:kern w:val="0"/>
          <w:sz w:val="24"/>
          <w:szCs w:val="24"/>
          <w:highlight w:val="none"/>
          <w:lang w:val="en-US" w:eastAsia="zh-CN" w:bidi="ar"/>
        </w:rPr>
      </w:pPr>
      <w:r>
        <w:rPr>
          <w:rFonts w:hint="eastAsia" w:ascii="宋体" w:hAnsi="宋体" w:eastAsia="宋体" w:cs="宋体"/>
          <w:b/>
          <w:bCs/>
          <w:color w:val="auto"/>
          <w:kern w:val="0"/>
          <w:sz w:val="24"/>
          <w:szCs w:val="24"/>
          <w:highlight w:val="none"/>
          <w:lang w:val="en-US" w:eastAsia="zh-CN" w:bidi="ar"/>
        </w:rPr>
        <w:t>1、工程环境监理单位和人员的资质</w:t>
      </w:r>
    </w:p>
    <w:p w14:paraId="697DB1EB">
      <w:pPr>
        <w:keepNext w:val="0"/>
        <w:keepLines w:val="0"/>
        <w:widowControl/>
        <w:suppressLineNumbers w:val="0"/>
        <w:jc w:val="left"/>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建设单位应委托具有工程监理资质并经湖南省级环境保护行政主管部门审核认定后的单位承担工程环境监理单位，工程环境监理单位和人员的资质按照</w:t>
      </w:r>
      <w:r>
        <w:rPr>
          <w:rFonts w:hint="eastAsia" w:ascii="宋体" w:hAnsi="宋体" w:cs="宋体"/>
          <w:color w:val="auto"/>
          <w:kern w:val="0"/>
          <w:sz w:val="24"/>
          <w:szCs w:val="24"/>
          <w:highlight w:val="none"/>
          <w:lang w:val="en-US" w:eastAsia="zh-CN" w:bidi="ar"/>
        </w:rPr>
        <w:t>交通运输部</w:t>
      </w:r>
      <w:r>
        <w:rPr>
          <w:rFonts w:hint="eastAsia" w:ascii="宋体" w:hAnsi="宋体" w:eastAsia="宋体" w:cs="宋体"/>
          <w:color w:val="auto"/>
          <w:kern w:val="0"/>
          <w:sz w:val="24"/>
          <w:szCs w:val="24"/>
          <w:highlight w:val="none"/>
          <w:lang w:val="en-US" w:eastAsia="zh-CN" w:bidi="ar"/>
        </w:rPr>
        <w:t>关于工程监理的有关规定执行。</w:t>
      </w:r>
    </w:p>
    <w:p w14:paraId="102A81D3">
      <w:pPr>
        <w:keepNext w:val="0"/>
        <w:keepLines w:val="0"/>
        <w:widowControl/>
        <w:suppressLineNumbers w:val="0"/>
        <w:jc w:val="left"/>
        <w:rPr>
          <w:rFonts w:hint="default" w:ascii="Times New Roman" w:hAnsi="Times New Roman" w:eastAsia="宋体" w:cs="Times New Roman"/>
          <w:b/>
          <w:bCs/>
          <w:color w:val="auto"/>
          <w:kern w:val="0"/>
          <w:sz w:val="24"/>
          <w:szCs w:val="24"/>
          <w:highlight w:val="none"/>
          <w:lang w:val="en-US" w:eastAsia="zh-CN" w:bidi="ar"/>
        </w:rPr>
      </w:pPr>
      <w:r>
        <w:rPr>
          <w:rFonts w:hint="default" w:ascii="Times New Roman" w:hAnsi="Times New Roman" w:eastAsia="宋体" w:cs="Times New Roman"/>
          <w:b/>
          <w:bCs/>
          <w:color w:val="auto"/>
          <w:kern w:val="0"/>
          <w:sz w:val="24"/>
          <w:szCs w:val="24"/>
          <w:highlight w:val="none"/>
          <w:lang w:val="en-US" w:eastAsia="zh-CN" w:bidi="ar"/>
        </w:rPr>
        <w:t>2、工程招标、合同等文件的管理</w:t>
      </w:r>
    </w:p>
    <w:p w14:paraId="169F1793">
      <w:pPr>
        <w:keepNext w:val="0"/>
        <w:keepLines w:val="0"/>
        <w:widowControl/>
        <w:suppressLineNumbers w:val="0"/>
        <w:jc w:val="left"/>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建设单位应依照环境影响报告书、工程设计等文件的有关要求，制定施工期环境监理计划，并在施工招标文件、施工合同、工程监理招标文件和监理合同中明确施工单位和工程监理单位的环境保护责任和目标任务。</w:t>
      </w:r>
    </w:p>
    <w:p w14:paraId="1729B749">
      <w:pPr>
        <w:keepNext w:val="0"/>
        <w:keepLines w:val="0"/>
        <w:widowControl/>
        <w:suppressLineNumbers w:val="0"/>
        <w:jc w:val="left"/>
        <w:rPr>
          <w:rFonts w:hint="eastAsia" w:ascii="宋体" w:hAnsi="宋体" w:eastAsia="宋体" w:cs="宋体"/>
          <w:b/>
          <w:bCs/>
          <w:color w:val="auto"/>
          <w:kern w:val="0"/>
          <w:sz w:val="24"/>
          <w:szCs w:val="24"/>
          <w:highlight w:val="none"/>
          <w:lang w:val="en-US" w:eastAsia="zh-CN" w:bidi="ar"/>
        </w:rPr>
      </w:pPr>
      <w:r>
        <w:rPr>
          <w:rFonts w:hint="eastAsia" w:ascii="宋体" w:hAnsi="宋体" w:eastAsia="宋体" w:cs="宋体"/>
          <w:b/>
          <w:bCs/>
          <w:color w:val="auto"/>
          <w:kern w:val="0"/>
          <w:sz w:val="24"/>
          <w:szCs w:val="24"/>
          <w:highlight w:val="none"/>
          <w:lang w:val="en-US" w:eastAsia="zh-CN" w:bidi="ar"/>
        </w:rPr>
        <w:t>3、工程环境监理的原则要求</w:t>
      </w:r>
    </w:p>
    <w:p w14:paraId="50034691">
      <w:pPr>
        <w:keepNext w:val="0"/>
        <w:keepLines w:val="0"/>
        <w:widowControl/>
        <w:suppressLineNumbers w:val="0"/>
        <w:jc w:val="left"/>
        <w:rPr>
          <w:rFonts w:hint="eastAsia" w:ascii="宋体" w:hAnsi="宋体" w:eastAsia="宋体" w:cs="宋体"/>
          <w:color w:val="auto"/>
          <w:kern w:val="0"/>
          <w:sz w:val="24"/>
          <w:szCs w:val="24"/>
          <w:highlight w:val="none"/>
          <w:lang w:val="en-US" w:eastAsia="zh-CN" w:bidi="ar"/>
        </w:rPr>
      </w:pPr>
      <w:r>
        <w:rPr>
          <w:rFonts w:hint="eastAsia" w:ascii="宋体" w:hAnsi="宋体" w:cs="宋体"/>
          <w:color w:val="auto"/>
          <w:kern w:val="0"/>
          <w:sz w:val="24"/>
          <w:szCs w:val="24"/>
          <w:highlight w:val="none"/>
          <w:lang w:val="en-US" w:eastAsia="zh-CN" w:bidi="ar"/>
        </w:rPr>
        <w:t>（1）</w:t>
      </w:r>
      <w:r>
        <w:rPr>
          <w:rFonts w:hint="eastAsia" w:ascii="宋体" w:hAnsi="宋体" w:eastAsia="宋体" w:cs="宋体"/>
          <w:color w:val="auto"/>
          <w:kern w:val="0"/>
          <w:sz w:val="24"/>
          <w:szCs w:val="24"/>
          <w:highlight w:val="none"/>
          <w:lang w:val="en-US" w:eastAsia="zh-CN" w:bidi="ar"/>
        </w:rPr>
        <w:t>建设单位必须将环境监理纳入工程建设管理体系，积极开展工程环境监理工作。建设项目正式开工建设前，通过招标方式确定工程环境监理单位，并委托环境监理单位开展工程环境监理，环境监理费用纳入工程总预算。</w:t>
      </w:r>
    </w:p>
    <w:p w14:paraId="421AE8BB">
      <w:pPr>
        <w:keepNext w:val="0"/>
        <w:keepLines w:val="0"/>
        <w:widowControl/>
        <w:suppressLineNumbers w:val="0"/>
        <w:jc w:val="left"/>
        <w:rPr>
          <w:rFonts w:hint="eastAsia" w:ascii="宋体" w:hAnsi="宋体" w:eastAsia="宋体" w:cs="宋体"/>
          <w:color w:val="auto"/>
          <w:kern w:val="0"/>
          <w:sz w:val="24"/>
          <w:szCs w:val="24"/>
          <w:highlight w:val="none"/>
          <w:lang w:val="en-US" w:eastAsia="zh-CN" w:bidi="ar"/>
        </w:rPr>
      </w:pPr>
      <w:r>
        <w:rPr>
          <w:rFonts w:hint="eastAsia" w:ascii="宋体" w:hAnsi="宋体" w:cs="宋体"/>
          <w:color w:val="auto"/>
          <w:kern w:val="0"/>
          <w:sz w:val="24"/>
          <w:szCs w:val="24"/>
          <w:highlight w:val="none"/>
          <w:lang w:val="en-US" w:eastAsia="zh-CN" w:bidi="ar"/>
        </w:rPr>
        <w:t>（2）</w:t>
      </w:r>
      <w:r>
        <w:rPr>
          <w:rFonts w:hint="eastAsia" w:ascii="宋体" w:hAnsi="宋体" w:eastAsia="宋体" w:cs="宋体"/>
          <w:color w:val="auto"/>
          <w:kern w:val="0"/>
          <w:sz w:val="24"/>
          <w:szCs w:val="24"/>
          <w:highlight w:val="none"/>
          <w:lang w:val="en-US" w:eastAsia="zh-CN" w:bidi="ar"/>
        </w:rPr>
        <w:t>正式实施工程环境监理前，项目建设单位应与环境监理单位签订环境监理合同。合同中应包括全面实施施工期环境保护设施监理、生态保护措施监理和环境保护达标排放监理的条款，明确项目建设单位和环境监理单位的环境保护责任及义务。</w:t>
      </w:r>
    </w:p>
    <w:p w14:paraId="546BB68A">
      <w:pPr>
        <w:keepNext w:val="0"/>
        <w:keepLines w:val="0"/>
        <w:widowControl/>
        <w:suppressLineNumbers w:val="0"/>
        <w:jc w:val="left"/>
        <w:rPr>
          <w:rFonts w:hint="eastAsia" w:ascii="宋体" w:hAnsi="宋体" w:eastAsia="宋体" w:cs="宋体"/>
          <w:color w:val="auto"/>
          <w:kern w:val="0"/>
          <w:sz w:val="24"/>
          <w:szCs w:val="24"/>
          <w:highlight w:val="none"/>
          <w:lang w:val="en-US" w:eastAsia="zh-CN" w:bidi="ar"/>
        </w:rPr>
      </w:pPr>
      <w:r>
        <w:rPr>
          <w:rFonts w:hint="eastAsia" w:ascii="宋体" w:hAnsi="宋体" w:cs="宋体"/>
          <w:color w:val="auto"/>
          <w:kern w:val="0"/>
          <w:sz w:val="24"/>
          <w:szCs w:val="24"/>
          <w:highlight w:val="none"/>
          <w:lang w:val="en-US" w:eastAsia="zh-CN" w:bidi="ar"/>
        </w:rPr>
        <w:t>（3）</w:t>
      </w:r>
      <w:r>
        <w:rPr>
          <w:rFonts w:hint="eastAsia" w:ascii="宋体" w:hAnsi="宋体" w:eastAsia="宋体" w:cs="宋体"/>
          <w:color w:val="auto"/>
          <w:kern w:val="0"/>
          <w:sz w:val="24"/>
          <w:szCs w:val="24"/>
          <w:highlight w:val="none"/>
          <w:lang w:val="en-US" w:eastAsia="zh-CN" w:bidi="ar"/>
        </w:rPr>
        <w:t>环境监理单位须向建设项目现场派驻环境监理人员，具体负责环境监理合同的实施。建设项目现场环境监理的机构设置、组织形式和组成人员，应根据环境监理工作的内容、服务期限及工程类别、规模、技术复杂程度、工程环境因素等内容确定。</w:t>
      </w:r>
    </w:p>
    <w:p w14:paraId="7D72B9BF">
      <w:pPr>
        <w:keepNext w:val="0"/>
        <w:keepLines w:val="0"/>
        <w:widowControl/>
        <w:suppressLineNumbers w:val="0"/>
        <w:jc w:val="left"/>
        <w:rPr>
          <w:rFonts w:hint="eastAsia" w:ascii="宋体" w:hAnsi="宋体" w:eastAsia="宋体" w:cs="宋体"/>
          <w:color w:val="auto"/>
          <w:kern w:val="0"/>
          <w:sz w:val="24"/>
          <w:szCs w:val="24"/>
          <w:highlight w:val="none"/>
          <w:lang w:val="en-US" w:eastAsia="zh-CN" w:bidi="ar"/>
        </w:rPr>
      </w:pPr>
      <w:r>
        <w:rPr>
          <w:rFonts w:hint="eastAsia" w:ascii="宋体" w:hAnsi="宋体" w:cs="宋体"/>
          <w:color w:val="auto"/>
          <w:kern w:val="0"/>
          <w:sz w:val="24"/>
          <w:szCs w:val="24"/>
          <w:highlight w:val="none"/>
          <w:lang w:val="en-US" w:eastAsia="zh-CN" w:bidi="ar"/>
        </w:rPr>
        <w:t>（4）</w:t>
      </w:r>
      <w:r>
        <w:rPr>
          <w:rFonts w:hint="eastAsia" w:ascii="宋体" w:hAnsi="宋体" w:eastAsia="宋体" w:cs="宋体"/>
          <w:color w:val="auto"/>
          <w:kern w:val="0"/>
          <w:sz w:val="24"/>
          <w:szCs w:val="24"/>
          <w:highlight w:val="none"/>
          <w:lang w:val="en-US" w:eastAsia="zh-CN" w:bidi="ar"/>
        </w:rPr>
        <w:t>环境监理单位应与签订监理合同十天内，将建设项目现场环境监理机构的组织形式、组成人员，以书面形式通知项目建设单位，同时报负责项目审批的环境保护行政主管部门备案。</w:t>
      </w:r>
    </w:p>
    <w:p w14:paraId="35A231BB">
      <w:pPr>
        <w:keepNext w:val="0"/>
        <w:keepLines w:val="0"/>
        <w:widowControl/>
        <w:suppressLineNumbers w:val="0"/>
        <w:jc w:val="left"/>
        <w:rPr>
          <w:rFonts w:hint="eastAsia" w:ascii="宋体" w:hAnsi="宋体" w:eastAsia="宋体" w:cs="宋体"/>
          <w:color w:val="auto"/>
          <w:kern w:val="0"/>
          <w:sz w:val="24"/>
          <w:szCs w:val="24"/>
          <w:highlight w:val="none"/>
          <w:lang w:val="en-US" w:eastAsia="zh-CN" w:bidi="ar"/>
        </w:rPr>
      </w:pPr>
      <w:r>
        <w:rPr>
          <w:rFonts w:hint="eastAsia" w:ascii="宋体" w:hAnsi="宋体" w:cs="宋体"/>
          <w:color w:val="auto"/>
          <w:kern w:val="0"/>
          <w:sz w:val="24"/>
          <w:szCs w:val="24"/>
          <w:highlight w:val="none"/>
          <w:lang w:val="en-US" w:eastAsia="zh-CN" w:bidi="ar"/>
        </w:rPr>
        <w:t>（5）</w:t>
      </w:r>
      <w:r>
        <w:rPr>
          <w:rFonts w:hint="eastAsia" w:ascii="宋体" w:hAnsi="宋体" w:eastAsia="宋体" w:cs="宋体"/>
          <w:color w:val="auto"/>
          <w:kern w:val="0"/>
          <w:sz w:val="24"/>
          <w:szCs w:val="24"/>
          <w:highlight w:val="none"/>
          <w:lang w:val="en-US" w:eastAsia="zh-CN" w:bidi="ar"/>
        </w:rPr>
        <w:t>建设单位应根据环境监理合同的约定，提供满足环境监理需要的工作条件，积极配合环境监理单位开展工作。</w:t>
      </w:r>
    </w:p>
    <w:p w14:paraId="270F3152">
      <w:pPr>
        <w:keepNext w:val="0"/>
        <w:keepLines w:val="0"/>
        <w:widowControl/>
        <w:suppressLineNumbers w:val="0"/>
        <w:jc w:val="left"/>
        <w:rPr>
          <w:rFonts w:hint="eastAsia" w:ascii="宋体" w:hAnsi="宋体" w:eastAsia="宋体" w:cs="宋体"/>
          <w:color w:val="auto"/>
          <w:kern w:val="0"/>
          <w:sz w:val="24"/>
          <w:szCs w:val="24"/>
          <w:highlight w:val="none"/>
          <w:lang w:val="en-US" w:eastAsia="zh-CN" w:bidi="ar"/>
        </w:rPr>
      </w:pPr>
      <w:r>
        <w:rPr>
          <w:rFonts w:hint="eastAsia" w:ascii="宋体" w:hAnsi="宋体" w:cs="宋体"/>
          <w:color w:val="auto"/>
          <w:kern w:val="0"/>
          <w:sz w:val="24"/>
          <w:szCs w:val="24"/>
          <w:highlight w:val="none"/>
          <w:lang w:val="en-US" w:eastAsia="zh-CN" w:bidi="ar"/>
        </w:rPr>
        <w:t>（6）</w:t>
      </w:r>
      <w:r>
        <w:rPr>
          <w:rFonts w:hint="eastAsia" w:ascii="宋体" w:hAnsi="宋体" w:eastAsia="宋体" w:cs="宋体"/>
          <w:color w:val="auto"/>
          <w:kern w:val="0"/>
          <w:sz w:val="24"/>
          <w:szCs w:val="24"/>
          <w:highlight w:val="none"/>
          <w:lang w:val="en-US" w:eastAsia="zh-CN" w:bidi="ar"/>
        </w:rPr>
        <w:t>环境监理单位应公开、公正、独立的开展环境监理工作，维护建设项目单位的合法权益，保证建设项目各项环境保护措施和施工期环境管理计划得到落实。</w:t>
      </w:r>
    </w:p>
    <w:p w14:paraId="58218DAF">
      <w:pPr>
        <w:keepNext w:val="0"/>
        <w:keepLines w:val="0"/>
        <w:widowControl/>
        <w:suppressLineNumbers w:val="0"/>
        <w:jc w:val="left"/>
        <w:rPr>
          <w:rFonts w:hint="eastAsia" w:ascii="宋体" w:hAnsi="宋体" w:eastAsia="宋体" w:cs="宋体"/>
          <w:b/>
          <w:bCs/>
          <w:color w:val="auto"/>
          <w:kern w:val="0"/>
          <w:sz w:val="24"/>
          <w:szCs w:val="24"/>
          <w:highlight w:val="none"/>
          <w:lang w:val="en-US" w:eastAsia="zh-CN" w:bidi="ar"/>
        </w:rPr>
      </w:pPr>
      <w:r>
        <w:rPr>
          <w:rFonts w:hint="eastAsia" w:ascii="宋体" w:hAnsi="宋体" w:eastAsia="宋体" w:cs="宋体"/>
          <w:b/>
          <w:bCs/>
          <w:color w:val="auto"/>
          <w:kern w:val="0"/>
          <w:sz w:val="24"/>
          <w:szCs w:val="24"/>
          <w:highlight w:val="none"/>
          <w:lang w:val="en-US" w:eastAsia="zh-CN" w:bidi="ar"/>
        </w:rPr>
        <w:t>4、程环境监理阶段的划分</w:t>
      </w:r>
    </w:p>
    <w:p w14:paraId="22BE82DC">
      <w:pPr>
        <w:keepNext w:val="0"/>
        <w:keepLines w:val="0"/>
        <w:widowControl/>
        <w:suppressLineNumbers w:val="0"/>
        <w:jc w:val="left"/>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结合主体工程监理阶段划分，本项目环境监理阶段分为施工准备阶段、施工阶段以及交工验收与缺陷责任期三个阶段。</w:t>
      </w:r>
    </w:p>
    <w:p w14:paraId="7A073193">
      <w:pPr>
        <w:keepNext w:val="0"/>
        <w:keepLines w:val="0"/>
        <w:widowControl/>
        <w:suppressLineNumbers w:val="0"/>
        <w:jc w:val="left"/>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施工准备阶段：从监理合同签订之日起至总监发合同工程开工之日。</w:t>
      </w:r>
    </w:p>
    <w:p w14:paraId="3AD9F32B">
      <w:pPr>
        <w:keepNext w:val="0"/>
        <w:keepLines w:val="0"/>
        <w:widowControl/>
        <w:suppressLineNumbers w:val="0"/>
        <w:jc w:val="left"/>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施工阶段：合同工期开始日至竣工验收日止。</w:t>
      </w:r>
    </w:p>
    <w:p w14:paraId="72BF0720">
      <w:pPr>
        <w:keepNext w:val="0"/>
        <w:keepLines w:val="0"/>
        <w:widowControl/>
        <w:suppressLineNumbers w:val="0"/>
        <w:jc w:val="left"/>
        <w:rPr>
          <w:rFonts w:hint="eastAsia" w:ascii="宋体" w:hAnsi="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交工验收至缺陷责任期：交工验收是指从监理工程师收到施工单位提交的合同工程</w:t>
      </w:r>
      <w:r>
        <w:rPr>
          <w:rFonts w:hint="eastAsia" w:ascii="宋体" w:hAnsi="宋体" w:cs="宋体"/>
          <w:color w:val="auto"/>
          <w:kern w:val="0"/>
          <w:sz w:val="24"/>
          <w:szCs w:val="24"/>
          <w:highlight w:val="none"/>
          <w:lang w:val="en-US" w:eastAsia="zh-CN" w:bidi="ar"/>
        </w:rPr>
        <w:t>。交工验收申请之日起到交工验收签发合同工程交工证书止；缺陷责任期是指合同工程交工证书签发之日起到施工单位获得合同工程缺陷责任终止证书之日止。</w:t>
      </w:r>
    </w:p>
    <w:p w14:paraId="170091D5">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工程施工期工程环境监理的具体工作内容</w:t>
      </w:r>
    </w:p>
    <w:p w14:paraId="0175857D">
      <w:pPr>
        <w:keepNext w:val="0"/>
        <w:keepLines w:val="0"/>
        <w:widowControl/>
        <w:suppressLineNumbers w:val="0"/>
        <w:jc w:val="left"/>
        <w:rPr>
          <w:rFonts w:hint="eastAsia"/>
          <w:color w:val="auto"/>
          <w:highlight w:val="none"/>
          <w:lang w:eastAsia="zh-CN"/>
        </w:rPr>
      </w:pPr>
      <w:r>
        <w:rPr>
          <w:rFonts w:hint="eastAsia"/>
          <w:color w:val="auto"/>
          <w:highlight w:val="none"/>
          <w:lang w:eastAsia="zh-CN"/>
        </w:rPr>
        <w:t>工程环境监理内容主要包括环保达标监理和环保工程监理。环保达标监理是使主体工程的施工符合环境保护的要求，如噪声、废气、污水等排放应达到有关的标准等；环保工程监理包括生态环境保护、水土保持、水环境、声环境的保护措施。</w:t>
      </w:r>
    </w:p>
    <w:p w14:paraId="4AA65782">
      <w:pPr>
        <w:keepNext w:val="0"/>
        <w:keepLines w:val="0"/>
        <w:widowControl/>
        <w:suppressLineNumbers w:val="0"/>
        <w:jc w:val="left"/>
        <w:rPr>
          <w:rFonts w:hint="eastAsia"/>
          <w:color w:val="auto"/>
          <w:highlight w:val="none"/>
          <w:lang w:eastAsia="zh-CN"/>
        </w:rPr>
      </w:pPr>
      <w:r>
        <w:rPr>
          <w:rFonts w:hint="eastAsia"/>
          <w:color w:val="auto"/>
          <w:highlight w:val="none"/>
          <w:lang w:eastAsia="zh-CN"/>
        </w:rPr>
        <w:t>施工营地的选定和改变，需要施工单位、建设单位和当地环境保护部门共同到现场勘察并备案，施工单位禁止随意变动和扩大使用面积。同时环境监理应编制宣传材料下发到施工单位，使他们理解环保的重要性和具体的工作程序、工作方法。在工程开工前，对参与工程建设的职工、民工进行环保知识培训。</w:t>
      </w:r>
    </w:p>
    <w:p w14:paraId="61824F2E">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工程环境监理机构</w:t>
      </w:r>
    </w:p>
    <w:p w14:paraId="5E9FB8FB">
      <w:pPr>
        <w:keepNext w:val="0"/>
        <w:keepLines w:val="0"/>
        <w:widowControl/>
        <w:suppressLineNumbers w:val="0"/>
        <w:jc w:val="left"/>
        <w:rPr>
          <w:rFonts w:hint="eastAsia"/>
          <w:color w:val="auto"/>
          <w:highlight w:val="none"/>
          <w:lang w:val="en-US" w:eastAsia="zh-CN"/>
        </w:rPr>
      </w:pPr>
      <w:r>
        <w:rPr>
          <w:rFonts w:hint="eastAsia"/>
          <w:color w:val="auto"/>
          <w:highlight w:val="none"/>
          <w:lang w:val="en-US" w:eastAsia="zh-CN"/>
        </w:rPr>
        <w:t>工程环境监理工作作为工程监理的一个重要组成部分，纳入主体工程监理体系。工程环境监理工作由总监办（兼环监办）负责组织实施。</w:t>
      </w:r>
    </w:p>
    <w:p w14:paraId="29AF245A">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建设施工环保档案</w:t>
      </w:r>
    </w:p>
    <w:p w14:paraId="30ABC2DD">
      <w:pPr>
        <w:bidi w:val="0"/>
      </w:pPr>
      <w:r>
        <w:rPr>
          <w:rFonts w:hint="eastAsia"/>
          <w:lang w:eastAsia="zh-CN"/>
        </w:rPr>
        <w:t>工程建设和运营单位应监理规范的工程施工环保档案。在现有的基础上，应用现代管理的理论、技术、方法，对环保档案实行科学管理，不断提高工作效率和服务质量。环保档案工作者应具有较强的综合分析能力和概括组织信息能力，需要熟悉环保工作法律法规，掌握一定的环保专业知识。环保档案工作规范化建设，抓好档案主动形成关，抓好专题项目档案建设。环保档案管理现代化，以自动化设备和高新技术替代传统工作方式。在日常工作中运用电子计算机技术，实现环保档案存储、检索、利用自动化。</w:t>
      </w:r>
    </w:p>
    <w:p w14:paraId="61D205BC">
      <w:pPr>
        <w:pStyle w:val="4"/>
        <w:bidi w:val="0"/>
        <w:rPr>
          <w:rFonts w:hint="default" w:ascii="Times New Roman" w:hAnsi="Times New Roman" w:cs="Times New Roman"/>
          <w:color w:val="auto"/>
          <w:highlight w:val="none"/>
        </w:rPr>
      </w:pPr>
      <w:bookmarkStart w:id="119" w:name="_Toc8206"/>
      <w:r>
        <w:rPr>
          <w:rFonts w:hint="eastAsia" w:cs="Times New Roman"/>
          <w:color w:val="auto"/>
          <w:highlight w:val="none"/>
          <w:lang w:eastAsia="zh-CN"/>
        </w:rPr>
        <w:t>人员培训计划</w:t>
      </w:r>
      <w:bookmarkEnd w:id="119"/>
    </w:p>
    <w:p w14:paraId="4504DFF1">
      <w:pPr>
        <w:bidi w:val="0"/>
        <w:rPr>
          <w:rFonts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施工期环保培训分为建设单位环境管理人员培训、施工单位环保人员培训以及环境监理工程师上岗培训等三部分，营运期培训主要为该公路运营公司环保专职人员培训，包括环保设施操作运行管理培训、绿化养护管理培训以及营运期危险品车辆事故应急预案培训等。</w:t>
      </w:r>
    </w:p>
    <w:p w14:paraId="071FA332">
      <w:pPr>
        <w:pStyle w:val="4"/>
        <w:bidi w:val="0"/>
        <w:rPr>
          <w:rFonts w:hint="default" w:ascii="Times New Roman" w:hAnsi="Times New Roman" w:cs="Times New Roman"/>
          <w:color w:val="auto"/>
          <w:highlight w:val="none"/>
        </w:rPr>
      </w:pPr>
      <w:bookmarkStart w:id="120" w:name="_Toc26891"/>
      <w:r>
        <w:rPr>
          <w:rFonts w:hint="eastAsia" w:cs="Times New Roman"/>
          <w:color w:val="auto"/>
          <w:highlight w:val="none"/>
          <w:lang w:eastAsia="zh-CN"/>
        </w:rPr>
        <w:t>竣工环境保护验收</w:t>
      </w:r>
      <w:bookmarkEnd w:id="120"/>
    </w:p>
    <w:p w14:paraId="7B8F29B7">
      <w:pPr>
        <w:keepNext w:val="0"/>
        <w:keepLines w:val="0"/>
        <w:widowControl/>
        <w:suppressLineNumbers w:val="0"/>
        <w:jc w:val="left"/>
        <w:rPr>
          <w:rFonts w:hint="eastAsia" w:ascii="宋体" w:hAnsi="宋体" w:eastAsia="宋体" w:cs="宋体"/>
          <w:color w:val="auto"/>
          <w:kern w:val="0"/>
          <w:sz w:val="24"/>
          <w:szCs w:val="24"/>
          <w:highlight w:val="none"/>
          <w:lang w:val="en-US" w:eastAsia="zh-CN" w:bidi="ar"/>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ascii="宋体" w:hAnsi="宋体" w:eastAsia="宋体" w:cs="宋体"/>
          <w:color w:val="auto"/>
          <w:kern w:val="0"/>
          <w:sz w:val="24"/>
          <w:szCs w:val="24"/>
          <w:highlight w:val="none"/>
          <w:lang w:val="en-US" w:eastAsia="zh-CN" w:bidi="ar"/>
        </w:rPr>
        <w:t>为保证本评价提出的各项环境保护措施与建议得到落实，切实加强本项目建设过程中的环境保护工作，在项目建设完工后应开展竣工环境保护验收，验收要点见表</w:t>
      </w:r>
      <w:r>
        <w:rPr>
          <w:rFonts w:hint="default" w:ascii="Times New Roman" w:hAnsi="Times New Roman" w:eastAsia="宋体" w:cs="Times New Roman"/>
          <w:color w:val="auto"/>
          <w:kern w:val="0"/>
          <w:sz w:val="24"/>
          <w:szCs w:val="24"/>
          <w:highlight w:val="none"/>
          <w:lang w:val="en-US" w:eastAsia="zh-CN" w:bidi="ar"/>
        </w:rPr>
        <w:t>10.5-1</w:t>
      </w:r>
      <w:r>
        <w:rPr>
          <w:rFonts w:hint="eastAsia" w:ascii="宋体" w:hAnsi="宋体" w:eastAsia="宋体" w:cs="宋体"/>
          <w:color w:val="auto"/>
          <w:kern w:val="0"/>
          <w:sz w:val="24"/>
          <w:szCs w:val="24"/>
          <w:highlight w:val="none"/>
          <w:lang w:val="en-US" w:eastAsia="zh-CN" w:bidi="ar"/>
        </w:rPr>
        <w:t>。</w:t>
      </w:r>
    </w:p>
    <w:p w14:paraId="2D86485C">
      <w:pPr>
        <w:bidi w:val="0"/>
        <w:ind w:left="0" w:leftChars="0" w:firstLine="0" w:firstLineChars="0"/>
        <w:jc w:val="center"/>
        <w:rPr>
          <w:rFonts w:hint="default" w:ascii="Times New Roman" w:hAnsi="Times New Roman" w:eastAsia="宋体" w:cs="Times New Roman"/>
          <w:b/>
          <w:bCs/>
          <w:color w:val="auto"/>
          <w:highlight w:val="none"/>
          <w:lang w:val="en-US" w:eastAsia="zh-CN"/>
        </w:rPr>
      </w:pPr>
      <w:r>
        <w:rPr>
          <w:rFonts w:hint="eastAsia" w:ascii="Times New Roman" w:hAnsi="Times New Roman" w:eastAsia="宋体" w:cs="Times New Roman"/>
          <w:b/>
          <w:bCs/>
          <w:color w:val="auto"/>
          <w:highlight w:val="none"/>
          <w:lang w:eastAsia="zh-CN"/>
        </w:rPr>
        <w:t>表</w:t>
      </w:r>
      <w:r>
        <w:rPr>
          <w:rFonts w:hint="eastAsia" w:ascii="Times New Roman" w:hAnsi="Times New Roman" w:eastAsia="宋体" w:cs="Times New Roman"/>
          <w:b/>
          <w:bCs/>
          <w:color w:val="auto"/>
          <w:highlight w:val="none"/>
          <w:lang w:val="en-US" w:eastAsia="zh-CN"/>
        </w:rPr>
        <w:t>10.5-1  竣工环境保护验收一览表</w:t>
      </w:r>
    </w:p>
    <w:tbl>
      <w:tblPr>
        <w:tblStyle w:val="1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205"/>
        <w:gridCol w:w="3064"/>
        <w:gridCol w:w="2586"/>
        <w:gridCol w:w="2498"/>
        <w:gridCol w:w="2821"/>
      </w:tblGrid>
      <w:tr w14:paraId="69F05AE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0" w:type="pct"/>
            <w:vMerge w:val="restart"/>
            <w:tcBorders>
              <w:tl2br w:val="nil"/>
              <w:tr2bl w:val="nil"/>
            </w:tcBorders>
            <w:noWrap w:val="0"/>
            <w:vAlign w:val="top"/>
          </w:tcPr>
          <w:p w14:paraId="57C8322F">
            <w:pPr>
              <w:pStyle w:val="23"/>
              <w:bidi w:val="0"/>
              <w:rPr>
                <w:color w:val="auto"/>
                <w:highlight w:val="none"/>
              </w:rPr>
            </w:pPr>
            <w:r>
              <w:rPr>
                <w:rFonts w:hint="eastAsia"/>
                <w:color w:val="auto"/>
                <w:highlight w:val="none"/>
                <w:lang w:val="en-US" w:eastAsia="zh-CN"/>
              </w:rPr>
              <w:t xml:space="preserve">                   </w:t>
            </w:r>
            <w:r>
              <w:rPr>
                <w:rFonts w:hint="eastAsia"/>
                <w:color w:val="auto"/>
                <w:highlight w:val="none"/>
              </w:rPr>
              <w:t>内容</w:t>
            </w:r>
          </w:p>
          <w:p w14:paraId="05C029C4">
            <w:pPr>
              <w:pStyle w:val="23"/>
              <w:bidi w:val="0"/>
              <w:rPr>
                <w:rFonts w:hint="eastAsia"/>
                <w:color w:val="auto"/>
                <w:highlight w:val="none"/>
                <w:lang w:eastAsia="zh-CN"/>
              </w:rPr>
            </w:pPr>
          </w:p>
          <w:p w14:paraId="5F35BAE6">
            <w:pPr>
              <w:pStyle w:val="23"/>
              <w:bidi w:val="0"/>
              <w:jc w:val="both"/>
              <w:rPr>
                <w:rFonts w:hint="eastAsia"/>
                <w:color w:val="auto"/>
                <w:highlight w:val="none"/>
              </w:rPr>
            </w:pPr>
            <w:r>
              <w:rPr>
                <w:rFonts w:hint="eastAsia"/>
                <w:color w:val="auto"/>
                <w:highlight w:val="none"/>
              </w:rPr>
              <w:t>要素</w:t>
            </w:r>
          </w:p>
        </w:tc>
        <w:tc>
          <w:tcPr>
            <w:tcW w:w="1993" w:type="pct"/>
            <w:gridSpan w:val="2"/>
            <w:tcBorders>
              <w:tl2br w:val="nil"/>
              <w:tr2bl w:val="nil"/>
            </w:tcBorders>
            <w:noWrap w:val="0"/>
            <w:vAlign w:val="center"/>
          </w:tcPr>
          <w:p w14:paraId="31B60055">
            <w:pPr>
              <w:pStyle w:val="23"/>
              <w:bidi w:val="0"/>
              <w:rPr>
                <w:color w:val="auto"/>
                <w:highlight w:val="none"/>
              </w:rPr>
            </w:pPr>
            <w:r>
              <w:rPr>
                <w:rFonts w:hint="eastAsia"/>
                <w:color w:val="auto"/>
                <w:highlight w:val="none"/>
              </w:rPr>
              <w:t>施工期</w:t>
            </w:r>
          </w:p>
        </w:tc>
        <w:tc>
          <w:tcPr>
            <w:tcW w:w="1876" w:type="pct"/>
            <w:gridSpan w:val="2"/>
            <w:tcBorders>
              <w:tl2br w:val="nil"/>
              <w:tr2bl w:val="nil"/>
            </w:tcBorders>
            <w:noWrap w:val="0"/>
            <w:vAlign w:val="center"/>
          </w:tcPr>
          <w:p w14:paraId="102C2D7A">
            <w:pPr>
              <w:pStyle w:val="23"/>
              <w:bidi w:val="0"/>
              <w:rPr>
                <w:color w:val="auto"/>
                <w:highlight w:val="none"/>
              </w:rPr>
            </w:pPr>
            <w:r>
              <w:rPr>
                <w:rFonts w:hint="eastAsia"/>
                <w:color w:val="auto"/>
                <w:highlight w:val="none"/>
              </w:rPr>
              <w:t>运营期</w:t>
            </w:r>
          </w:p>
        </w:tc>
      </w:tr>
      <w:tr w14:paraId="091562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0" w:type="pct"/>
            <w:vMerge w:val="continue"/>
            <w:tcBorders>
              <w:tl2br w:val="nil"/>
              <w:tr2bl w:val="nil"/>
            </w:tcBorders>
            <w:noWrap w:val="0"/>
            <w:vAlign w:val="top"/>
          </w:tcPr>
          <w:p w14:paraId="750E891F">
            <w:pPr>
              <w:pStyle w:val="23"/>
              <w:bidi w:val="0"/>
              <w:rPr>
                <w:color w:val="auto"/>
                <w:highlight w:val="none"/>
              </w:rPr>
            </w:pPr>
          </w:p>
        </w:tc>
        <w:tc>
          <w:tcPr>
            <w:tcW w:w="1080" w:type="pct"/>
            <w:tcBorders>
              <w:tl2br w:val="nil"/>
              <w:tr2bl w:val="nil"/>
            </w:tcBorders>
            <w:noWrap w:val="0"/>
            <w:vAlign w:val="center"/>
          </w:tcPr>
          <w:p w14:paraId="57BED4EE">
            <w:pPr>
              <w:pStyle w:val="23"/>
              <w:bidi w:val="0"/>
              <w:rPr>
                <w:color w:val="auto"/>
                <w:highlight w:val="none"/>
              </w:rPr>
            </w:pPr>
            <w:r>
              <w:rPr>
                <w:rFonts w:hint="eastAsia"/>
                <w:color w:val="auto"/>
                <w:highlight w:val="none"/>
              </w:rPr>
              <w:t>环境保护措施</w:t>
            </w:r>
          </w:p>
        </w:tc>
        <w:tc>
          <w:tcPr>
            <w:tcW w:w="912" w:type="pct"/>
            <w:tcBorders>
              <w:tl2br w:val="nil"/>
              <w:tr2bl w:val="nil"/>
            </w:tcBorders>
            <w:noWrap w:val="0"/>
            <w:vAlign w:val="center"/>
          </w:tcPr>
          <w:p w14:paraId="4021A225">
            <w:pPr>
              <w:pStyle w:val="23"/>
              <w:bidi w:val="0"/>
              <w:rPr>
                <w:color w:val="auto"/>
                <w:highlight w:val="none"/>
              </w:rPr>
            </w:pPr>
            <w:r>
              <w:rPr>
                <w:rFonts w:hint="eastAsia"/>
                <w:color w:val="auto"/>
                <w:highlight w:val="none"/>
              </w:rPr>
              <w:t>验收要求</w:t>
            </w:r>
          </w:p>
        </w:tc>
        <w:tc>
          <w:tcPr>
            <w:tcW w:w="881" w:type="pct"/>
            <w:tcBorders>
              <w:tl2br w:val="nil"/>
              <w:tr2bl w:val="nil"/>
            </w:tcBorders>
            <w:noWrap w:val="0"/>
            <w:vAlign w:val="center"/>
          </w:tcPr>
          <w:p w14:paraId="31B6849D">
            <w:pPr>
              <w:pStyle w:val="23"/>
              <w:bidi w:val="0"/>
              <w:rPr>
                <w:color w:val="auto"/>
                <w:highlight w:val="none"/>
              </w:rPr>
            </w:pPr>
            <w:r>
              <w:rPr>
                <w:rFonts w:hint="eastAsia"/>
                <w:color w:val="auto"/>
                <w:highlight w:val="none"/>
              </w:rPr>
              <w:t>环境保护措施</w:t>
            </w:r>
          </w:p>
        </w:tc>
        <w:tc>
          <w:tcPr>
            <w:tcW w:w="995" w:type="pct"/>
            <w:tcBorders>
              <w:tl2br w:val="nil"/>
              <w:tr2bl w:val="nil"/>
            </w:tcBorders>
            <w:noWrap w:val="0"/>
            <w:vAlign w:val="center"/>
          </w:tcPr>
          <w:p w14:paraId="4E152CE3">
            <w:pPr>
              <w:pStyle w:val="23"/>
              <w:bidi w:val="0"/>
              <w:rPr>
                <w:color w:val="auto"/>
                <w:highlight w:val="none"/>
              </w:rPr>
            </w:pPr>
            <w:r>
              <w:rPr>
                <w:rFonts w:hint="eastAsia"/>
                <w:color w:val="auto"/>
                <w:highlight w:val="none"/>
              </w:rPr>
              <w:t>验收要求</w:t>
            </w:r>
          </w:p>
        </w:tc>
      </w:tr>
      <w:tr w14:paraId="6250F8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0" w:type="pct"/>
            <w:tcBorders>
              <w:tl2br w:val="nil"/>
              <w:tr2bl w:val="nil"/>
            </w:tcBorders>
            <w:noWrap w:val="0"/>
            <w:vAlign w:val="center"/>
          </w:tcPr>
          <w:p w14:paraId="72D3F2C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rFonts w:hint="eastAsia" w:ascii="宋体" w:hAnsi="宋体" w:cs="宋体"/>
                <w:color w:val="auto"/>
                <w:sz w:val="21"/>
                <w:szCs w:val="21"/>
                <w:highlight w:val="none"/>
              </w:rPr>
              <w:t>陆生生态</w:t>
            </w:r>
          </w:p>
        </w:tc>
        <w:tc>
          <w:tcPr>
            <w:tcW w:w="1080" w:type="pct"/>
            <w:tcBorders>
              <w:tl2br w:val="nil"/>
              <w:tr2bl w:val="nil"/>
            </w:tcBorders>
            <w:noWrap w:val="0"/>
            <w:vAlign w:val="center"/>
          </w:tcPr>
          <w:p w14:paraId="37566EE5">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rFonts w:hAnsi="宋体"/>
                <w:color w:val="auto"/>
                <w:sz w:val="21"/>
                <w:szCs w:val="21"/>
                <w:highlight w:val="none"/>
              </w:rPr>
              <w:t>不跨界施工，严格在施工红线范围内施工</w:t>
            </w:r>
            <w:r>
              <w:rPr>
                <w:rFonts w:hint="eastAsia" w:hAnsi="宋体"/>
                <w:color w:val="auto"/>
                <w:sz w:val="21"/>
                <w:szCs w:val="21"/>
                <w:highlight w:val="none"/>
              </w:rPr>
              <w:t>；尽量少占地，少破坏植物茂盛区；永临结合。土方就近平衡；</w:t>
            </w:r>
            <w:r>
              <w:rPr>
                <w:rFonts w:hint="eastAsia"/>
                <w:color w:val="auto"/>
                <w:sz w:val="21"/>
                <w:szCs w:val="21"/>
                <w:highlight w:val="none"/>
              </w:rPr>
              <w:t>临时占地土地整治、植被恢复措施；剥离表土用于覆土绿化；临时排水及护坡措施，防治水土流失；禁止施工期间施工人员对动物的肆虐猎取和捕捉，增强对野生动物保护的宣传；减少夜间光源；优化施工时间，减少对动物的惊扰。</w:t>
            </w:r>
          </w:p>
        </w:tc>
        <w:tc>
          <w:tcPr>
            <w:tcW w:w="912" w:type="pct"/>
            <w:tcBorders>
              <w:tl2br w:val="nil"/>
              <w:tr2bl w:val="nil"/>
            </w:tcBorders>
            <w:noWrap w:val="0"/>
            <w:vAlign w:val="center"/>
          </w:tcPr>
          <w:p w14:paraId="09AE9CDE">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rFonts w:hAnsi="宋体"/>
                <w:color w:val="auto"/>
                <w:sz w:val="21"/>
                <w:szCs w:val="21"/>
                <w:highlight w:val="none"/>
              </w:rPr>
              <w:t>不跨界施工，严格在施工红线范围内施工</w:t>
            </w:r>
            <w:r>
              <w:rPr>
                <w:rFonts w:hint="eastAsia" w:hAnsi="宋体"/>
                <w:color w:val="auto"/>
                <w:sz w:val="21"/>
                <w:szCs w:val="21"/>
                <w:highlight w:val="none"/>
              </w:rPr>
              <w:t>；根据施工进度逐步进行了植被恢复；因本项目新增的水土流失量控制在设计预测范围；动植物生境逐步恢复</w:t>
            </w:r>
          </w:p>
        </w:tc>
        <w:tc>
          <w:tcPr>
            <w:tcW w:w="881" w:type="pct"/>
            <w:tcBorders>
              <w:tl2br w:val="nil"/>
              <w:tr2bl w:val="nil"/>
            </w:tcBorders>
            <w:noWrap w:val="0"/>
            <w:vAlign w:val="center"/>
          </w:tcPr>
          <w:p w14:paraId="1D9D2B66">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rFonts w:hint="eastAsia"/>
                <w:color w:val="auto"/>
                <w:sz w:val="21"/>
                <w:szCs w:val="21"/>
                <w:highlight w:val="none"/>
              </w:rPr>
              <w:t>进行植被恢复及养护管理；临时施工道路平整后及时恢复原有土地用途</w:t>
            </w:r>
          </w:p>
        </w:tc>
        <w:tc>
          <w:tcPr>
            <w:tcW w:w="995" w:type="pct"/>
            <w:tcBorders>
              <w:tl2br w:val="nil"/>
              <w:tr2bl w:val="nil"/>
            </w:tcBorders>
            <w:noWrap w:val="0"/>
            <w:vAlign w:val="center"/>
          </w:tcPr>
          <w:p w14:paraId="691CE6F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color w:val="auto"/>
                <w:sz w:val="21"/>
                <w:szCs w:val="21"/>
                <w:highlight w:val="none"/>
                <w:lang w:eastAsia="zh-CN"/>
              </w:rPr>
            </w:pPr>
            <w:r>
              <w:rPr>
                <w:rFonts w:hint="eastAsia"/>
                <w:color w:val="auto"/>
                <w:sz w:val="21"/>
                <w:szCs w:val="21"/>
                <w:highlight w:val="none"/>
              </w:rPr>
              <w:t>生态恢复良好</w:t>
            </w:r>
          </w:p>
        </w:tc>
      </w:tr>
      <w:tr w14:paraId="598F462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0" w:type="pct"/>
            <w:tcBorders>
              <w:tl2br w:val="nil"/>
              <w:tr2bl w:val="nil"/>
            </w:tcBorders>
            <w:noWrap w:val="0"/>
            <w:vAlign w:val="center"/>
          </w:tcPr>
          <w:p w14:paraId="6DA4D85B">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eastAsia="zh-CN"/>
              </w:rPr>
              <w:t>水生生态</w:t>
            </w:r>
          </w:p>
        </w:tc>
        <w:tc>
          <w:tcPr>
            <w:tcW w:w="1080" w:type="pct"/>
            <w:tcBorders>
              <w:tl2br w:val="nil"/>
              <w:tr2bl w:val="nil"/>
            </w:tcBorders>
            <w:noWrap w:val="0"/>
            <w:vAlign w:val="center"/>
          </w:tcPr>
          <w:p w14:paraId="1C77465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Ansi="宋体"/>
                <w:color w:val="auto"/>
                <w:sz w:val="21"/>
                <w:szCs w:val="21"/>
                <w:highlight w:val="none"/>
              </w:rPr>
            </w:pPr>
            <w:r>
              <w:rPr>
                <w:rFonts w:hint="eastAsia" w:ascii="宋体" w:hAnsi="宋体" w:cs="宋体"/>
                <w:color w:val="auto"/>
                <w:sz w:val="21"/>
                <w:szCs w:val="21"/>
                <w:highlight w:val="none"/>
                <w:lang w:val="en-US" w:eastAsia="zh-CN"/>
              </w:rPr>
              <w:t>/</w:t>
            </w:r>
          </w:p>
        </w:tc>
        <w:tc>
          <w:tcPr>
            <w:tcW w:w="912" w:type="pct"/>
            <w:tcBorders>
              <w:tl2br w:val="nil"/>
              <w:tr2bl w:val="nil"/>
            </w:tcBorders>
            <w:noWrap w:val="0"/>
            <w:vAlign w:val="center"/>
          </w:tcPr>
          <w:p w14:paraId="6B57893A">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Ansi="宋体"/>
                <w:color w:val="auto"/>
                <w:sz w:val="21"/>
                <w:szCs w:val="21"/>
                <w:highlight w:val="none"/>
              </w:rPr>
            </w:pPr>
            <w:r>
              <w:rPr>
                <w:rFonts w:hint="eastAsia" w:ascii="宋体" w:hAnsi="宋体" w:cs="宋体"/>
                <w:color w:val="auto"/>
                <w:sz w:val="21"/>
                <w:szCs w:val="21"/>
                <w:highlight w:val="none"/>
                <w:lang w:val="en-US" w:eastAsia="zh-CN"/>
              </w:rPr>
              <w:t>/</w:t>
            </w:r>
          </w:p>
        </w:tc>
        <w:tc>
          <w:tcPr>
            <w:tcW w:w="881" w:type="pct"/>
            <w:tcBorders>
              <w:tl2br w:val="nil"/>
              <w:tr2bl w:val="nil"/>
            </w:tcBorders>
            <w:noWrap w:val="0"/>
            <w:vAlign w:val="center"/>
          </w:tcPr>
          <w:p w14:paraId="03DBC98B">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auto"/>
                <w:sz w:val="21"/>
                <w:szCs w:val="21"/>
                <w:highlight w:val="none"/>
              </w:rPr>
            </w:pPr>
            <w:r>
              <w:rPr>
                <w:rFonts w:hint="eastAsia" w:ascii="宋体" w:hAnsi="宋体" w:cs="宋体"/>
                <w:color w:val="auto"/>
                <w:sz w:val="21"/>
                <w:szCs w:val="21"/>
                <w:highlight w:val="none"/>
                <w:lang w:val="en-US" w:eastAsia="zh-CN"/>
              </w:rPr>
              <w:t>/</w:t>
            </w:r>
          </w:p>
        </w:tc>
        <w:tc>
          <w:tcPr>
            <w:tcW w:w="995" w:type="pct"/>
            <w:tcBorders>
              <w:tl2br w:val="nil"/>
              <w:tr2bl w:val="nil"/>
            </w:tcBorders>
            <w:noWrap w:val="0"/>
            <w:vAlign w:val="center"/>
          </w:tcPr>
          <w:p w14:paraId="67548D4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auto"/>
                <w:sz w:val="21"/>
                <w:szCs w:val="21"/>
                <w:highlight w:val="none"/>
              </w:rPr>
            </w:pPr>
            <w:r>
              <w:rPr>
                <w:rFonts w:hint="eastAsia" w:ascii="宋体" w:hAnsi="宋体" w:cs="宋体"/>
                <w:color w:val="auto"/>
                <w:sz w:val="21"/>
                <w:szCs w:val="21"/>
                <w:highlight w:val="none"/>
                <w:lang w:val="en-US" w:eastAsia="zh-CN"/>
              </w:rPr>
              <w:t>/</w:t>
            </w:r>
          </w:p>
        </w:tc>
      </w:tr>
      <w:tr w14:paraId="337C52C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0" w:type="pct"/>
            <w:tcBorders>
              <w:tl2br w:val="nil"/>
              <w:tr2bl w:val="nil"/>
            </w:tcBorders>
            <w:noWrap w:val="0"/>
            <w:vAlign w:val="center"/>
          </w:tcPr>
          <w:p w14:paraId="75CB989E">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rFonts w:hint="eastAsia" w:ascii="宋体" w:hAnsi="宋体" w:cs="宋体"/>
                <w:color w:val="auto"/>
                <w:sz w:val="21"/>
                <w:szCs w:val="21"/>
                <w:highlight w:val="none"/>
              </w:rPr>
              <w:t>地表水环境</w:t>
            </w:r>
          </w:p>
        </w:tc>
        <w:tc>
          <w:tcPr>
            <w:tcW w:w="1080" w:type="pct"/>
            <w:tcBorders>
              <w:tl2br w:val="nil"/>
              <w:tr2bl w:val="nil"/>
            </w:tcBorders>
            <w:noWrap w:val="0"/>
            <w:vAlign w:val="center"/>
          </w:tcPr>
          <w:p w14:paraId="06EB505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color w:val="auto"/>
                <w:sz w:val="21"/>
                <w:szCs w:val="21"/>
                <w:highlight w:val="none"/>
              </w:rPr>
              <w:t>生产废水经沉淀池沉淀后用于场地抑尘，不外排；施工临建区</w:t>
            </w:r>
            <w:r>
              <w:rPr>
                <w:rFonts w:hint="eastAsia"/>
                <w:color w:val="auto"/>
                <w:sz w:val="21"/>
                <w:szCs w:val="21"/>
                <w:highlight w:val="none"/>
              </w:rPr>
              <w:t>粪污</w:t>
            </w:r>
            <w:r>
              <w:rPr>
                <w:color w:val="auto"/>
                <w:sz w:val="21"/>
                <w:szCs w:val="21"/>
                <w:highlight w:val="none"/>
              </w:rPr>
              <w:t>由临时旱厕集中收集后</w:t>
            </w:r>
            <w:r>
              <w:rPr>
                <w:rFonts w:hint="eastAsia"/>
                <w:color w:val="auto"/>
                <w:sz w:val="21"/>
                <w:szCs w:val="21"/>
                <w:highlight w:val="none"/>
              </w:rPr>
              <w:t>作农肥，其他生活污水沉淀处理后浇灌绿地，不外排。</w:t>
            </w:r>
          </w:p>
        </w:tc>
        <w:tc>
          <w:tcPr>
            <w:tcW w:w="912" w:type="pct"/>
            <w:tcBorders>
              <w:tl2br w:val="nil"/>
              <w:tr2bl w:val="nil"/>
            </w:tcBorders>
            <w:noWrap w:val="0"/>
            <w:vAlign w:val="center"/>
          </w:tcPr>
          <w:p w14:paraId="270ECBEE">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rFonts w:hint="eastAsia"/>
                <w:color w:val="auto"/>
                <w:sz w:val="21"/>
                <w:szCs w:val="21"/>
                <w:highlight w:val="none"/>
              </w:rPr>
              <w:t>废水不外排，</w:t>
            </w:r>
            <w:r>
              <w:rPr>
                <w:rFonts w:hint="eastAsia"/>
                <w:color w:val="auto"/>
                <w:sz w:val="21"/>
                <w:szCs w:val="21"/>
                <w:highlight w:val="none"/>
                <w:lang w:eastAsia="zh-CN"/>
              </w:rPr>
              <w:t>不对周边饮用水源造成影响</w:t>
            </w:r>
          </w:p>
        </w:tc>
        <w:tc>
          <w:tcPr>
            <w:tcW w:w="881" w:type="pct"/>
            <w:tcBorders>
              <w:tl2br w:val="nil"/>
              <w:tr2bl w:val="nil"/>
            </w:tcBorders>
            <w:noWrap w:val="0"/>
            <w:vAlign w:val="center"/>
          </w:tcPr>
          <w:p w14:paraId="6B3CC244">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rFonts w:hint="eastAsia"/>
                <w:color w:val="auto"/>
                <w:sz w:val="21"/>
                <w:szCs w:val="21"/>
                <w:highlight w:val="none"/>
                <w:lang w:eastAsia="zh-CN"/>
              </w:rPr>
              <w:t>依托大马风电场升压站地埋式</w:t>
            </w:r>
            <w:r>
              <w:rPr>
                <w:rFonts w:hint="eastAsia"/>
                <w:color w:val="auto"/>
                <w:sz w:val="21"/>
                <w:szCs w:val="21"/>
                <w:highlight w:val="none"/>
              </w:rPr>
              <w:t>一体化污水处理装置处理</w:t>
            </w:r>
          </w:p>
        </w:tc>
        <w:tc>
          <w:tcPr>
            <w:tcW w:w="995" w:type="pct"/>
            <w:tcBorders>
              <w:tl2br w:val="nil"/>
              <w:tr2bl w:val="nil"/>
            </w:tcBorders>
            <w:noWrap w:val="0"/>
            <w:vAlign w:val="center"/>
          </w:tcPr>
          <w:p w14:paraId="7FCB042D">
            <w:pPr>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eastAsia="zh-CN"/>
              </w:rPr>
              <w:t>用于绿化浇灌，不外排</w:t>
            </w:r>
          </w:p>
        </w:tc>
      </w:tr>
      <w:tr w14:paraId="74FDD7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0" w:type="pct"/>
            <w:tcBorders>
              <w:tl2br w:val="nil"/>
              <w:tr2bl w:val="nil"/>
            </w:tcBorders>
            <w:noWrap w:val="0"/>
            <w:vAlign w:val="center"/>
          </w:tcPr>
          <w:p w14:paraId="4553DA5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rFonts w:hint="eastAsia" w:ascii="宋体" w:hAnsi="宋体" w:cs="宋体"/>
                <w:color w:val="auto"/>
                <w:sz w:val="21"/>
                <w:szCs w:val="21"/>
                <w:highlight w:val="none"/>
              </w:rPr>
              <w:t>地下水及土壤环境</w:t>
            </w:r>
          </w:p>
        </w:tc>
        <w:tc>
          <w:tcPr>
            <w:tcW w:w="1080" w:type="pct"/>
            <w:tcBorders>
              <w:tl2br w:val="nil"/>
              <w:tr2bl w:val="nil"/>
            </w:tcBorders>
            <w:noWrap w:val="0"/>
            <w:vAlign w:val="center"/>
          </w:tcPr>
          <w:p w14:paraId="64F34221">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cs="宋体"/>
                <w:color w:val="auto"/>
                <w:sz w:val="21"/>
                <w:szCs w:val="21"/>
                <w:highlight w:val="none"/>
                <w:lang w:val="en-US" w:eastAsia="zh-CN"/>
              </w:rPr>
              <w:t>/</w:t>
            </w:r>
          </w:p>
        </w:tc>
        <w:tc>
          <w:tcPr>
            <w:tcW w:w="912" w:type="pct"/>
            <w:tcBorders>
              <w:tl2br w:val="nil"/>
              <w:tr2bl w:val="nil"/>
            </w:tcBorders>
            <w:noWrap w:val="0"/>
            <w:vAlign w:val="center"/>
          </w:tcPr>
          <w:p w14:paraId="44138BEA">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cs="宋体"/>
                <w:color w:val="auto"/>
                <w:sz w:val="21"/>
                <w:szCs w:val="21"/>
                <w:highlight w:val="none"/>
                <w:lang w:val="en-US" w:eastAsia="zh-CN"/>
              </w:rPr>
              <w:t>/</w:t>
            </w:r>
          </w:p>
        </w:tc>
        <w:tc>
          <w:tcPr>
            <w:tcW w:w="881" w:type="pct"/>
            <w:tcBorders>
              <w:tl2br w:val="nil"/>
              <w:tr2bl w:val="nil"/>
            </w:tcBorders>
            <w:noWrap w:val="0"/>
            <w:vAlign w:val="center"/>
          </w:tcPr>
          <w:p w14:paraId="6AE05B77">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cs="宋体"/>
                <w:color w:val="auto"/>
                <w:sz w:val="21"/>
                <w:szCs w:val="21"/>
                <w:highlight w:val="none"/>
                <w:lang w:val="en-US" w:eastAsia="zh-CN"/>
              </w:rPr>
              <w:t>/</w:t>
            </w:r>
          </w:p>
        </w:tc>
        <w:tc>
          <w:tcPr>
            <w:tcW w:w="995" w:type="pct"/>
            <w:tcBorders>
              <w:tl2br w:val="nil"/>
              <w:tr2bl w:val="nil"/>
            </w:tcBorders>
            <w:noWrap w:val="0"/>
            <w:vAlign w:val="center"/>
          </w:tcPr>
          <w:p w14:paraId="4B925B66">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cs="宋体"/>
                <w:color w:val="auto"/>
                <w:sz w:val="21"/>
                <w:szCs w:val="21"/>
                <w:highlight w:val="none"/>
                <w:lang w:val="en-US" w:eastAsia="zh-CN"/>
              </w:rPr>
              <w:t>/</w:t>
            </w:r>
          </w:p>
        </w:tc>
      </w:tr>
      <w:tr w14:paraId="2AAED4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0" w:type="pct"/>
            <w:tcBorders>
              <w:tl2br w:val="nil"/>
              <w:tr2bl w:val="nil"/>
            </w:tcBorders>
            <w:noWrap w:val="0"/>
            <w:vAlign w:val="center"/>
          </w:tcPr>
          <w:p w14:paraId="13172590">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rFonts w:hint="eastAsia" w:ascii="宋体" w:hAnsi="宋体" w:cs="宋体"/>
                <w:color w:val="auto"/>
                <w:sz w:val="21"/>
                <w:szCs w:val="21"/>
                <w:highlight w:val="none"/>
              </w:rPr>
              <w:t>声环境</w:t>
            </w:r>
          </w:p>
        </w:tc>
        <w:tc>
          <w:tcPr>
            <w:tcW w:w="1080" w:type="pct"/>
            <w:tcBorders>
              <w:tl2br w:val="nil"/>
              <w:tr2bl w:val="nil"/>
            </w:tcBorders>
            <w:noWrap w:val="0"/>
            <w:vAlign w:val="center"/>
          </w:tcPr>
          <w:p w14:paraId="09278B6D">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rFonts w:hint="eastAsia"/>
                <w:color w:val="auto"/>
                <w:sz w:val="21"/>
                <w:szCs w:val="21"/>
                <w:highlight w:val="none"/>
              </w:rPr>
              <w:t>避免夜间运输、施工；采取低噪声工艺和设备；合理安排施工，加强管理</w:t>
            </w:r>
          </w:p>
        </w:tc>
        <w:tc>
          <w:tcPr>
            <w:tcW w:w="912" w:type="pct"/>
            <w:tcBorders>
              <w:tl2br w:val="nil"/>
              <w:tr2bl w:val="nil"/>
            </w:tcBorders>
            <w:noWrap w:val="0"/>
            <w:vAlign w:val="center"/>
          </w:tcPr>
          <w:p w14:paraId="023E7398">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color w:val="auto"/>
                <w:sz w:val="21"/>
                <w:szCs w:val="21"/>
                <w:highlight w:val="none"/>
              </w:rPr>
              <w:t>满足《建筑施工场界环境噪声排放标准》（GB12523-2011）中</w:t>
            </w:r>
            <w:r>
              <w:rPr>
                <w:rFonts w:hint="eastAsia"/>
                <w:color w:val="auto"/>
                <w:sz w:val="21"/>
                <w:szCs w:val="21"/>
                <w:highlight w:val="none"/>
              </w:rPr>
              <w:t>要求</w:t>
            </w:r>
          </w:p>
        </w:tc>
        <w:tc>
          <w:tcPr>
            <w:tcW w:w="881" w:type="pct"/>
            <w:tcBorders>
              <w:tl2br w:val="nil"/>
              <w:tr2bl w:val="nil"/>
            </w:tcBorders>
            <w:noWrap w:val="0"/>
            <w:vAlign w:val="center"/>
          </w:tcPr>
          <w:p w14:paraId="5204245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rFonts w:hint="eastAsia"/>
                <w:color w:val="auto"/>
                <w:sz w:val="21"/>
                <w:szCs w:val="21"/>
                <w:highlight w:val="none"/>
              </w:rPr>
              <w:t>选用低噪声机组；减少偏航次数；加强噪声监测。</w:t>
            </w:r>
          </w:p>
        </w:tc>
        <w:tc>
          <w:tcPr>
            <w:tcW w:w="995" w:type="pct"/>
            <w:tcBorders>
              <w:tl2br w:val="nil"/>
              <w:tr2bl w:val="nil"/>
            </w:tcBorders>
            <w:noWrap w:val="0"/>
            <w:vAlign w:val="center"/>
          </w:tcPr>
          <w:p w14:paraId="79D3EAE4">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rFonts w:hint="eastAsia"/>
                <w:color w:val="auto"/>
                <w:sz w:val="21"/>
                <w:szCs w:val="21"/>
                <w:highlight w:val="none"/>
              </w:rPr>
              <w:t>敏感点噪声达到《声环境质量标准》（GB3096-2008）二类标准</w:t>
            </w:r>
          </w:p>
        </w:tc>
      </w:tr>
      <w:tr w14:paraId="314F899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0" w:type="pct"/>
            <w:tcBorders>
              <w:tl2br w:val="nil"/>
              <w:tr2bl w:val="nil"/>
            </w:tcBorders>
            <w:noWrap w:val="0"/>
            <w:vAlign w:val="center"/>
          </w:tcPr>
          <w:p w14:paraId="53752436">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rFonts w:hint="eastAsia" w:ascii="宋体" w:hAnsi="宋体" w:cs="宋体"/>
                <w:color w:val="auto"/>
                <w:sz w:val="21"/>
                <w:szCs w:val="21"/>
                <w:highlight w:val="none"/>
              </w:rPr>
              <w:t>大气环境</w:t>
            </w:r>
          </w:p>
        </w:tc>
        <w:tc>
          <w:tcPr>
            <w:tcW w:w="1080" w:type="pct"/>
            <w:tcBorders>
              <w:tl2br w:val="nil"/>
              <w:tr2bl w:val="nil"/>
            </w:tcBorders>
            <w:noWrap w:val="0"/>
            <w:vAlign w:val="center"/>
          </w:tcPr>
          <w:p w14:paraId="57FB888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rFonts w:hint="eastAsia"/>
                <w:color w:val="auto"/>
                <w:sz w:val="21"/>
                <w:szCs w:val="21"/>
                <w:highlight w:val="none"/>
              </w:rPr>
              <w:t>作业区远离居民区；大风天气禁止土建施工；施工生产区地面硬化；</w:t>
            </w:r>
            <w:r>
              <w:rPr>
                <w:color w:val="auto"/>
                <w:sz w:val="21"/>
                <w:szCs w:val="21"/>
                <w:highlight w:val="none"/>
              </w:rPr>
              <w:t>使用商品混凝土；施工道路及裸露地面定期洒水；回填土、临时堆料采取围挡、覆盖措施；装卸建筑材料，必须采用封闭式车辆运输</w:t>
            </w:r>
            <w:r>
              <w:rPr>
                <w:rFonts w:hint="eastAsia"/>
                <w:color w:val="auto"/>
                <w:sz w:val="21"/>
                <w:szCs w:val="21"/>
                <w:highlight w:val="none"/>
              </w:rPr>
              <w:t>；无老、旧报废车辆或设备。</w:t>
            </w:r>
          </w:p>
        </w:tc>
        <w:tc>
          <w:tcPr>
            <w:tcW w:w="912" w:type="pct"/>
            <w:tcBorders>
              <w:tl2br w:val="nil"/>
              <w:tr2bl w:val="nil"/>
            </w:tcBorders>
            <w:noWrap w:val="0"/>
            <w:vAlign w:val="center"/>
          </w:tcPr>
          <w:p w14:paraId="44E8EA0A">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rFonts w:hint="eastAsia"/>
                <w:color w:val="auto"/>
                <w:sz w:val="21"/>
                <w:szCs w:val="21"/>
                <w:highlight w:val="none"/>
              </w:rPr>
              <w:t>减少扬尘量，减轻对大气环境的影响</w:t>
            </w:r>
          </w:p>
        </w:tc>
        <w:tc>
          <w:tcPr>
            <w:tcW w:w="881" w:type="pct"/>
            <w:tcBorders>
              <w:tl2br w:val="nil"/>
              <w:tr2bl w:val="nil"/>
            </w:tcBorders>
            <w:noWrap w:val="0"/>
            <w:vAlign w:val="center"/>
          </w:tcPr>
          <w:p w14:paraId="4A9D5C7E">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color w:val="auto"/>
                <w:kern w:val="2"/>
                <w:sz w:val="21"/>
                <w:szCs w:val="21"/>
                <w:highlight w:val="none"/>
                <w:lang w:val="en-US" w:eastAsia="zh-CN" w:bidi="ar-SA"/>
              </w:rPr>
            </w:pPr>
            <w:r>
              <w:rPr>
                <w:rFonts w:hint="eastAsia"/>
                <w:color w:val="auto"/>
                <w:sz w:val="21"/>
                <w:szCs w:val="21"/>
                <w:highlight w:val="none"/>
                <w:lang w:eastAsia="zh-CN"/>
              </w:rPr>
              <w:t>依托大马风电场升压站内</w:t>
            </w:r>
            <w:r>
              <w:rPr>
                <w:rFonts w:hint="eastAsia"/>
                <w:color w:val="auto"/>
                <w:sz w:val="21"/>
                <w:szCs w:val="21"/>
                <w:highlight w:val="none"/>
              </w:rPr>
              <w:t>食堂油烟经油烟净化装置处理后楼顶排放</w:t>
            </w:r>
          </w:p>
        </w:tc>
        <w:tc>
          <w:tcPr>
            <w:tcW w:w="995" w:type="pct"/>
            <w:tcBorders>
              <w:tl2br w:val="nil"/>
              <w:tr2bl w:val="nil"/>
            </w:tcBorders>
            <w:noWrap w:val="0"/>
            <w:vAlign w:val="center"/>
          </w:tcPr>
          <w:p w14:paraId="7F6B72D9">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color w:val="auto"/>
                <w:kern w:val="2"/>
                <w:sz w:val="21"/>
                <w:szCs w:val="21"/>
                <w:highlight w:val="none"/>
                <w:lang w:val="en-US" w:eastAsia="zh-CN" w:bidi="ar-SA"/>
              </w:rPr>
            </w:pPr>
            <w:r>
              <w:rPr>
                <w:rFonts w:hint="eastAsia"/>
                <w:color w:val="auto"/>
                <w:sz w:val="21"/>
                <w:szCs w:val="21"/>
                <w:highlight w:val="none"/>
                <w:lang w:val="en-US" w:eastAsia="zh-CN"/>
              </w:rPr>
              <w:t>/</w:t>
            </w:r>
          </w:p>
        </w:tc>
      </w:tr>
      <w:tr w14:paraId="6153229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0" w:type="pct"/>
            <w:vMerge w:val="restart"/>
            <w:tcBorders>
              <w:tl2br w:val="nil"/>
              <w:tr2bl w:val="nil"/>
            </w:tcBorders>
            <w:noWrap w:val="0"/>
            <w:vAlign w:val="center"/>
          </w:tcPr>
          <w:p w14:paraId="50E2268E">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rFonts w:hint="eastAsia" w:ascii="宋体" w:hAnsi="宋体" w:cs="宋体"/>
                <w:color w:val="auto"/>
                <w:sz w:val="21"/>
                <w:szCs w:val="21"/>
                <w:highlight w:val="none"/>
              </w:rPr>
              <w:t>固体废物</w:t>
            </w:r>
          </w:p>
        </w:tc>
        <w:tc>
          <w:tcPr>
            <w:tcW w:w="3064" w:type="dxa"/>
            <w:vMerge w:val="restart"/>
            <w:tcBorders>
              <w:tl2br w:val="nil"/>
              <w:tr2bl w:val="nil"/>
            </w:tcBorders>
            <w:noWrap w:val="0"/>
            <w:vAlign w:val="center"/>
          </w:tcPr>
          <w:p w14:paraId="7C8F7F15">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color w:val="auto"/>
                <w:sz w:val="21"/>
                <w:szCs w:val="21"/>
                <w:highlight w:val="none"/>
              </w:rPr>
              <w:t>施工期生活垃圾要定点集中收集，不得任意堆放和丢弃，生活垃圾定期由施工方统一组织清运，交由市政管理部门统一处理；</w:t>
            </w:r>
            <w:r>
              <w:rPr>
                <w:rFonts w:hint="eastAsia"/>
                <w:color w:val="auto"/>
                <w:sz w:val="21"/>
                <w:szCs w:val="21"/>
                <w:highlight w:val="none"/>
              </w:rPr>
              <w:t>施工弃渣在弃渣场妥善堆存。</w:t>
            </w:r>
          </w:p>
        </w:tc>
        <w:tc>
          <w:tcPr>
            <w:tcW w:w="2586" w:type="dxa"/>
            <w:vMerge w:val="restart"/>
            <w:tcBorders>
              <w:tl2br w:val="nil"/>
              <w:tr2bl w:val="nil"/>
            </w:tcBorders>
            <w:noWrap w:val="0"/>
            <w:vAlign w:val="center"/>
          </w:tcPr>
          <w:p w14:paraId="09B4B47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color w:val="auto"/>
                <w:sz w:val="21"/>
                <w:szCs w:val="21"/>
                <w:highlight w:val="none"/>
                <w:lang w:eastAsia="zh-CN"/>
              </w:rPr>
            </w:pPr>
            <w:r>
              <w:rPr>
                <w:rFonts w:hint="eastAsia"/>
                <w:color w:val="auto"/>
                <w:sz w:val="21"/>
                <w:szCs w:val="21"/>
                <w:highlight w:val="none"/>
              </w:rPr>
              <w:t>固废均得到妥善处置</w:t>
            </w:r>
          </w:p>
        </w:tc>
        <w:tc>
          <w:tcPr>
            <w:tcW w:w="2498" w:type="dxa"/>
            <w:tcBorders>
              <w:tl2br w:val="nil"/>
              <w:tr2bl w:val="nil"/>
            </w:tcBorders>
            <w:noWrap w:val="0"/>
            <w:vAlign w:val="center"/>
          </w:tcPr>
          <w:p w14:paraId="46663681">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eastAsia="宋体" w:cs="宋体"/>
                <w:color w:val="auto"/>
                <w:sz w:val="21"/>
                <w:szCs w:val="21"/>
                <w:highlight w:val="none"/>
                <w:lang w:eastAsia="zh-CN"/>
              </w:rPr>
            </w:pPr>
            <w:r>
              <w:rPr>
                <w:rFonts w:hint="eastAsia"/>
                <w:color w:val="auto"/>
                <w:sz w:val="21"/>
                <w:szCs w:val="21"/>
                <w:highlight w:val="none"/>
                <w:lang w:eastAsia="zh-CN"/>
              </w:rPr>
              <w:t>生活垃圾</w:t>
            </w:r>
            <w:r>
              <w:rPr>
                <w:rFonts w:hint="eastAsia"/>
                <w:color w:val="auto"/>
                <w:sz w:val="21"/>
                <w:szCs w:val="21"/>
                <w:highlight w:val="none"/>
              </w:rPr>
              <w:t>统一收集，定期由环卫部门清运</w:t>
            </w:r>
          </w:p>
        </w:tc>
        <w:tc>
          <w:tcPr>
            <w:tcW w:w="2821" w:type="dxa"/>
            <w:tcBorders>
              <w:tl2br w:val="nil"/>
              <w:tr2bl w:val="nil"/>
            </w:tcBorders>
            <w:noWrap w:val="0"/>
            <w:vAlign w:val="center"/>
          </w:tcPr>
          <w:p w14:paraId="4DC6B412">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rFonts w:hint="eastAsia"/>
                <w:color w:val="auto"/>
                <w:sz w:val="21"/>
                <w:szCs w:val="21"/>
                <w:highlight w:val="none"/>
              </w:rPr>
              <w:t>满足《一般工业固体废物贮存和填埋污染控制标准》（GB18599-2020）要求</w:t>
            </w:r>
          </w:p>
        </w:tc>
      </w:tr>
      <w:tr w14:paraId="302308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0" w:type="pct"/>
            <w:vMerge w:val="continue"/>
            <w:tcBorders>
              <w:tl2br w:val="nil"/>
              <w:tr2bl w:val="nil"/>
            </w:tcBorders>
            <w:noWrap w:val="0"/>
            <w:vAlign w:val="center"/>
          </w:tcPr>
          <w:p w14:paraId="76B4418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highlight w:val="none"/>
              </w:rPr>
            </w:pPr>
          </w:p>
        </w:tc>
        <w:tc>
          <w:tcPr>
            <w:tcW w:w="3064" w:type="dxa"/>
            <w:vMerge w:val="continue"/>
            <w:tcBorders>
              <w:tl2br w:val="nil"/>
              <w:tr2bl w:val="nil"/>
            </w:tcBorders>
            <w:noWrap w:val="0"/>
            <w:vAlign w:val="center"/>
          </w:tcPr>
          <w:p w14:paraId="4D3A14A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color w:val="auto"/>
                <w:sz w:val="21"/>
                <w:szCs w:val="21"/>
                <w:highlight w:val="none"/>
              </w:rPr>
            </w:pPr>
          </w:p>
        </w:tc>
        <w:tc>
          <w:tcPr>
            <w:tcW w:w="2586" w:type="dxa"/>
            <w:vMerge w:val="continue"/>
            <w:tcBorders>
              <w:tl2br w:val="nil"/>
              <w:tr2bl w:val="nil"/>
            </w:tcBorders>
            <w:noWrap w:val="0"/>
            <w:vAlign w:val="center"/>
          </w:tcPr>
          <w:p w14:paraId="1049A940">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color w:val="auto"/>
                <w:sz w:val="21"/>
                <w:szCs w:val="21"/>
                <w:highlight w:val="none"/>
              </w:rPr>
            </w:pPr>
          </w:p>
        </w:tc>
        <w:tc>
          <w:tcPr>
            <w:tcW w:w="2498" w:type="dxa"/>
            <w:tcBorders>
              <w:tl2br w:val="nil"/>
              <w:tr2bl w:val="nil"/>
            </w:tcBorders>
            <w:noWrap w:val="0"/>
            <w:vAlign w:val="center"/>
          </w:tcPr>
          <w:p w14:paraId="5E3A93C9">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highlight w:val="none"/>
              </w:rPr>
            </w:pPr>
            <w:r>
              <w:rPr>
                <w:rFonts w:hint="eastAsia"/>
                <w:color w:val="auto"/>
                <w:sz w:val="21"/>
                <w:szCs w:val="21"/>
                <w:highlight w:val="none"/>
                <w:lang w:eastAsia="zh-CN"/>
              </w:rPr>
              <w:t>危险废物</w:t>
            </w:r>
            <w:r>
              <w:rPr>
                <w:rFonts w:hint="eastAsia"/>
                <w:color w:val="auto"/>
                <w:sz w:val="21"/>
                <w:szCs w:val="21"/>
                <w:highlight w:val="none"/>
              </w:rPr>
              <w:t>收集后暂存于危废间，定期由有资质单位进行清运处置</w:t>
            </w:r>
          </w:p>
        </w:tc>
        <w:tc>
          <w:tcPr>
            <w:tcW w:w="2821" w:type="dxa"/>
            <w:tcBorders>
              <w:tl2br w:val="nil"/>
              <w:tr2bl w:val="nil"/>
            </w:tcBorders>
            <w:noWrap w:val="0"/>
            <w:vAlign w:val="center"/>
          </w:tcPr>
          <w:p w14:paraId="4C49406B">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hint="eastAsia" w:ascii="宋体" w:hAnsi="宋体" w:cs="宋体"/>
                <w:color w:val="auto"/>
                <w:sz w:val="21"/>
                <w:szCs w:val="21"/>
                <w:highlight w:val="none"/>
                <w:lang w:eastAsia="zh-CN"/>
              </w:rPr>
            </w:pPr>
            <w:r>
              <w:rPr>
                <w:rFonts w:hint="eastAsia"/>
                <w:color w:val="auto"/>
                <w:sz w:val="21"/>
                <w:szCs w:val="21"/>
                <w:highlight w:val="none"/>
              </w:rPr>
              <w:t>满足《危险废物贮存污染控制标准》（GB18597-20</w:t>
            </w:r>
            <w:r>
              <w:rPr>
                <w:rFonts w:hint="eastAsia"/>
                <w:color w:val="auto"/>
                <w:sz w:val="21"/>
                <w:szCs w:val="21"/>
                <w:highlight w:val="none"/>
                <w:lang w:val="en-US" w:eastAsia="zh-CN"/>
              </w:rPr>
              <w:t>23</w:t>
            </w:r>
            <w:r>
              <w:rPr>
                <w:rFonts w:hint="eastAsia"/>
                <w:color w:val="auto"/>
                <w:sz w:val="21"/>
                <w:szCs w:val="21"/>
                <w:highlight w:val="none"/>
              </w:rPr>
              <w:t>）及其修改单和《危险废物收集、贮存、运输技术规范》（HJ2025-2012）相关规定</w:t>
            </w:r>
          </w:p>
        </w:tc>
      </w:tr>
      <w:tr w14:paraId="338F9A6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0" w:type="pct"/>
            <w:tcBorders>
              <w:tl2br w:val="nil"/>
              <w:tr2bl w:val="nil"/>
            </w:tcBorders>
            <w:noWrap w:val="0"/>
            <w:vAlign w:val="center"/>
          </w:tcPr>
          <w:p w14:paraId="752BB0EF">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rFonts w:hint="eastAsia" w:ascii="宋体" w:hAnsi="宋体" w:cs="宋体"/>
                <w:color w:val="auto"/>
                <w:sz w:val="21"/>
                <w:szCs w:val="21"/>
                <w:highlight w:val="none"/>
              </w:rPr>
              <w:t>电磁环境</w:t>
            </w:r>
          </w:p>
        </w:tc>
        <w:tc>
          <w:tcPr>
            <w:tcW w:w="1080" w:type="pct"/>
            <w:tcBorders>
              <w:tl2br w:val="nil"/>
              <w:tr2bl w:val="nil"/>
            </w:tcBorders>
            <w:noWrap w:val="0"/>
            <w:vAlign w:val="center"/>
          </w:tcPr>
          <w:p w14:paraId="61749E2D">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w:t>
            </w:r>
          </w:p>
        </w:tc>
        <w:tc>
          <w:tcPr>
            <w:tcW w:w="912" w:type="pct"/>
            <w:tcBorders>
              <w:tl2br w:val="nil"/>
              <w:tr2bl w:val="nil"/>
            </w:tcBorders>
            <w:noWrap w:val="0"/>
            <w:vAlign w:val="center"/>
          </w:tcPr>
          <w:p w14:paraId="35A7AC10">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w:t>
            </w:r>
          </w:p>
        </w:tc>
        <w:tc>
          <w:tcPr>
            <w:tcW w:w="881" w:type="pct"/>
            <w:tcBorders>
              <w:tl2br w:val="nil"/>
              <w:tr2bl w:val="nil"/>
            </w:tcBorders>
            <w:noWrap w:val="0"/>
            <w:vAlign w:val="center"/>
          </w:tcPr>
          <w:p w14:paraId="7FC800BB">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宋体" w:hAnsi="宋体" w:cs="宋体"/>
                <w:color w:val="auto"/>
                <w:sz w:val="21"/>
                <w:szCs w:val="21"/>
                <w:highlight w:val="none"/>
              </w:rPr>
            </w:pPr>
            <w:r>
              <w:rPr>
                <w:rFonts w:hint="eastAsia" w:ascii="宋体" w:hAnsi="宋体" w:cs="宋体"/>
                <w:color w:val="auto"/>
                <w:sz w:val="21"/>
                <w:szCs w:val="21"/>
                <w:highlight w:val="none"/>
              </w:rPr>
              <w:fldChar w:fldCharType="begin"/>
            </w:r>
            <w:r>
              <w:rPr>
                <w:rFonts w:hint="eastAsia" w:ascii="宋体" w:hAnsi="宋体" w:cs="宋体"/>
                <w:color w:val="auto"/>
                <w:sz w:val="21"/>
                <w:szCs w:val="21"/>
                <w:highlight w:val="none"/>
              </w:rPr>
              <w:instrText xml:space="preserve"> = 1 \* GB3 \* MERGEFORMAT </w:instrText>
            </w:r>
            <w:r>
              <w:rPr>
                <w:rFonts w:hint="eastAsia" w:ascii="宋体" w:hAnsi="宋体" w:cs="宋体"/>
                <w:color w:val="auto"/>
                <w:sz w:val="21"/>
                <w:szCs w:val="21"/>
                <w:highlight w:val="none"/>
              </w:rPr>
              <w:fldChar w:fldCharType="separate"/>
            </w:r>
            <w:r>
              <w:rPr>
                <w:color w:val="auto"/>
                <w:sz w:val="21"/>
                <w:szCs w:val="21"/>
                <w:highlight w:val="none"/>
              </w:rPr>
              <w:t>①</w:t>
            </w:r>
            <w:r>
              <w:rPr>
                <w:rFonts w:hint="eastAsia" w:ascii="宋体" w:hAnsi="宋体" w:cs="宋体"/>
                <w:color w:val="auto"/>
                <w:sz w:val="21"/>
                <w:szCs w:val="21"/>
                <w:highlight w:val="none"/>
              </w:rPr>
              <w:fldChar w:fldCharType="end"/>
            </w:r>
            <w:r>
              <w:rPr>
                <w:rFonts w:hint="eastAsia" w:ascii="宋体" w:hAnsi="宋体" w:cs="宋体"/>
                <w:color w:val="auto"/>
                <w:sz w:val="21"/>
                <w:szCs w:val="21"/>
                <w:highlight w:val="none"/>
              </w:rPr>
              <w:t>合理设计并保证变电设备及配件加工精良；减小因接触不良而产生的火花放电。</w:t>
            </w:r>
          </w:p>
          <w:p w14:paraId="4321C192">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宋体" w:hAnsi="宋体" w:cs="宋体"/>
                <w:color w:val="auto"/>
                <w:sz w:val="21"/>
                <w:szCs w:val="21"/>
                <w:highlight w:val="none"/>
              </w:rPr>
            </w:pPr>
            <w:r>
              <w:rPr>
                <w:rFonts w:hint="eastAsia" w:ascii="宋体" w:hAnsi="宋体" w:cs="宋体"/>
                <w:color w:val="auto"/>
                <w:sz w:val="21"/>
                <w:szCs w:val="21"/>
                <w:highlight w:val="none"/>
              </w:rPr>
              <w:fldChar w:fldCharType="begin"/>
            </w:r>
            <w:r>
              <w:rPr>
                <w:rFonts w:hint="eastAsia" w:ascii="宋体" w:hAnsi="宋体" w:cs="宋体"/>
                <w:color w:val="auto"/>
                <w:sz w:val="21"/>
                <w:szCs w:val="21"/>
                <w:highlight w:val="none"/>
              </w:rPr>
              <w:instrText xml:space="preserve"> = 2 \* GB3 \* MERGEFORMAT </w:instrText>
            </w:r>
            <w:r>
              <w:rPr>
                <w:rFonts w:hint="eastAsia" w:ascii="宋体" w:hAnsi="宋体" w:cs="宋体"/>
                <w:color w:val="auto"/>
                <w:sz w:val="21"/>
                <w:szCs w:val="21"/>
                <w:highlight w:val="none"/>
              </w:rPr>
              <w:fldChar w:fldCharType="separate"/>
            </w:r>
            <w:r>
              <w:rPr>
                <w:color w:val="auto"/>
                <w:sz w:val="21"/>
                <w:szCs w:val="21"/>
                <w:highlight w:val="none"/>
              </w:rPr>
              <w:t>②</w:t>
            </w:r>
            <w:r>
              <w:rPr>
                <w:rFonts w:hint="eastAsia" w:ascii="宋体" w:hAnsi="宋体" w:cs="宋体"/>
                <w:color w:val="auto"/>
                <w:sz w:val="21"/>
                <w:szCs w:val="21"/>
                <w:highlight w:val="none"/>
              </w:rPr>
              <w:fldChar w:fldCharType="end"/>
            </w:r>
            <w:r>
              <w:rPr>
                <w:rFonts w:hint="eastAsia" w:ascii="宋体" w:hAnsi="宋体" w:cs="宋体"/>
                <w:color w:val="auto"/>
                <w:sz w:val="21"/>
                <w:szCs w:val="21"/>
                <w:highlight w:val="none"/>
              </w:rPr>
              <w:t>在满足升压站内电气布局设计要求的前提下，加大主变与厂界的距离。</w:t>
            </w:r>
          </w:p>
          <w:p w14:paraId="08F3DF78">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宋体" w:hAnsi="宋体" w:cs="宋体"/>
                <w:color w:val="auto"/>
                <w:sz w:val="21"/>
                <w:szCs w:val="21"/>
                <w:highlight w:val="none"/>
              </w:rPr>
            </w:pPr>
            <w:r>
              <w:rPr>
                <w:rFonts w:hint="eastAsia" w:ascii="宋体" w:hAnsi="宋体" w:cs="宋体"/>
                <w:color w:val="auto"/>
                <w:sz w:val="21"/>
                <w:szCs w:val="21"/>
                <w:highlight w:val="none"/>
              </w:rPr>
              <w:fldChar w:fldCharType="begin"/>
            </w:r>
            <w:r>
              <w:rPr>
                <w:rFonts w:hint="eastAsia" w:ascii="宋体" w:hAnsi="宋体" w:cs="宋体"/>
                <w:color w:val="auto"/>
                <w:sz w:val="21"/>
                <w:szCs w:val="21"/>
                <w:highlight w:val="none"/>
              </w:rPr>
              <w:instrText xml:space="preserve"> = 3 \* GB3 \* MERGEFORMAT </w:instrText>
            </w:r>
            <w:r>
              <w:rPr>
                <w:rFonts w:hint="eastAsia" w:ascii="宋体" w:hAnsi="宋体" w:cs="宋体"/>
                <w:color w:val="auto"/>
                <w:sz w:val="21"/>
                <w:szCs w:val="21"/>
                <w:highlight w:val="none"/>
              </w:rPr>
              <w:fldChar w:fldCharType="separate"/>
            </w:r>
            <w:r>
              <w:rPr>
                <w:color w:val="auto"/>
                <w:sz w:val="21"/>
                <w:szCs w:val="21"/>
                <w:highlight w:val="none"/>
              </w:rPr>
              <w:t>③</w:t>
            </w:r>
            <w:r>
              <w:rPr>
                <w:rFonts w:hint="eastAsia" w:ascii="宋体" w:hAnsi="宋体" w:cs="宋体"/>
                <w:color w:val="auto"/>
                <w:sz w:val="21"/>
                <w:szCs w:val="21"/>
                <w:highlight w:val="none"/>
              </w:rPr>
              <w:fldChar w:fldCharType="end"/>
            </w:r>
            <w:r>
              <w:rPr>
                <w:rFonts w:hint="eastAsia" w:ascii="宋体" w:hAnsi="宋体" w:cs="宋体"/>
                <w:color w:val="auto"/>
                <w:sz w:val="21"/>
                <w:szCs w:val="21"/>
                <w:highlight w:val="none"/>
              </w:rPr>
              <w:t>加强宣传，避免工作人员和群众长期在输电线路下工作。</w:t>
            </w:r>
          </w:p>
          <w:p w14:paraId="388402F3">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宋体" w:hAnsi="宋体" w:cs="宋体"/>
                <w:color w:val="auto"/>
                <w:sz w:val="21"/>
                <w:szCs w:val="21"/>
                <w:highlight w:val="none"/>
              </w:rPr>
            </w:pPr>
            <w:r>
              <w:rPr>
                <w:rFonts w:hint="eastAsia" w:ascii="宋体" w:hAnsi="宋体" w:cs="宋体"/>
                <w:color w:val="auto"/>
                <w:sz w:val="21"/>
                <w:szCs w:val="21"/>
                <w:highlight w:val="none"/>
              </w:rPr>
              <w:fldChar w:fldCharType="begin"/>
            </w:r>
            <w:r>
              <w:rPr>
                <w:rFonts w:hint="eastAsia" w:ascii="宋体" w:hAnsi="宋体" w:cs="宋体"/>
                <w:color w:val="auto"/>
                <w:sz w:val="21"/>
                <w:szCs w:val="21"/>
                <w:highlight w:val="none"/>
              </w:rPr>
              <w:instrText xml:space="preserve"> = 4 \* GB3 \* MERGEFORMAT </w:instrText>
            </w:r>
            <w:r>
              <w:rPr>
                <w:rFonts w:hint="eastAsia" w:ascii="宋体" w:hAnsi="宋体" w:cs="宋体"/>
                <w:color w:val="auto"/>
                <w:sz w:val="21"/>
                <w:szCs w:val="21"/>
                <w:highlight w:val="none"/>
              </w:rPr>
              <w:fldChar w:fldCharType="separate"/>
            </w:r>
            <w:r>
              <w:rPr>
                <w:color w:val="auto"/>
                <w:sz w:val="21"/>
                <w:szCs w:val="21"/>
                <w:highlight w:val="none"/>
              </w:rPr>
              <w:t>④</w:t>
            </w:r>
            <w:r>
              <w:rPr>
                <w:rFonts w:hint="eastAsia" w:ascii="宋体" w:hAnsi="宋体" w:cs="宋体"/>
                <w:color w:val="auto"/>
                <w:sz w:val="21"/>
                <w:szCs w:val="21"/>
                <w:highlight w:val="none"/>
              </w:rPr>
              <w:fldChar w:fldCharType="end"/>
            </w:r>
            <w:r>
              <w:rPr>
                <w:rFonts w:hint="eastAsia" w:ascii="宋体" w:hAnsi="宋体" w:cs="宋体"/>
                <w:color w:val="auto"/>
                <w:sz w:val="21"/>
                <w:szCs w:val="21"/>
                <w:highlight w:val="none"/>
              </w:rPr>
              <w:t>加强电磁环境影响宣传，消除公众的恐惧心理，设置明显的警告标志。</w:t>
            </w:r>
          </w:p>
          <w:p w14:paraId="323593B1">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ascii="宋体" w:hAnsi="宋体" w:cs="宋体"/>
                <w:color w:val="auto"/>
                <w:sz w:val="21"/>
                <w:szCs w:val="21"/>
                <w:highlight w:val="none"/>
              </w:rPr>
            </w:pPr>
            <w:r>
              <w:rPr>
                <w:rFonts w:hint="eastAsia" w:ascii="宋体" w:hAnsi="宋体" w:cs="宋体"/>
                <w:color w:val="auto"/>
                <w:sz w:val="21"/>
                <w:szCs w:val="21"/>
                <w:highlight w:val="none"/>
                <w:lang w:eastAsia="zh-CN"/>
              </w:rPr>
              <w:t>⑤</w:t>
            </w:r>
            <w:r>
              <w:rPr>
                <w:rFonts w:hint="default" w:ascii="Times New Roman" w:hAnsi="Times New Roman" w:cs="Times New Roman"/>
                <w:color w:val="auto"/>
                <w:sz w:val="21"/>
                <w:szCs w:val="21"/>
                <w:highlight w:val="none"/>
                <w:lang w:eastAsia="zh-CN"/>
              </w:rPr>
              <w:t>升压站四周布置2.5m高的实体围墙</w:t>
            </w:r>
            <w:r>
              <w:rPr>
                <w:rFonts w:hint="default" w:ascii="Times New Roman" w:hAnsi="Times New Roman" w:cs="Times New Roman"/>
                <w:color w:val="auto"/>
                <w:sz w:val="21"/>
                <w:szCs w:val="21"/>
                <w:highlight w:val="none"/>
              </w:rPr>
              <w:t>。</w:t>
            </w:r>
          </w:p>
        </w:tc>
        <w:tc>
          <w:tcPr>
            <w:tcW w:w="995" w:type="pct"/>
            <w:tcBorders>
              <w:tl2br w:val="nil"/>
              <w:tr2bl w:val="nil"/>
            </w:tcBorders>
            <w:noWrap w:val="0"/>
            <w:vAlign w:val="center"/>
          </w:tcPr>
          <w:p w14:paraId="2BC12D09">
            <w:pPr>
              <w:keepNext w:val="0"/>
              <w:keepLines w:val="0"/>
              <w:pageBreakBefore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rPr>
                <w:rFonts w:ascii="宋体" w:hAnsi="宋体" w:cs="宋体"/>
                <w:color w:val="auto"/>
                <w:sz w:val="21"/>
                <w:szCs w:val="21"/>
                <w:highlight w:val="none"/>
              </w:rPr>
            </w:pPr>
            <w:r>
              <w:rPr>
                <w:rFonts w:hint="default" w:ascii="Times New Roman" w:hAnsi="Times New Roman" w:cs="Times New Roman"/>
                <w:color w:val="auto"/>
                <w:sz w:val="21"/>
                <w:szCs w:val="21"/>
                <w:highlight w:val="none"/>
              </w:rPr>
              <w:t>《电磁环境控制限值》（GB8702-2014）</w:t>
            </w:r>
          </w:p>
        </w:tc>
      </w:tr>
      <w:tr w14:paraId="33D712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0" w:type="pct"/>
            <w:tcBorders>
              <w:tl2br w:val="nil"/>
              <w:tr2bl w:val="nil"/>
            </w:tcBorders>
            <w:noWrap w:val="0"/>
            <w:vAlign w:val="center"/>
          </w:tcPr>
          <w:p w14:paraId="30621734">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rFonts w:hint="eastAsia" w:ascii="宋体" w:hAnsi="宋体" w:cs="宋体"/>
                <w:color w:val="auto"/>
                <w:sz w:val="21"/>
                <w:szCs w:val="21"/>
                <w:highlight w:val="none"/>
              </w:rPr>
              <w:t>环境风险</w:t>
            </w:r>
          </w:p>
        </w:tc>
        <w:tc>
          <w:tcPr>
            <w:tcW w:w="1080" w:type="pct"/>
            <w:tcBorders>
              <w:tl2br w:val="nil"/>
              <w:tr2bl w:val="nil"/>
            </w:tcBorders>
            <w:noWrap w:val="0"/>
            <w:vAlign w:val="center"/>
          </w:tcPr>
          <w:p w14:paraId="5657A8FC">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cs="宋体"/>
                <w:color w:val="auto"/>
                <w:sz w:val="21"/>
                <w:szCs w:val="21"/>
                <w:highlight w:val="none"/>
                <w:lang w:val="en-US" w:eastAsia="zh-CN"/>
              </w:rPr>
              <w:t>/</w:t>
            </w:r>
          </w:p>
        </w:tc>
        <w:tc>
          <w:tcPr>
            <w:tcW w:w="912" w:type="pct"/>
            <w:tcBorders>
              <w:tl2br w:val="nil"/>
              <w:tr2bl w:val="nil"/>
            </w:tcBorders>
            <w:noWrap w:val="0"/>
            <w:vAlign w:val="center"/>
          </w:tcPr>
          <w:p w14:paraId="0B31D3D5">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cs="宋体"/>
                <w:color w:val="auto"/>
                <w:sz w:val="21"/>
                <w:szCs w:val="21"/>
                <w:highlight w:val="none"/>
                <w:lang w:val="en-US" w:eastAsia="zh-CN"/>
              </w:rPr>
              <w:t>/</w:t>
            </w:r>
          </w:p>
        </w:tc>
        <w:tc>
          <w:tcPr>
            <w:tcW w:w="881" w:type="pct"/>
            <w:tcBorders>
              <w:tl2br w:val="nil"/>
              <w:tr2bl w:val="nil"/>
            </w:tcBorders>
            <w:noWrap w:val="0"/>
            <w:vAlign w:val="center"/>
          </w:tcPr>
          <w:p w14:paraId="64E3F4A2">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rFonts w:hint="default" w:ascii="Times New Roman" w:hAnsi="Times New Roman" w:cs="Times New Roman" w:eastAsiaTheme="minorEastAsia"/>
                <w:color w:val="auto"/>
                <w:sz w:val="21"/>
                <w:szCs w:val="21"/>
                <w:highlight w:val="none"/>
                <w:lang w:eastAsia="zh-CN"/>
              </w:rPr>
            </w:pPr>
            <w:r>
              <w:rPr>
                <w:rFonts w:hint="default" w:ascii="Times New Roman" w:hAnsi="Times New Roman" w:cs="Times New Roman" w:eastAsiaTheme="minorEastAsia"/>
                <w:color w:val="auto"/>
                <w:sz w:val="21"/>
                <w:szCs w:val="21"/>
                <w:highlight w:val="none"/>
                <w:lang w:eastAsia="zh-CN"/>
              </w:rPr>
              <w:t>①依托大马升压站现有</w:t>
            </w:r>
            <w:r>
              <w:rPr>
                <w:rFonts w:hint="default" w:ascii="Times New Roman" w:hAnsi="Times New Roman" w:cs="Times New Roman" w:eastAsiaTheme="minorEastAsia"/>
                <w:color w:val="auto"/>
                <w:sz w:val="21"/>
                <w:szCs w:val="21"/>
                <w:highlight w:val="none"/>
                <w:lang w:val="en-US" w:eastAsia="zh-CN"/>
              </w:rPr>
              <w:t>30m</w:t>
            </w:r>
            <w:r>
              <w:rPr>
                <w:rFonts w:hint="default" w:ascii="Times New Roman" w:hAnsi="Times New Roman" w:cs="Times New Roman" w:eastAsiaTheme="minorEastAsia"/>
                <w:color w:val="auto"/>
                <w:sz w:val="21"/>
                <w:szCs w:val="21"/>
                <w:highlight w:val="none"/>
                <w:vertAlign w:val="superscript"/>
                <w:lang w:val="en-US" w:eastAsia="zh-CN"/>
              </w:rPr>
              <w:t>3</w:t>
            </w:r>
            <w:r>
              <w:rPr>
                <w:rFonts w:hint="default" w:ascii="Times New Roman" w:hAnsi="Times New Roman" w:cs="Times New Roman" w:eastAsiaTheme="minorEastAsia"/>
                <w:color w:val="auto"/>
                <w:sz w:val="21"/>
                <w:szCs w:val="21"/>
                <w:highlight w:val="none"/>
                <w:lang w:eastAsia="zh-CN"/>
              </w:rPr>
              <w:t>事故油池；</w:t>
            </w:r>
          </w:p>
          <w:p w14:paraId="3C15072E">
            <w:pPr>
              <w:keepNext w:val="0"/>
              <w:keepLines w:val="0"/>
              <w:pageBreakBefore w:val="0"/>
              <w:kinsoku/>
              <w:wordWrap/>
              <w:overflowPunct/>
              <w:topLinePunct w:val="0"/>
              <w:autoSpaceDE/>
              <w:autoSpaceDN/>
              <w:bidi w:val="0"/>
              <w:adjustRightInd w:val="0"/>
              <w:snapToGrid w:val="0"/>
              <w:spacing w:line="240" w:lineRule="auto"/>
              <w:ind w:firstLine="0" w:firstLineChars="0"/>
              <w:jc w:val="left"/>
              <w:textAlignment w:val="auto"/>
              <w:rPr>
                <w:rFonts w:ascii="宋体" w:hAnsi="宋体" w:cs="宋体"/>
                <w:color w:val="auto"/>
                <w:sz w:val="21"/>
                <w:szCs w:val="21"/>
                <w:highlight w:val="none"/>
              </w:rPr>
            </w:pPr>
            <w:r>
              <w:rPr>
                <w:rFonts w:hint="default" w:ascii="Times New Roman" w:hAnsi="Times New Roman" w:cs="Times New Roman" w:eastAsiaTheme="minorEastAsia"/>
                <w:color w:val="auto"/>
                <w:sz w:val="21"/>
                <w:szCs w:val="21"/>
                <w:highlight w:val="none"/>
                <w:lang w:eastAsia="zh-CN"/>
              </w:rPr>
              <w:t>②</w:t>
            </w:r>
            <w:r>
              <w:rPr>
                <w:rStyle w:val="64"/>
                <w:sz w:val="21"/>
              </w:rPr>
              <w:t>各箱式变压器下方各</w:t>
            </w:r>
            <w:r>
              <w:rPr>
                <w:rStyle w:val="64"/>
                <w:rFonts w:hint="eastAsia"/>
                <w:sz w:val="21"/>
                <w:lang w:eastAsia="zh-CN"/>
              </w:rPr>
              <w:t>新建</w:t>
            </w:r>
            <w:r>
              <w:rPr>
                <w:rStyle w:val="64"/>
                <w:sz w:val="21"/>
              </w:rPr>
              <w:t>1个1.5m</w:t>
            </w:r>
            <w:r>
              <w:rPr>
                <w:rStyle w:val="64"/>
                <w:sz w:val="21"/>
                <w:vertAlign w:val="superscript"/>
              </w:rPr>
              <w:t>3</w:t>
            </w:r>
            <w:r>
              <w:rPr>
                <w:rStyle w:val="64"/>
                <w:sz w:val="21"/>
              </w:rPr>
              <w:t>的事故油池，共20个事故油池</w:t>
            </w:r>
            <w:r>
              <w:rPr>
                <w:rStyle w:val="64"/>
                <w:rFonts w:hint="eastAsia"/>
                <w:sz w:val="21"/>
                <w:lang w:eastAsia="zh-CN"/>
              </w:rPr>
              <w:t>。</w:t>
            </w:r>
            <w:r>
              <w:rPr>
                <w:rFonts w:hint="default" w:ascii="Times New Roman" w:hAnsi="Times New Roman" w:cs="Times New Roman" w:eastAsiaTheme="minorEastAsia"/>
                <w:color w:val="auto"/>
                <w:sz w:val="21"/>
                <w:szCs w:val="21"/>
                <w:highlight w:val="none"/>
                <w:lang w:eastAsia="zh-CN"/>
              </w:rPr>
              <w:t>。</w:t>
            </w:r>
          </w:p>
        </w:tc>
        <w:tc>
          <w:tcPr>
            <w:tcW w:w="995" w:type="pct"/>
            <w:tcBorders>
              <w:tl2br w:val="nil"/>
              <w:tr2bl w:val="nil"/>
            </w:tcBorders>
            <w:noWrap w:val="0"/>
            <w:vAlign w:val="center"/>
          </w:tcPr>
          <w:p w14:paraId="26DB8D19">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ascii="宋体" w:hAnsi="宋体" w:cs="宋体"/>
                <w:color w:val="auto"/>
                <w:sz w:val="21"/>
                <w:szCs w:val="21"/>
                <w:highlight w:val="none"/>
              </w:rPr>
            </w:pPr>
            <w:r>
              <w:rPr>
                <w:rFonts w:hint="eastAsia" w:ascii="宋体" w:hAnsi="宋体" w:cs="宋体"/>
                <w:color w:val="auto"/>
                <w:sz w:val="21"/>
                <w:szCs w:val="21"/>
                <w:highlight w:val="none"/>
              </w:rPr>
              <w:t>做好安全措施，检修单位及时组织抢修人员进行查漏、堵漏，严防事故有外漏而造成的环境污染。</w:t>
            </w:r>
          </w:p>
        </w:tc>
      </w:tr>
      <w:tr w14:paraId="3C71F9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0" w:type="pct"/>
            <w:tcBorders>
              <w:tl2br w:val="nil"/>
              <w:tr2bl w:val="nil"/>
            </w:tcBorders>
            <w:noWrap w:val="0"/>
            <w:vAlign w:val="center"/>
          </w:tcPr>
          <w:p w14:paraId="7BA60283">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rFonts w:hint="eastAsia" w:ascii="宋体" w:hAnsi="宋体" w:cs="宋体"/>
                <w:color w:val="auto"/>
                <w:sz w:val="21"/>
                <w:szCs w:val="21"/>
                <w:highlight w:val="none"/>
              </w:rPr>
              <w:t>环境监测</w:t>
            </w:r>
          </w:p>
        </w:tc>
        <w:tc>
          <w:tcPr>
            <w:tcW w:w="1080" w:type="pct"/>
            <w:tcBorders>
              <w:tl2br w:val="nil"/>
              <w:tr2bl w:val="nil"/>
            </w:tcBorders>
            <w:noWrap w:val="0"/>
            <w:vAlign w:val="center"/>
          </w:tcPr>
          <w:p w14:paraId="7CF4EA55">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cs="宋体"/>
                <w:color w:val="auto"/>
                <w:sz w:val="21"/>
                <w:szCs w:val="21"/>
                <w:highlight w:val="none"/>
                <w:lang w:val="en-US" w:eastAsia="zh-CN"/>
              </w:rPr>
              <w:t>/</w:t>
            </w:r>
          </w:p>
        </w:tc>
        <w:tc>
          <w:tcPr>
            <w:tcW w:w="912" w:type="pct"/>
            <w:tcBorders>
              <w:tl2br w:val="nil"/>
              <w:tr2bl w:val="nil"/>
            </w:tcBorders>
            <w:noWrap w:val="0"/>
            <w:vAlign w:val="center"/>
          </w:tcPr>
          <w:p w14:paraId="6424B023">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cs="宋体"/>
                <w:color w:val="auto"/>
                <w:sz w:val="21"/>
                <w:szCs w:val="21"/>
                <w:highlight w:val="none"/>
                <w:lang w:val="en-US" w:eastAsia="zh-CN"/>
              </w:rPr>
              <w:t>/</w:t>
            </w:r>
          </w:p>
        </w:tc>
        <w:tc>
          <w:tcPr>
            <w:tcW w:w="881" w:type="pct"/>
            <w:tcBorders>
              <w:tl2br w:val="nil"/>
              <w:tr2bl w:val="nil"/>
            </w:tcBorders>
            <w:noWrap w:val="0"/>
            <w:vAlign w:val="center"/>
          </w:tcPr>
          <w:p w14:paraId="0D301234">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ascii="宋体" w:hAnsi="宋体" w:cs="宋体"/>
                <w:color w:val="auto"/>
                <w:sz w:val="21"/>
                <w:szCs w:val="21"/>
                <w:highlight w:val="none"/>
              </w:rPr>
            </w:pPr>
            <w:r>
              <w:rPr>
                <w:rFonts w:hint="eastAsia" w:ascii="宋体" w:hAnsi="宋体" w:cs="宋体"/>
                <w:color w:val="auto"/>
                <w:sz w:val="21"/>
                <w:szCs w:val="21"/>
                <w:highlight w:val="none"/>
              </w:rPr>
              <w:t>监测工作应委托有资质的环境监测单位，监测结果应在监测工作完成后一个月内报环境保护主管部门</w:t>
            </w:r>
          </w:p>
        </w:tc>
        <w:tc>
          <w:tcPr>
            <w:tcW w:w="995" w:type="pct"/>
            <w:tcBorders>
              <w:tl2br w:val="nil"/>
              <w:tr2bl w:val="nil"/>
            </w:tcBorders>
            <w:noWrap w:val="0"/>
            <w:vAlign w:val="center"/>
          </w:tcPr>
          <w:p w14:paraId="75D76874">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eastAsia="zh-CN"/>
              </w:rPr>
              <w:t>按环境监测计划执行</w:t>
            </w:r>
          </w:p>
        </w:tc>
      </w:tr>
      <w:tr w14:paraId="1D764A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30" w:type="pct"/>
            <w:tcBorders>
              <w:tl2br w:val="nil"/>
              <w:tr2bl w:val="nil"/>
            </w:tcBorders>
            <w:noWrap w:val="0"/>
            <w:vAlign w:val="center"/>
          </w:tcPr>
          <w:p w14:paraId="049F78FE">
            <w:pPr>
              <w:keepNext w:val="0"/>
              <w:keepLines w:val="0"/>
              <w:pageBreakBefore w:val="0"/>
              <w:kinsoku/>
              <w:wordWrap/>
              <w:overflowPunct/>
              <w:topLinePunct w:val="0"/>
              <w:autoSpaceDE/>
              <w:autoSpaceDN/>
              <w:bidi w:val="0"/>
              <w:adjustRightInd w:val="0"/>
              <w:snapToGrid w:val="0"/>
              <w:spacing w:line="240" w:lineRule="auto"/>
              <w:ind w:firstLine="0" w:firstLineChars="0"/>
              <w:jc w:val="center"/>
              <w:textAlignment w:val="auto"/>
              <w:rPr>
                <w:rFonts w:ascii="宋体" w:hAnsi="宋体" w:cs="宋体"/>
                <w:color w:val="auto"/>
                <w:sz w:val="21"/>
                <w:szCs w:val="21"/>
                <w:highlight w:val="none"/>
              </w:rPr>
            </w:pPr>
            <w:r>
              <w:rPr>
                <w:rFonts w:hint="eastAsia" w:ascii="宋体" w:hAnsi="宋体" w:cs="宋体"/>
                <w:color w:val="auto"/>
                <w:sz w:val="21"/>
                <w:szCs w:val="21"/>
                <w:highlight w:val="none"/>
              </w:rPr>
              <w:t>其他</w:t>
            </w:r>
          </w:p>
        </w:tc>
        <w:tc>
          <w:tcPr>
            <w:tcW w:w="1080" w:type="pct"/>
            <w:tcBorders>
              <w:tl2br w:val="nil"/>
              <w:tr2bl w:val="nil"/>
            </w:tcBorders>
            <w:noWrap w:val="0"/>
            <w:vAlign w:val="center"/>
          </w:tcPr>
          <w:p w14:paraId="210683AE">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cs="宋体"/>
                <w:color w:val="auto"/>
                <w:sz w:val="21"/>
                <w:szCs w:val="21"/>
                <w:highlight w:val="none"/>
                <w:lang w:val="en-US" w:eastAsia="zh-CN"/>
              </w:rPr>
              <w:t>/</w:t>
            </w:r>
          </w:p>
        </w:tc>
        <w:tc>
          <w:tcPr>
            <w:tcW w:w="912" w:type="pct"/>
            <w:tcBorders>
              <w:tl2br w:val="nil"/>
              <w:tr2bl w:val="nil"/>
            </w:tcBorders>
            <w:noWrap w:val="0"/>
            <w:vAlign w:val="center"/>
          </w:tcPr>
          <w:p w14:paraId="56A9DF36">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cs="宋体"/>
                <w:color w:val="auto"/>
                <w:sz w:val="21"/>
                <w:szCs w:val="21"/>
                <w:highlight w:val="none"/>
                <w:lang w:val="en-US" w:eastAsia="zh-CN"/>
              </w:rPr>
              <w:t>/</w:t>
            </w:r>
          </w:p>
        </w:tc>
        <w:tc>
          <w:tcPr>
            <w:tcW w:w="881" w:type="pct"/>
            <w:tcBorders>
              <w:tl2br w:val="nil"/>
              <w:tr2bl w:val="nil"/>
            </w:tcBorders>
            <w:noWrap w:val="0"/>
            <w:vAlign w:val="center"/>
          </w:tcPr>
          <w:p w14:paraId="1F09F4A7">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cs="宋体"/>
                <w:color w:val="auto"/>
                <w:sz w:val="21"/>
                <w:szCs w:val="21"/>
                <w:highlight w:val="none"/>
                <w:lang w:val="en-US" w:eastAsia="zh-CN"/>
              </w:rPr>
              <w:t>/</w:t>
            </w:r>
          </w:p>
        </w:tc>
        <w:tc>
          <w:tcPr>
            <w:tcW w:w="995" w:type="pct"/>
            <w:tcBorders>
              <w:tl2br w:val="nil"/>
              <w:tr2bl w:val="nil"/>
            </w:tcBorders>
            <w:noWrap w:val="0"/>
            <w:vAlign w:val="center"/>
          </w:tcPr>
          <w:p w14:paraId="1B642CA7">
            <w:pPr>
              <w:keepNext w:val="0"/>
              <w:keepLines w:val="0"/>
              <w:pageBreakBefore w:val="0"/>
              <w:kinsoku/>
              <w:wordWrap/>
              <w:overflowPunct/>
              <w:topLinePunct w:val="0"/>
              <w:autoSpaceDE/>
              <w:autoSpaceDN/>
              <w:bidi w:val="0"/>
              <w:adjustRightInd w:val="0"/>
              <w:snapToGrid w:val="0"/>
              <w:spacing w:line="240" w:lineRule="auto"/>
              <w:ind w:firstLine="0" w:firstLineChars="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cs="宋体"/>
                <w:color w:val="auto"/>
                <w:sz w:val="21"/>
                <w:szCs w:val="21"/>
                <w:highlight w:val="none"/>
                <w:lang w:val="en-US" w:eastAsia="zh-CN"/>
              </w:rPr>
              <w:t>/</w:t>
            </w:r>
          </w:p>
        </w:tc>
      </w:tr>
    </w:tbl>
    <w:p w14:paraId="1E99F06E">
      <w:pPr>
        <w:bidi w:val="0"/>
        <w:rPr>
          <w:rFonts w:ascii="Times New Roman" w:hAnsi="Times New Roman" w:eastAsia="宋体" w:cs="Times New Roman"/>
          <w:color w:val="auto"/>
          <w:highlight w:val="none"/>
        </w:rPr>
      </w:pPr>
    </w:p>
    <w:p w14:paraId="4BCE780F">
      <w:pPr>
        <w:bidi w:val="0"/>
        <w:rPr>
          <w:rFonts w:ascii="Times New Roman" w:hAnsi="Times New Roman" w:eastAsia="宋体" w:cs="Times New Roman"/>
          <w:color w:val="auto"/>
          <w:highlight w:val="none"/>
        </w:rPr>
      </w:pPr>
    </w:p>
    <w:p w14:paraId="506EA809">
      <w:pPr>
        <w:rPr>
          <w:color w:val="auto"/>
          <w:highlight w:val="none"/>
        </w:rPr>
      </w:pPr>
    </w:p>
    <w:p w14:paraId="7A12339E">
      <w:pPr>
        <w:rPr>
          <w:color w:val="auto"/>
          <w:highlight w:val="none"/>
        </w:rPr>
        <w:sectPr>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0396DD02">
      <w:pPr>
        <w:pStyle w:val="3"/>
        <w:rPr>
          <w:rFonts w:hint="default" w:ascii="Times New Roman" w:hAnsi="Times New Roman" w:cs="Times New Roman"/>
          <w:color w:val="auto"/>
          <w:highlight w:val="none"/>
        </w:rPr>
      </w:pPr>
      <w:bookmarkStart w:id="121" w:name="_Toc11816"/>
      <w:r>
        <w:rPr>
          <w:rFonts w:hint="eastAsia" w:ascii="Times New Roman" w:hAnsi="Times New Roman" w:cs="Times New Roman"/>
          <w:color w:val="auto"/>
          <w:highlight w:val="none"/>
          <w:lang w:eastAsia="zh-CN"/>
        </w:rPr>
        <w:t>环境经济损益分析</w:t>
      </w:r>
      <w:bookmarkEnd w:id="121"/>
    </w:p>
    <w:p w14:paraId="767B05D0">
      <w:pPr>
        <w:bidi w:val="0"/>
        <w:rPr>
          <w:rFonts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风电项目环境经济损益分析涉及面广，内容繁多，包括对项目周边区域的自然环境、社会环境以及交通运输环境等多方面的分析与评述。本项目的环境经济损益分析采用定性与定量相结合的分析方法进行，着重论述本项目工程建成投入营运后的综合效益，并对该项目的环保投资费用做出初步估算。</w:t>
      </w:r>
    </w:p>
    <w:p w14:paraId="59699DA7">
      <w:pPr>
        <w:pStyle w:val="4"/>
        <w:bidi w:val="0"/>
        <w:rPr>
          <w:rFonts w:hint="default" w:ascii="Times New Roman" w:hAnsi="Times New Roman" w:cs="Times New Roman"/>
          <w:color w:val="auto"/>
          <w:highlight w:val="none"/>
        </w:rPr>
      </w:pPr>
      <w:bookmarkStart w:id="122" w:name="_Toc20802"/>
      <w:r>
        <w:rPr>
          <w:rFonts w:hint="eastAsia" w:cs="Times New Roman"/>
          <w:color w:val="auto"/>
          <w:highlight w:val="none"/>
          <w:lang w:eastAsia="zh-CN"/>
        </w:rPr>
        <w:t>国民经济效益分析</w:t>
      </w:r>
      <w:bookmarkEnd w:id="122"/>
    </w:p>
    <w:p w14:paraId="78E6B8DD">
      <w:pPr>
        <w:bidi w:val="0"/>
        <w:rPr>
          <w:rFonts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本项目可研报告中财务评价结果表明：本项目按含税上网电价0.45元/kW·h测算，项目资本金财务内部收益率为7.61%，相应项目全部投资财务内部收益率(税前)为6.73%，投资回收期(税后)为12.58年，总投资收益率为3.97%，投资利税率为2.84%，资本金净利润率7.19%。说明本项目从国民经济角度分析是可行的，且具有一定的抗风险性。</w:t>
      </w:r>
    </w:p>
    <w:p w14:paraId="655B293B">
      <w:pPr>
        <w:pStyle w:val="4"/>
        <w:bidi w:val="0"/>
        <w:rPr>
          <w:rFonts w:hint="default" w:ascii="Times New Roman" w:hAnsi="Times New Roman" w:cs="Times New Roman"/>
          <w:color w:val="auto"/>
          <w:highlight w:val="none"/>
        </w:rPr>
      </w:pPr>
      <w:bookmarkStart w:id="123" w:name="_Toc22672"/>
      <w:r>
        <w:rPr>
          <w:rFonts w:hint="eastAsia" w:cs="Times New Roman"/>
          <w:color w:val="auto"/>
          <w:highlight w:val="none"/>
          <w:lang w:eastAsia="zh-CN"/>
        </w:rPr>
        <w:t>环境经济损益分析</w:t>
      </w:r>
      <w:bookmarkEnd w:id="123"/>
    </w:p>
    <w:p w14:paraId="1467BE2A">
      <w:pPr>
        <w:keepNext w:val="0"/>
        <w:keepLines w:val="0"/>
        <w:pageBreakBefore w:val="0"/>
        <w:widowControl w:val="0"/>
        <w:kinsoku/>
        <w:wordWrap/>
        <w:overflowPunct/>
        <w:topLinePunct w:val="0"/>
        <w:autoSpaceDE/>
        <w:autoSpaceDN/>
        <w:bidi w:val="0"/>
        <w:adjustRightInd w:val="0"/>
        <w:snapToGrid w:val="0"/>
        <w:textAlignment w:val="auto"/>
        <w:rPr>
          <w:rFonts w:hint="eastAsia" w:ascii="Times New Roman" w:hAnsi="Times New Roman" w:eastAsia="宋体" w:cs="Times New Roman"/>
          <w:color w:val="auto"/>
          <w:highlight w:val="none"/>
          <w:lang w:val="en-US" w:eastAsia="zh-CN"/>
        </w:rPr>
      </w:pPr>
      <w:r>
        <w:rPr>
          <w:rFonts w:ascii="Times New Roman" w:hAnsi="Times New Roman" w:eastAsia="宋体" w:cs="Times New Roman"/>
          <w:color w:val="auto"/>
          <w:highlight w:val="none"/>
          <w:lang w:val="en-US" w:eastAsia="zh-CN"/>
        </w:rPr>
        <w:t>本项目建成后，每年可提供上网电量为</w:t>
      </w:r>
      <w:r>
        <w:rPr>
          <w:rFonts w:hint="default" w:ascii="Times New Roman" w:hAnsi="Times New Roman" w:eastAsia="宋体" w:cs="Times New Roman"/>
          <w:color w:val="auto"/>
          <w:highlight w:val="none"/>
          <w:lang w:val="en-US" w:eastAsia="zh-CN"/>
        </w:rPr>
        <w:t>21001</w:t>
      </w:r>
      <w:r>
        <w:rPr>
          <w:rFonts w:hint="eastAsia" w:ascii="Times New Roman" w:hAnsi="Times New Roman" w:eastAsia="宋体" w:cs="Times New Roman"/>
          <w:color w:val="auto"/>
          <w:highlight w:val="none"/>
          <w:lang w:val="en-US" w:eastAsia="zh-CN"/>
        </w:rPr>
        <w:t>万</w:t>
      </w:r>
      <w:r>
        <w:rPr>
          <w:rFonts w:hint="default" w:ascii="Times New Roman" w:hAnsi="Times New Roman" w:eastAsia="宋体" w:cs="Times New Roman"/>
          <w:color w:val="auto"/>
          <w:highlight w:val="none"/>
          <w:lang w:val="en-US" w:eastAsia="zh-CN"/>
        </w:rPr>
        <w:t>kW·h</w:t>
      </w:r>
      <w:r>
        <w:rPr>
          <w:rFonts w:hint="eastAsia" w:ascii="Times New Roman" w:hAnsi="Times New Roman" w:eastAsia="宋体" w:cs="Times New Roman"/>
          <w:color w:val="auto"/>
          <w:highlight w:val="none"/>
          <w:lang w:val="en-US" w:eastAsia="zh-CN"/>
        </w:rPr>
        <w:t>，如以新增火电为替代电源，按火电每度电耗标准煤</w:t>
      </w:r>
      <w:r>
        <w:rPr>
          <w:rFonts w:hint="default" w:ascii="Times New Roman" w:hAnsi="Times New Roman" w:eastAsia="宋体" w:cs="Times New Roman"/>
          <w:color w:val="auto"/>
          <w:highlight w:val="none"/>
          <w:lang w:val="en-US" w:eastAsia="zh-CN"/>
        </w:rPr>
        <w:t>309g/kW</w:t>
      </w:r>
      <w:r>
        <w:rPr>
          <w:rFonts w:hint="eastAsia" w:ascii="Times New Roman" w:hAnsi="Times New Roman" w:eastAsia="宋体" w:cs="Times New Roman"/>
          <w:color w:val="auto"/>
          <w:highlight w:val="none"/>
          <w:lang w:val="en-US" w:eastAsia="zh-CN"/>
        </w:rPr>
        <w:t>·</w:t>
      </w:r>
      <w:r>
        <w:rPr>
          <w:rFonts w:hint="default" w:ascii="Times New Roman" w:hAnsi="Times New Roman" w:eastAsia="宋体" w:cs="Times New Roman"/>
          <w:color w:val="auto"/>
          <w:highlight w:val="none"/>
          <w:lang w:val="en-US" w:eastAsia="zh-CN"/>
        </w:rPr>
        <w:t>h</w:t>
      </w:r>
      <w:r>
        <w:rPr>
          <w:rFonts w:hint="eastAsia" w:ascii="Times New Roman" w:hAnsi="Times New Roman" w:eastAsia="宋体" w:cs="Times New Roman"/>
          <w:color w:val="auto"/>
          <w:highlight w:val="none"/>
          <w:lang w:val="en-US" w:eastAsia="zh-CN"/>
        </w:rPr>
        <w:t>，每年节约标煤</w:t>
      </w:r>
      <w:r>
        <w:rPr>
          <w:rFonts w:hint="default" w:ascii="Times New Roman" w:hAnsi="Times New Roman" w:eastAsia="宋体" w:cs="Times New Roman"/>
          <w:color w:val="auto"/>
          <w:highlight w:val="none"/>
          <w:lang w:val="en-US" w:eastAsia="zh-CN"/>
        </w:rPr>
        <w:t>6.4</w:t>
      </w:r>
      <w:r>
        <w:rPr>
          <w:rFonts w:hint="eastAsia" w:ascii="Times New Roman" w:hAnsi="Times New Roman" w:eastAsia="宋体" w:cs="Times New Roman"/>
          <w:color w:val="auto"/>
          <w:highlight w:val="none"/>
          <w:lang w:val="en-US" w:eastAsia="zh-CN"/>
        </w:rPr>
        <w:t>万</w:t>
      </w:r>
      <w:r>
        <w:rPr>
          <w:rFonts w:hint="default" w:ascii="Times New Roman" w:hAnsi="Times New Roman" w:eastAsia="宋体" w:cs="Times New Roman"/>
          <w:color w:val="auto"/>
          <w:highlight w:val="none"/>
          <w:lang w:val="en-US" w:eastAsia="zh-CN"/>
        </w:rPr>
        <w:t>t</w:t>
      </w:r>
      <w:r>
        <w:rPr>
          <w:rFonts w:hint="eastAsia" w:ascii="Times New Roman" w:hAnsi="Times New Roman" w:eastAsia="宋体" w:cs="Times New Roman"/>
          <w:color w:val="auto"/>
          <w:highlight w:val="none"/>
          <w:lang w:val="en-US" w:eastAsia="zh-CN"/>
        </w:rPr>
        <w:t>。相应每年可减少多种大气污染物的排放，其中减少二氧化硫</w:t>
      </w:r>
      <w:r>
        <w:rPr>
          <w:rFonts w:hint="default" w:ascii="Times New Roman" w:hAnsi="Times New Roman" w:eastAsia="宋体" w:cs="Times New Roman"/>
          <w:color w:val="auto"/>
          <w:highlight w:val="none"/>
          <w:lang w:val="en-US" w:eastAsia="zh-CN"/>
        </w:rPr>
        <w:t>(SO2)</w:t>
      </w:r>
      <w:r>
        <w:rPr>
          <w:rFonts w:hint="eastAsia" w:ascii="Times New Roman" w:hAnsi="Times New Roman" w:eastAsia="宋体" w:cs="Times New Roman"/>
          <w:color w:val="auto"/>
          <w:highlight w:val="none"/>
          <w:lang w:val="en-US" w:eastAsia="zh-CN"/>
        </w:rPr>
        <w:t>排放量约</w:t>
      </w:r>
      <w:r>
        <w:rPr>
          <w:rFonts w:hint="default" w:ascii="Times New Roman" w:hAnsi="Times New Roman" w:eastAsia="宋体" w:cs="Times New Roman"/>
          <w:color w:val="auto"/>
          <w:highlight w:val="none"/>
          <w:lang w:val="en-US" w:eastAsia="zh-CN"/>
        </w:rPr>
        <w:t>1234.7t</w:t>
      </w:r>
      <w:r>
        <w:rPr>
          <w:rFonts w:hint="eastAsia" w:ascii="Times New Roman" w:hAnsi="Times New Roman" w:eastAsia="宋体" w:cs="Times New Roman"/>
          <w:color w:val="auto"/>
          <w:highlight w:val="none"/>
          <w:lang w:val="en-US" w:eastAsia="zh-CN"/>
        </w:rPr>
        <w:t>，一氧化碳</w:t>
      </w:r>
      <w:r>
        <w:rPr>
          <w:rFonts w:hint="default" w:ascii="Times New Roman" w:hAnsi="Times New Roman" w:eastAsia="宋体" w:cs="Times New Roman"/>
          <w:color w:val="auto"/>
          <w:highlight w:val="none"/>
          <w:lang w:val="en-US" w:eastAsia="zh-CN"/>
        </w:rPr>
        <w:t>(CO)</w:t>
      </w:r>
      <w:r>
        <w:rPr>
          <w:rFonts w:hint="eastAsia" w:ascii="Times New Roman" w:hAnsi="Times New Roman" w:eastAsia="宋体" w:cs="Times New Roman"/>
          <w:color w:val="auto"/>
          <w:highlight w:val="none"/>
          <w:lang w:val="en-US" w:eastAsia="zh-CN"/>
        </w:rPr>
        <w:t>约</w:t>
      </w:r>
      <w:r>
        <w:rPr>
          <w:rFonts w:hint="default" w:ascii="Times New Roman" w:hAnsi="Times New Roman" w:eastAsia="宋体" w:cs="Times New Roman"/>
          <w:color w:val="auto"/>
          <w:highlight w:val="none"/>
          <w:lang w:val="en-US" w:eastAsia="zh-CN"/>
        </w:rPr>
        <w:t>17.1t</w:t>
      </w:r>
      <w:r>
        <w:rPr>
          <w:rFonts w:hint="eastAsia" w:ascii="Times New Roman" w:hAnsi="Times New Roman" w:eastAsia="宋体" w:cs="Times New Roman"/>
          <w:color w:val="auto"/>
          <w:highlight w:val="none"/>
          <w:lang w:val="en-US" w:eastAsia="zh-CN"/>
        </w:rPr>
        <w:t>，碳氢化合物</w:t>
      </w:r>
      <w:r>
        <w:rPr>
          <w:rFonts w:hint="default" w:ascii="Times New Roman" w:hAnsi="Times New Roman" w:eastAsia="宋体" w:cs="Times New Roman"/>
          <w:color w:val="auto"/>
          <w:highlight w:val="none"/>
          <w:lang w:val="en-US" w:eastAsia="zh-CN"/>
        </w:rPr>
        <w:t>(CnHn)</w:t>
      </w:r>
      <w:r>
        <w:rPr>
          <w:rFonts w:hint="eastAsia" w:ascii="Times New Roman" w:hAnsi="Times New Roman" w:eastAsia="宋体" w:cs="Times New Roman"/>
          <w:color w:val="auto"/>
          <w:highlight w:val="none"/>
          <w:lang w:val="en-US" w:eastAsia="zh-CN"/>
        </w:rPr>
        <w:t>约</w:t>
      </w:r>
      <w:r>
        <w:rPr>
          <w:rFonts w:hint="default" w:ascii="Times New Roman" w:hAnsi="Times New Roman" w:eastAsia="宋体" w:cs="Times New Roman"/>
          <w:color w:val="auto"/>
          <w:highlight w:val="none"/>
          <w:lang w:val="en-US" w:eastAsia="zh-CN"/>
        </w:rPr>
        <w:t>6.9t</w:t>
      </w:r>
      <w:r>
        <w:rPr>
          <w:rFonts w:hint="eastAsia" w:ascii="Times New Roman" w:hAnsi="Times New Roman" w:eastAsia="宋体" w:cs="Times New Roman"/>
          <w:color w:val="auto"/>
          <w:highlight w:val="none"/>
          <w:lang w:val="en-US" w:eastAsia="zh-CN"/>
        </w:rPr>
        <w:t>，氮氧化物</w:t>
      </w:r>
      <w:r>
        <w:rPr>
          <w:rFonts w:hint="default"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lang w:val="en-US" w:eastAsia="zh-CN"/>
        </w:rPr>
        <w:t>以</w:t>
      </w:r>
      <w:r>
        <w:rPr>
          <w:rFonts w:hint="default" w:ascii="Times New Roman" w:hAnsi="Times New Roman" w:eastAsia="宋体" w:cs="Times New Roman"/>
          <w:color w:val="auto"/>
          <w:highlight w:val="none"/>
          <w:lang w:val="en-US" w:eastAsia="zh-CN"/>
        </w:rPr>
        <w:t>NO</w:t>
      </w:r>
      <w:r>
        <w:rPr>
          <w:rFonts w:hint="default" w:ascii="Times New Roman" w:hAnsi="Times New Roman" w:eastAsia="宋体" w:cs="Times New Roman"/>
          <w:color w:val="auto"/>
          <w:highlight w:val="none"/>
          <w:vertAlign w:val="subscript"/>
          <w:lang w:val="en-US" w:eastAsia="zh-CN"/>
        </w:rPr>
        <w:t>2</w:t>
      </w:r>
      <w:r>
        <w:rPr>
          <w:rFonts w:hint="eastAsia" w:ascii="Times New Roman" w:hAnsi="Times New Roman" w:eastAsia="宋体" w:cs="Times New Roman"/>
          <w:color w:val="auto"/>
          <w:highlight w:val="none"/>
          <w:lang w:val="en-US" w:eastAsia="zh-CN"/>
        </w:rPr>
        <w:t>计</w:t>
      </w:r>
      <w:r>
        <w:rPr>
          <w:rFonts w:hint="default" w:ascii="Times New Roman" w:hAnsi="Times New Roman" w:eastAsia="宋体" w:cs="Times New Roman"/>
          <w:color w:val="auto"/>
          <w:highlight w:val="none"/>
          <w:lang w:val="en-US" w:eastAsia="zh-CN"/>
        </w:rPr>
        <w:t>)</w:t>
      </w:r>
      <w:r>
        <w:rPr>
          <w:rFonts w:hint="eastAsia" w:ascii="Times New Roman" w:hAnsi="Times New Roman" w:eastAsia="宋体" w:cs="Times New Roman"/>
          <w:color w:val="auto"/>
          <w:highlight w:val="none"/>
          <w:lang w:val="en-US" w:eastAsia="zh-CN"/>
        </w:rPr>
        <w:t>约</w:t>
      </w:r>
      <w:r>
        <w:rPr>
          <w:rFonts w:hint="default" w:ascii="Times New Roman" w:hAnsi="Times New Roman" w:eastAsia="宋体" w:cs="Times New Roman"/>
          <w:color w:val="auto"/>
          <w:highlight w:val="none"/>
          <w:lang w:val="en-US" w:eastAsia="zh-CN"/>
        </w:rPr>
        <w:t>701.3t</w:t>
      </w:r>
      <w:r>
        <w:rPr>
          <w:rFonts w:hint="eastAsia" w:ascii="Times New Roman" w:hAnsi="Times New Roman" w:eastAsia="宋体" w:cs="Times New Roman"/>
          <w:color w:val="auto"/>
          <w:highlight w:val="none"/>
          <w:lang w:val="en-US" w:eastAsia="zh-CN"/>
        </w:rPr>
        <w:t>，二氧化碳</w:t>
      </w:r>
      <w:r>
        <w:rPr>
          <w:rFonts w:hint="default" w:ascii="Times New Roman" w:hAnsi="Times New Roman" w:eastAsia="宋体" w:cs="Times New Roman"/>
          <w:color w:val="auto"/>
          <w:highlight w:val="none"/>
          <w:lang w:val="en-US" w:eastAsia="zh-CN"/>
        </w:rPr>
        <w:t>(CO2)</w:t>
      </w:r>
      <w:r>
        <w:rPr>
          <w:rFonts w:hint="eastAsia" w:ascii="Times New Roman" w:hAnsi="Times New Roman" w:eastAsia="宋体" w:cs="Times New Roman"/>
          <w:color w:val="auto"/>
          <w:highlight w:val="none"/>
          <w:lang w:val="en-US" w:eastAsia="zh-CN"/>
        </w:rPr>
        <w:t>约</w:t>
      </w:r>
      <w:r>
        <w:rPr>
          <w:rFonts w:hint="default" w:ascii="Times New Roman" w:hAnsi="Times New Roman" w:eastAsia="宋体" w:cs="Times New Roman"/>
          <w:color w:val="auto"/>
          <w:highlight w:val="none"/>
          <w:lang w:val="en-US" w:eastAsia="zh-CN"/>
        </w:rPr>
        <w:t>15.3</w:t>
      </w:r>
      <w:r>
        <w:rPr>
          <w:rFonts w:hint="eastAsia" w:ascii="Times New Roman" w:hAnsi="Times New Roman" w:eastAsia="宋体" w:cs="Times New Roman"/>
          <w:color w:val="auto"/>
          <w:highlight w:val="none"/>
          <w:lang w:val="en-US" w:eastAsia="zh-CN"/>
        </w:rPr>
        <w:t>万</w:t>
      </w:r>
      <w:r>
        <w:rPr>
          <w:rFonts w:hint="default" w:ascii="Times New Roman" w:hAnsi="Times New Roman" w:eastAsia="宋体" w:cs="Times New Roman"/>
          <w:color w:val="auto"/>
          <w:highlight w:val="none"/>
          <w:lang w:val="en-US" w:eastAsia="zh-CN"/>
        </w:rPr>
        <w:t>t</w:t>
      </w:r>
      <w:r>
        <w:rPr>
          <w:rFonts w:hint="eastAsia" w:ascii="Times New Roman" w:hAnsi="Times New Roman" w:eastAsia="宋体" w:cs="Times New Roman"/>
          <w:color w:val="auto"/>
          <w:highlight w:val="none"/>
          <w:lang w:val="en-US" w:eastAsia="zh-CN"/>
        </w:rPr>
        <w:t>、灰渣约</w:t>
      </w:r>
      <w:r>
        <w:rPr>
          <w:rFonts w:hint="default" w:ascii="Times New Roman" w:hAnsi="Times New Roman" w:eastAsia="宋体" w:cs="Times New Roman"/>
          <w:color w:val="auto"/>
          <w:highlight w:val="none"/>
          <w:lang w:val="en-US" w:eastAsia="zh-CN"/>
        </w:rPr>
        <w:t>2.0</w:t>
      </w:r>
      <w:r>
        <w:rPr>
          <w:rFonts w:hint="eastAsia" w:ascii="Times New Roman" w:hAnsi="Times New Roman" w:eastAsia="宋体" w:cs="Times New Roman"/>
          <w:color w:val="auto"/>
          <w:highlight w:val="none"/>
          <w:lang w:val="en-US" w:eastAsia="zh-CN"/>
        </w:rPr>
        <w:t>万</w:t>
      </w:r>
      <w:r>
        <w:rPr>
          <w:rFonts w:hint="default" w:ascii="Times New Roman" w:hAnsi="Times New Roman" w:eastAsia="宋体" w:cs="Times New Roman"/>
          <w:color w:val="auto"/>
          <w:highlight w:val="none"/>
          <w:lang w:val="en-US" w:eastAsia="zh-CN"/>
        </w:rPr>
        <w:t>t</w:t>
      </w:r>
      <w:r>
        <w:rPr>
          <w:rFonts w:hint="eastAsia" w:ascii="Times New Roman" w:hAnsi="Times New Roman" w:eastAsia="宋体" w:cs="Times New Roman"/>
          <w:color w:val="auto"/>
          <w:highlight w:val="none"/>
          <w:lang w:val="en-US" w:eastAsia="zh-CN"/>
        </w:rPr>
        <w:t>。此外，每年还可节约用水，并减少相应的废水排放和温排水，节能减排效益显著。</w:t>
      </w:r>
    </w:p>
    <w:p w14:paraId="59F90EE6">
      <w:pPr>
        <w:keepNext w:val="0"/>
        <w:keepLines w:val="0"/>
        <w:pageBreakBefore w:val="0"/>
        <w:widowControl w:val="0"/>
        <w:kinsoku/>
        <w:wordWrap/>
        <w:overflowPunct/>
        <w:topLinePunct w:val="0"/>
        <w:autoSpaceDE/>
        <w:autoSpaceDN/>
        <w:bidi w:val="0"/>
        <w:adjustRightInd w:val="0"/>
        <w:snapToGrid w:val="0"/>
        <w:textAlignment w:val="auto"/>
        <w:rPr>
          <w:rFonts w:ascii="Times New Roman" w:hAnsi="Times New Roman" w:eastAsia="宋体" w:cs="Times New Roman"/>
          <w:color w:val="auto"/>
          <w:highlight w:val="none"/>
        </w:rPr>
      </w:pPr>
      <w:r>
        <w:rPr>
          <w:rFonts w:hint="eastAsia" w:ascii="Times New Roman" w:hAnsi="Times New Roman" w:eastAsia="宋体" w:cs="Times New Roman"/>
          <w:color w:val="auto"/>
          <w:highlight w:val="none"/>
          <w:lang w:val="en-US" w:eastAsia="zh-CN"/>
        </w:rPr>
        <w:t>由此可见，南冲风电场的建设具有较好的环境效益。</w:t>
      </w:r>
    </w:p>
    <w:p w14:paraId="517FDDF1">
      <w:pPr>
        <w:pStyle w:val="4"/>
        <w:bidi w:val="0"/>
        <w:rPr>
          <w:rFonts w:hint="default" w:ascii="Times New Roman" w:hAnsi="Times New Roman" w:cs="Times New Roman"/>
          <w:color w:val="auto"/>
          <w:highlight w:val="none"/>
        </w:rPr>
      </w:pPr>
      <w:bookmarkStart w:id="124" w:name="_Toc22785"/>
      <w:r>
        <w:rPr>
          <w:rFonts w:hint="eastAsia" w:cs="Times New Roman"/>
          <w:color w:val="auto"/>
          <w:highlight w:val="none"/>
          <w:lang w:eastAsia="zh-CN"/>
        </w:rPr>
        <w:t>环保投资估算及其效益分析</w:t>
      </w:r>
      <w:bookmarkEnd w:id="124"/>
    </w:p>
    <w:p w14:paraId="13C156AE">
      <w:pPr>
        <w:bidi w:val="0"/>
        <w:rPr>
          <w:rFonts w:hint="eastAsia"/>
          <w:color w:val="auto"/>
          <w:sz w:val="24"/>
          <w:highlight w:val="none"/>
          <w:u w:val="none"/>
        </w:rPr>
      </w:pPr>
      <w:r>
        <w:rPr>
          <w:rFonts w:hint="eastAsia"/>
          <w:color w:val="auto"/>
          <w:sz w:val="24"/>
          <w:highlight w:val="none"/>
        </w:rPr>
        <w:t>项目环保投资主要包括：生态防护和恢复、环境空气保护、水环境保护、噪声防治、固体废弃物处置等投资。本项目总投资</w:t>
      </w:r>
      <w:r>
        <w:rPr>
          <w:rFonts w:hint="eastAsia"/>
          <w:color w:val="auto"/>
          <w:sz w:val="24"/>
          <w:highlight w:val="none"/>
          <w:lang w:val="en-US" w:eastAsia="zh-CN"/>
        </w:rPr>
        <w:t>74321</w:t>
      </w:r>
      <w:r>
        <w:rPr>
          <w:rFonts w:hint="eastAsia"/>
          <w:color w:val="auto"/>
          <w:sz w:val="24"/>
          <w:highlight w:val="none"/>
        </w:rPr>
        <w:t>万元，</w:t>
      </w:r>
      <w:r>
        <w:rPr>
          <w:rFonts w:hint="eastAsia"/>
          <w:color w:val="auto"/>
          <w:sz w:val="24"/>
          <w:highlight w:val="none"/>
          <w:u w:val="none"/>
        </w:rPr>
        <w:t>环保投资</w:t>
      </w:r>
      <w:r>
        <w:rPr>
          <w:rFonts w:hint="eastAsia"/>
          <w:color w:val="auto"/>
          <w:sz w:val="24"/>
          <w:highlight w:val="none"/>
          <w:u w:val="none"/>
          <w:lang w:val="en-US" w:eastAsia="zh-CN"/>
        </w:rPr>
        <w:t>3186.45</w:t>
      </w:r>
      <w:r>
        <w:rPr>
          <w:rFonts w:hint="eastAsia"/>
          <w:color w:val="auto"/>
          <w:sz w:val="24"/>
          <w:highlight w:val="none"/>
          <w:u w:val="none"/>
        </w:rPr>
        <w:t>万元，环保投资占总投资</w:t>
      </w:r>
      <w:r>
        <w:rPr>
          <w:rFonts w:hint="eastAsia"/>
          <w:color w:val="auto"/>
          <w:sz w:val="24"/>
          <w:highlight w:val="none"/>
          <w:u w:val="none"/>
          <w:lang w:val="en-US" w:eastAsia="zh-CN"/>
        </w:rPr>
        <w:t>4.3</w:t>
      </w:r>
      <w:r>
        <w:rPr>
          <w:rFonts w:hint="eastAsia"/>
          <w:color w:val="auto"/>
          <w:sz w:val="24"/>
          <w:highlight w:val="none"/>
          <w:u w:val="none"/>
        </w:rPr>
        <w:t>%。项目环保投资估算详见表</w:t>
      </w:r>
      <w:r>
        <w:rPr>
          <w:rFonts w:hint="eastAsia"/>
          <w:color w:val="auto"/>
          <w:sz w:val="24"/>
          <w:highlight w:val="none"/>
          <w:u w:val="none"/>
          <w:lang w:val="en-US" w:eastAsia="zh-CN"/>
        </w:rPr>
        <w:t>11.3-1</w:t>
      </w:r>
      <w:r>
        <w:rPr>
          <w:rFonts w:hint="eastAsia"/>
          <w:color w:val="auto"/>
          <w:sz w:val="24"/>
          <w:highlight w:val="none"/>
          <w:u w:val="none"/>
        </w:rPr>
        <w:t>。</w:t>
      </w:r>
    </w:p>
    <w:p w14:paraId="6C5F4146">
      <w:pPr>
        <w:pStyle w:val="2"/>
        <w:keepNext w:val="0"/>
        <w:keepLines w:val="0"/>
        <w:pageBreakBefore w:val="0"/>
        <w:widowControl/>
        <w:kinsoku/>
        <w:wordWrap/>
        <w:overflowPunct/>
        <w:topLinePunct w:val="0"/>
        <w:autoSpaceDE/>
        <w:autoSpaceDN/>
        <w:bidi w:val="0"/>
        <w:adjustRightInd w:val="0"/>
        <w:snapToGrid w:val="0"/>
        <w:spacing w:before="0" w:after="0" w:line="240" w:lineRule="auto"/>
        <w:ind w:left="0" w:leftChars="0" w:right="0" w:firstLine="0" w:firstLineChars="0"/>
        <w:jc w:val="center"/>
        <w:textAlignment w:val="auto"/>
        <w:rPr>
          <w:rFonts w:hint="default" w:eastAsia="宋体"/>
          <w:b/>
          <w:bCs/>
          <w:color w:val="auto"/>
          <w:highlight w:val="none"/>
          <w:lang w:val="en-US" w:eastAsia="zh-CN"/>
        </w:rPr>
      </w:pPr>
      <w:r>
        <w:rPr>
          <w:rFonts w:hint="eastAsia"/>
          <w:b/>
          <w:bCs/>
          <w:color w:val="auto"/>
          <w:sz w:val="24"/>
          <w:highlight w:val="none"/>
          <w:u w:val="none"/>
          <w:lang w:eastAsia="zh-CN"/>
        </w:rPr>
        <w:t>表</w:t>
      </w:r>
      <w:r>
        <w:rPr>
          <w:rFonts w:hint="eastAsia"/>
          <w:b/>
          <w:bCs/>
          <w:color w:val="auto"/>
          <w:sz w:val="24"/>
          <w:highlight w:val="none"/>
          <w:u w:val="none"/>
          <w:lang w:val="en-US" w:eastAsia="zh-CN"/>
        </w:rPr>
        <w:t>11.3-1  本项目环保投资估算表</w:t>
      </w:r>
    </w:p>
    <w:tbl>
      <w:tblPr>
        <w:tblStyle w:val="20"/>
        <w:tblW w:w="5000" w:type="pct"/>
        <w:tblInd w:w="11"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75"/>
        <w:gridCol w:w="1144"/>
        <w:gridCol w:w="2939"/>
        <w:gridCol w:w="1014"/>
        <w:gridCol w:w="2750"/>
      </w:tblGrid>
      <w:tr w14:paraId="372E8DE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52" w:type="dxa"/>
            <w:tcBorders>
              <w:tl2br w:val="nil"/>
              <w:tr2bl w:val="nil"/>
            </w:tcBorders>
            <w:noWrap w:val="0"/>
            <w:vAlign w:val="center"/>
          </w:tcPr>
          <w:p w14:paraId="54106E9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时段</w:t>
            </w:r>
          </w:p>
        </w:tc>
        <w:tc>
          <w:tcPr>
            <w:tcW w:w="1105" w:type="dxa"/>
            <w:tcBorders>
              <w:tl2br w:val="nil"/>
              <w:tr2bl w:val="nil"/>
            </w:tcBorders>
            <w:noWrap w:val="0"/>
            <w:vAlign w:val="center"/>
          </w:tcPr>
          <w:p w14:paraId="223B4CD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项目</w:t>
            </w:r>
          </w:p>
        </w:tc>
        <w:tc>
          <w:tcPr>
            <w:tcW w:w="2839" w:type="dxa"/>
            <w:tcBorders>
              <w:tl2br w:val="nil"/>
              <w:tr2bl w:val="nil"/>
            </w:tcBorders>
            <w:noWrap w:val="0"/>
            <w:vAlign w:val="center"/>
          </w:tcPr>
          <w:p w14:paraId="6A002AC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环保措施</w:t>
            </w:r>
          </w:p>
        </w:tc>
        <w:tc>
          <w:tcPr>
            <w:tcW w:w="979" w:type="dxa"/>
            <w:tcBorders>
              <w:tl2br w:val="nil"/>
              <w:tr2bl w:val="nil"/>
            </w:tcBorders>
            <w:noWrap w:val="0"/>
            <w:vAlign w:val="center"/>
          </w:tcPr>
          <w:p w14:paraId="061FF6E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投资</w:t>
            </w:r>
          </w:p>
          <w:p w14:paraId="7E1B1AA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（万元）</w:t>
            </w:r>
          </w:p>
        </w:tc>
        <w:tc>
          <w:tcPr>
            <w:tcW w:w="2656" w:type="dxa"/>
            <w:tcBorders>
              <w:tl2br w:val="nil"/>
              <w:tr2bl w:val="nil"/>
            </w:tcBorders>
            <w:noWrap w:val="0"/>
            <w:vAlign w:val="center"/>
          </w:tcPr>
          <w:p w14:paraId="08FD848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治理效果</w:t>
            </w:r>
          </w:p>
        </w:tc>
      </w:tr>
      <w:tr w14:paraId="09AEC26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52" w:type="dxa"/>
            <w:vMerge w:val="restart"/>
            <w:tcBorders>
              <w:tl2br w:val="nil"/>
              <w:tr2bl w:val="nil"/>
            </w:tcBorders>
            <w:noWrap w:val="0"/>
            <w:vAlign w:val="center"/>
          </w:tcPr>
          <w:p w14:paraId="19D61C2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施</w:t>
            </w:r>
          </w:p>
          <w:p w14:paraId="3A9DF01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工</w:t>
            </w:r>
          </w:p>
          <w:p w14:paraId="4588116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期</w:t>
            </w:r>
          </w:p>
        </w:tc>
        <w:tc>
          <w:tcPr>
            <w:tcW w:w="1105" w:type="dxa"/>
            <w:tcBorders>
              <w:tl2br w:val="nil"/>
              <w:tr2bl w:val="nil"/>
            </w:tcBorders>
            <w:noWrap w:val="0"/>
            <w:vAlign w:val="center"/>
          </w:tcPr>
          <w:p w14:paraId="5658BAF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扬尘</w:t>
            </w:r>
          </w:p>
        </w:tc>
        <w:tc>
          <w:tcPr>
            <w:tcW w:w="2839" w:type="dxa"/>
            <w:tcBorders>
              <w:tl2br w:val="nil"/>
              <w:tr2bl w:val="nil"/>
            </w:tcBorders>
            <w:noWrap w:val="0"/>
            <w:vAlign w:val="center"/>
          </w:tcPr>
          <w:p w14:paraId="6D9B098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使用商品混凝土；施工道路及裸露地面定期洒水；回填土、临时堆料采取围挡、覆盖措施；装卸建筑材料(尤其是泥沙石），必须采用封闭式车辆运输</w:t>
            </w:r>
          </w:p>
        </w:tc>
        <w:tc>
          <w:tcPr>
            <w:tcW w:w="979" w:type="dxa"/>
            <w:tcBorders>
              <w:tl2br w:val="nil"/>
              <w:tr2bl w:val="nil"/>
            </w:tcBorders>
            <w:noWrap w:val="0"/>
            <w:vAlign w:val="center"/>
          </w:tcPr>
          <w:p w14:paraId="1F318D1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15</w:t>
            </w:r>
          </w:p>
        </w:tc>
        <w:tc>
          <w:tcPr>
            <w:tcW w:w="2656" w:type="dxa"/>
            <w:tcBorders>
              <w:tl2br w:val="nil"/>
              <w:tr2bl w:val="nil"/>
            </w:tcBorders>
            <w:noWrap w:val="0"/>
            <w:vAlign w:val="center"/>
          </w:tcPr>
          <w:p w14:paraId="6990EDF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减轻环境敏感点扬尘污染影响</w:t>
            </w:r>
          </w:p>
        </w:tc>
      </w:tr>
      <w:tr w14:paraId="102683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52" w:type="dxa"/>
            <w:vMerge w:val="continue"/>
            <w:tcBorders>
              <w:tl2br w:val="nil"/>
              <w:tr2bl w:val="nil"/>
            </w:tcBorders>
            <w:noWrap w:val="0"/>
            <w:vAlign w:val="center"/>
          </w:tcPr>
          <w:p w14:paraId="27DB6D14">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p>
        </w:tc>
        <w:tc>
          <w:tcPr>
            <w:tcW w:w="1105" w:type="dxa"/>
            <w:vMerge w:val="restart"/>
            <w:tcBorders>
              <w:tl2br w:val="nil"/>
              <w:tr2bl w:val="nil"/>
            </w:tcBorders>
            <w:noWrap w:val="0"/>
            <w:vAlign w:val="center"/>
          </w:tcPr>
          <w:p w14:paraId="793CB88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废水</w:t>
            </w:r>
          </w:p>
        </w:tc>
        <w:tc>
          <w:tcPr>
            <w:tcW w:w="2839" w:type="dxa"/>
            <w:tcBorders>
              <w:tl2br w:val="nil"/>
              <w:tr2bl w:val="nil"/>
            </w:tcBorders>
            <w:noWrap w:val="0"/>
            <w:vAlign w:val="center"/>
          </w:tcPr>
          <w:p w14:paraId="57CF6FD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设备、车辆冲洗废水经沉淀池处理后用于场地洒水抑尘</w:t>
            </w:r>
          </w:p>
        </w:tc>
        <w:tc>
          <w:tcPr>
            <w:tcW w:w="979" w:type="dxa"/>
            <w:tcBorders>
              <w:tl2br w:val="nil"/>
              <w:tr2bl w:val="nil"/>
            </w:tcBorders>
            <w:noWrap w:val="0"/>
            <w:vAlign w:val="center"/>
          </w:tcPr>
          <w:p w14:paraId="756383F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color w:val="auto"/>
                <w:sz w:val="21"/>
                <w:szCs w:val="21"/>
                <w:highlight w:val="none"/>
                <w:lang w:eastAsia="zh-CN"/>
              </w:rPr>
            </w:pPr>
            <w:r>
              <w:rPr>
                <w:rFonts w:hint="eastAsia"/>
                <w:color w:val="auto"/>
                <w:sz w:val="21"/>
                <w:szCs w:val="21"/>
                <w:highlight w:val="none"/>
                <w:lang w:val="en-US" w:eastAsia="zh-CN"/>
              </w:rPr>
              <w:t>5</w:t>
            </w:r>
          </w:p>
        </w:tc>
        <w:tc>
          <w:tcPr>
            <w:tcW w:w="2656" w:type="dxa"/>
            <w:vMerge w:val="restart"/>
            <w:tcBorders>
              <w:tl2br w:val="nil"/>
              <w:tr2bl w:val="nil"/>
            </w:tcBorders>
            <w:noWrap w:val="0"/>
            <w:vAlign w:val="center"/>
          </w:tcPr>
          <w:p w14:paraId="7701996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废水不外排</w:t>
            </w:r>
          </w:p>
        </w:tc>
      </w:tr>
      <w:tr w14:paraId="2B6249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52" w:type="dxa"/>
            <w:vMerge w:val="continue"/>
            <w:tcBorders>
              <w:tl2br w:val="nil"/>
              <w:tr2bl w:val="nil"/>
            </w:tcBorders>
            <w:noWrap w:val="0"/>
            <w:vAlign w:val="center"/>
          </w:tcPr>
          <w:p w14:paraId="7F6F8A8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p>
        </w:tc>
        <w:tc>
          <w:tcPr>
            <w:tcW w:w="1105" w:type="dxa"/>
            <w:vMerge w:val="continue"/>
            <w:tcBorders>
              <w:tl2br w:val="nil"/>
              <w:tr2bl w:val="nil"/>
            </w:tcBorders>
            <w:noWrap w:val="0"/>
            <w:vAlign w:val="center"/>
          </w:tcPr>
          <w:p w14:paraId="13B4568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p>
        </w:tc>
        <w:tc>
          <w:tcPr>
            <w:tcW w:w="2839" w:type="dxa"/>
            <w:tcBorders>
              <w:tl2br w:val="nil"/>
              <w:tr2bl w:val="nil"/>
            </w:tcBorders>
            <w:noWrap w:val="0"/>
            <w:vAlign w:val="center"/>
          </w:tcPr>
          <w:p w14:paraId="42A0F9B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生活废水排入临时隔油池、化粪池处理，定期清掏</w:t>
            </w:r>
          </w:p>
        </w:tc>
        <w:tc>
          <w:tcPr>
            <w:tcW w:w="979" w:type="dxa"/>
            <w:tcBorders>
              <w:tl2br w:val="nil"/>
              <w:tr2bl w:val="nil"/>
            </w:tcBorders>
            <w:noWrap w:val="0"/>
            <w:vAlign w:val="center"/>
          </w:tcPr>
          <w:p w14:paraId="3798BF4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color w:val="auto"/>
                <w:sz w:val="21"/>
                <w:szCs w:val="21"/>
                <w:highlight w:val="none"/>
                <w:lang w:eastAsia="zh-CN"/>
              </w:rPr>
            </w:pPr>
            <w:r>
              <w:rPr>
                <w:rFonts w:hint="eastAsia"/>
                <w:color w:val="auto"/>
                <w:sz w:val="21"/>
                <w:szCs w:val="21"/>
                <w:highlight w:val="none"/>
                <w:lang w:val="en-US" w:eastAsia="zh-CN"/>
              </w:rPr>
              <w:t>5</w:t>
            </w:r>
          </w:p>
        </w:tc>
        <w:tc>
          <w:tcPr>
            <w:tcW w:w="2656" w:type="dxa"/>
            <w:vMerge w:val="continue"/>
            <w:tcBorders>
              <w:tl2br w:val="nil"/>
              <w:tr2bl w:val="nil"/>
            </w:tcBorders>
            <w:noWrap w:val="0"/>
            <w:vAlign w:val="center"/>
          </w:tcPr>
          <w:p w14:paraId="663AA170">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p>
        </w:tc>
      </w:tr>
      <w:tr w14:paraId="16878B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52" w:type="dxa"/>
            <w:vMerge w:val="continue"/>
            <w:tcBorders>
              <w:tl2br w:val="nil"/>
              <w:tr2bl w:val="nil"/>
            </w:tcBorders>
            <w:noWrap w:val="0"/>
            <w:vAlign w:val="center"/>
          </w:tcPr>
          <w:p w14:paraId="609CC80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p>
        </w:tc>
        <w:tc>
          <w:tcPr>
            <w:tcW w:w="1105" w:type="dxa"/>
            <w:tcBorders>
              <w:tl2br w:val="nil"/>
              <w:tr2bl w:val="nil"/>
            </w:tcBorders>
            <w:noWrap w:val="0"/>
            <w:vAlign w:val="center"/>
          </w:tcPr>
          <w:p w14:paraId="11914AC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水土流失</w:t>
            </w:r>
          </w:p>
        </w:tc>
        <w:tc>
          <w:tcPr>
            <w:tcW w:w="2839" w:type="dxa"/>
            <w:tcBorders>
              <w:tl2br w:val="nil"/>
              <w:tr2bl w:val="nil"/>
            </w:tcBorders>
            <w:noWrap w:val="0"/>
            <w:vAlign w:val="center"/>
          </w:tcPr>
          <w:p w14:paraId="2EE3AD4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设置挡土墙、沉淀池等</w:t>
            </w:r>
          </w:p>
        </w:tc>
        <w:tc>
          <w:tcPr>
            <w:tcW w:w="979" w:type="dxa"/>
            <w:tcBorders>
              <w:tl2br w:val="nil"/>
              <w:tr2bl w:val="nil"/>
            </w:tcBorders>
            <w:noWrap w:val="0"/>
            <w:vAlign w:val="center"/>
          </w:tcPr>
          <w:p w14:paraId="173074A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sz w:val="21"/>
                <w:szCs w:val="21"/>
                <w:highlight w:val="none"/>
                <w:lang w:val="en-US" w:eastAsia="zh-CN"/>
              </w:rPr>
            </w:pPr>
            <w:r>
              <w:rPr>
                <w:rFonts w:hint="eastAsia"/>
                <w:color w:val="auto"/>
                <w:sz w:val="21"/>
                <w:szCs w:val="21"/>
                <w:highlight w:val="none"/>
                <w:lang w:val="en-US" w:eastAsia="zh-CN"/>
              </w:rPr>
              <w:t>1927</w:t>
            </w:r>
          </w:p>
        </w:tc>
        <w:tc>
          <w:tcPr>
            <w:tcW w:w="2656" w:type="dxa"/>
            <w:tcBorders>
              <w:tl2br w:val="nil"/>
              <w:tr2bl w:val="nil"/>
            </w:tcBorders>
            <w:noWrap w:val="0"/>
            <w:vAlign w:val="center"/>
          </w:tcPr>
          <w:p w14:paraId="62012E6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减小生态影响</w:t>
            </w:r>
          </w:p>
        </w:tc>
      </w:tr>
      <w:tr w14:paraId="511B0F8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52" w:type="dxa"/>
            <w:vMerge w:val="restart"/>
            <w:tcBorders>
              <w:tl2br w:val="nil"/>
              <w:tr2bl w:val="nil"/>
            </w:tcBorders>
            <w:noWrap w:val="0"/>
            <w:vAlign w:val="center"/>
          </w:tcPr>
          <w:p w14:paraId="0189CC9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运</w:t>
            </w:r>
          </w:p>
          <w:p w14:paraId="027C104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营</w:t>
            </w:r>
          </w:p>
          <w:p w14:paraId="2B4670F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期</w:t>
            </w:r>
          </w:p>
        </w:tc>
        <w:tc>
          <w:tcPr>
            <w:tcW w:w="1105" w:type="dxa"/>
            <w:tcBorders>
              <w:tl2br w:val="nil"/>
              <w:tr2bl w:val="nil"/>
            </w:tcBorders>
            <w:noWrap w:val="0"/>
            <w:vAlign w:val="center"/>
          </w:tcPr>
          <w:p w14:paraId="3E6B7423">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场地绿化恢复</w:t>
            </w:r>
          </w:p>
        </w:tc>
        <w:tc>
          <w:tcPr>
            <w:tcW w:w="2839" w:type="dxa"/>
            <w:tcBorders>
              <w:tl2br w:val="nil"/>
              <w:tr2bl w:val="nil"/>
            </w:tcBorders>
            <w:noWrap w:val="0"/>
            <w:vAlign w:val="center"/>
          </w:tcPr>
          <w:p w14:paraId="3407250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临时施工场地的恢复绿化</w:t>
            </w:r>
          </w:p>
        </w:tc>
        <w:tc>
          <w:tcPr>
            <w:tcW w:w="979" w:type="dxa"/>
            <w:tcBorders>
              <w:tl2br w:val="nil"/>
              <w:tr2bl w:val="nil"/>
            </w:tcBorders>
            <w:noWrap w:val="0"/>
            <w:vAlign w:val="center"/>
          </w:tcPr>
          <w:p w14:paraId="6EC5EF0B">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sz w:val="21"/>
                <w:szCs w:val="21"/>
                <w:highlight w:val="none"/>
                <w:lang w:val="en-US" w:eastAsia="zh-CN"/>
              </w:rPr>
            </w:pPr>
            <w:r>
              <w:rPr>
                <w:rFonts w:hint="eastAsia"/>
                <w:color w:val="auto"/>
                <w:sz w:val="21"/>
                <w:szCs w:val="21"/>
                <w:highlight w:val="none"/>
                <w:lang w:val="en-US" w:eastAsia="zh-CN"/>
              </w:rPr>
              <w:t>732.45</w:t>
            </w:r>
          </w:p>
        </w:tc>
        <w:tc>
          <w:tcPr>
            <w:tcW w:w="2656" w:type="dxa"/>
            <w:tcBorders>
              <w:tl2br w:val="nil"/>
              <w:tr2bl w:val="nil"/>
            </w:tcBorders>
            <w:noWrap w:val="0"/>
            <w:vAlign w:val="center"/>
          </w:tcPr>
          <w:p w14:paraId="4EC1ED9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减小生态影响</w:t>
            </w:r>
          </w:p>
        </w:tc>
      </w:tr>
      <w:tr w14:paraId="49021A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52" w:type="dxa"/>
            <w:vMerge w:val="continue"/>
            <w:tcBorders>
              <w:tl2br w:val="nil"/>
              <w:tr2bl w:val="nil"/>
            </w:tcBorders>
            <w:noWrap w:val="0"/>
            <w:vAlign w:val="center"/>
          </w:tcPr>
          <w:p w14:paraId="1ECFCF0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p>
        </w:tc>
        <w:tc>
          <w:tcPr>
            <w:tcW w:w="1105" w:type="dxa"/>
            <w:tcBorders>
              <w:tl2br w:val="nil"/>
              <w:tr2bl w:val="nil"/>
            </w:tcBorders>
            <w:noWrap w:val="0"/>
            <w:vAlign w:val="center"/>
          </w:tcPr>
          <w:p w14:paraId="49DB958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食堂油烟</w:t>
            </w:r>
          </w:p>
        </w:tc>
        <w:tc>
          <w:tcPr>
            <w:tcW w:w="2839" w:type="dxa"/>
            <w:tcBorders>
              <w:tl2br w:val="nil"/>
              <w:tr2bl w:val="nil"/>
            </w:tcBorders>
            <w:noWrap w:val="0"/>
            <w:vAlign w:val="center"/>
          </w:tcPr>
          <w:p w14:paraId="311451E9">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食堂油烟经油烟净化器处理后，经专用烟道引至楼顶排</w:t>
            </w:r>
          </w:p>
        </w:tc>
        <w:tc>
          <w:tcPr>
            <w:tcW w:w="979" w:type="dxa"/>
            <w:tcBorders>
              <w:tl2br w:val="nil"/>
              <w:tr2bl w:val="nil"/>
            </w:tcBorders>
            <w:noWrap w:val="0"/>
            <w:vAlign w:val="center"/>
          </w:tcPr>
          <w:p w14:paraId="482E6D6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color w:val="auto"/>
                <w:sz w:val="21"/>
                <w:szCs w:val="21"/>
                <w:highlight w:val="none"/>
                <w:lang w:eastAsia="zh-CN"/>
              </w:rPr>
            </w:pPr>
            <w:r>
              <w:rPr>
                <w:rFonts w:hint="eastAsia"/>
                <w:color w:val="auto"/>
                <w:sz w:val="21"/>
                <w:szCs w:val="21"/>
                <w:highlight w:val="none"/>
                <w:lang w:eastAsia="zh-CN"/>
              </w:rPr>
              <w:t>依托一期</w:t>
            </w:r>
          </w:p>
        </w:tc>
        <w:tc>
          <w:tcPr>
            <w:tcW w:w="2656" w:type="dxa"/>
            <w:tcBorders>
              <w:tl2br w:val="nil"/>
              <w:tr2bl w:val="nil"/>
            </w:tcBorders>
            <w:noWrap w:val="0"/>
            <w:vAlign w:val="center"/>
          </w:tcPr>
          <w:p w14:paraId="1FF1E6B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《饮食业油烟排放标准（试行）》（GB18483-2001）表2标准</w:t>
            </w:r>
          </w:p>
        </w:tc>
      </w:tr>
      <w:tr w14:paraId="25BFE0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52" w:type="dxa"/>
            <w:vMerge w:val="continue"/>
            <w:tcBorders>
              <w:tl2br w:val="nil"/>
              <w:tr2bl w:val="nil"/>
            </w:tcBorders>
            <w:noWrap w:val="0"/>
            <w:vAlign w:val="center"/>
          </w:tcPr>
          <w:p w14:paraId="586C24DD">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p>
        </w:tc>
        <w:tc>
          <w:tcPr>
            <w:tcW w:w="1105" w:type="dxa"/>
            <w:tcBorders>
              <w:tl2br w:val="nil"/>
              <w:tr2bl w:val="nil"/>
            </w:tcBorders>
            <w:noWrap w:val="0"/>
            <w:vAlign w:val="center"/>
          </w:tcPr>
          <w:p w14:paraId="2895EFE6">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升压站生活污水</w:t>
            </w:r>
          </w:p>
        </w:tc>
        <w:tc>
          <w:tcPr>
            <w:tcW w:w="2839" w:type="dxa"/>
            <w:tcBorders>
              <w:tl2br w:val="nil"/>
              <w:tr2bl w:val="nil"/>
            </w:tcBorders>
            <w:noWrap w:val="0"/>
            <w:vAlign w:val="center"/>
          </w:tcPr>
          <w:p w14:paraId="1E914EB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生活废水合流进入化粪池处理后一体化污水处理装置集中处理，处理后的污水用作站内绿化用水，不外排</w:t>
            </w:r>
          </w:p>
        </w:tc>
        <w:tc>
          <w:tcPr>
            <w:tcW w:w="979" w:type="dxa"/>
            <w:tcBorders>
              <w:tl2br w:val="nil"/>
              <w:tr2bl w:val="nil"/>
            </w:tcBorders>
            <w:noWrap w:val="0"/>
            <w:vAlign w:val="center"/>
          </w:tcPr>
          <w:p w14:paraId="2BC89E6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eastAsia"/>
                <w:color w:val="auto"/>
                <w:sz w:val="21"/>
                <w:szCs w:val="21"/>
                <w:highlight w:val="none"/>
                <w:lang w:eastAsia="zh-CN"/>
              </w:rPr>
            </w:pPr>
            <w:r>
              <w:rPr>
                <w:rFonts w:hint="eastAsia"/>
                <w:color w:val="auto"/>
                <w:sz w:val="21"/>
                <w:szCs w:val="21"/>
                <w:highlight w:val="none"/>
                <w:lang w:eastAsia="zh-CN"/>
              </w:rPr>
              <w:t>依托一期</w:t>
            </w:r>
          </w:p>
        </w:tc>
        <w:tc>
          <w:tcPr>
            <w:tcW w:w="2656" w:type="dxa"/>
            <w:tcBorders>
              <w:tl2br w:val="nil"/>
              <w:tr2bl w:val="nil"/>
            </w:tcBorders>
            <w:noWrap w:val="0"/>
            <w:vAlign w:val="center"/>
          </w:tcPr>
          <w:p w14:paraId="0F28D658">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lang w:eastAsia="zh-CN"/>
              </w:rPr>
              <w:t>《污水综合排放标准》（GB8978-1996）表4（二类污染物）一级标准</w:t>
            </w:r>
            <w:r>
              <w:rPr>
                <w:rFonts w:hint="eastAsia"/>
                <w:color w:val="auto"/>
                <w:sz w:val="21"/>
                <w:szCs w:val="21"/>
                <w:highlight w:val="none"/>
              </w:rPr>
              <w:t>，用于绿化，不外排</w:t>
            </w:r>
          </w:p>
        </w:tc>
      </w:tr>
      <w:tr w14:paraId="4D173B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52" w:type="dxa"/>
            <w:vMerge w:val="continue"/>
            <w:tcBorders>
              <w:tl2br w:val="nil"/>
              <w:tr2bl w:val="nil"/>
            </w:tcBorders>
            <w:noWrap w:val="0"/>
            <w:vAlign w:val="center"/>
          </w:tcPr>
          <w:p w14:paraId="28BF2187">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p>
        </w:tc>
        <w:tc>
          <w:tcPr>
            <w:tcW w:w="1105" w:type="dxa"/>
            <w:tcBorders>
              <w:tl2br w:val="nil"/>
              <w:tr2bl w:val="nil"/>
            </w:tcBorders>
            <w:noWrap w:val="0"/>
            <w:vAlign w:val="center"/>
          </w:tcPr>
          <w:p w14:paraId="66940A3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生活垃圾</w:t>
            </w:r>
          </w:p>
        </w:tc>
        <w:tc>
          <w:tcPr>
            <w:tcW w:w="2839" w:type="dxa"/>
            <w:tcBorders>
              <w:tl2br w:val="nil"/>
              <w:tr2bl w:val="nil"/>
            </w:tcBorders>
            <w:noWrap w:val="0"/>
            <w:vAlign w:val="center"/>
          </w:tcPr>
          <w:p w14:paraId="7864760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统一收集后由环卫部门处置</w:t>
            </w:r>
          </w:p>
        </w:tc>
        <w:tc>
          <w:tcPr>
            <w:tcW w:w="979" w:type="dxa"/>
            <w:tcBorders>
              <w:tl2br w:val="nil"/>
              <w:tr2bl w:val="nil"/>
            </w:tcBorders>
            <w:noWrap w:val="0"/>
            <w:vAlign w:val="center"/>
          </w:tcPr>
          <w:p w14:paraId="6544E2B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2</w:t>
            </w:r>
          </w:p>
        </w:tc>
        <w:tc>
          <w:tcPr>
            <w:tcW w:w="2656" w:type="dxa"/>
            <w:tcBorders>
              <w:tl2br w:val="nil"/>
              <w:tr2bl w:val="nil"/>
            </w:tcBorders>
            <w:noWrap w:val="0"/>
            <w:vAlign w:val="center"/>
          </w:tcPr>
          <w:p w14:paraId="0CD518E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不外排</w:t>
            </w:r>
          </w:p>
        </w:tc>
      </w:tr>
      <w:tr w14:paraId="692BF70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52" w:type="dxa"/>
            <w:vMerge w:val="continue"/>
            <w:tcBorders>
              <w:tl2br w:val="nil"/>
              <w:tr2bl w:val="nil"/>
            </w:tcBorders>
            <w:noWrap w:val="0"/>
            <w:vAlign w:val="center"/>
          </w:tcPr>
          <w:p w14:paraId="7B1B7D3E">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p>
        </w:tc>
        <w:tc>
          <w:tcPr>
            <w:tcW w:w="1105" w:type="dxa"/>
            <w:tcBorders>
              <w:tl2br w:val="nil"/>
              <w:tr2bl w:val="nil"/>
            </w:tcBorders>
            <w:noWrap w:val="0"/>
            <w:vAlign w:val="center"/>
          </w:tcPr>
          <w:p w14:paraId="43CE0682">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lang w:eastAsia="zh-CN"/>
              </w:rPr>
              <w:t>生态恢复</w:t>
            </w:r>
            <w:r>
              <w:rPr>
                <w:rFonts w:hint="eastAsia"/>
                <w:color w:val="auto"/>
                <w:sz w:val="21"/>
                <w:szCs w:val="21"/>
                <w:highlight w:val="none"/>
              </w:rPr>
              <w:t>预留资金</w:t>
            </w:r>
          </w:p>
        </w:tc>
        <w:tc>
          <w:tcPr>
            <w:tcW w:w="2839" w:type="dxa"/>
            <w:tcBorders>
              <w:tl2br w:val="nil"/>
              <w:tr2bl w:val="nil"/>
            </w:tcBorders>
            <w:noWrap w:val="0"/>
            <w:vAlign w:val="center"/>
          </w:tcPr>
          <w:p w14:paraId="1363368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预留</w:t>
            </w:r>
            <w:r>
              <w:rPr>
                <w:rFonts w:hint="eastAsia"/>
                <w:color w:val="auto"/>
                <w:sz w:val="21"/>
                <w:szCs w:val="21"/>
                <w:highlight w:val="none"/>
                <w:lang w:eastAsia="zh-CN"/>
              </w:rPr>
              <w:t>生态环境</w:t>
            </w:r>
            <w:r>
              <w:rPr>
                <w:rFonts w:hint="eastAsia"/>
                <w:color w:val="auto"/>
                <w:sz w:val="21"/>
                <w:szCs w:val="21"/>
                <w:highlight w:val="none"/>
              </w:rPr>
              <w:t>防治资金</w:t>
            </w:r>
          </w:p>
        </w:tc>
        <w:tc>
          <w:tcPr>
            <w:tcW w:w="979" w:type="dxa"/>
            <w:tcBorders>
              <w:tl2br w:val="nil"/>
              <w:tr2bl w:val="nil"/>
            </w:tcBorders>
            <w:noWrap w:val="0"/>
            <w:vAlign w:val="center"/>
          </w:tcPr>
          <w:p w14:paraId="2DCF5E3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sz w:val="21"/>
                <w:szCs w:val="21"/>
                <w:highlight w:val="none"/>
                <w:lang w:val="en-US" w:eastAsia="zh-CN"/>
              </w:rPr>
            </w:pPr>
            <w:r>
              <w:rPr>
                <w:rFonts w:hint="eastAsia"/>
                <w:color w:val="auto"/>
                <w:sz w:val="21"/>
                <w:szCs w:val="21"/>
                <w:highlight w:val="none"/>
                <w:lang w:val="en-US" w:eastAsia="zh-CN"/>
              </w:rPr>
              <w:t>500</w:t>
            </w:r>
          </w:p>
        </w:tc>
        <w:tc>
          <w:tcPr>
            <w:tcW w:w="2656" w:type="dxa"/>
            <w:tcBorders>
              <w:tl2br w:val="nil"/>
              <w:tr2bl w:val="nil"/>
            </w:tcBorders>
            <w:noWrap w:val="0"/>
            <w:vAlign w:val="center"/>
          </w:tcPr>
          <w:p w14:paraId="5BAE43F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减小生态影响</w:t>
            </w:r>
          </w:p>
        </w:tc>
      </w:tr>
      <w:tr w14:paraId="52BDC4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596" w:type="dxa"/>
            <w:gridSpan w:val="3"/>
            <w:tcBorders>
              <w:tl2br w:val="nil"/>
              <w:tr2bl w:val="nil"/>
            </w:tcBorders>
            <w:noWrap w:val="0"/>
            <w:vAlign w:val="center"/>
          </w:tcPr>
          <w:p w14:paraId="17A6CC91">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合计</w:t>
            </w:r>
          </w:p>
        </w:tc>
        <w:tc>
          <w:tcPr>
            <w:tcW w:w="979" w:type="dxa"/>
            <w:tcBorders>
              <w:tl2br w:val="nil"/>
              <w:tr2bl w:val="nil"/>
            </w:tcBorders>
            <w:noWrap w:val="0"/>
            <w:vAlign w:val="center"/>
          </w:tcPr>
          <w:p w14:paraId="59CCD37F">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rFonts w:hint="default"/>
                <w:color w:val="auto"/>
                <w:sz w:val="21"/>
                <w:szCs w:val="21"/>
                <w:highlight w:val="none"/>
                <w:lang w:val="en-US" w:eastAsia="zh-CN"/>
              </w:rPr>
            </w:pPr>
            <w:r>
              <w:rPr>
                <w:rFonts w:hint="eastAsia"/>
                <w:color w:val="auto"/>
                <w:sz w:val="21"/>
                <w:szCs w:val="21"/>
                <w:highlight w:val="none"/>
                <w:lang w:val="en-US" w:eastAsia="zh-CN"/>
              </w:rPr>
              <w:t>3186.45</w:t>
            </w:r>
          </w:p>
        </w:tc>
        <w:tc>
          <w:tcPr>
            <w:tcW w:w="2656" w:type="dxa"/>
            <w:tcBorders>
              <w:tl2br w:val="nil"/>
              <w:tr2bl w:val="nil"/>
            </w:tcBorders>
            <w:noWrap w:val="0"/>
            <w:vAlign w:val="center"/>
          </w:tcPr>
          <w:p w14:paraId="4964577A">
            <w:pPr>
              <w:pStyle w:val="23"/>
              <w:keepNext w:val="0"/>
              <w:keepLines w:val="0"/>
              <w:pageBreakBefore w:val="0"/>
              <w:widowControl/>
              <w:kinsoku/>
              <w:wordWrap/>
              <w:overflowPunct/>
              <w:topLinePunct w:val="0"/>
              <w:autoSpaceDE/>
              <w:autoSpaceDN/>
              <w:bidi w:val="0"/>
              <w:adjustRightInd w:val="0"/>
              <w:snapToGrid w:val="0"/>
              <w:spacing w:line="240" w:lineRule="auto"/>
              <w:textAlignment w:val="auto"/>
              <w:rPr>
                <w:color w:val="auto"/>
                <w:sz w:val="21"/>
                <w:szCs w:val="21"/>
                <w:highlight w:val="none"/>
              </w:rPr>
            </w:pPr>
            <w:r>
              <w:rPr>
                <w:rFonts w:hint="eastAsia"/>
                <w:color w:val="auto"/>
                <w:sz w:val="21"/>
                <w:szCs w:val="21"/>
                <w:highlight w:val="none"/>
              </w:rPr>
              <w:t>/</w:t>
            </w:r>
          </w:p>
        </w:tc>
      </w:tr>
    </w:tbl>
    <w:p w14:paraId="34B6C75D">
      <w:pPr>
        <w:bidi w:val="0"/>
        <w:rPr>
          <w:rFonts w:ascii="Times New Roman" w:hAnsi="Times New Roman" w:eastAsia="宋体" w:cs="Times New Roman"/>
          <w:color w:val="auto"/>
          <w:highlight w:val="none"/>
        </w:rPr>
      </w:pPr>
    </w:p>
    <w:p w14:paraId="0E153105">
      <w:pPr>
        <w:bidi w:val="0"/>
        <w:rPr>
          <w:rFonts w:ascii="Times New Roman" w:hAnsi="Times New Roman" w:eastAsia="宋体" w:cs="Times New Roman"/>
          <w:color w:val="auto"/>
          <w:highlight w:val="none"/>
        </w:rPr>
      </w:pPr>
    </w:p>
    <w:p w14:paraId="1D350AEB">
      <w:pPr>
        <w:bidi w:val="0"/>
        <w:rPr>
          <w:rFonts w:ascii="Times New Roman" w:hAnsi="Times New Roman" w:eastAsia="宋体" w:cs="Times New Roman"/>
          <w:color w:val="auto"/>
          <w:highlight w:val="none"/>
        </w:rPr>
      </w:pPr>
    </w:p>
    <w:p w14:paraId="5032FAAC">
      <w:pPr>
        <w:bidi w:val="0"/>
        <w:rPr>
          <w:rFonts w:ascii="Times New Roman" w:hAnsi="Times New Roman" w:eastAsia="宋体" w:cs="Times New Roman"/>
          <w:color w:val="auto"/>
          <w:highlight w:val="none"/>
        </w:rPr>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5678BA91">
      <w:pPr>
        <w:pStyle w:val="3"/>
        <w:rPr>
          <w:rFonts w:hint="default" w:ascii="Times New Roman" w:hAnsi="Times New Roman" w:cs="Times New Roman"/>
          <w:color w:val="auto"/>
          <w:highlight w:val="none"/>
        </w:rPr>
      </w:pPr>
      <w:bookmarkStart w:id="125" w:name="_Toc7183"/>
      <w:r>
        <w:rPr>
          <w:rFonts w:hint="eastAsia" w:ascii="Times New Roman" w:hAnsi="Times New Roman" w:cs="Times New Roman"/>
          <w:color w:val="auto"/>
          <w:highlight w:val="none"/>
          <w:lang w:eastAsia="zh-CN"/>
        </w:rPr>
        <w:t>评价结论与建议</w:t>
      </w:r>
      <w:bookmarkEnd w:id="125"/>
    </w:p>
    <w:p w14:paraId="38DCE60A">
      <w:pPr>
        <w:pStyle w:val="4"/>
        <w:bidi w:val="0"/>
        <w:rPr>
          <w:rFonts w:hint="default" w:ascii="Times New Roman" w:hAnsi="Times New Roman" w:cs="Times New Roman"/>
          <w:color w:val="auto"/>
          <w:highlight w:val="none"/>
        </w:rPr>
      </w:pPr>
      <w:bookmarkStart w:id="126" w:name="_Toc12153"/>
      <w:r>
        <w:rPr>
          <w:rFonts w:hint="eastAsia" w:cs="Times New Roman"/>
          <w:color w:val="auto"/>
          <w:highlight w:val="none"/>
          <w:lang w:eastAsia="zh-CN"/>
        </w:rPr>
        <w:t>项目概况</w:t>
      </w:r>
      <w:bookmarkEnd w:id="126"/>
    </w:p>
    <w:p w14:paraId="27A1B1E9">
      <w:pPr>
        <w:bidi w:val="0"/>
        <w:rPr>
          <w:rFonts w:ascii="Times New Roman" w:hAnsi="Times New Roman" w:eastAsia="宋体" w:cs="Times New Roman"/>
          <w:color w:val="auto"/>
          <w:highlight w:val="none"/>
        </w:rPr>
      </w:pPr>
      <w:r>
        <w:rPr>
          <w:rFonts w:hint="eastAsia" w:ascii="Times New Roman" w:hAnsi="Times New Roman" w:cs="Times New Roman"/>
          <w:b w:val="0"/>
          <w:bCs w:val="0"/>
          <w:color w:val="auto"/>
          <w:kern w:val="0"/>
          <w:sz w:val="24"/>
          <w:szCs w:val="24"/>
          <w:highlight w:val="none"/>
          <w:u w:val="none"/>
          <w:lang w:val="en-US" w:eastAsia="zh-CN"/>
        </w:rPr>
        <w:t>南冲风电场属于大马二期工程，</w:t>
      </w:r>
      <w:r>
        <w:rPr>
          <w:rFonts w:hint="default" w:ascii="Times New Roman" w:hAnsi="Times New Roman" w:eastAsia="宋体" w:cs="Times New Roman"/>
          <w:color w:val="auto"/>
          <w:highlight w:val="none"/>
          <w:lang w:val="en-US" w:eastAsia="zh-CN"/>
        </w:rPr>
        <w:t>大马风电场</w:t>
      </w:r>
      <w:r>
        <w:rPr>
          <w:rFonts w:hint="eastAsia" w:cs="Times New Roman"/>
          <w:color w:val="auto"/>
          <w:highlight w:val="none"/>
          <w:lang w:val="en-US" w:eastAsia="zh-CN"/>
        </w:rPr>
        <w:t>于2019年6月获得湖南省生态环境厅批复（湘环评表〔2019〕5号），2019年9月开始施工，</w:t>
      </w:r>
      <w:r>
        <w:rPr>
          <w:rFonts w:hint="default" w:ascii="Times New Roman" w:hAnsi="Times New Roman" w:eastAsia="宋体" w:cs="Times New Roman"/>
          <w:color w:val="auto"/>
          <w:highlight w:val="none"/>
          <w:lang w:val="en-US" w:eastAsia="zh-CN"/>
        </w:rPr>
        <w:t>2020年</w:t>
      </w:r>
      <w:r>
        <w:rPr>
          <w:rFonts w:hint="eastAsia" w:cs="Times New Roman"/>
          <w:color w:val="auto"/>
          <w:highlight w:val="none"/>
          <w:lang w:val="en-US" w:eastAsia="zh-CN"/>
        </w:rPr>
        <w:t>11月带电投入试运行，2021年4月通过竣工环保验收。</w:t>
      </w:r>
      <w:r>
        <w:rPr>
          <w:rFonts w:hint="eastAsia" w:ascii="Times New Roman" w:hAnsi="Times New Roman" w:cs="Times New Roman"/>
          <w:b w:val="0"/>
          <w:bCs w:val="0"/>
          <w:color w:val="auto"/>
          <w:kern w:val="0"/>
          <w:sz w:val="24"/>
          <w:szCs w:val="24"/>
          <w:highlight w:val="none"/>
          <w:u w:val="none"/>
          <w:lang w:val="en-US" w:eastAsia="zh-CN"/>
        </w:rPr>
        <w:t>本工程营运期拟接入已建大马风电场110kV升压站，并对大马风电场升压站进行扩建。</w:t>
      </w:r>
    </w:p>
    <w:p w14:paraId="1FE4A409">
      <w:pPr>
        <w:bidi w:val="0"/>
        <w:rPr>
          <w:rFonts w:ascii="Times New Roman" w:hAnsi="Times New Roman" w:eastAsia="宋体" w:cs="Times New Roman"/>
          <w:color w:val="auto"/>
          <w:highlight w:val="none"/>
        </w:rPr>
      </w:pPr>
      <w:r>
        <w:rPr>
          <w:rFonts w:hint="default" w:ascii="Times New Roman" w:hAnsi="Times New Roman" w:cs="Times New Roman"/>
          <w:color w:val="auto"/>
          <w:kern w:val="0"/>
          <w:sz w:val="24"/>
          <w:szCs w:val="24"/>
          <w:highlight w:val="none"/>
          <w:lang w:val="en-US" w:eastAsia="zh-CN"/>
        </w:rPr>
        <w:t>本风电场工程等级为Ⅱ级，工程规模为中型。安装</w:t>
      </w:r>
      <w:r>
        <w:rPr>
          <w:rFonts w:hint="eastAsia" w:ascii="Times New Roman" w:hAnsi="Times New Roman" w:cs="Times New Roman"/>
          <w:color w:val="auto"/>
          <w:kern w:val="0"/>
          <w:sz w:val="24"/>
          <w:szCs w:val="24"/>
          <w:highlight w:val="none"/>
          <w:lang w:val="en-US" w:eastAsia="zh-CN"/>
        </w:rPr>
        <w:t>20</w:t>
      </w:r>
      <w:r>
        <w:rPr>
          <w:rFonts w:hint="default" w:ascii="Times New Roman" w:hAnsi="Times New Roman" w:cs="Times New Roman"/>
          <w:color w:val="auto"/>
          <w:kern w:val="0"/>
          <w:sz w:val="24"/>
          <w:szCs w:val="24"/>
          <w:highlight w:val="none"/>
          <w:lang w:val="en-US" w:eastAsia="zh-CN"/>
        </w:rPr>
        <w:t>台单机容量5.0MW风力发电机组，总装机容量为100MW，</w:t>
      </w:r>
      <w:r>
        <w:rPr>
          <w:rFonts w:hint="default" w:ascii="Times New Roman" w:hAnsi="Times New Roman" w:cs="Times New Roman"/>
          <w:color w:val="auto"/>
          <w:sz w:val="24"/>
          <w:szCs w:val="24"/>
          <w:highlight w:val="none"/>
        </w:rPr>
        <w:t>预计年上网电量为</w:t>
      </w:r>
      <w:r>
        <w:rPr>
          <w:rFonts w:hint="default" w:ascii="Times New Roman" w:hAnsi="Times New Roman" w:cs="Times New Roman"/>
          <w:color w:val="auto"/>
          <w:sz w:val="24"/>
          <w:szCs w:val="24"/>
          <w:highlight w:val="none"/>
        </w:rPr>
        <w:fldChar w:fldCharType="begin"/>
      </w:r>
      <w:r>
        <w:rPr>
          <w:rFonts w:hint="default" w:ascii="Times New Roman" w:hAnsi="Times New Roman" w:cs="Times New Roman"/>
          <w:color w:val="auto"/>
          <w:sz w:val="24"/>
          <w:szCs w:val="24"/>
          <w:highlight w:val="none"/>
        </w:rPr>
        <w:instrText xml:space="preserve"> LINK Excel.Sheet.12 "D:\\2022风电场项目摸板\\风电项目算表（摸板）.xlsx" "基本情况!R15C3" \t \a  \* MERGEFORMAT</w:instrText>
      </w:r>
      <w:r>
        <w:rPr>
          <w:rFonts w:hint="default" w:ascii="Times New Roman" w:hAnsi="Times New Roman" w:cs="Times New Roman"/>
          <w:color w:val="auto"/>
          <w:sz w:val="24"/>
          <w:szCs w:val="24"/>
          <w:highlight w:val="none"/>
        </w:rPr>
        <w:fldChar w:fldCharType="separate"/>
      </w:r>
      <w:r>
        <w:rPr>
          <w:rFonts w:hint="default" w:ascii="Times New Roman" w:hAnsi="Times New Roman" w:cs="Times New Roman"/>
          <w:color w:val="auto"/>
          <w:sz w:val="24"/>
          <w:szCs w:val="24"/>
          <w:highlight w:val="none"/>
        </w:rPr>
        <w:t>20803万kW·h</w:t>
      </w:r>
      <w:r>
        <w:rPr>
          <w:rFonts w:hint="default" w:ascii="Times New Roman" w:hAnsi="Times New Roman" w:cs="Times New Roman"/>
          <w:color w:val="auto"/>
          <w:sz w:val="24"/>
          <w:szCs w:val="24"/>
          <w:highlight w:val="none"/>
        </w:rPr>
        <w:fldChar w:fldCharType="end"/>
      </w:r>
      <w:r>
        <w:rPr>
          <w:rFonts w:hint="default" w:ascii="Times New Roman" w:hAnsi="Times New Roman" w:cs="Times New Roman"/>
          <w:color w:val="auto"/>
          <w:sz w:val="24"/>
          <w:szCs w:val="24"/>
          <w:highlight w:val="none"/>
        </w:rPr>
        <w:t>，年等效满负荷小时数为</w:t>
      </w:r>
      <w:r>
        <w:rPr>
          <w:rFonts w:hint="default" w:ascii="Times New Roman" w:hAnsi="Times New Roman" w:cs="Times New Roman"/>
          <w:color w:val="auto"/>
          <w:sz w:val="24"/>
          <w:szCs w:val="24"/>
          <w:highlight w:val="none"/>
        </w:rPr>
        <w:fldChar w:fldCharType="begin"/>
      </w:r>
      <w:r>
        <w:rPr>
          <w:rFonts w:hint="default" w:ascii="Times New Roman" w:hAnsi="Times New Roman" w:cs="Times New Roman"/>
          <w:color w:val="auto"/>
          <w:sz w:val="24"/>
          <w:szCs w:val="24"/>
          <w:highlight w:val="none"/>
        </w:rPr>
        <w:instrText xml:space="preserve"> LINK Excel.Sheet.12 "D:\\2022风电场项目摸板\\风电项目算表（摸板）.xlsx" "基本情况!R16C3" \t \a  \* MERGEFORMAT</w:instrText>
      </w:r>
      <w:r>
        <w:rPr>
          <w:rFonts w:hint="default" w:ascii="Times New Roman" w:hAnsi="Times New Roman" w:cs="Times New Roman"/>
          <w:color w:val="auto"/>
          <w:sz w:val="24"/>
          <w:szCs w:val="24"/>
          <w:highlight w:val="none"/>
        </w:rPr>
        <w:fldChar w:fldCharType="separate"/>
      </w:r>
      <w:r>
        <w:rPr>
          <w:rFonts w:hint="default" w:ascii="Times New Roman" w:hAnsi="Times New Roman" w:cs="Times New Roman"/>
          <w:color w:val="auto"/>
          <w:sz w:val="24"/>
          <w:szCs w:val="24"/>
          <w:highlight w:val="none"/>
        </w:rPr>
        <w:t>2080h</w:t>
      </w:r>
      <w:r>
        <w:rPr>
          <w:rFonts w:hint="default" w:ascii="Times New Roman" w:hAnsi="Times New Roman" w:cs="Times New Roman"/>
          <w:color w:val="auto"/>
          <w:sz w:val="24"/>
          <w:szCs w:val="24"/>
          <w:highlight w:val="none"/>
        </w:rPr>
        <w:fldChar w:fldCharType="end"/>
      </w:r>
      <w:r>
        <w:rPr>
          <w:rFonts w:hint="default" w:ascii="Times New Roman" w:hAnsi="Times New Roman" w:cs="Times New Roman"/>
          <w:color w:val="auto"/>
          <w:sz w:val="24"/>
          <w:szCs w:val="24"/>
          <w:highlight w:val="none"/>
        </w:rPr>
        <w:t>，容量系数为0.237</w:t>
      </w:r>
      <w:r>
        <w:rPr>
          <w:rFonts w:hint="default" w:ascii="Times New Roman" w:hAnsi="Times New Roman" w:cs="Times New Roman"/>
          <w:color w:val="auto"/>
          <w:kern w:val="0"/>
          <w:sz w:val="24"/>
          <w:szCs w:val="24"/>
          <w:highlight w:val="none"/>
          <w:lang w:val="en-US" w:eastAsia="zh-CN"/>
        </w:rPr>
        <w:t>。</w:t>
      </w:r>
    </w:p>
    <w:p w14:paraId="0A1AA0F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本工程建设主要由风电机组、道路工程、集电线路</w:t>
      </w:r>
      <w:r>
        <w:rPr>
          <w:rFonts w:hint="eastAsia" w:ascii="Times New Roman" w:hAnsi="Times New Roman" w:cs="Times New Roman"/>
          <w:color w:val="auto"/>
          <w:kern w:val="0"/>
          <w:sz w:val="24"/>
          <w:szCs w:val="24"/>
          <w:highlight w:val="none"/>
          <w:lang w:val="en-US" w:eastAsia="zh-CN"/>
        </w:rPr>
        <w:t>、升压站扩建等主体工程，</w:t>
      </w:r>
      <w:r>
        <w:rPr>
          <w:rFonts w:hint="default" w:ascii="Times New Roman" w:hAnsi="Times New Roman" w:cs="Times New Roman"/>
          <w:color w:val="auto"/>
          <w:kern w:val="0"/>
          <w:sz w:val="24"/>
          <w:szCs w:val="24"/>
          <w:highlight w:val="none"/>
          <w:lang w:val="en-US" w:eastAsia="zh-CN"/>
        </w:rPr>
        <w:t>施工临建</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弃渣场</w:t>
      </w:r>
      <w:r>
        <w:rPr>
          <w:rFonts w:hint="eastAsia" w:ascii="Times New Roman" w:hAnsi="Times New Roman" w:cs="Times New Roman"/>
          <w:color w:val="auto"/>
          <w:kern w:val="0"/>
          <w:sz w:val="24"/>
          <w:szCs w:val="24"/>
          <w:highlight w:val="none"/>
          <w:lang w:val="en-US" w:eastAsia="zh-CN"/>
        </w:rPr>
        <w:t>等临时辅助工程和污水处理设施等环保工程以及</w:t>
      </w:r>
      <w:r>
        <w:rPr>
          <w:rFonts w:hint="default" w:ascii="Times New Roman" w:hAnsi="Times New Roman" w:cs="Times New Roman"/>
          <w:color w:val="auto"/>
          <w:sz w:val="24"/>
          <w:szCs w:val="24"/>
          <w:highlight w:val="none"/>
        </w:rPr>
        <w:t>供电、供水、排水等公用工程</w:t>
      </w:r>
      <w:r>
        <w:rPr>
          <w:rFonts w:hint="default" w:ascii="Times New Roman" w:hAnsi="Times New Roman" w:cs="Times New Roman"/>
          <w:color w:val="auto"/>
          <w:kern w:val="0"/>
          <w:sz w:val="24"/>
          <w:szCs w:val="24"/>
          <w:highlight w:val="none"/>
          <w:lang w:val="en-US" w:eastAsia="zh-CN"/>
        </w:rPr>
        <w:t>组成。本项目总占地</w:t>
      </w:r>
      <w:r>
        <w:rPr>
          <w:rFonts w:hint="eastAsia" w:ascii="Times New Roman" w:hAnsi="Times New Roman" w:cs="Times New Roman"/>
          <w:color w:val="auto"/>
          <w:kern w:val="0"/>
          <w:sz w:val="24"/>
          <w:szCs w:val="24"/>
          <w:highlight w:val="none"/>
          <w:lang w:val="en-US" w:eastAsia="zh-CN"/>
        </w:rPr>
        <w:t>49.38</w:t>
      </w:r>
      <w:r>
        <w:rPr>
          <w:rFonts w:hint="default" w:ascii="Times New Roman" w:hAnsi="Times New Roman" w:cs="Times New Roman"/>
          <w:color w:val="auto"/>
          <w:kern w:val="0"/>
          <w:sz w:val="24"/>
          <w:szCs w:val="24"/>
          <w:highlight w:val="none"/>
          <w:lang w:val="en-US" w:eastAsia="zh-CN"/>
        </w:rPr>
        <w:t>hm</w:t>
      </w:r>
      <w:r>
        <w:rPr>
          <w:rFonts w:hint="default" w:ascii="Times New Roman" w:hAnsi="Times New Roman" w:cs="Times New Roman"/>
          <w:color w:val="auto"/>
          <w:kern w:val="0"/>
          <w:sz w:val="24"/>
          <w:szCs w:val="24"/>
          <w:highlight w:val="none"/>
          <w:vertAlign w:val="superscript"/>
          <w:lang w:val="en-US" w:eastAsia="zh-CN"/>
        </w:rPr>
        <w:t>2</w:t>
      </w:r>
      <w:r>
        <w:rPr>
          <w:rFonts w:hint="default" w:ascii="Times New Roman" w:hAnsi="Times New Roman" w:cs="Times New Roman"/>
          <w:color w:val="auto"/>
          <w:kern w:val="0"/>
          <w:sz w:val="24"/>
          <w:szCs w:val="24"/>
          <w:highlight w:val="none"/>
          <w:lang w:val="en-US" w:eastAsia="zh-CN"/>
        </w:rPr>
        <w:t>，其中永久占地</w:t>
      </w:r>
      <w:r>
        <w:rPr>
          <w:rFonts w:hint="eastAsia" w:ascii="Times New Roman" w:hAnsi="Times New Roman" w:cs="Times New Roman"/>
          <w:color w:val="auto"/>
          <w:kern w:val="0"/>
          <w:sz w:val="24"/>
          <w:szCs w:val="24"/>
          <w:highlight w:val="none"/>
          <w:lang w:val="en-US" w:eastAsia="zh-CN"/>
        </w:rPr>
        <w:t>0.73</w:t>
      </w:r>
      <w:r>
        <w:rPr>
          <w:rFonts w:hint="default" w:ascii="Times New Roman" w:hAnsi="Times New Roman" w:cs="Times New Roman"/>
          <w:color w:val="auto"/>
          <w:kern w:val="0"/>
          <w:sz w:val="24"/>
          <w:szCs w:val="24"/>
          <w:highlight w:val="none"/>
          <w:lang w:val="en-US" w:eastAsia="zh-CN"/>
        </w:rPr>
        <w:t>hm</w:t>
      </w:r>
      <w:r>
        <w:rPr>
          <w:rFonts w:hint="default" w:ascii="Times New Roman" w:hAnsi="Times New Roman" w:cs="Times New Roman"/>
          <w:color w:val="auto"/>
          <w:kern w:val="0"/>
          <w:sz w:val="24"/>
          <w:szCs w:val="24"/>
          <w:highlight w:val="none"/>
          <w:vertAlign w:val="superscript"/>
          <w:lang w:val="en-US" w:eastAsia="zh-CN"/>
        </w:rPr>
        <w:t>2</w:t>
      </w:r>
      <w:r>
        <w:rPr>
          <w:rFonts w:hint="default" w:ascii="Times New Roman" w:hAnsi="Times New Roman" w:cs="Times New Roman"/>
          <w:color w:val="auto"/>
          <w:kern w:val="0"/>
          <w:sz w:val="24"/>
          <w:szCs w:val="24"/>
          <w:highlight w:val="none"/>
          <w:lang w:val="en-US" w:eastAsia="zh-CN"/>
        </w:rPr>
        <w:t>，临时占地</w:t>
      </w:r>
      <w:r>
        <w:rPr>
          <w:rFonts w:hint="eastAsia" w:ascii="Times New Roman" w:hAnsi="Times New Roman" w:cs="Times New Roman"/>
          <w:color w:val="auto"/>
          <w:kern w:val="0"/>
          <w:sz w:val="24"/>
          <w:szCs w:val="24"/>
          <w:highlight w:val="none"/>
          <w:lang w:val="en-US" w:eastAsia="zh-CN"/>
        </w:rPr>
        <w:t>48.65</w:t>
      </w:r>
      <w:r>
        <w:rPr>
          <w:rFonts w:hint="default" w:ascii="Times New Roman" w:hAnsi="Times New Roman" w:cs="Times New Roman"/>
          <w:color w:val="auto"/>
          <w:kern w:val="0"/>
          <w:sz w:val="24"/>
          <w:szCs w:val="24"/>
          <w:highlight w:val="none"/>
          <w:lang w:val="en-US" w:eastAsia="zh-CN"/>
        </w:rPr>
        <w:t>hm</w:t>
      </w:r>
      <w:r>
        <w:rPr>
          <w:rFonts w:hint="default" w:ascii="Times New Roman" w:hAnsi="Times New Roman" w:cs="Times New Roman"/>
          <w:color w:val="auto"/>
          <w:kern w:val="0"/>
          <w:sz w:val="24"/>
          <w:szCs w:val="24"/>
          <w:highlight w:val="none"/>
          <w:vertAlign w:val="superscript"/>
          <w:lang w:val="en-US" w:eastAsia="zh-CN"/>
        </w:rPr>
        <w:t>2</w:t>
      </w:r>
      <w:r>
        <w:rPr>
          <w:rFonts w:hint="default" w:ascii="Times New Roman" w:hAnsi="Times New Roman" w:cs="Times New Roman"/>
          <w:color w:val="auto"/>
          <w:kern w:val="0"/>
          <w:sz w:val="24"/>
          <w:szCs w:val="24"/>
          <w:highlight w:val="none"/>
          <w:lang w:val="en-US" w:eastAsia="zh-CN"/>
        </w:rPr>
        <w:t>，占地类型为林地、草地、交通用地。</w:t>
      </w:r>
    </w:p>
    <w:p w14:paraId="6B700F94">
      <w:pPr>
        <w:pStyle w:val="30"/>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sz w:val="24"/>
          <w:szCs w:val="24"/>
          <w:highlight w:val="none"/>
        </w:rPr>
        <w:t>风电机组包括风机机组、箱式变压器及风机机组的安装场地，其中风机及箱变基础占地</w:t>
      </w:r>
      <w:r>
        <w:rPr>
          <w:rFonts w:hint="eastAsia" w:ascii="Times New Roman" w:hAnsi="Times New Roman" w:cs="Times New Roman"/>
          <w:color w:val="auto"/>
          <w:sz w:val="24"/>
          <w:szCs w:val="24"/>
          <w:highlight w:val="none"/>
          <w:lang w:val="en-US" w:eastAsia="zh-CN"/>
        </w:rPr>
        <w:t>0.73</w:t>
      </w:r>
      <w:r>
        <w:rPr>
          <w:rFonts w:hint="default" w:ascii="Times New Roman" w:hAnsi="Times New Roman" w:cs="Times New Roman"/>
          <w:color w:val="auto"/>
          <w:sz w:val="24"/>
          <w:szCs w:val="24"/>
          <w:highlight w:val="none"/>
        </w:rPr>
        <w:t>hm</w:t>
      </w:r>
      <w:r>
        <w:rPr>
          <w:rFonts w:hint="default" w:ascii="Times New Roman" w:hAnsi="Times New Roman" w:cs="Times New Roman"/>
          <w:color w:val="auto"/>
          <w:sz w:val="24"/>
          <w:szCs w:val="24"/>
          <w:highlight w:val="none"/>
          <w:vertAlign w:val="superscript"/>
        </w:rPr>
        <w:t>2</w:t>
      </w:r>
      <w:r>
        <w:rPr>
          <w:rFonts w:hint="default" w:ascii="Times New Roman" w:hAnsi="Times New Roman" w:cs="Times New Roman"/>
          <w:color w:val="auto"/>
          <w:sz w:val="24"/>
          <w:szCs w:val="24"/>
          <w:highlight w:val="none"/>
        </w:rPr>
        <w:t>/</w:t>
      </w:r>
      <w:r>
        <w:rPr>
          <w:rFonts w:hint="eastAsia" w:ascii="Times New Roman" w:hAnsi="Times New Roman" w:cs="Times New Roman"/>
          <w:color w:val="auto"/>
          <w:sz w:val="24"/>
          <w:szCs w:val="24"/>
          <w:highlight w:val="none"/>
          <w:lang w:val="en-US" w:eastAsia="zh-CN"/>
        </w:rPr>
        <w:t>20</w:t>
      </w:r>
      <w:r>
        <w:rPr>
          <w:rFonts w:hint="default" w:ascii="Times New Roman" w:hAnsi="Times New Roman" w:cs="Times New Roman"/>
          <w:color w:val="auto"/>
          <w:sz w:val="24"/>
          <w:szCs w:val="24"/>
          <w:highlight w:val="none"/>
        </w:rPr>
        <w:t>台，风机安装平台占地</w:t>
      </w:r>
      <w:r>
        <w:rPr>
          <w:rFonts w:hint="eastAsia" w:ascii="Times New Roman" w:hAnsi="Times New Roman" w:cs="Times New Roman"/>
          <w:color w:val="auto"/>
          <w:sz w:val="24"/>
          <w:szCs w:val="24"/>
          <w:highlight w:val="none"/>
          <w:lang w:val="en-US" w:eastAsia="zh-CN"/>
        </w:rPr>
        <w:t>4.99</w:t>
      </w:r>
      <w:r>
        <w:rPr>
          <w:rFonts w:hint="default" w:ascii="Times New Roman" w:hAnsi="Times New Roman" w:cs="Times New Roman"/>
          <w:color w:val="auto"/>
          <w:sz w:val="24"/>
          <w:szCs w:val="24"/>
          <w:highlight w:val="none"/>
        </w:rPr>
        <w:t>hm</w:t>
      </w:r>
      <w:r>
        <w:rPr>
          <w:rFonts w:hint="default" w:ascii="Times New Roman" w:hAnsi="Times New Roman" w:cs="Times New Roman"/>
          <w:color w:val="auto"/>
          <w:sz w:val="24"/>
          <w:szCs w:val="24"/>
          <w:highlight w:val="none"/>
          <w:vertAlign w:val="superscript"/>
        </w:rPr>
        <w:t>2</w:t>
      </w:r>
      <w:r>
        <w:rPr>
          <w:rFonts w:hint="default" w:ascii="Times New Roman" w:hAnsi="Times New Roman" w:cs="Times New Roman"/>
          <w:color w:val="auto"/>
          <w:sz w:val="24"/>
          <w:szCs w:val="24"/>
          <w:highlight w:val="none"/>
        </w:rPr>
        <w:t>/</w:t>
      </w:r>
      <w:r>
        <w:rPr>
          <w:rFonts w:hint="eastAsia" w:ascii="Times New Roman" w:hAnsi="Times New Roman" w:cs="Times New Roman"/>
          <w:color w:val="auto"/>
          <w:sz w:val="24"/>
          <w:szCs w:val="24"/>
          <w:highlight w:val="none"/>
          <w:lang w:val="en-US" w:eastAsia="zh-CN"/>
        </w:rPr>
        <w:t>20</w:t>
      </w:r>
      <w:r>
        <w:rPr>
          <w:rFonts w:hint="default" w:ascii="Times New Roman" w:hAnsi="Times New Roman" w:cs="Times New Roman"/>
          <w:color w:val="auto"/>
          <w:sz w:val="24"/>
          <w:szCs w:val="24"/>
          <w:highlight w:val="none"/>
        </w:rPr>
        <w:t>处。道路工程共计占地34.66hm</w:t>
      </w:r>
      <w:r>
        <w:rPr>
          <w:rFonts w:hint="default" w:ascii="Times New Roman" w:hAnsi="Times New Roman" w:cs="Times New Roman"/>
          <w:color w:val="auto"/>
          <w:sz w:val="24"/>
          <w:szCs w:val="24"/>
          <w:highlight w:val="none"/>
          <w:vertAlign w:val="superscript"/>
        </w:rPr>
        <w:t>2</w:t>
      </w:r>
      <w:r>
        <w:rPr>
          <w:rFonts w:hint="default" w:ascii="Times New Roman" w:hAnsi="Times New Roman" w:cs="Times New Roman"/>
          <w:color w:val="auto"/>
          <w:sz w:val="24"/>
          <w:szCs w:val="24"/>
          <w:highlight w:val="none"/>
        </w:rPr>
        <w:t>/33.86km，其中新建场内道路占地27.00hm</w:t>
      </w:r>
      <w:r>
        <w:rPr>
          <w:rFonts w:hint="default" w:ascii="Times New Roman" w:hAnsi="Times New Roman" w:cs="Times New Roman"/>
          <w:color w:val="auto"/>
          <w:sz w:val="24"/>
          <w:szCs w:val="24"/>
          <w:highlight w:val="none"/>
          <w:vertAlign w:val="superscript"/>
        </w:rPr>
        <w:t>2</w:t>
      </w:r>
      <w:r>
        <w:rPr>
          <w:rFonts w:hint="default" w:ascii="Times New Roman" w:hAnsi="Times New Roman" w:cs="Times New Roman"/>
          <w:color w:val="auto"/>
          <w:sz w:val="24"/>
          <w:szCs w:val="24"/>
          <w:highlight w:val="none"/>
        </w:rPr>
        <w:t>/22.9km（含渣场道路），改造道路占地7.67hm</w:t>
      </w:r>
      <w:r>
        <w:rPr>
          <w:rFonts w:hint="default" w:ascii="Times New Roman" w:hAnsi="Times New Roman" w:cs="Times New Roman"/>
          <w:color w:val="auto"/>
          <w:sz w:val="24"/>
          <w:szCs w:val="24"/>
          <w:highlight w:val="none"/>
          <w:vertAlign w:val="superscript"/>
        </w:rPr>
        <w:t>2</w:t>
      </w:r>
      <w:r>
        <w:rPr>
          <w:rFonts w:hint="default" w:ascii="Times New Roman" w:hAnsi="Times New Roman" w:cs="Times New Roman"/>
          <w:color w:val="auto"/>
          <w:sz w:val="24"/>
          <w:szCs w:val="24"/>
          <w:highlight w:val="none"/>
        </w:rPr>
        <w:t>/10.95km（现有村道和机耕道）。本工程风电场区共分5组集电线路接入大马风电场（一期）110kV升压站（本项目不再新建升压站）。集电线路采用35kV直埋电缆敷设，集电线路直埋电缆长度为35.99km/3.60hm</w:t>
      </w:r>
      <w:r>
        <w:rPr>
          <w:rFonts w:hint="default" w:ascii="Times New Roman" w:hAnsi="Times New Roman" w:cs="Times New Roman"/>
          <w:color w:val="auto"/>
          <w:sz w:val="24"/>
          <w:szCs w:val="24"/>
          <w:highlight w:val="none"/>
          <w:vertAlign w:val="superscript"/>
        </w:rPr>
        <w:t>2</w:t>
      </w:r>
      <w:r>
        <w:rPr>
          <w:rFonts w:hint="default" w:ascii="Times New Roman" w:hAnsi="Times New Roman" w:cs="Times New Roman"/>
          <w:color w:val="auto"/>
          <w:sz w:val="24"/>
          <w:szCs w:val="24"/>
          <w:highlight w:val="none"/>
        </w:rPr>
        <w:t>。设置弃渣场5.4hm</w:t>
      </w:r>
      <w:r>
        <w:rPr>
          <w:rFonts w:hint="default" w:ascii="Times New Roman" w:hAnsi="Times New Roman" w:cs="Times New Roman"/>
          <w:color w:val="auto"/>
          <w:sz w:val="24"/>
          <w:szCs w:val="24"/>
          <w:highlight w:val="none"/>
          <w:vertAlign w:val="superscript"/>
        </w:rPr>
        <w:t>2</w:t>
      </w:r>
      <w:r>
        <w:rPr>
          <w:rFonts w:hint="default" w:ascii="Times New Roman" w:hAnsi="Times New Roman" w:cs="Times New Roman"/>
          <w:color w:val="auto"/>
          <w:sz w:val="24"/>
          <w:szCs w:val="24"/>
          <w:highlight w:val="none"/>
        </w:rPr>
        <w:t>/12处</w:t>
      </w:r>
      <w:r>
        <w:rPr>
          <w:rFonts w:hint="eastAsia" w:ascii="Times New Roman" w:hAnsi="Times New Roman" w:cs="Times New Roman"/>
          <w:color w:val="auto"/>
          <w:sz w:val="24"/>
          <w:szCs w:val="24"/>
          <w:highlight w:val="none"/>
          <w:lang w:eastAsia="zh-CN"/>
        </w:rPr>
        <w:t>；</w:t>
      </w:r>
      <w:r>
        <w:rPr>
          <w:rFonts w:hint="default" w:ascii="Times New Roman" w:hAnsi="Times New Roman" w:cs="Times New Roman"/>
          <w:color w:val="auto"/>
          <w:sz w:val="24"/>
          <w:szCs w:val="24"/>
          <w:highlight w:val="none"/>
        </w:rPr>
        <w:t>施工临建区</w:t>
      </w:r>
      <w:r>
        <w:rPr>
          <w:rFonts w:hint="eastAsia" w:ascii="Times New Roman" w:hAnsi="Times New Roman" w:cs="Times New Roman"/>
          <w:color w:val="auto"/>
          <w:sz w:val="24"/>
          <w:szCs w:val="24"/>
          <w:highlight w:val="none"/>
          <w:lang w:eastAsia="zh-CN"/>
        </w:rPr>
        <w:t>利用现有升压站及新建的风机安装平台，施工人员住宿租用山脚下民房，不新增占地</w:t>
      </w:r>
      <w:r>
        <w:rPr>
          <w:rFonts w:hint="default" w:ascii="Times New Roman" w:hAnsi="Times New Roman" w:cs="Times New Roman"/>
          <w:color w:val="auto"/>
          <w:sz w:val="24"/>
          <w:szCs w:val="24"/>
          <w:highlight w:val="none"/>
        </w:rPr>
        <w:t>。</w:t>
      </w:r>
    </w:p>
    <w:p w14:paraId="2905C44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本工程风电场区共分5组集电线路接入大马风电场110kV升压站。已建成的大马风电场升压站围墙内占地面积为6006.00m</w:t>
      </w:r>
      <w:r>
        <w:rPr>
          <w:rFonts w:hint="default" w:ascii="Times New Roman" w:hAnsi="Times New Roman" w:cs="Times New Roman"/>
          <w:color w:val="auto"/>
          <w:kern w:val="0"/>
          <w:sz w:val="24"/>
          <w:szCs w:val="24"/>
          <w:highlight w:val="none"/>
          <w:vertAlign w:val="superscript"/>
          <w:lang w:val="en-US" w:eastAsia="zh-CN"/>
        </w:rPr>
        <w:t>2</w:t>
      </w:r>
      <w:r>
        <w:rPr>
          <w:rFonts w:hint="default" w:ascii="Times New Roman" w:hAnsi="Times New Roman" w:cs="Times New Roman"/>
          <w:color w:val="auto"/>
          <w:kern w:val="0"/>
          <w:sz w:val="24"/>
          <w:szCs w:val="24"/>
          <w:highlight w:val="none"/>
          <w:lang w:val="en-US" w:eastAsia="zh-CN"/>
        </w:rPr>
        <w:t>，升压站内综合楼、设备楼、附属用房等建筑物已满足生产生活需要，不需要扩建。仅需对升压站内主变基础、无功补偿基础、构架等变配电设备基础进行扩建</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在升压站内本期工程需新增1台100MVA的主变、1个110kV主变进线间隔，建设2段35kV母线，设置4回集电线路、2套无功补偿装置、1套接地变等。</w:t>
      </w:r>
    </w:p>
    <w:p w14:paraId="331D6C0E">
      <w:pPr>
        <w:bidi w:val="0"/>
        <w:rPr>
          <w:rFonts w:ascii="Times New Roman" w:hAnsi="Times New Roman" w:eastAsia="宋体" w:cs="Times New Roman"/>
          <w:color w:val="auto"/>
          <w:highlight w:val="none"/>
        </w:rPr>
      </w:pPr>
    </w:p>
    <w:p w14:paraId="73606511">
      <w:pPr>
        <w:pStyle w:val="4"/>
        <w:bidi w:val="0"/>
        <w:rPr>
          <w:rFonts w:hint="default" w:ascii="Times New Roman" w:hAnsi="Times New Roman" w:cs="Times New Roman"/>
          <w:color w:val="auto"/>
          <w:highlight w:val="none"/>
        </w:rPr>
      </w:pPr>
      <w:bookmarkStart w:id="127" w:name="_Toc8813"/>
      <w:r>
        <w:rPr>
          <w:rFonts w:hint="eastAsia" w:cs="Times New Roman"/>
          <w:color w:val="auto"/>
          <w:highlight w:val="none"/>
          <w:lang w:eastAsia="zh-CN"/>
        </w:rPr>
        <w:t>环境现状评价结论</w:t>
      </w:r>
      <w:bookmarkEnd w:id="127"/>
    </w:p>
    <w:p w14:paraId="23E553AE">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生态环境现状</w:t>
      </w:r>
    </w:p>
    <w:p w14:paraId="37E42E0A">
      <w:pPr>
        <w:bidi w:val="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rPr>
        <w:t>评价区内自然植被划分为3个植被型组、5个植被型、13个群系,</w:t>
      </w:r>
      <w:r>
        <w:rPr>
          <w:rFonts w:hint="eastAsia" w:cs="Times New Roman"/>
          <w:color w:val="auto"/>
          <w:highlight w:val="none"/>
          <w:lang w:eastAsia="zh-CN"/>
        </w:rPr>
        <w:t>调查未发现重点保护野生植物和古树名木</w:t>
      </w:r>
      <w:r>
        <w:rPr>
          <w:rFonts w:hint="eastAsia" w:ascii="Times New Roman" w:hAnsi="Times New Roman" w:eastAsia="宋体" w:cs="Times New Roman"/>
          <w:color w:val="auto"/>
          <w:highlight w:val="none"/>
        </w:rPr>
        <w:t>;分布的陆生脊椎动物有4纲19目54科140种：两栖类有1目4科9种；爬行类有1目7科17种；鸟类14目35科76种；哺乳类有6目9科15种。评价区未调查到国家Ⅰ级重点保护野生动物分布，国家Ⅱ级重点保护野生动物9种：虎纹蛙、红隼、松雀鹰、普通鵟、蛇雕、领角鸮、斑头鸺鹠、小鸦鹃和画眉；湖南省重点保护动物86种。</w:t>
      </w:r>
    </w:p>
    <w:p w14:paraId="3FEE2E93">
      <w:pPr>
        <w:bidi w:val="0"/>
        <w:rPr>
          <w:rFonts w:ascii="Times New Roman" w:hAnsi="Times New Roman" w:eastAsia="宋体" w:cs="Times New Roman"/>
          <w:color w:val="auto"/>
          <w:highlight w:val="none"/>
        </w:rPr>
      </w:pPr>
      <w:r>
        <w:rPr>
          <w:rFonts w:hint="eastAsia" w:ascii="Times New Roman" w:hAnsi="Times New Roman" w:eastAsia="宋体" w:cs="Times New Roman"/>
          <w:color w:val="auto"/>
          <w:highlight w:val="none"/>
        </w:rPr>
        <w:t>距离评价区最近的生态敏感区为湖南衡阳三阳自然保护区，该自然保护区为衡阳县县级自然保护区，保护区内有三阳国有林场，主要保护内容为区内的森林生态系统，区内主要有杉木林、马尾松林及毛竹林分布，其生态系统类型及保护物种与本工程类似。本工程位于衡阳三阳自然保护区的西面，靠近保护区的16#、17#、19#风机，大致沿山脊线的西南坡布设，与保护区之间有山脊线相隔。</w:t>
      </w:r>
    </w:p>
    <w:p w14:paraId="63493504">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地表水环境现状</w:t>
      </w:r>
    </w:p>
    <w:p w14:paraId="2497D611">
      <w:pPr>
        <w:bidi w:val="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rPr>
        <w:t>与项目有关的主要地表水为寿岭冲水库、双江口小溪及车壁塘河，从地表水现状监测结果可以看出，监测断面各项监测因子均能满足《地表水环境质量标准》（GB3838-2002）Ⅲ类水质标准。</w:t>
      </w:r>
    </w:p>
    <w:p w14:paraId="4ACBF29D">
      <w:pPr>
        <w:bidi w:val="0"/>
        <w:rPr>
          <w:rFonts w:ascii="Times New Roman" w:hAnsi="Times New Roman" w:eastAsia="宋体" w:cs="Times New Roman"/>
          <w:color w:val="auto"/>
          <w:highlight w:val="none"/>
        </w:rPr>
      </w:pPr>
      <w:r>
        <w:rPr>
          <w:rFonts w:hint="eastAsia" w:ascii="Times New Roman" w:hAnsi="Times New Roman" w:eastAsia="宋体" w:cs="Times New Roman"/>
          <w:color w:val="auto"/>
          <w:highlight w:val="none"/>
        </w:rPr>
        <w:t>其中寿岭冲水库富营养化综合指数为43.84，处于中营养状态，水质定性评价为“良好”。</w:t>
      </w:r>
    </w:p>
    <w:p w14:paraId="765E8916">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大气环境环境现状</w:t>
      </w:r>
    </w:p>
    <w:p w14:paraId="7B68C70C">
      <w:pPr>
        <w:bidi w:val="0"/>
        <w:rPr>
          <w:rFonts w:ascii="Times New Roman" w:hAnsi="Times New Roman" w:eastAsia="宋体" w:cs="Times New Roman"/>
          <w:color w:val="auto"/>
          <w:highlight w:val="none"/>
        </w:rPr>
      </w:pPr>
      <w:r>
        <w:rPr>
          <w:rFonts w:hint="eastAsia" w:ascii="Times New Roman" w:hAnsi="Times New Roman" w:eastAsia="宋体" w:cs="Times New Roman"/>
          <w:color w:val="auto"/>
          <w:highlight w:val="none"/>
        </w:rPr>
        <w:t>项目所在区域2022年环境空气质量为达标区。根据补充监测结果可知，项目拟建地NOx、TSP环境空气质量现状均可满足《环境空气质量标准》（GB3095-2012）及2018年修改单标准要求。</w:t>
      </w:r>
    </w:p>
    <w:p w14:paraId="0855D9E7">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声环境质量现状</w:t>
      </w:r>
    </w:p>
    <w:p w14:paraId="68A4E099">
      <w:pPr>
        <w:bidi w:val="0"/>
        <w:rPr>
          <w:rFonts w:ascii="Times New Roman" w:hAnsi="Times New Roman" w:eastAsia="宋体" w:cs="Times New Roman"/>
          <w:color w:val="auto"/>
          <w:highlight w:val="none"/>
        </w:rPr>
      </w:pPr>
      <w:r>
        <w:rPr>
          <w:rFonts w:hint="eastAsia" w:ascii="Times New Roman" w:hAnsi="Times New Roman" w:eastAsia="宋体" w:cs="Times New Roman"/>
          <w:color w:val="auto"/>
          <w:highlight w:val="none"/>
        </w:rPr>
        <w:t>本次环评委托长沙瑾瑶环保科技有限公司于2023年7月7日对项目所在区域的声环境质量数据监测。监测期间评价范围内昼夜间声环境质量均能达到《声环境质量标准》（GB3096-2008）2类标准。</w:t>
      </w:r>
    </w:p>
    <w:p w14:paraId="4602C0D0">
      <w:pPr>
        <w:pStyle w:val="5"/>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电磁环境质量现状</w:t>
      </w:r>
    </w:p>
    <w:p w14:paraId="305887B8">
      <w:pPr>
        <w:bidi w:val="0"/>
        <w:rPr>
          <w:rFonts w:hint="eastAsia" w:ascii="Times New Roman" w:hAnsi="Times New Roman" w:eastAsia="宋体" w:cs="Times New Roman"/>
          <w:color w:val="auto"/>
          <w:highlight w:val="none"/>
        </w:rPr>
      </w:pPr>
      <w:r>
        <w:rPr>
          <w:rFonts w:hint="eastAsia" w:ascii="Times New Roman" w:hAnsi="Times New Roman" w:eastAsia="宋体" w:cs="Times New Roman"/>
          <w:color w:val="auto"/>
          <w:highlight w:val="none"/>
        </w:rPr>
        <w:t>本项目依托已建大马风电场110kV升压站，升压站电磁辐射质量现状采用大马风电场升压站2021年4月2日电磁辐射验收监测数据。现场检测结果可知：现有110kV升压站工频电场强度满足《电磁环境控制限值》（GB8702-2014）中标准限值4000V/m的要求；工频磁感应强度满足《电磁环境控制限值》（GB8702-2014）中标准限值100μT的要求。</w:t>
      </w:r>
    </w:p>
    <w:p w14:paraId="2F583886">
      <w:pPr>
        <w:pStyle w:val="4"/>
        <w:bidi w:val="0"/>
        <w:rPr>
          <w:rFonts w:hint="default" w:ascii="Times New Roman" w:hAnsi="Times New Roman" w:cs="Times New Roman"/>
          <w:color w:val="auto"/>
          <w:highlight w:val="none"/>
        </w:rPr>
      </w:pPr>
      <w:bookmarkStart w:id="128" w:name="_Toc14630"/>
      <w:r>
        <w:rPr>
          <w:rFonts w:hint="eastAsia" w:cs="Times New Roman"/>
          <w:color w:val="auto"/>
          <w:highlight w:val="none"/>
          <w:lang w:eastAsia="zh-CN"/>
        </w:rPr>
        <w:t>环境可行性分析结论</w:t>
      </w:r>
      <w:bookmarkEnd w:id="128"/>
    </w:p>
    <w:p w14:paraId="698A1427">
      <w:pPr>
        <w:bidi w:val="0"/>
        <w:rPr>
          <w:rFonts w:ascii="Times New Roman" w:hAnsi="Times New Roman" w:eastAsia="宋体" w:cs="Times New Roman"/>
          <w:color w:val="auto"/>
          <w:highlight w:val="none"/>
        </w:rPr>
      </w:pPr>
      <w:r>
        <w:rPr>
          <w:rFonts w:hint="eastAsia" w:ascii="Times New Roman" w:hAnsi="Times New Roman" w:eastAsia="宋体" w:cs="Times New Roman"/>
          <w:color w:val="auto"/>
          <w:highlight w:val="none"/>
        </w:rPr>
        <w:t>南冲风电场（大马二期）工程已取得用地预审和选址意见，本工程不涉及湖南省生态保护红线，根据《祁东县国土空间总体规划（2021-2035年）》，本项目已纳入祁东县国土空间总体规划，属于祁东县国土空间总体规划中重点建设项目；祁东县林业局、祁东县水利局、衡阳市生态环境局祁东分局、祁东县人民武装部、祁东县文化遗产事务中心均出具了相应的审核意见，同意本项目建设；本项目不占用自然保护区、风景名胜区、世界文化或自然遗产地、森林公园、地质公园、重要湿地、文物保护单位、饮用水源保护区等敏感区，不涉及鸟类主要迁徙通道。根据湖南省自然资源厅关于《祁东县南冲风电场（大马二期）建设项目压覆重要矿产资源查询情况的说明》，建设项目查询范围与矿产资源总体规划规划区块、矿业权、矿产地无重叠，未压覆重要矿产资源。</w:t>
      </w:r>
    </w:p>
    <w:p w14:paraId="0B250568">
      <w:pPr>
        <w:pStyle w:val="4"/>
        <w:bidi w:val="0"/>
        <w:rPr>
          <w:rFonts w:hint="default" w:ascii="Times New Roman" w:hAnsi="Times New Roman" w:cs="Times New Roman"/>
          <w:color w:val="auto"/>
          <w:highlight w:val="none"/>
        </w:rPr>
      </w:pPr>
      <w:bookmarkStart w:id="129" w:name="_Toc176"/>
      <w:r>
        <w:rPr>
          <w:rFonts w:hint="eastAsia" w:cs="Times New Roman"/>
          <w:color w:val="auto"/>
          <w:highlight w:val="none"/>
          <w:lang w:eastAsia="zh-CN"/>
        </w:rPr>
        <w:t>环保投资</w:t>
      </w:r>
      <w:bookmarkEnd w:id="129"/>
    </w:p>
    <w:p w14:paraId="71185595">
      <w:pPr>
        <w:bidi w:val="0"/>
        <w:rPr>
          <w:rFonts w:ascii="Times New Roman" w:hAnsi="Times New Roman" w:eastAsia="宋体" w:cs="Times New Roman"/>
          <w:color w:val="auto"/>
          <w:highlight w:val="none"/>
        </w:rPr>
      </w:pPr>
      <w:r>
        <w:rPr>
          <w:rFonts w:hint="eastAsia"/>
          <w:color w:val="auto"/>
          <w:sz w:val="24"/>
          <w:highlight w:val="none"/>
        </w:rPr>
        <w:t>项目环保投资主要包括：生态防护和恢复、环境空气保护、水环境保护、噪声防治、固体废弃物处置等投资。本项目总投资</w:t>
      </w:r>
      <w:r>
        <w:rPr>
          <w:rFonts w:hint="eastAsia"/>
          <w:color w:val="auto"/>
          <w:sz w:val="24"/>
          <w:highlight w:val="none"/>
          <w:lang w:val="en-US" w:eastAsia="zh-CN"/>
        </w:rPr>
        <w:t>74321</w:t>
      </w:r>
      <w:r>
        <w:rPr>
          <w:rFonts w:hint="eastAsia"/>
          <w:color w:val="auto"/>
          <w:sz w:val="24"/>
          <w:highlight w:val="none"/>
        </w:rPr>
        <w:t>万元，</w:t>
      </w:r>
      <w:r>
        <w:rPr>
          <w:rFonts w:hint="eastAsia"/>
          <w:color w:val="auto"/>
          <w:sz w:val="24"/>
          <w:highlight w:val="none"/>
          <w:u w:val="none"/>
        </w:rPr>
        <w:t>环保投资</w:t>
      </w:r>
      <w:r>
        <w:rPr>
          <w:rFonts w:hint="eastAsia"/>
          <w:color w:val="auto"/>
          <w:sz w:val="24"/>
          <w:highlight w:val="none"/>
          <w:u w:val="none"/>
          <w:lang w:val="en-US" w:eastAsia="zh-CN"/>
        </w:rPr>
        <w:t>3186.45</w:t>
      </w:r>
      <w:r>
        <w:rPr>
          <w:rFonts w:hint="eastAsia"/>
          <w:color w:val="auto"/>
          <w:sz w:val="24"/>
          <w:highlight w:val="none"/>
          <w:u w:val="none"/>
        </w:rPr>
        <w:t>万元，环保投资占总投资</w:t>
      </w:r>
      <w:r>
        <w:rPr>
          <w:rFonts w:hint="eastAsia"/>
          <w:color w:val="auto"/>
          <w:sz w:val="24"/>
          <w:highlight w:val="none"/>
          <w:u w:val="none"/>
          <w:lang w:val="en-US" w:eastAsia="zh-CN"/>
        </w:rPr>
        <w:t>4.3</w:t>
      </w:r>
      <w:r>
        <w:rPr>
          <w:rFonts w:hint="eastAsia"/>
          <w:color w:val="auto"/>
          <w:sz w:val="24"/>
          <w:highlight w:val="none"/>
          <w:u w:val="none"/>
        </w:rPr>
        <w:t>%。</w:t>
      </w:r>
    </w:p>
    <w:p w14:paraId="739E8366">
      <w:pPr>
        <w:pStyle w:val="4"/>
        <w:bidi w:val="0"/>
        <w:rPr>
          <w:rFonts w:hint="default" w:ascii="Times New Roman" w:hAnsi="Times New Roman" w:cs="Times New Roman"/>
          <w:color w:val="auto"/>
          <w:highlight w:val="none"/>
        </w:rPr>
      </w:pPr>
      <w:bookmarkStart w:id="130" w:name="_Toc14244"/>
      <w:r>
        <w:rPr>
          <w:rFonts w:hint="eastAsia" w:cs="Times New Roman"/>
          <w:color w:val="auto"/>
          <w:highlight w:val="none"/>
          <w:lang w:eastAsia="zh-CN"/>
        </w:rPr>
        <w:t>公众参与结论</w:t>
      </w:r>
      <w:bookmarkEnd w:id="130"/>
    </w:p>
    <w:p w14:paraId="4DEADAD1">
      <w:pPr>
        <w:pStyle w:val="37"/>
        <w:adjustRightInd w:val="0"/>
        <w:snapToGrid w:val="0"/>
        <w:rPr>
          <w:rFonts w:ascii="Times New Roman" w:hAnsi="Times New Roman" w:eastAsia="宋体" w:cs="Times New Roman"/>
          <w:color w:val="auto"/>
          <w:highlight w:val="none"/>
        </w:rPr>
      </w:pPr>
      <w:r>
        <w:rPr>
          <w:rStyle w:val="22"/>
          <w:rFonts w:hint="default" w:ascii="Times New Roman" w:hAnsi="Times New Roman" w:cs="Times New Roman"/>
          <w:color w:val="auto"/>
          <w:sz w:val="24"/>
          <w:szCs w:val="24"/>
          <w:highlight w:val="none"/>
          <w:lang w:eastAsia="zh-CN"/>
        </w:rPr>
        <w:t>建设单位根据生态环境部环发[2018]4号文《环境影响评价公众参与办法》的相关规定和要求，在评价范围内，以</w:t>
      </w:r>
      <w:r>
        <w:rPr>
          <w:rStyle w:val="22"/>
          <w:rFonts w:hint="eastAsia" w:cs="Times New Roman"/>
          <w:color w:val="auto"/>
          <w:sz w:val="24"/>
          <w:szCs w:val="24"/>
          <w:highlight w:val="none"/>
          <w:lang w:eastAsia="zh-CN"/>
        </w:rPr>
        <w:t>网络</w:t>
      </w:r>
      <w:r>
        <w:rPr>
          <w:rStyle w:val="22"/>
          <w:rFonts w:hint="default" w:ascii="Times New Roman" w:hAnsi="Times New Roman" w:cs="Times New Roman"/>
          <w:color w:val="auto"/>
          <w:sz w:val="24"/>
          <w:szCs w:val="24"/>
          <w:highlight w:val="none"/>
          <w:lang w:eastAsia="zh-CN"/>
        </w:rPr>
        <w:t>公示、</w:t>
      </w:r>
      <w:r>
        <w:rPr>
          <w:rStyle w:val="22"/>
          <w:rFonts w:hint="eastAsia" w:cs="Times New Roman"/>
          <w:color w:val="auto"/>
          <w:sz w:val="24"/>
          <w:szCs w:val="24"/>
          <w:highlight w:val="none"/>
          <w:lang w:eastAsia="zh-CN"/>
        </w:rPr>
        <w:t>现场公示及</w:t>
      </w:r>
      <w:r>
        <w:rPr>
          <w:rStyle w:val="22"/>
          <w:rFonts w:hint="default" w:ascii="Times New Roman" w:hAnsi="Times New Roman" w:cs="Times New Roman"/>
          <w:color w:val="auto"/>
          <w:sz w:val="24"/>
          <w:szCs w:val="24"/>
          <w:highlight w:val="none"/>
          <w:lang w:eastAsia="zh-CN"/>
        </w:rPr>
        <w:t>报纸公示等形式进行了环境影响信息公开。在</w:t>
      </w:r>
      <w:r>
        <w:rPr>
          <w:rStyle w:val="22"/>
          <w:rFonts w:hint="eastAsia" w:cs="Times New Roman"/>
          <w:color w:val="auto"/>
          <w:sz w:val="24"/>
          <w:szCs w:val="24"/>
          <w:highlight w:val="none"/>
          <w:lang w:eastAsia="zh-CN"/>
        </w:rPr>
        <w:t>公示</w:t>
      </w:r>
      <w:r>
        <w:rPr>
          <w:rStyle w:val="22"/>
          <w:rFonts w:hint="default" w:ascii="Times New Roman" w:hAnsi="Times New Roman" w:cs="Times New Roman"/>
          <w:color w:val="auto"/>
          <w:sz w:val="24"/>
          <w:szCs w:val="24"/>
          <w:highlight w:val="none"/>
          <w:lang w:eastAsia="zh-CN"/>
        </w:rPr>
        <w:t>期间，未收到公众反馈意见。</w:t>
      </w:r>
    </w:p>
    <w:p w14:paraId="657FDED9">
      <w:pPr>
        <w:pStyle w:val="4"/>
        <w:bidi w:val="0"/>
        <w:rPr>
          <w:rFonts w:hint="default" w:ascii="Times New Roman" w:hAnsi="Times New Roman" w:cs="Times New Roman"/>
          <w:color w:val="auto"/>
          <w:highlight w:val="none"/>
        </w:rPr>
      </w:pPr>
      <w:bookmarkStart w:id="131" w:name="_Toc6145"/>
      <w:r>
        <w:rPr>
          <w:rFonts w:hint="eastAsia" w:cs="Times New Roman"/>
          <w:color w:val="auto"/>
          <w:highlight w:val="none"/>
          <w:lang w:eastAsia="zh-CN"/>
        </w:rPr>
        <w:t>综合结论</w:t>
      </w:r>
      <w:bookmarkEnd w:id="131"/>
    </w:p>
    <w:p w14:paraId="6595BDAA">
      <w:pPr>
        <w:spacing w:line="360" w:lineRule="auto"/>
        <w:ind w:firstLine="480" w:firstLineChars="200"/>
        <w:rPr>
          <w:color w:val="auto"/>
          <w:sz w:val="24"/>
          <w:highlight w:val="none"/>
        </w:rPr>
      </w:pPr>
      <w:r>
        <w:rPr>
          <w:rFonts w:hint="eastAsia"/>
          <w:color w:val="auto"/>
          <w:sz w:val="24"/>
          <w:highlight w:val="none"/>
        </w:rPr>
        <w:t>祁东县南冲风电场（大马二期）工程</w:t>
      </w:r>
      <w:r>
        <w:rPr>
          <w:color w:val="auto"/>
          <w:sz w:val="24"/>
          <w:highlight w:val="none"/>
        </w:rPr>
        <w:t>符合国家和地方相关产业政策；选址符合当地规划，平面布局合理。通过对该项目的工程分析、污染因素分析，在采取环评提出的污染控制措施的基础上，项目对环境的影响较小。本项目从环境保护的角度分析是可行的。</w:t>
      </w:r>
    </w:p>
    <w:p w14:paraId="4902C33E">
      <w:pPr>
        <w:spacing w:line="360" w:lineRule="auto"/>
        <w:ind w:firstLine="480" w:firstLineChars="200"/>
        <w:rPr>
          <w:rFonts w:ascii="Times New Roman" w:hAnsi="Times New Roman" w:eastAsia="宋体" w:cs="Times New Roman"/>
          <w:color w:val="auto"/>
          <w:highlight w:val="none"/>
        </w:rPr>
      </w:pPr>
      <w:r>
        <w:rPr>
          <w:color w:val="auto"/>
          <w:sz w:val="24"/>
          <w:highlight w:val="none"/>
        </w:rPr>
        <w:t>建设单位应严格按照环评提出的要求，切实落实相应的污染防治对策及生态保护措施，严格执行建设项目竣工环境保护验收，并加强环保设施管理和维护，确保环保设施的正常高效运行，减缓项目建设对环境带来的不利影响，使工程建设与环境保护协调发展</w:t>
      </w:r>
      <w:r>
        <w:rPr>
          <w:rFonts w:hint="eastAsia"/>
          <w:color w:val="auto"/>
          <w:sz w:val="24"/>
          <w:highlight w:val="none"/>
        </w:rPr>
        <w:t>。</w:t>
      </w:r>
    </w:p>
    <w:p w14:paraId="30324013">
      <w:pPr>
        <w:pStyle w:val="4"/>
        <w:bidi w:val="0"/>
        <w:rPr>
          <w:rFonts w:hint="default" w:ascii="Times New Roman" w:hAnsi="Times New Roman" w:cs="Times New Roman"/>
          <w:color w:val="auto"/>
          <w:highlight w:val="none"/>
        </w:rPr>
      </w:pPr>
      <w:bookmarkStart w:id="132" w:name="_Toc7537"/>
      <w:r>
        <w:rPr>
          <w:rFonts w:hint="eastAsia" w:cs="Times New Roman"/>
          <w:color w:val="auto"/>
          <w:highlight w:val="none"/>
          <w:lang w:eastAsia="zh-CN"/>
        </w:rPr>
        <w:t>评价建议</w:t>
      </w:r>
      <w:bookmarkEnd w:id="132"/>
    </w:p>
    <w:p w14:paraId="3FA3FA91">
      <w:pPr>
        <w:spacing w:line="360" w:lineRule="auto"/>
        <w:ind w:firstLine="480" w:firstLineChars="200"/>
        <w:rPr>
          <w:rFonts w:hint="eastAsia"/>
          <w:color w:val="auto"/>
          <w:sz w:val="24"/>
          <w:highlight w:val="none"/>
        </w:rPr>
      </w:pPr>
      <w:r>
        <w:rPr>
          <w:rFonts w:hint="eastAsia"/>
          <w:color w:val="auto"/>
          <w:sz w:val="24"/>
          <w:highlight w:val="none"/>
          <w:lang w:val="en-US" w:eastAsia="zh-CN"/>
        </w:rPr>
        <w:t>1、综合考虑实际环境，后期尽可能优化设计与风机位、道路工程的选址，尤其是</w:t>
      </w:r>
      <w:r>
        <w:rPr>
          <w:rFonts w:hint="eastAsia" w:ascii="Times New Roman" w:hAnsi="Times New Roman" w:cs="Times New Roman"/>
          <w:bCs/>
          <w:color w:val="auto"/>
          <w:sz w:val="24"/>
          <w:szCs w:val="24"/>
          <w:highlight w:val="none"/>
          <w:lang w:val="en-US" w:eastAsia="zh-CN"/>
        </w:rPr>
        <w:t>13#</w:t>
      </w:r>
      <w:r>
        <w:rPr>
          <w:rFonts w:hint="eastAsia" w:cs="Times New Roman"/>
          <w:bCs/>
          <w:color w:val="auto"/>
          <w:sz w:val="24"/>
          <w:szCs w:val="24"/>
          <w:highlight w:val="none"/>
          <w:lang w:val="en-US" w:eastAsia="zh-CN"/>
        </w:rPr>
        <w:t>、</w:t>
      </w:r>
      <w:r>
        <w:rPr>
          <w:rFonts w:hint="eastAsia" w:ascii="Times New Roman" w:hAnsi="Times New Roman" w:cs="Times New Roman"/>
          <w:bCs/>
          <w:color w:val="auto"/>
          <w:sz w:val="24"/>
          <w:szCs w:val="24"/>
          <w:highlight w:val="none"/>
          <w:lang w:val="en-US" w:eastAsia="zh-CN"/>
        </w:rPr>
        <w:t>15#机位</w:t>
      </w:r>
      <w:r>
        <w:rPr>
          <w:rFonts w:hint="eastAsia" w:cs="Times New Roman"/>
          <w:bCs/>
          <w:color w:val="auto"/>
          <w:sz w:val="24"/>
          <w:szCs w:val="24"/>
          <w:highlight w:val="none"/>
          <w:lang w:val="en-US" w:eastAsia="zh-CN"/>
        </w:rPr>
        <w:t>进场</w:t>
      </w:r>
      <w:r>
        <w:rPr>
          <w:rFonts w:hint="eastAsia" w:ascii="Times New Roman" w:hAnsi="Times New Roman" w:cs="Times New Roman"/>
          <w:bCs/>
          <w:color w:val="auto"/>
          <w:sz w:val="24"/>
          <w:szCs w:val="24"/>
          <w:highlight w:val="none"/>
          <w:lang w:val="en-US" w:eastAsia="zh-CN"/>
        </w:rPr>
        <w:t>道路、集电线路工程选址，保护饮用水源；</w:t>
      </w:r>
      <w:r>
        <w:rPr>
          <w:rFonts w:hint="eastAsia"/>
          <w:color w:val="auto"/>
          <w:sz w:val="24"/>
          <w:highlight w:val="none"/>
          <w:lang w:val="en-US" w:eastAsia="zh-CN"/>
        </w:rPr>
        <w:t>减少工程永久占地对林地的破坏，以达到保护林地的目的，最大程度上减少对优势生态系统的破坏。在主体工程和配套设施的设计上要充分考虑与当地的景观相协调性，从工程的外观、造型以及色彩上与周围环境匹配，保护周围的景物、植被、水体和地貌。</w:t>
      </w:r>
    </w:p>
    <w:p w14:paraId="0CC5A1F1">
      <w:pPr>
        <w:spacing w:line="360" w:lineRule="auto"/>
        <w:ind w:firstLine="480" w:firstLineChars="200"/>
        <w:rPr>
          <w:rFonts w:hint="eastAsia"/>
          <w:color w:val="auto"/>
          <w:sz w:val="24"/>
          <w:highlight w:val="none"/>
          <w:lang w:val="en-US" w:eastAsia="zh-CN"/>
        </w:rPr>
      </w:pPr>
      <w:r>
        <w:rPr>
          <w:rFonts w:hint="eastAsia"/>
          <w:color w:val="auto"/>
          <w:sz w:val="24"/>
          <w:highlight w:val="none"/>
          <w:lang w:val="en-US" w:eastAsia="zh-CN"/>
        </w:rPr>
        <w:t>2、NC10机位附近配备驱鸟设施；并加强巡查观测，如候鸟迁徙高峰期、气象条件差的时段有大群候鸟跨越风电场机位区，立即停机。</w:t>
      </w:r>
    </w:p>
    <w:p w14:paraId="5E24650F">
      <w:pPr>
        <w:spacing w:line="360" w:lineRule="auto"/>
        <w:ind w:firstLine="480" w:firstLineChars="200"/>
        <w:rPr>
          <w:rFonts w:hint="eastAsia"/>
          <w:color w:val="auto"/>
          <w:sz w:val="24"/>
          <w:highlight w:val="none"/>
          <w:lang w:val="en-US" w:eastAsia="zh-CN"/>
        </w:rPr>
      </w:pPr>
      <w:r>
        <w:rPr>
          <w:rFonts w:hint="eastAsia"/>
          <w:color w:val="auto"/>
          <w:sz w:val="24"/>
          <w:highlight w:val="none"/>
          <w:lang w:val="en-US" w:eastAsia="zh-CN"/>
        </w:rPr>
        <w:t>3、工程弃渣应堆放在规划的弃渣场，禁止渣土无序就地向周边倾倒，弃土场在土方堆置结束后，应采取排水、稳固、恢复植被措施，以防水土流失。渣土回用时应先划线砌护坡或挡墙，杜绝顺山坡滚落压覆植被和造成水土流失以及景观破坏。每个风机平台坪设临时表土堆放处，表土用于风机台坪复土恢复植被。</w:t>
      </w:r>
    </w:p>
    <w:p w14:paraId="392CA17A">
      <w:pPr>
        <w:spacing w:line="360" w:lineRule="auto"/>
        <w:ind w:firstLine="480" w:firstLineChars="200"/>
        <w:rPr>
          <w:rFonts w:hint="eastAsia"/>
          <w:color w:val="auto"/>
          <w:sz w:val="24"/>
          <w:highlight w:val="none"/>
        </w:rPr>
      </w:pPr>
      <w:r>
        <w:rPr>
          <w:rFonts w:hint="eastAsia"/>
          <w:color w:val="auto"/>
          <w:sz w:val="24"/>
          <w:highlight w:val="none"/>
          <w:lang w:val="en-US" w:eastAsia="zh-CN"/>
        </w:rPr>
        <w:t>4、建设单位在施工过程中必须严格按照环评提出的环境保护措施，加强生态保护与水土流失防治。对道路区、施工区可移栽的树木尽量移栽，对于应保护的古树名木必须采取移植、绕避等保护措施。</w:t>
      </w:r>
    </w:p>
    <w:p w14:paraId="48D5B970">
      <w:pPr>
        <w:spacing w:line="360" w:lineRule="auto"/>
        <w:ind w:firstLine="480" w:firstLineChars="200"/>
        <w:rPr>
          <w:rFonts w:hint="eastAsia"/>
          <w:color w:val="auto"/>
          <w:sz w:val="24"/>
          <w:highlight w:val="none"/>
        </w:rPr>
      </w:pPr>
      <w:r>
        <w:rPr>
          <w:rFonts w:hint="eastAsia"/>
          <w:color w:val="auto"/>
          <w:sz w:val="24"/>
          <w:highlight w:val="none"/>
          <w:lang w:val="en-US" w:eastAsia="zh-CN"/>
        </w:rPr>
        <w:t>5、落实和完善施工期和营运期环保措施。严格执行环境监理制度，做好施工期的环境监理工作，定期向环保部门提交工程环境监理报告。</w:t>
      </w:r>
    </w:p>
    <w:p w14:paraId="6D7B0FD4">
      <w:pPr>
        <w:bidi w:val="0"/>
        <w:rPr>
          <w:color w:val="auto"/>
          <w:highlight w:val="none"/>
        </w:rPr>
      </w:pPr>
      <w:r>
        <w:rPr>
          <w:rFonts w:hint="eastAsia"/>
          <w:color w:val="auto"/>
          <w:sz w:val="24"/>
          <w:highlight w:val="none"/>
          <w:lang w:val="en-US" w:eastAsia="zh-CN"/>
        </w:rPr>
        <w:t>6、因地制宜的选取工程恢复措施使用的植物种类，以使得植被恢复能够尽快与当地背景环境相融合，尽量降低生态功能的破坏。</w:t>
      </w:r>
    </w:p>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新宋体-18030">
    <w:altName w:val="宋体"/>
    <w:panose1 w:val="00000000000000000000"/>
    <w:charset w:val="00"/>
    <w:family w:val="auto"/>
    <w:pitch w:val="default"/>
    <w:sig w:usb0="00000000" w:usb1="00000000" w:usb2="00000000" w:usb3="00000000" w:csb0="00040001" w:csb1="00000000"/>
  </w:font>
  <w:font w:name="仿宋_GB2312">
    <w:panose1 w:val="02010609030101010101"/>
    <w:charset w:val="86"/>
    <w:family w:val="modern"/>
    <w:pitch w:val="default"/>
    <w:sig w:usb0="00000001" w:usb1="080E0000" w:usb2="00000000" w:usb3="00000000" w:csb0="00040000" w:csb1="00000000"/>
  </w:font>
  <w:font w:name="MingLiU">
    <w:altName w:val="PMingLiU-ExtB"/>
    <w:panose1 w:val="02020509000000000000"/>
    <w:charset w:val="88"/>
    <w:family w:val="modern"/>
    <w:pitch w:val="default"/>
    <w:sig w:usb0="00000000" w:usb1="00000000" w:usb2="00000016" w:usb3="00000000" w:csb0="00100001" w:csb1="00000000"/>
  </w:font>
  <w:font w:name="Arial Unicode MS">
    <w:altName w:val="宋体"/>
    <w:panose1 w:val="020B0604020202020204"/>
    <w:charset w:val="86"/>
    <w:family w:val="swiss"/>
    <w:pitch w:val="default"/>
    <w:sig w:usb0="00000000" w:usb1="00000000" w:usb2="0000003F" w:usb3="00000000" w:csb0="603F01FF" w:csb1="FFFF0000"/>
  </w:font>
  <w:font w:name="_x000B__x000C_">
    <w:altName w:val="Times New Roman"/>
    <w:panose1 w:val="00000000000000000000"/>
    <w:charset w:val="00"/>
    <w:family w:val="roman"/>
    <w:pitch w:val="default"/>
    <w:sig w:usb0="00000000" w:usb1="00000000" w:usb2="00000000" w:usb3="00000000" w:csb0="00000001" w:csb1="00000000"/>
  </w:font>
  <w:font w:name="TimesNewRomanPSMT">
    <w:altName w:val="微软雅黑"/>
    <w:panose1 w:val="00000000000000000000"/>
    <w:charset w:val="86"/>
    <w:family w:val="auto"/>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4E29C6">
    <w:pPr>
      <w:pStyle w:val="12"/>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2ECBB68">
                          <w:pPr>
                            <w:pStyle w:val="1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9bQWsy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tBazICAABjBAAADgAAAAAAAAABACAAAAAfAQAAZHJzL2Uyb0RvYy54bWxQSwUG&#10;AAAAAAYABgBZAQAAwwUAAAAA&#10;">
              <v:fill on="f" focussize="0,0"/>
              <v:stroke on="f" weight="0.5pt"/>
              <v:imagedata o:title=""/>
              <o:lock v:ext="edit" aspectratio="f"/>
              <v:textbox inset="0mm,0mm,0mm,0mm" style="mso-fit-shape-to-text:t;">
                <w:txbxContent>
                  <w:p w14:paraId="22ECBB68">
                    <w:pPr>
                      <w:pStyle w:val="1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5BCADE">
    <w:pPr>
      <w:pStyle w:val="1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E5149C">
                          <w:pPr>
                            <w:pStyle w:val="1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6CE5149C">
                    <w:pPr>
                      <w:pStyle w:val="1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3DB93CB"/>
    <w:multiLevelType w:val="singleLevel"/>
    <w:tmpl w:val="93DB93CB"/>
    <w:lvl w:ilvl="0" w:tentative="0">
      <w:start w:val="1"/>
      <w:numFmt w:val="decimal"/>
      <w:suff w:val="nothing"/>
      <w:lvlText w:val="（%1）"/>
      <w:lvlJc w:val="left"/>
    </w:lvl>
  </w:abstractNum>
  <w:abstractNum w:abstractNumId="1">
    <w:nsid w:val="BB44E1F8"/>
    <w:multiLevelType w:val="singleLevel"/>
    <w:tmpl w:val="BB44E1F8"/>
    <w:lvl w:ilvl="0" w:tentative="0">
      <w:start w:val="1"/>
      <w:numFmt w:val="decimal"/>
      <w:suff w:val="nothing"/>
      <w:lvlText w:val="%1、"/>
      <w:lvlJc w:val="left"/>
    </w:lvl>
  </w:abstractNum>
  <w:abstractNum w:abstractNumId="2">
    <w:nsid w:val="C06F145A"/>
    <w:multiLevelType w:val="multilevel"/>
    <w:tmpl w:val="C06F145A"/>
    <w:lvl w:ilvl="0" w:tentative="0">
      <w:start w:val="1"/>
      <w:numFmt w:val="decimal"/>
      <w:isLgl/>
      <w:lvlText w:val="%1."/>
      <w:lvlJc w:val="left"/>
      <w:pPr>
        <w:tabs>
          <w:tab w:val="left" w:pos="0"/>
        </w:tabs>
        <w:ind w:left="0" w:leftChars="0" w:firstLine="0" w:firstLineChars="0"/>
      </w:pPr>
      <w:rPr>
        <w:rFonts w:hint="default" w:ascii="Times New Roman" w:hAnsi="Times New Roman" w:eastAsia="宋体" w:cs="宋体"/>
      </w:rPr>
    </w:lvl>
    <w:lvl w:ilvl="1" w:tentative="0">
      <w:start w:val="1"/>
      <w:numFmt w:val="decimal"/>
      <w:lvlText w:val="%1.%2."/>
      <w:lvlJc w:val="left"/>
      <w:pPr>
        <w:ind w:left="567" w:hanging="567"/>
      </w:pPr>
      <w:rPr>
        <w:rFonts w:hint="default" w:ascii="Times New Roman" w:hAnsi="Times New Roman" w:eastAsia="宋体" w:cs="宋体"/>
      </w:rPr>
    </w:lvl>
    <w:lvl w:ilvl="2" w:tentative="0">
      <w:start w:val="1"/>
      <w:numFmt w:val="decimal"/>
      <w:pStyle w:val="62"/>
      <w:lvlText w:val="%1.%2.%3."/>
      <w:lvlJc w:val="left"/>
      <w:pPr>
        <w:ind w:left="709" w:hanging="709"/>
      </w:pPr>
      <w:rPr>
        <w:rFonts w:hint="default" w:ascii="Times New Roman" w:hAnsi="Times New Roman" w:eastAsia="宋体" w:cs="宋体"/>
      </w:rPr>
    </w:lvl>
    <w:lvl w:ilvl="3" w:tentative="0">
      <w:start w:val="1"/>
      <w:numFmt w:val="decimal"/>
      <w:lvlText w:val="%1.%2.%3.%4."/>
      <w:lvlJc w:val="left"/>
      <w:pPr>
        <w:ind w:left="850" w:hanging="850"/>
      </w:pPr>
      <w:rPr>
        <w:rFonts w:hint="default" w:ascii="宋体" w:hAnsi="宋体" w:eastAsia="宋体" w:cs="宋体"/>
      </w:rPr>
    </w:lvl>
    <w:lvl w:ilvl="4" w:tentative="0">
      <w:start w:val="1"/>
      <w:numFmt w:val="decimal"/>
      <w:lvlText w:val="%1.%2.%3.%4.%5."/>
      <w:lvlJc w:val="left"/>
      <w:pPr>
        <w:ind w:left="991" w:hanging="991"/>
      </w:pPr>
      <w:rPr>
        <w:rFonts w:hint="default" w:ascii="宋体" w:hAnsi="宋体" w:eastAsia="宋体" w:cs="宋体"/>
      </w:rPr>
    </w:lvl>
    <w:lvl w:ilvl="5" w:tentative="0">
      <w:start w:val="1"/>
      <w:numFmt w:val="decimal"/>
      <w:lvlText w:val="%1.%2.%3.%4.%5.%6."/>
      <w:lvlJc w:val="left"/>
      <w:pPr>
        <w:ind w:left="1134" w:hanging="1134"/>
      </w:pPr>
      <w:rPr>
        <w:rFonts w:hint="default" w:ascii="宋体" w:hAnsi="宋体" w:eastAsia="宋体" w:cs="宋体"/>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3">
    <w:nsid w:val="EB494C9F"/>
    <w:multiLevelType w:val="singleLevel"/>
    <w:tmpl w:val="EB494C9F"/>
    <w:lvl w:ilvl="0" w:tentative="0">
      <w:start w:val="9"/>
      <w:numFmt w:val="decimal"/>
      <w:lvlText w:val="%1."/>
      <w:lvlJc w:val="left"/>
      <w:pPr>
        <w:tabs>
          <w:tab w:val="left" w:pos="312"/>
        </w:tabs>
      </w:pPr>
    </w:lvl>
  </w:abstractNum>
  <w:abstractNum w:abstractNumId="4">
    <w:nsid w:val="F6140BAC"/>
    <w:multiLevelType w:val="singleLevel"/>
    <w:tmpl w:val="F6140BAC"/>
    <w:lvl w:ilvl="0" w:tentative="0">
      <w:start w:val="3"/>
      <w:numFmt w:val="decimal"/>
      <w:suff w:val="nothing"/>
      <w:lvlText w:val="（%1）"/>
      <w:lvlJc w:val="left"/>
    </w:lvl>
  </w:abstractNum>
  <w:abstractNum w:abstractNumId="5">
    <w:nsid w:val="F6F0D9E8"/>
    <w:multiLevelType w:val="singleLevel"/>
    <w:tmpl w:val="F6F0D9E8"/>
    <w:lvl w:ilvl="0" w:tentative="0">
      <w:start w:val="1"/>
      <w:numFmt w:val="decimal"/>
      <w:suff w:val="nothing"/>
      <w:lvlText w:val="%1、"/>
      <w:lvlJc w:val="left"/>
    </w:lvl>
  </w:abstractNum>
  <w:abstractNum w:abstractNumId="6">
    <w:nsid w:val="03D62ECE"/>
    <w:multiLevelType w:val="multilevel"/>
    <w:tmpl w:val="03D62ECE"/>
    <w:lvl w:ilvl="0" w:tentative="0">
      <w:start w:val="1"/>
      <w:numFmt w:val="decimal"/>
      <w:lvlText w:val="（%1）"/>
      <w:lvlJc w:val="left"/>
      <w:pPr>
        <w:ind w:left="117" w:hanging="605"/>
        <w:jc w:val="left"/>
      </w:pPr>
      <w:rPr>
        <w:rFonts w:hint="default" w:ascii="宋体" w:hAnsi="宋体" w:eastAsia="宋体" w:cs="宋体"/>
        <w:w w:val="100"/>
        <w:sz w:val="22"/>
        <w:szCs w:val="22"/>
        <w:lang w:val="zh-CN" w:eastAsia="zh-CN" w:bidi="zh-CN"/>
      </w:rPr>
    </w:lvl>
    <w:lvl w:ilvl="1" w:tentative="0">
      <w:start w:val="0"/>
      <w:numFmt w:val="bullet"/>
      <w:lvlText w:val="•"/>
      <w:lvlJc w:val="left"/>
      <w:pPr>
        <w:ind w:left="1118" w:hanging="605"/>
      </w:pPr>
      <w:rPr>
        <w:rFonts w:hint="default"/>
        <w:lang w:val="zh-CN" w:eastAsia="zh-CN" w:bidi="zh-CN"/>
      </w:rPr>
    </w:lvl>
    <w:lvl w:ilvl="2" w:tentative="0">
      <w:start w:val="0"/>
      <w:numFmt w:val="bullet"/>
      <w:lvlText w:val="•"/>
      <w:lvlJc w:val="left"/>
      <w:pPr>
        <w:ind w:left="2117" w:hanging="605"/>
      </w:pPr>
      <w:rPr>
        <w:rFonts w:hint="default"/>
        <w:lang w:val="zh-CN" w:eastAsia="zh-CN" w:bidi="zh-CN"/>
      </w:rPr>
    </w:lvl>
    <w:lvl w:ilvl="3" w:tentative="0">
      <w:start w:val="0"/>
      <w:numFmt w:val="bullet"/>
      <w:lvlText w:val="•"/>
      <w:lvlJc w:val="left"/>
      <w:pPr>
        <w:ind w:left="3115" w:hanging="605"/>
      </w:pPr>
      <w:rPr>
        <w:rFonts w:hint="default"/>
        <w:lang w:val="zh-CN" w:eastAsia="zh-CN" w:bidi="zh-CN"/>
      </w:rPr>
    </w:lvl>
    <w:lvl w:ilvl="4" w:tentative="0">
      <w:start w:val="0"/>
      <w:numFmt w:val="bullet"/>
      <w:lvlText w:val="•"/>
      <w:lvlJc w:val="left"/>
      <w:pPr>
        <w:ind w:left="4114" w:hanging="605"/>
      </w:pPr>
      <w:rPr>
        <w:rFonts w:hint="default"/>
        <w:lang w:val="zh-CN" w:eastAsia="zh-CN" w:bidi="zh-CN"/>
      </w:rPr>
    </w:lvl>
    <w:lvl w:ilvl="5" w:tentative="0">
      <w:start w:val="0"/>
      <w:numFmt w:val="bullet"/>
      <w:lvlText w:val="•"/>
      <w:lvlJc w:val="left"/>
      <w:pPr>
        <w:ind w:left="5113" w:hanging="605"/>
      </w:pPr>
      <w:rPr>
        <w:rFonts w:hint="default"/>
        <w:lang w:val="zh-CN" w:eastAsia="zh-CN" w:bidi="zh-CN"/>
      </w:rPr>
    </w:lvl>
    <w:lvl w:ilvl="6" w:tentative="0">
      <w:start w:val="0"/>
      <w:numFmt w:val="bullet"/>
      <w:lvlText w:val="•"/>
      <w:lvlJc w:val="left"/>
      <w:pPr>
        <w:ind w:left="6111" w:hanging="605"/>
      </w:pPr>
      <w:rPr>
        <w:rFonts w:hint="default"/>
        <w:lang w:val="zh-CN" w:eastAsia="zh-CN" w:bidi="zh-CN"/>
      </w:rPr>
    </w:lvl>
    <w:lvl w:ilvl="7" w:tentative="0">
      <w:start w:val="0"/>
      <w:numFmt w:val="bullet"/>
      <w:lvlText w:val="•"/>
      <w:lvlJc w:val="left"/>
      <w:pPr>
        <w:ind w:left="7110" w:hanging="605"/>
      </w:pPr>
      <w:rPr>
        <w:rFonts w:hint="default"/>
        <w:lang w:val="zh-CN" w:eastAsia="zh-CN" w:bidi="zh-CN"/>
      </w:rPr>
    </w:lvl>
    <w:lvl w:ilvl="8" w:tentative="0">
      <w:start w:val="0"/>
      <w:numFmt w:val="bullet"/>
      <w:lvlText w:val="•"/>
      <w:lvlJc w:val="left"/>
      <w:pPr>
        <w:ind w:left="8108" w:hanging="605"/>
      </w:pPr>
      <w:rPr>
        <w:rFonts w:hint="default"/>
        <w:lang w:val="zh-CN" w:eastAsia="zh-CN" w:bidi="zh-CN"/>
      </w:rPr>
    </w:lvl>
  </w:abstractNum>
  <w:abstractNum w:abstractNumId="7">
    <w:nsid w:val="1FDDB451"/>
    <w:multiLevelType w:val="singleLevel"/>
    <w:tmpl w:val="1FDDB451"/>
    <w:lvl w:ilvl="0" w:tentative="0">
      <w:start w:val="1"/>
      <w:numFmt w:val="decimal"/>
      <w:suff w:val="nothing"/>
      <w:lvlText w:val="（%1）"/>
      <w:lvlJc w:val="left"/>
    </w:lvl>
  </w:abstractNum>
  <w:abstractNum w:abstractNumId="8">
    <w:nsid w:val="2E18A016"/>
    <w:multiLevelType w:val="singleLevel"/>
    <w:tmpl w:val="2E18A016"/>
    <w:lvl w:ilvl="0" w:tentative="0">
      <w:start w:val="22"/>
      <w:numFmt w:val="decimal"/>
      <w:lvlText w:val="%1."/>
      <w:lvlJc w:val="left"/>
      <w:pPr>
        <w:tabs>
          <w:tab w:val="left" w:pos="312"/>
        </w:tabs>
      </w:pPr>
    </w:lvl>
  </w:abstractNum>
  <w:abstractNum w:abstractNumId="9">
    <w:nsid w:val="35BE9808"/>
    <w:multiLevelType w:val="singleLevel"/>
    <w:tmpl w:val="35BE9808"/>
    <w:lvl w:ilvl="0" w:tentative="0">
      <w:start w:val="1"/>
      <w:numFmt w:val="decimal"/>
      <w:suff w:val="nothing"/>
      <w:lvlText w:val="%1、"/>
      <w:lvlJc w:val="left"/>
    </w:lvl>
  </w:abstractNum>
  <w:abstractNum w:abstractNumId="10">
    <w:nsid w:val="5616C741"/>
    <w:multiLevelType w:val="multilevel"/>
    <w:tmpl w:val="5616C741"/>
    <w:lvl w:ilvl="0" w:tentative="0">
      <w:start w:val="1"/>
      <w:numFmt w:val="chineseCounting"/>
      <w:pStyle w:val="3"/>
      <w:suff w:val="nothing"/>
      <w:lvlText w:val="第%1章 "/>
      <w:lvlJc w:val="left"/>
      <w:pPr>
        <w:ind w:left="432" w:hanging="432"/>
      </w:pPr>
      <w:rPr>
        <w:rFonts w:hint="eastAsia"/>
      </w:rPr>
    </w:lvl>
    <w:lvl w:ilvl="1" w:tentative="0">
      <w:start w:val="1"/>
      <w:numFmt w:val="decimal"/>
      <w:pStyle w:val="4"/>
      <w:isLgl/>
      <w:lvlText w:val="%1.%2."/>
      <w:lvlJc w:val="left"/>
      <w:pPr>
        <w:ind w:left="575" w:hanging="575"/>
      </w:pPr>
      <w:rPr>
        <w:rFonts w:hint="eastAsia"/>
      </w:rPr>
    </w:lvl>
    <w:lvl w:ilvl="2" w:tentative="0">
      <w:start w:val="1"/>
      <w:numFmt w:val="decimal"/>
      <w:pStyle w:val="5"/>
      <w:isLgl/>
      <w:lvlText w:val="%1.%2.%3."/>
      <w:lvlJc w:val="left"/>
      <w:pPr>
        <w:ind w:left="720" w:hanging="720"/>
      </w:pPr>
      <w:rPr>
        <w:rFonts w:hint="eastAsia"/>
      </w:rPr>
    </w:lvl>
    <w:lvl w:ilvl="3" w:tentative="0">
      <w:start w:val="1"/>
      <w:numFmt w:val="decimal"/>
      <w:pStyle w:val="6"/>
      <w:isLgl/>
      <w:lvlText w:val="%1.%2.%3.%4."/>
      <w:lvlJc w:val="left"/>
      <w:pPr>
        <w:ind w:left="864" w:hanging="864"/>
      </w:pPr>
      <w:rPr>
        <w:rFonts w:hint="eastAsia"/>
      </w:rPr>
    </w:lvl>
    <w:lvl w:ilvl="4" w:tentative="0">
      <w:start w:val="1"/>
      <w:numFmt w:val="decimal"/>
      <w:isLgl/>
      <w:lvlText w:val="%1.%2.%3.%4.%5."/>
      <w:lvlJc w:val="left"/>
      <w:pPr>
        <w:ind w:left="1008" w:hanging="1008"/>
      </w:pPr>
      <w:rPr>
        <w:rFonts w:hint="eastAsia"/>
      </w:rPr>
    </w:lvl>
    <w:lvl w:ilvl="5" w:tentative="0">
      <w:start w:val="1"/>
      <w:numFmt w:val="decimal"/>
      <w:isLgl/>
      <w:lvlText w:val="%1.%2.%3.%4.%5.%6."/>
      <w:lvlJc w:val="left"/>
      <w:pPr>
        <w:ind w:left="1151" w:hanging="1151"/>
      </w:pPr>
      <w:rPr>
        <w:rFonts w:hint="eastAsia"/>
      </w:rPr>
    </w:lvl>
    <w:lvl w:ilvl="6" w:tentative="0">
      <w:start w:val="1"/>
      <w:numFmt w:val="decimal"/>
      <w:isLgl/>
      <w:lvlText w:val="%1.%2.%3.%4.%5.%6.%7."/>
      <w:lvlJc w:val="left"/>
      <w:pPr>
        <w:ind w:left="1296" w:hanging="1296"/>
      </w:pPr>
      <w:rPr>
        <w:rFonts w:hint="eastAsia"/>
      </w:rPr>
    </w:lvl>
    <w:lvl w:ilvl="7" w:tentative="0">
      <w:start w:val="1"/>
      <w:numFmt w:val="decimal"/>
      <w:isLgl/>
      <w:lvlText w:val="%1.%2.%3.%4.%5.%6.%7.%8."/>
      <w:lvlJc w:val="left"/>
      <w:pPr>
        <w:ind w:left="1440" w:hanging="1440"/>
      </w:pPr>
      <w:rPr>
        <w:rFonts w:hint="eastAsia"/>
      </w:rPr>
    </w:lvl>
    <w:lvl w:ilvl="8" w:tentative="0">
      <w:start w:val="1"/>
      <w:numFmt w:val="decimal"/>
      <w:isLgl/>
      <w:lvlText w:val="%1.%2.%3.%4.%5.%6.%7.%8.%9."/>
      <w:lvlJc w:val="left"/>
      <w:pPr>
        <w:ind w:left="1583" w:hanging="1583"/>
      </w:pPr>
      <w:rPr>
        <w:rFonts w:hint="eastAsia"/>
      </w:rPr>
    </w:lvl>
  </w:abstractNum>
  <w:abstractNum w:abstractNumId="11">
    <w:nsid w:val="5C306EB3"/>
    <w:multiLevelType w:val="singleLevel"/>
    <w:tmpl w:val="5C306EB3"/>
    <w:lvl w:ilvl="0" w:tentative="0">
      <w:start w:val="5"/>
      <w:numFmt w:val="decimal"/>
      <w:suff w:val="space"/>
      <w:lvlText w:val="%1."/>
      <w:lvlJc w:val="left"/>
    </w:lvl>
  </w:abstractNum>
  <w:num w:numId="1">
    <w:abstractNumId w:val="10"/>
  </w:num>
  <w:num w:numId="2">
    <w:abstractNumId w:val="2"/>
  </w:num>
  <w:num w:numId="3">
    <w:abstractNumId w:val="9"/>
  </w:num>
  <w:num w:numId="4">
    <w:abstractNumId w:val="1"/>
  </w:num>
  <w:num w:numId="5">
    <w:abstractNumId w:val="7"/>
  </w:num>
  <w:num w:numId="6">
    <w:abstractNumId w:val="0"/>
  </w:num>
  <w:num w:numId="7">
    <w:abstractNumId w:val="4"/>
  </w:num>
  <w:num w:numId="8">
    <w:abstractNumId w:val="11"/>
  </w:num>
  <w:num w:numId="9">
    <w:abstractNumId w:val="3"/>
  </w:num>
  <w:num w:numId="10">
    <w:abstractNumId w:val="5"/>
  </w:num>
  <w:num w:numId="11">
    <w:abstractNumId w:val="8"/>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M2ZGU1OGVmYjVjZDU2ODVjOWExMDg3M2JiNmI0NzYifQ=="/>
  </w:docVars>
  <w:rsids>
    <w:rsidRoot w:val="67435D20"/>
    <w:rsid w:val="010E4F6E"/>
    <w:rsid w:val="01D57418"/>
    <w:rsid w:val="020F5B04"/>
    <w:rsid w:val="040223C8"/>
    <w:rsid w:val="04047435"/>
    <w:rsid w:val="05D96AC1"/>
    <w:rsid w:val="05FA6846"/>
    <w:rsid w:val="080C528C"/>
    <w:rsid w:val="0BE63DF5"/>
    <w:rsid w:val="0BEA0EC6"/>
    <w:rsid w:val="0CA127A2"/>
    <w:rsid w:val="0D3E1ED7"/>
    <w:rsid w:val="0DF90060"/>
    <w:rsid w:val="115A2318"/>
    <w:rsid w:val="142E3D3C"/>
    <w:rsid w:val="162E5B47"/>
    <w:rsid w:val="170C4122"/>
    <w:rsid w:val="191C59B6"/>
    <w:rsid w:val="1A524EDB"/>
    <w:rsid w:val="1EC618E6"/>
    <w:rsid w:val="200E4970"/>
    <w:rsid w:val="229567CA"/>
    <w:rsid w:val="24030E16"/>
    <w:rsid w:val="251F61A7"/>
    <w:rsid w:val="257B2D60"/>
    <w:rsid w:val="27441EF5"/>
    <w:rsid w:val="28610884"/>
    <w:rsid w:val="296F7F44"/>
    <w:rsid w:val="2CBC37AD"/>
    <w:rsid w:val="2CCB6C14"/>
    <w:rsid w:val="2F526CA4"/>
    <w:rsid w:val="2FEC2819"/>
    <w:rsid w:val="31215055"/>
    <w:rsid w:val="31C3420A"/>
    <w:rsid w:val="31D64091"/>
    <w:rsid w:val="323D6EED"/>
    <w:rsid w:val="339E0BDF"/>
    <w:rsid w:val="34920A5B"/>
    <w:rsid w:val="36B37CE0"/>
    <w:rsid w:val="386C019B"/>
    <w:rsid w:val="3A9B19D4"/>
    <w:rsid w:val="3C1A2749"/>
    <w:rsid w:val="3C1C4D96"/>
    <w:rsid w:val="3C52185A"/>
    <w:rsid w:val="3CE86C09"/>
    <w:rsid w:val="3EE06EB6"/>
    <w:rsid w:val="3FDE6DD3"/>
    <w:rsid w:val="416D7003"/>
    <w:rsid w:val="41764F49"/>
    <w:rsid w:val="43DC37BE"/>
    <w:rsid w:val="442A07A8"/>
    <w:rsid w:val="447C2876"/>
    <w:rsid w:val="46A358DF"/>
    <w:rsid w:val="496B3FEB"/>
    <w:rsid w:val="499C22CF"/>
    <w:rsid w:val="4A3B3355"/>
    <w:rsid w:val="4A5A58C8"/>
    <w:rsid w:val="4B271062"/>
    <w:rsid w:val="4C6205A3"/>
    <w:rsid w:val="4D601661"/>
    <w:rsid w:val="4D881C57"/>
    <w:rsid w:val="4F243A4E"/>
    <w:rsid w:val="4F4F2935"/>
    <w:rsid w:val="50486783"/>
    <w:rsid w:val="50CC248F"/>
    <w:rsid w:val="50E05491"/>
    <w:rsid w:val="51281690"/>
    <w:rsid w:val="51506431"/>
    <w:rsid w:val="554A42CB"/>
    <w:rsid w:val="558D41B7"/>
    <w:rsid w:val="565B7799"/>
    <w:rsid w:val="59644A3A"/>
    <w:rsid w:val="5A1243DA"/>
    <w:rsid w:val="5AB81CD6"/>
    <w:rsid w:val="5B2B4256"/>
    <w:rsid w:val="5B6617F1"/>
    <w:rsid w:val="5FDE21DF"/>
    <w:rsid w:val="6017749F"/>
    <w:rsid w:val="60670332"/>
    <w:rsid w:val="6072313A"/>
    <w:rsid w:val="60996106"/>
    <w:rsid w:val="616710AC"/>
    <w:rsid w:val="62175534"/>
    <w:rsid w:val="62603570"/>
    <w:rsid w:val="64B11C70"/>
    <w:rsid w:val="64E738E4"/>
    <w:rsid w:val="65605444"/>
    <w:rsid w:val="65A63A09"/>
    <w:rsid w:val="67435D20"/>
    <w:rsid w:val="678171E1"/>
    <w:rsid w:val="67D04DBA"/>
    <w:rsid w:val="69A509E4"/>
    <w:rsid w:val="6B340F05"/>
    <w:rsid w:val="6B9619B6"/>
    <w:rsid w:val="6CE87DC7"/>
    <w:rsid w:val="70AA2EA1"/>
    <w:rsid w:val="73970746"/>
    <w:rsid w:val="73FC05DC"/>
    <w:rsid w:val="741F6C0A"/>
    <w:rsid w:val="771A0630"/>
    <w:rsid w:val="77B43EA3"/>
    <w:rsid w:val="79332BD4"/>
    <w:rsid w:val="7963785D"/>
    <w:rsid w:val="796D1581"/>
    <w:rsid w:val="7A3C3932"/>
    <w:rsid w:val="7AB23BF5"/>
    <w:rsid w:val="7D374932"/>
    <w:rsid w:val="7E393657"/>
    <w:rsid w:val="7F08472B"/>
    <w:rsid w:val="7FF03C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adjustRightInd w:val="0"/>
      <w:snapToGrid w:val="0"/>
      <w:spacing w:line="360" w:lineRule="auto"/>
      <w:ind w:firstLine="883" w:firstLineChars="200"/>
      <w:jc w:val="both"/>
    </w:pPr>
    <w:rPr>
      <w:rFonts w:ascii="Times New Roman" w:hAnsi="Times New Roman" w:eastAsia="宋体" w:cs="Times New Roman"/>
      <w:kern w:val="2"/>
      <w:sz w:val="24"/>
      <w:szCs w:val="24"/>
      <w:lang w:val="en-US" w:eastAsia="zh-CN" w:bidi="ar-SA"/>
    </w:rPr>
  </w:style>
  <w:style w:type="paragraph" w:styleId="3">
    <w:name w:val="heading 1"/>
    <w:basedOn w:val="1"/>
    <w:next w:val="1"/>
    <w:qFormat/>
    <w:uiPriority w:val="0"/>
    <w:pPr>
      <w:keepNext/>
      <w:keepLines/>
      <w:numPr>
        <w:ilvl w:val="0"/>
        <w:numId w:val="1"/>
      </w:numPr>
      <w:tabs>
        <w:tab w:val="left" w:pos="3119"/>
      </w:tabs>
      <w:adjustRightInd w:val="0"/>
      <w:snapToGrid w:val="0"/>
      <w:spacing w:before="50" w:beforeLines="50" w:after="50" w:afterLines="50"/>
      <w:ind w:left="432" w:hanging="432" w:firstLineChars="0"/>
      <w:jc w:val="center"/>
      <w:outlineLvl w:val="0"/>
    </w:pPr>
    <w:rPr>
      <w:rFonts w:hint="eastAsia" w:ascii="宋体" w:hAnsi="宋体"/>
      <w:b/>
      <w:kern w:val="44"/>
      <w:sz w:val="44"/>
      <w:szCs w:val="44"/>
    </w:rPr>
  </w:style>
  <w:style w:type="paragraph" w:styleId="4">
    <w:name w:val="heading 2"/>
    <w:basedOn w:val="1"/>
    <w:next w:val="1"/>
    <w:qFormat/>
    <w:uiPriority w:val="0"/>
    <w:pPr>
      <w:keepNext/>
      <w:keepLines/>
      <w:numPr>
        <w:ilvl w:val="1"/>
        <w:numId w:val="1"/>
      </w:numPr>
      <w:adjustRightInd w:val="0"/>
      <w:snapToGrid w:val="0"/>
      <w:spacing w:line="360" w:lineRule="auto"/>
      <w:ind w:left="575" w:hanging="575" w:firstLineChars="0"/>
      <w:outlineLvl w:val="1"/>
    </w:pPr>
    <w:rPr>
      <w:b/>
      <w:bCs/>
      <w:smallCaps/>
      <w:sz w:val="30"/>
      <w:szCs w:val="28"/>
    </w:rPr>
  </w:style>
  <w:style w:type="paragraph" w:styleId="5">
    <w:name w:val="heading 3"/>
    <w:basedOn w:val="1"/>
    <w:next w:val="1"/>
    <w:qFormat/>
    <w:uiPriority w:val="0"/>
    <w:pPr>
      <w:keepNext/>
      <w:keepLines/>
      <w:numPr>
        <w:ilvl w:val="2"/>
        <w:numId w:val="1"/>
      </w:numPr>
      <w:tabs>
        <w:tab w:val="left" w:pos="426"/>
        <w:tab w:val="left" w:pos="900"/>
        <w:tab w:val="left" w:pos="4253"/>
      </w:tabs>
      <w:snapToGrid w:val="0"/>
      <w:spacing w:line="360" w:lineRule="auto"/>
      <w:ind w:left="720" w:hanging="720" w:firstLineChars="0"/>
      <w:outlineLvl w:val="2"/>
    </w:pPr>
    <w:rPr>
      <w:b/>
      <w:bCs/>
      <w:szCs w:val="21"/>
    </w:rPr>
  </w:style>
  <w:style w:type="paragraph" w:styleId="6">
    <w:name w:val="heading 4"/>
    <w:basedOn w:val="1"/>
    <w:next w:val="1"/>
    <w:qFormat/>
    <w:uiPriority w:val="0"/>
    <w:pPr>
      <w:numPr>
        <w:ilvl w:val="3"/>
        <w:numId w:val="1"/>
      </w:numPr>
      <w:tabs>
        <w:tab w:val="left" w:pos="142"/>
        <w:tab w:val="left" w:pos="864"/>
        <w:tab w:val="left" w:pos="1290"/>
      </w:tabs>
      <w:adjustRightInd w:val="0"/>
      <w:snapToGrid w:val="0"/>
      <w:spacing w:line="360" w:lineRule="auto"/>
      <w:ind w:left="864" w:hanging="864" w:firstLineChars="0"/>
      <w:textAlignment w:val="baseline"/>
      <w:outlineLvl w:val="3"/>
    </w:pPr>
    <w:rPr>
      <w:b/>
      <w:bCs/>
      <w:color w:val="000000"/>
      <w:szCs w:val="24"/>
    </w:rPr>
  </w:style>
  <w:style w:type="paragraph" w:styleId="7">
    <w:name w:val="heading 5"/>
    <w:basedOn w:val="1"/>
    <w:next w:val="1"/>
    <w:semiHidden/>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21">
    <w:name w:val="Default Paragraph Font"/>
    <w:semiHidden/>
    <w:qFormat/>
    <w:uiPriority w:val="0"/>
  </w:style>
  <w:style w:type="table" w:default="1" w:styleId="19">
    <w:name w:val="Normal Table"/>
    <w:semiHidden/>
    <w:qFormat/>
    <w:uiPriority w:val="0"/>
    <w:tblPr>
      <w:tblCellMar>
        <w:top w:w="0" w:type="dxa"/>
        <w:left w:w="108" w:type="dxa"/>
        <w:bottom w:w="0" w:type="dxa"/>
        <w:right w:w="108" w:type="dxa"/>
      </w:tblCellMar>
    </w:tblPr>
  </w:style>
  <w:style w:type="paragraph" w:styleId="2">
    <w:name w:val="Body Text"/>
    <w:basedOn w:val="1"/>
    <w:next w:val="1"/>
    <w:qFormat/>
    <w:uiPriority w:val="0"/>
    <w:pPr>
      <w:widowControl/>
      <w:snapToGrid w:val="0"/>
      <w:spacing w:before="60" w:after="160" w:line="259" w:lineRule="auto"/>
      <w:ind w:right="113"/>
    </w:pPr>
    <w:rPr>
      <w:kern w:val="0"/>
      <w:sz w:val="18"/>
      <w:szCs w:val="18"/>
    </w:rPr>
  </w:style>
  <w:style w:type="paragraph" w:styleId="8">
    <w:name w:val="Normal Indent"/>
    <w:basedOn w:val="1"/>
    <w:next w:val="1"/>
    <w:qFormat/>
    <w:uiPriority w:val="0"/>
    <w:pPr>
      <w:widowControl/>
      <w:ind w:firstLine="420"/>
    </w:pPr>
    <w:rPr>
      <w:rFonts w:ascii="宋体" w:hAnsi="宋体"/>
      <w:kern w:val="0"/>
      <w:sz w:val="28"/>
      <w:szCs w:val="20"/>
    </w:rPr>
  </w:style>
  <w:style w:type="paragraph" w:styleId="9">
    <w:name w:val="annotation text"/>
    <w:basedOn w:val="1"/>
    <w:qFormat/>
    <w:uiPriority w:val="0"/>
    <w:pPr>
      <w:jc w:val="left"/>
    </w:pPr>
  </w:style>
  <w:style w:type="paragraph" w:styleId="10">
    <w:name w:val="Body Text Indent"/>
    <w:basedOn w:val="1"/>
    <w:next w:val="11"/>
    <w:unhideWhenUsed/>
    <w:qFormat/>
    <w:uiPriority w:val="99"/>
    <w:pPr>
      <w:spacing w:after="120"/>
      <w:ind w:left="420" w:leftChars="200"/>
    </w:pPr>
    <w:rPr>
      <w:sz w:val="21"/>
    </w:rPr>
  </w:style>
  <w:style w:type="paragraph" w:styleId="11">
    <w:name w:val="Body Text First Indent"/>
    <w:basedOn w:val="1"/>
    <w:next w:val="1"/>
    <w:qFormat/>
    <w:uiPriority w:val="0"/>
    <w:pPr>
      <w:ind w:firstLine="420" w:firstLineChars="100"/>
      <w:jc w:val="both"/>
    </w:pPr>
    <w:rPr>
      <w:sz w:val="21"/>
      <w:szCs w:val="24"/>
    </w:rPr>
  </w:style>
  <w:style w:type="paragraph" w:styleId="12">
    <w:name w:val="footer"/>
    <w:basedOn w:val="1"/>
    <w:unhideWhenUsed/>
    <w:qFormat/>
    <w:uiPriority w:val="99"/>
    <w:pPr>
      <w:tabs>
        <w:tab w:val="center" w:pos="4153"/>
        <w:tab w:val="right" w:pos="8306"/>
      </w:tabs>
      <w:snapToGrid w:val="0"/>
    </w:pPr>
    <w:rPr>
      <w:kern w:val="0"/>
      <w:sz w:val="18"/>
      <w:szCs w:val="18"/>
    </w:rPr>
  </w:style>
  <w:style w:type="paragraph" w:styleId="13">
    <w:name w:val="header"/>
    <w:basedOn w:val="1"/>
    <w:unhideWhenUsed/>
    <w:qFormat/>
    <w:uiPriority w:val="0"/>
    <w:pPr>
      <w:pBdr>
        <w:bottom w:val="single" w:color="auto" w:sz="6" w:space="1"/>
      </w:pBdr>
      <w:tabs>
        <w:tab w:val="center" w:pos="4153"/>
        <w:tab w:val="right" w:pos="8306"/>
      </w:tabs>
      <w:snapToGrid w:val="0"/>
      <w:jc w:val="center"/>
    </w:pPr>
    <w:rPr>
      <w:kern w:val="0"/>
      <w:sz w:val="18"/>
      <w:szCs w:val="18"/>
    </w:rPr>
  </w:style>
  <w:style w:type="paragraph" w:styleId="14">
    <w:name w:val="toc 1"/>
    <w:basedOn w:val="1"/>
    <w:next w:val="1"/>
    <w:qFormat/>
    <w:uiPriority w:val="0"/>
  </w:style>
  <w:style w:type="paragraph" w:styleId="15">
    <w:name w:val="List"/>
    <w:basedOn w:val="1"/>
    <w:qFormat/>
    <w:uiPriority w:val="0"/>
    <w:pPr>
      <w:ind w:left="200" w:hanging="200" w:hangingChars="200"/>
    </w:pPr>
  </w:style>
  <w:style w:type="paragraph" w:styleId="16">
    <w:name w:val="toc 2"/>
    <w:basedOn w:val="1"/>
    <w:next w:val="1"/>
    <w:qFormat/>
    <w:uiPriority w:val="0"/>
    <w:pPr>
      <w:ind w:left="420" w:leftChars="200"/>
    </w:pPr>
  </w:style>
  <w:style w:type="paragraph" w:styleId="17">
    <w:name w:val="Normal (Web)"/>
    <w:basedOn w:val="1"/>
    <w:qFormat/>
    <w:uiPriority w:val="0"/>
    <w:pPr>
      <w:widowControl/>
      <w:spacing w:before="100" w:beforeAutospacing="1" w:after="100" w:afterAutospacing="1"/>
      <w:jc w:val="left"/>
    </w:pPr>
    <w:rPr>
      <w:rFonts w:ascii="宋体" w:hAnsi="宋体"/>
      <w:kern w:val="0"/>
      <w:sz w:val="24"/>
    </w:rPr>
  </w:style>
  <w:style w:type="paragraph" w:styleId="18">
    <w:name w:val="Body Text First Indent 2"/>
    <w:basedOn w:val="10"/>
    <w:next w:val="11"/>
    <w:unhideWhenUsed/>
    <w:qFormat/>
    <w:uiPriority w:val="99"/>
    <w:pPr>
      <w:ind w:firstLine="420" w:firstLineChars="200"/>
    </w:pPr>
  </w:style>
  <w:style w:type="table" w:styleId="20">
    <w:name w:val="Table Grid"/>
    <w:basedOn w:val="19"/>
    <w:qFormat/>
    <w:uiPriority w:val="0"/>
    <w:rPr>
      <w:lang w:val="en-US" w:eastAsia="zh-CN" w:bidi="ar-S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2">
    <w:name w:val="annotation reference"/>
    <w:basedOn w:val="21"/>
    <w:semiHidden/>
    <w:qFormat/>
    <w:uiPriority w:val="0"/>
    <w:rPr>
      <w:sz w:val="21"/>
      <w:szCs w:val="21"/>
    </w:rPr>
  </w:style>
  <w:style w:type="paragraph" w:customStyle="1" w:styleId="23">
    <w:name w:val="表格文字"/>
    <w:basedOn w:val="11"/>
    <w:link w:val="64"/>
    <w:qFormat/>
    <w:uiPriority w:val="0"/>
    <w:pPr>
      <w:adjustRightInd w:val="0"/>
      <w:snapToGrid w:val="0"/>
      <w:spacing w:before="0" w:after="0" w:line="340" w:lineRule="exact"/>
      <w:ind w:right="0" w:firstLine="0" w:firstLineChars="0"/>
      <w:jc w:val="center"/>
    </w:pPr>
    <w:rPr>
      <w:rFonts w:ascii="Times New Roman" w:hAnsi="Times New Roman" w:eastAsia="宋体"/>
      <w:szCs w:val="20"/>
    </w:rPr>
  </w:style>
  <w:style w:type="paragraph" w:customStyle="1" w:styleId="24">
    <w:name w:val="xl27"/>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pPr>
    <w:rPr>
      <w:rFonts w:ascii="新宋体-18030" w:hAnsi="新宋体-18030" w:eastAsia="新宋体-18030" w:cs="新宋体-18030"/>
      <w:kern w:val="0"/>
    </w:rPr>
  </w:style>
  <w:style w:type="paragraph" w:customStyle="1" w:styleId="25">
    <w:name w:val="Default"/>
    <w:basedOn w:val="26"/>
    <w:next w:val="18"/>
    <w:qFormat/>
    <w:uiPriority w:val="0"/>
    <w:pPr>
      <w:widowControl w:val="0"/>
      <w:autoSpaceDE w:val="0"/>
      <w:autoSpaceDN w:val="0"/>
      <w:adjustRightInd w:val="0"/>
    </w:pPr>
    <w:rPr>
      <w:rFonts w:ascii="宋体" w:hAnsi="宋体" w:cs="宋体"/>
      <w:color w:val="000000"/>
    </w:rPr>
  </w:style>
  <w:style w:type="paragraph" w:customStyle="1" w:styleId="26">
    <w:name w:val="标题 段落4级"/>
    <w:qFormat/>
    <w:uiPriority w:val="0"/>
    <w:pPr>
      <w:spacing w:line="500" w:lineRule="exact"/>
      <w:outlineLvl w:val="3"/>
    </w:pPr>
    <w:rPr>
      <w:rFonts w:ascii="Times New Roman" w:hAnsi="Times New Roman" w:eastAsia="仿宋_GB2312" w:cs="Calibri"/>
      <w:b/>
      <w:kern w:val="2"/>
      <w:sz w:val="28"/>
      <w:szCs w:val="24"/>
      <w:lang w:val="en-US" w:eastAsia="zh-CN" w:bidi="ar-SA"/>
    </w:rPr>
  </w:style>
  <w:style w:type="paragraph" w:customStyle="1" w:styleId="27">
    <w:name w:val="WPSOffice手动目录 1"/>
    <w:qFormat/>
    <w:uiPriority w:val="0"/>
    <w:pPr>
      <w:ind w:leftChars="0"/>
    </w:pPr>
    <w:rPr>
      <w:rFonts w:ascii="Times New Roman" w:hAnsi="Times New Roman" w:eastAsia="宋体" w:cs="Times New Roman"/>
      <w:sz w:val="20"/>
      <w:szCs w:val="20"/>
    </w:rPr>
  </w:style>
  <w:style w:type="paragraph" w:customStyle="1" w:styleId="28">
    <w:name w:val="WPSOffice手动目录 2"/>
    <w:qFormat/>
    <w:uiPriority w:val="0"/>
    <w:pPr>
      <w:ind w:leftChars="200"/>
    </w:pPr>
    <w:rPr>
      <w:rFonts w:ascii="Times New Roman" w:hAnsi="Times New Roman" w:eastAsia="宋体" w:cs="Times New Roman"/>
      <w:sz w:val="20"/>
      <w:szCs w:val="20"/>
    </w:rPr>
  </w:style>
  <w:style w:type="paragraph" w:customStyle="1" w:styleId="29">
    <w:name w:val="样式 小四 行距: 1.5 倍行距 首行缩进:  2 字符"/>
    <w:basedOn w:val="1"/>
    <w:qFormat/>
    <w:uiPriority w:val="0"/>
    <w:pPr>
      <w:widowControl/>
      <w:adjustRightInd w:val="0"/>
      <w:snapToGrid w:val="0"/>
      <w:spacing w:line="360" w:lineRule="auto"/>
      <w:ind w:firstLine="200" w:firstLineChars="200"/>
    </w:pPr>
    <w:rPr>
      <w:rFonts w:cs="宋体"/>
      <w:sz w:val="24"/>
      <w:szCs w:val="20"/>
    </w:rPr>
  </w:style>
  <w:style w:type="paragraph" w:customStyle="1" w:styleId="30">
    <w:name w:val="正文  专项"/>
    <w:basedOn w:val="1"/>
    <w:qFormat/>
    <w:uiPriority w:val="0"/>
    <w:pPr>
      <w:spacing w:line="360" w:lineRule="auto"/>
      <w:ind w:firstLine="200" w:firstLineChars="200"/>
    </w:pPr>
    <w:rPr>
      <w:sz w:val="24"/>
    </w:rPr>
  </w:style>
  <w:style w:type="paragraph" w:customStyle="1" w:styleId="31">
    <w:name w:val="图表标题"/>
    <w:basedOn w:val="32"/>
    <w:next w:val="1"/>
    <w:qFormat/>
    <w:uiPriority w:val="0"/>
    <w:pPr>
      <w:spacing w:line="360" w:lineRule="auto"/>
      <w:jc w:val="center"/>
    </w:pPr>
    <w:rPr>
      <w:rFonts w:ascii="Times New Roman" w:hAnsi="Times New Roman" w:eastAsia="黑体" w:cs="Times New Roman"/>
      <w:kern w:val="2"/>
      <w:sz w:val="24"/>
      <w:szCs w:val="22"/>
      <w:lang w:val="en-US" w:eastAsia="zh-CN" w:bidi="ar-SA"/>
    </w:rPr>
  </w:style>
  <w:style w:type="paragraph" w:customStyle="1" w:styleId="32">
    <w:name w:val="预案正文"/>
    <w:basedOn w:val="1"/>
    <w:qFormat/>
    <w:uiPriority w:val="0"/>
    <w:pPr>
      <w:widowControl/>
      <w:adjustRightInd w:val="0"/>
      <w:snapToGrid w:val="0"/>
      <w:spacing w:line="240" w:lineRule="auto"/>
      <w:ind w:firstLine="0" w:firstLineChars="0"/>
      <w:jc w:val="left"/>
    </w:pPr>
    <w:rPr>
      <w:rFonts w:ascii="宋体" w:hAnsi="宋体" w:cs="宋体"/>
      <w:kern w:val="0"/>
      <w:szCs w:val="28"/>
    </w:rPr>
  </w:style>
  <w:style w:type="paragraph" w:customStyle="1" w:styleId="33">
    <w:name w:val="表格内容"/>
    <w:basedOn w:val="23"/>
    <w:qFormat/>
    <w:uiPriority w:val="0"/>
    <w:pPr>
      <w:jc w:val="center"/>
    </w:pPr>
    <w:rPr>
      <w:sz w:val="21"/>
    </w:rPr>
  </w:style>
  <w:style w:type="paragraph" w:styleId="34">
    <w:name w:val="List Paragraph"/>
    <w:basedOn w:val="1"/>
    <w:qFormat/>
    <w:uiPriority w:val="34"/>
    <w:pPr>
      <w:ind w:firstLine="420" w:firstLineChars="200"/>
    </w:pPr>
  </w:style>
  <w:style w:type="paragraph" w:customStyle="1" w:styleId="35">
    <w:name w:val="正文文本5"/>
    <w:basedOn w:val="1"/>
    <w:qFormat/>
    <w:uiPriority w:val="0"/>
    <w:pPr>
      <w:shd w:val="clear" w:color="auto" w:fill="FFFFFF"/>
      <w:spacing w:after="960" w:line="0" w:lineRule="atLeast"/>
      <w:jc w:val="center"/>
    </w:pPr>
    <w:rPr>
      <w:rFonts w:ascii="MingLiU" w:hAnsi="MingLiU" w:eastAsia="MingLiU" w:cs="MingLiU"/>
      <w:sz w:val="19"/>
      <w:szCs w:val="19"/>
    </w:rPr>
  </w:style>
  <w:style w:type="character" w:customStyle="1" w:styleId="36">
    <w:name w:val="Body text + Arial Unicode MS"/>
    <w:qFormat/>
    <w:uiPriority w:val="0"/>
    <w:rPr>
      <w:rFonts w:ascii="Arial Unicode MS" w:hAnsi="Arial Unicode MS" w:eastAsia="Arial Unicode MS" w:cs="Arial Unicode MS"/>
      <w:color w:val="000000"/>
      <w:spacing w:val="10"/>
      <w:w w:val="100"/>
      <w:position w:val="0"/>
      <w:sz w:val="19"/>
      <w:szCs w:val="19"/>
      <w:u w:val="none"/>
      <w:lang w:val="en-US"/>
    </w:rPr>
  </w:style>
  <w:style w:type="paragraph" w:customStyle="1" w:styleId="37">
    <w:name w:val="正文首行缩进 2 + Times New Roman"/>
    <w:basedOn w:val="1"/>
    <w:qFormat/>
    <w:uiPriority w:val="0"/>
    <w:pPr>
      <w:tabs>
        <w:tab w:val="left" w:pos="0"/>
        <w:tab w:val="left" w:pos="870"/>
        <w:tab w:val="left" w:pos="3150"/>
      </w:tabs>
      <w:autoSpaceDE w:val="0"/>
      <w:autoSpaceDN w:val="0"/>
      <w:spacing w:line="360" w:lineRule="auto"/>
      <w:ind w:firstLine="480" w:firstLineChars="200"/>
    </w:pPr>
    <w:rPr>
      <w:kern w:val="0"/>
      <w:szCs w:val="24"/>
    </w:rPr>
  </w:style>
  <w:style w:type="table" w:customStyle="1" w:styleId="38">
    <w:name w:val="Table Normal"/>
    <w:semiHidden/>
    <w:unhideWhenUsed/>
    <w:qFormat/>
    <w:uiPriority w:val="0"/>
    <w:tblPr>
      <w:tblCellMar>
        <w:top w:w="0" w:type="dxa"/>
        <w:left w:w="0" w:type="dxa"/>
        <w:bottom w:w="0" w:type="dxa"/>
        <w:right w:w="0" w:type="dxa"/>
      </w:tblCellMar>
    </w:tblPr>
  </w:style>
  <w:style w:type="character" w:customStyle="1" w:styleId="39">
    <w:name w:val="_Style 7"/>
    <w:qFormat/>
    <w:uiPriority w:val="21"/>
    <w:rPr>
      <w:b/>
      <w:bCs/>
      <w:i/>
      <w:iCs/>
      <w:color w:val="4F81BD"/>
    </w:rPr>
  </w:style>
  <w:style w:type="paragraph" w:customStyle="1" w:styleId="40">
    <w:name w:val="报告正文"/>
    <w:basedOn w:val="2"/>
    <w:qFormat/>
    <w:uiPriority w:val="0"/>
    <w:pPr>
      <w:adjustRightInd w:val="0"/>
      <w:snapToGrid w:val="0"/>
      <w:spacing w:line="360" w:lineRule="auto"/>
      <w:ind w:firstLine="200" w:firstLineChars="200"/>
    </w:pPr>
    <w:rPr>
      <w:rFonts w:ascii="Times New Roman" w:hAnsi="Times New Roman" w:eastAsia="宋体"/>
      <w:szCs w:val="20"/>
    </w:rPr>
  </w:style>
  <w:style w:type="paragraph" w:customStyle="1" w:styleId="41">
    <w:name w:val="图标标题"/>
    <w:basedOn w:val="31"/>
    <w:qFormat/>
    <w:uiPriority w:val="0"/>
    <w:rPr>
      <w:rFonts w:ascii="Times New Roman" w:hAnsi="Times New Roman"/>
      <w:color w:val="000000"/>
      <w:sz w:val="21"/>
      <w:szCs w:val="21"/>
    </w:rPr>
  </w:style>
  <w:style w:type="paragraph" w:customStyle="1" w:styleId="42">
    <w:name w:val="表文"/>
    <w:basedOn w:val="1"/>
    <w:qFormat/>
    <w:uiPriority w:val="0"/>
    <w:pPr>
      <w:adjustRightInd w:val="0"/>
      <w:snapToGrid w:val="0"/>
      <w:spacing w:line="240" w:lineRule="auto"/>
      <w:ind w:firstLine="0" w:firstLineChars="0"/>
      <w:jc w:val="center"/>
    </w:pPr>
    <w:rPr>
      <w:rFonts w:ascii="Times New Roman" w:hAnsi="Times New Roman" w:eastAsia="宋体"/>
      <w:color w:val="000000"/>
      <w:sz w:val="21"/>
      <w:szCs w:val="20"/>
    </w:rPr>
  </w:style>
  <w:style w:type="paragraph" w:customStyle="1" w:styleId="43">
    <w:name w:val="表格"/>
    <w:basedOn w:val="15"/>
    <w:next w:val="1"/>
    <w:qFormat/>
    <w:uiPriority w:val="0"/>
    <w:pPr>
      <w:adjustRightInd w:val="0"/>
      <w:snapToGrid w:val="0"/>
      <w:spacing w:beforeLines="10" w:afterLines="10" w:line="259" w:lineRule="auto"/>
      <w:jc w:val="center"/>
    </w:pPr>
    <w:rPr>
      <w:rFonts w:ascii="宋体"/>
      <w:kern w:val="0"/>
      <w:sz w:val="20"/>
      <w:szCs w:val="21"/>
    </w:rPr>
  </w:style>
  <w:style w:type="paragraph" w:customStyle="1" w:styleId="44">
    <w:name w:val="Table Paragraph"/>
    <w:basedOn w:val="1"/>
    <w:qFormat/>
    <w:uiPriority w:val="0"/>
    <w:pPr>
      <w:widowControl/>
      <w:jc w:val="left"/>
    </w:pPr>
    <w:rPr>
      <w:rFonts w:ascii="Calibri" w:hAnsi="Calibri" w:cs="宋体"/>
      <w:kern w:val="0"/>
      <w:sz w:val="22"/>
      <w:szCs w:val="22"/>
    </w:rPr>
  </w:style>
  <w:style w:type="paragraph" w:customStyle="1" w:styleId="45">
    <w:name w:val="表格样式"/>
    <w:basedOn w:val="46"/>
    <w:qFormat/>
    <w:uiPriority w:val="0"/>
    <w:pPr>
      <w:spacing w:line="240" w:lineRule="auto"/>
    </w:pPr>
    <w:rPr>
      <w:rFonts w:ascii="Times New Roman" w:hAnsi="Times New Roman" w:eastAsia="宋体"/>
      <w:snapToGrid w:val="0"/>
      <w:color w:val="auto"/>
      <w:spacing w:val="0"/>
      <w:kern w:val="0"/>
      <w:sz w:val="21"/>
      <w:szCs w:val="21"/>
    </w:rPr>
  </w:style>
  <w:style w:type="paragraph" w:customStyle="1" w:styleId="46">
    <w:name w:val="表格标题"/>
    <w:basedOn w:val="1"/>
    <w:next w:val="1"/>
    <w:qFormat/>
    <w:uiPriority w:val="0"/>
    <w:pPr>
      <w:spacing w:line="240" w:lineRule="auto"/>
      <w:ind w:right="0" w:firstLine="0" w:firstLineChars="0"/>
      <w:jc w:val="center"/>
    </w:pPr>
    <w:rPr>
      <w:rFonts w:ascii="Times New Roman" w:hAnsi="Times New Roman" w:eastAsia="宋体"/>
      <w:b/>
      <w:szCs w:val="22"/>
    </w:rPr>
  </w:style>
  <w:style w:type="character" w:customStyle="1" w:styleId="47">
    <w:name w:val="font31"/>
    <w:basedOn w:val="21"/>
    <w:qFormat/>
    <w:uiPriority w:val="0"/>
    <w:rPr>
      <w:rFonts w:hint="eastAsia" w:ascii="仿宋_GB2312" w:eastAsia="仿宋_GB2312" w:cs="仿宋_GB2312"/>
      <w:color w:val="000000"/>
      <w:sz w:val="18"/>
      <w:szCs w:val="18"/>
      <w:u w:val="none"/>
    </w:rPr>
  </w:style>
  <w:style w:type="character" w:customStyle="1" w:styleId="48">
    <w:name w:val="font41"/>
    <w:basedOn w:val="21"/>
    <w:qFormat/>
    <w:uiPriority w:val="0"/>
    <w:rPr>
      <w:rFonts w:hint="default" w:ascii="Times New Roman" w:hAnsi="Times New Roman" w:cs="Times New Roman"/>
      <w:color w:val="000000"/>
      <w:sz w:val="18"/>
      <w:szCs w:val="18"/>
      <w:u w:val="none"/>
    </w:rPr>
  </w:style>
  <w:style w:type="character" w:customStyle="1" w:styleId="49">
    <w:name w:val="font01"/>
    <w:basedOn w:val="21"/>
    <w:qFormat/>
    <w:uiPriority w:val="0"/>
    <w:rPr>
      <w:rFonts w:hint="default" w:ascii="Times New Roman" w:hAnsi="Times New Roman" w:cs="Times New Roman"/>
      <w:color w:val="000000"/>
      <w:sz w:val="18"/>
      <w:szCs w:val="18"/>
      <w:u w:val="none"/>
      <w:vertAlign w:val="superscript"/>
    </w:rPr>
  </w:style>
  <w:style w:type="paragraph" w:customStyle="1" w:styleId="50">
    <w:name w:val="样式 样式 小四 行距: 1.5 倍行距 首行缩进:  2 字符1 + 13 磅 黑色 紧缩量  0.2 磅"/>
    <w:basedOn w:val="51"/>
    <w:qFormat/>
    <w:uiPriority w:val="0"/>
    <w:rPr>
      <w:color w:val="000000"/>
      <w:spacing w:val="-4"/>
    </w:rPr>
  </w:style>
  <w:style w:type="paragraph" w:customStyle="1" w:styleId="51">
    <w:name w:val="样式 小四 行距: 1.5 倍行距 首行缩进:  2 字符1"/>
    <w:basedOn w:val="1"/>
    <w:qFormat/>
    <w:uiPriority w:val="0"/>
    <w:pPr>
      <w:adjustRightInd w:val="0"/>
      <w:snapToGrid w:val="0"/>
      <w:spacing w:line="360" w:lineRule="auto"/>
      <w:ind w:firstLine="200" w:firstLineChars="200"/>
    </w:pPr>
    <w:rPr>
      <w:rFonts w:cs="宋体"/>
      <w:kern w:val="0"/>
      <w:sz w:val="24"/>
    </w:rPr>
  </w:style>
  <w:style w:type="paragraph" w:customStyle="1" w:styleId="52">
    <w:name w:val="表格文本1"/>
    <w:basedOn w:val="1"/>
    <w:qFormat/>
    <w:uiPriority w:val="0"/>
    <w:pPr>
      <w:jc w:val="center"/>
    </w:pPr>
    <w:rPr>
      <w:szCs w:val="21"/>
    </w:rPr>
  </w:style>
  <w:style w:type="paragraph" w:customStyle="1" w:styleId="53">
    <w:name w:val="样式 小四 行距: 1.5 倍行距 首行缩进:  2 字符2"/>
    <w:basedOn w:val="1"/>
    <w:qFormat/>
    <w:uiPriority w:val="0"/>
    <w:pPr>
      <w:widowControl/>
      <w:adjustRightInd w:val="0"/>
      <w:snapToGrid w:val="0"/>
      <w:spacing w:line="360" w:lineRule="auto"/>
      <w:ind w:firstLine="200" w:firstLineChars="200"/>
    </w:pPr>
    <w:rPr>
      <w:rFonts w:cs="宋体"/>
      <w:sz w:val="24"/>
      <w:szCs w:val="20"/>
    </w:rPr>
  </w:style>
  <w:style w:type="paragraph" w:customStyle="1" w:styleId="54">
    <w:name w:val="正文1"/>
    <w:basedOn w:val="1"/>
    <w:qFormat/>
    <w:uiPriority w:val="0"/>
    <w:pPr>
      <w:snapToGrid/>
      <w:spacing w:line="360" w:lineRule="exact"/>
      <w:ind w:firstLine="200" w:firstLineChars="200"/>
    </w:pPr>
  </w:style>
  <w:style w:type="paragraph" w:customStyle="1" w:styleId="55">
    <w:name w:val="报告书正文 Char Char Char"/>
    <w:basedOn w:val="1"/>
    <w:qFormat/>
    <w:uiPriority w:val="0"/>
    <w:pPr>
      <w:spacing w:line="300" w:lineRule="auto"/>
      <w:ind w:firstLine="480" w:firstLineChars="200"/>
    </w:pPr>
    <w:rPr>
      <w:rFonts w:ascii="宋体" w:hAnsi="宋体"/>
      <w:sz w:val="24"/>
      <w:szCs w:val="20"/>
    </w:rPr>
  </w:style>
  <w:style w:type="paragraph" w:customStyle="1" w:styleId="56">
    <w:name w:val="文字"/>
    <w:basedOn w:val="1"/>
    <w:qFormat/>
    <w:uiPriority w:val="0"/>
    <w:pPr>
      <w:widowControl/>
      <w:spacing w:afterLines="50" w:line="360" w:lineRule="auto"/>
      <w:ind w:firstLine="420"/>
    </w:pPr>
    <w:rPr>
      <w:kern w:val="0"/>
      <w:sz w:val="24"/>
    </w:rPr>
  </w:style>
  <w:style w:type="paragraph" w:customStyle="1" w:styleId="57">
    <w:name w:val="1文章"/>
    <w:basedOn w:val="1"/>
    <w:qFormat/>
    <w:uiPriority w:val="0"/>
    <w:pPr>
      <w:snapToGrid w:val="0"/>
      <w:spacing w:line="360" w:lineRule="auto"/>
      <w:ind w:firstLine="510"/>
      <w:outlineLvl w:val="4"/>
    </w:pPr>
    <w:rPr>
      <w:spacing w:val="4"/>
      <w:sz w:val="24"/>
    </w:rPr>
  </w:style>
  <w:style w:type="paragraph" w:customStyle="1" w:styleId="58">
    <w:name w:val="其他表格"/>
    <w:basedOn w:val="1"/>
    <w:qFormat/>
    <w:uiPriority w:val="0"/>
    <w:pPr>
      <w:tabs>
        <w:tab w:val="left" w:pos="4860"/>
      </w:tabs>
      <w:jc w:val="center"/>
    </w:pPr>
    <w:rPr>
      <w:rFonts w:ascii="_x000B__x000C_" w:hAnsi="_x000B__x000C_"/>
      <w:bCs/>
      <w:kern w:val="0"/>
      <w:szCs w:val="16"/>
    </w:rPr>
  </w:style>
  <w:style w:type="paragraph" w:customStyle="1" w:styleId="59">
    <w:name w:val="纯文本1"/>
    <w:basedOn w:val="1"/>
    <w:qFormat/>
    <w:uiPriority w:val="0"/>
    <w:pPr>
      <w:adjustRightInd w:val="0"/>
    </w:pPr>
    <w:rPr>
      <w:rFonts w:ascii="宋体" w:hAnsi="Courier New"/>
      <w:szCs w:val="20"/>
    </w:rPr>
  </w:style>
  <w:style w:type="paragraph" w:customStyle="1" w:styleId="60">
    <w:name w:val="表文字"/>
    <w:basedOn w:val="1"/>
    <w:qFormat/>
    <w:uiPriority w:val="0"/>
    <w:pPr>
      <w:widowControl w:val="0"/>
      <w:overflowPunct w:val="0"/>
      <w:autoSpaceDE w:val="0"/>
      <w:autoSpaceDN w:val="0"/>
      <w:adjustRightInd w:val="0"/>
      <w:jc w:val="center"/>
      <w:textAlignment w:val="baseline"/>
    </w:pPr>
    <w:rPr>
      <w:rFonts w:ascii="Times New Roman" w:hAnsi="Times New Roman"/>
      <w:kern w:val="0"/>
      <w:szCs w:val="22"/>
    </w:rPr>
  </w:style>
  <w:style w:type="paragraph" w:customStyle="1" w:styleId="61">
    <w:name w:val="表-正文"/>
    <w:basedOn w:val="1"/>
    <w:qFormat/>
    <w:uiPriority w:val="0"/>
    <w:pPr>
      <w:spacing w:line="360" w:lineRule="auto"/>
      <w:ind w:firstLine="200" w:firstLineChars="200"/>
      <w:jc w:val="both"/>
    </w:pPr>
    <w:rPr>
      <w:rFonts w:ascii="Times New Roman" w:hAnsi="Times New Roman"/>
      <w:sz w:val="24"/>
    </w:rPr>
  </w:style>
  <w:style w:type="paragraph" w:customStyle="1" w:styleId="62">
    <w:name w:val="3级标题"/>
    <w:basedOn w:val="1"/>
    <w:next w:val="61"/>
    <w:qFormat/>
    <w:uiPriority w:val="0"/>
    <w:pPr>
      <w:numPr>
        <w:ilvl w:val="2"/>
        <w:numId w:val="2"/>
      </w:numPr>
      <w:spacing w:line="360" w:lineRule="auto"/>
      <w:ind w:left="709" w:hanging="709"/>
      <w:outlineLvl w:val="2"/>
    </w:pPr>
    <w:rPr>
      <w:b/>
      <w:sz w:val="24"/>
    </w:rPr>
  </w:style>
  <w:style w:type="paragraph" w:customStyle="1" w:styleId="63">
    <w:name w:val="样式 (符号) 宋体 小四 行距: 1.5 倍行距"/>
    <w:basedOn w:val="1"/>
    <w:qFormat/>
    <w:uiPriority w:val="0"/>
    <w:pPr>
      <w:spacing w:line="360" w:lineRule="auto"/>
      <w:ind w:firstLine="480" w:firstLineChars="200"/>
    </w:pPr>
    <w:rPr>
      <w:rFonts w:hAnsi="宋体"/>
      <w:kern w:val="0"/>
      <w:sz w:val="24"/>
      <w:szCs w:val="20"/>
    </w:rPr>
  </w:style>
  <w:style w:type="character" w:customStyle="1" w:styleId="64">
    <w:name w:val="表格文字 Char"/>
    <w:link w:val="23"/>
    <w:qFormat/>
    <w:uiPriority w:val="0"/>
    <w:rPr>
      <w:rFonts w:ascii="Times New Roman" w:hAnsi="Times New Roman" w:eastAsia="宋体"/>
      <w:szCs w:val="20"/>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image" Target="media/image1.jpeg"/><Relationship Id="rId71" Type="http://schemas.openxmlformats.org/officeDocument/2006/relationships/fontTable" Target="fontTable.xml"/><Relationship Id="rId70" Type="http://schemas.openxmlformats.org/officeDocument/2006/relationships/numbering" Target="numbering.xml"/><Relationship Id="rId7" Type="http://schemas.openxmlformats.org/officeDocument/2006/relationships/theme" Target="theme/theme1.xml"/><Relationship Id="rId69" Type="http://schemas.openxmlformats.org/officeDocument/2006/relationships/customXml" Target="../customXml/item1.xml"/><Relationship Id="rId68" Type="http://schemas.openxmlformats.org/officeDocument/2006/relationships/image" Target="media/image56.emf"/><Relationship Id="rId67" Type="http://schemas.openxmlformats.org/officeDocument/2006/relationships/image" Target="media/image55.jpeg"/><Relationship Id="rId66" Type="http://schemas.openxmlformats.org/officeDocument/2006/relationships/image" Target="media/image54.png"/><Relationship Id="rId65" Type="http://schemas.openxmlformats.org/officeDocument/2006/relationships/image" Target="media/image53.jpeg"/><Relationship Id="rId64" Type="http://schemas.openxmlformats.org/officeDocument/2006/relationships/image" Target="media/image52.jpeg"/><Relationship Id="rId63" Type="http://schemas.openxmlformats.org/officeDocument/2006/relationships/image" Target="media/image51.jpeg"/><Relationship Id="rId62" Type="http://schemas.openxmlformats.org/officeDocument/2006/relationships/image" Target="media/image50.jpeg"/><Relationship Id="rId61" Type="http://schemas.openxmlformats.org/officeDocument/2006/relationships/image" Target="media/image49.jpeg"/><Relationship Id="rId60" Type="http://schemas.openxmlformats.org/officeDocument/2006/relationships/image" Target="media/image48.jpeg"/><Relationship Id="rId6" Type="http://schemas.openxmlformats.org/officeDocument/2006/relationships/footer" Target="footer2.xml"/><Relationship Id="rId59" Type="http://schemas.openxmlformats.org/officeDocument/2006/relationships/image" Target="media/image47.wmf"/><Relationship Id="rId58" Type="http://schemas.openxmlformats.org/officeDocument/2006/relationships/oleObject" Target="embeddings/oleObject5.bin"/><Relationship Id="rId57" Type="http://schemas.openxmlformats.org/officeDocument/2006/relationships/image" Target="media/image46.wmf"/><Relationship Id="rId56" Type="http://schemas.openxmlformats.org/officeDocument/2006/relationships/oleObject" Target="embeddings/oleObject4.bin"/><Relationship Id="rId55" Type="http://schemas.openxmlformats.org/officeDocument/2006/relationships/image" Target="media/image45.jpeg"/><Relationship Id="rId54" Type="http://schemas.openxmlformats.org/officeDocument/2006/relationships/image" Target="media/image44.png"/><Relationship Id="rId53" Type="http://schemas.openxmlformats.org/officeDocument/2006/relationships/image" Target="media/image43.png"/><Relationship Id="rId52" Type="http://schemas.openxmlformats.org/officeDocument/2006/relationships/image" Target="media/image42.png"/><Relationship Id="rId51" Type="http://schemas.openxmlformats.org/officeDocument/2006/relationships/image" Target="media/image41.png"/><Relationship Id="rId50" Type="http://schemas.openxmlformats.org/officeDocument/2006/relationships/image" Target="media/image40.png"/><Relationship Id="rId5" Type="http://schemas.openxmlformats.org/officeDocument/2006/relationships/footer" Target="footer1.xml"/><Relationship Id="rId49" Type="http://schemas.openxmlformats.org/officeDocument/2006/relationships/image" Target="media/image39.png"/><Relationship Id="rId48" Type="http://schemas.openxmlformats.org/officeDocument/2006/relationships/image" Target="media/image38.png"/><Relationship Id="rId47" Type="http://schemas.openxmlformats.org/officeDocument/2006/relationships/image" Target="media/image37.png"/><Relationship Id="rId46" Type="http://schemas.openxmlformats.org/officeDocument/2006/relationships/image" Target="media/image36.png"/><Relationship Id="rId45" Type="http://schemas.openxmlformats.org/officeDocument/2006/relationships/image" Target="media/image35.jpeg"/><Relationship Id="rId44" Type="http://schemas.openxmlformats.org/officeDocument/2006/relationships/image" Target="media/image34.png"/><Relationship Id="rId43" Type="http://schemas.openxmlformats.org/officeDocument/2006/relationships/image" Target="media/image33.jpeg"/><Relationship Id="rId42" Type="http://schemas.openxmlformats.org/officeDocument/2006/relationships/image" Target="media/image32.jpeg"/><Relationship Id="rId41" Type="http://schemas.openxmlformats.org/officeDocument/2006/relationships/image" Target="media/image31.jpeg"/><Relationship Id="rId40" Type="http://schemas.openxmlformats.org/officeDocument/2006/relationships/image" Target="media/image30.jpeg"/><Relationship Id="rId4" Type="http://schemas.openxmlformats.org/officeDocument/2006/relationships/endnotes" Target="endnotes.xml"/><Relationship Id="rId39" Type="http://schemas.openxmlformats.org/officeDocument/2006/relationships/image" Target="media/image29.jpeg"/><Relationship Id="rId38" Type="http://schemas.openxmlformats.org/officeDocument/2006/relationships/image" Target="media/image28.jpeg"/><Relationship Id="rId37" Type="http://schemas.openxmlformats.org/officeDocument/2006/relationships/image" Target="media/image27.jpeg"/><Relationship Id="rId36" Type="http://schemas.openxmlformats.org/officeDocument/2006/relationships/image" Target="media/image26.jpeg"/><Relationship Id="rId35" Type="http://schemas.openxmlformats.org/officeDocument/2006/relationships/image" Target="media/image25.jpeg"/><Relationship Id="rId34" Type="http://schemas.openxmlformats.org/officeDocument/2006/relationships/image" Target="media/image24.jpeg"/><Relationship Id="rId33" Type="http://schemas.openxmlformats.org/officeDocument/2006/relationships/image" Target="media/image23.jpeg"/><Relationship Id="rId32" Type="http://schemas.openxmlformats.org/officeDocument/2006/relationships/image" Target="media/image22.jpeg"/><Relationship Id="rId31" Type="http://schemas.openxmlformats.org/officeDocument/2006/relationships/image" Target="media/image21.jpeg"/><Relationship Id="rId30" Type="http://schemas.openxmlformats.org/officeDocument/2006/relationships/image" Target="media/image20.jpeg"/><Relationship Id="rId3" Type="http://schemas.openxmlformats.org/officeDocument/2006/relationships/footnotes" Target="footnotes.xml"/><Relationship Id="rId29" Type="http://schemas.openxmlformats.org/officeDocument/2006/relationships/image" Target="media/image19.jpeg"/><Relationship Id="rId28" Type="http://schemas.openxmlformats.org/officeDocument/2006/relationships/image" Target="media/image18.jpeg"/><Relationship Id="rId27" Type="http://schemas.openxmlformats.org/officeDocument/2006/relationships/image" Target="media/image17.jpeg"/><Relationship Id="rId26" Type="http://schemas.openxmlformats.org/officeDocument/2006/relationships/image" Target="media/image16.jpe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emf"/><Relationship Id="rId18" Type="http://schemas.openxmlformats.org/officeDocument/2006/relationships/oleObject" Target="embeddings/oleObject3.bin"/><Relationship Id="rId17" Type="http://schemas.openxmlformats.org/officeDocument/2006/relationships/image" Target="media/image8.emf"/><Relationship Id="rId16" Type="http://schemas.openxmlformats.org/officeDocument/2006/relationships/oleObject" Target="embeddings/oleObject2.bin"/><Relationship Id="rId15" Type="http://schemas.openxmlformats.org/officeDocument/2006/relationships/image" Target="media/image7.jpeg"/><Relationship Id="rId14" Type="http://schemas.openxmlformats.org/officeDocument/2006/relationships/image" Target="media/image6.jpeg"/><Relationship Id="rId13" Type="http://schemas.openxmlformats.org/officeDocument/2006/relationships/image" Target="media/image5.jpeg"/><Relationship Id="rId12" Type="http://schemas.openxmlformats.org/officeDocument/2006/relationships/image" Target="media/image4.jpeg"/><Relationship Id="rId11" Type="http://schemas.openxmlformats.org/officeDocument/2006/relationships/image" Target="media/image3.jpeg"/><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208</Pages>
  <Words>129182</Words>
  <Characters>156246</Characters>
  <Lines>0</Lines>
  <Paragraphs>0</Paragraphs>
  <TotalTime>0</TotalTime>
  <ScaleCrop>false</ScaleCrop>
  <LinksUpToDate>false</LinksUpToDate>
  <CharactersWithSpaces>158159</CharactersWithSpaces>
  <Application>WPS Office_12.1.0.17857_F1E327BC-269C-435d-A152-05C5408002CA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2023-09-04T08:31:00Z</dcterms:created>
  <dc:creator>rainbow girl</dc:creator>
  <cp:lastModifiedBy>卿毓羚</cp:lastModifiedBy>
  <dcterms:modified xsi:type="dcterms:W3CDTF">2024-08-28T07:34:45Z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2052-12.1.0.17857</vt:lpwstr>
  </property>
  <property fmtid="{D5CDD505-2E9C-101B-9397-08002B2CF9AE}" pid="3" name="ICV">
    <vt:lpwstr>7CD110030C3E4C569B44D43767D3FA33_11</vt:lpwstr>
  </property>
</Properties>
</file>