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4E136">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2023年度</w:t>
      </w:r>
      <w:r>
        <w:rPr>
          <w:rFonts w:ascii="Times New Roman" w:hAnsi="Times New Roman" w:eastAsia="方正小标宋简体"/>
          <w:sz w:val="44"/>
          <w:szCs w:val="44"/>
        </w:rPr>
        <w:t>部门整体支出绩效自评报告</w:t>
      </w:r>
    </w:p>
    <w:p w14:paraId="3A29B334">
      <w:pPr>
        <w:pStyle w:val="9"/>
        <w:widowControl/>
        <w:numPr>
          <w:ilvl w:val="0"/>
          <w:numId w:val="0"/>
        </w:numPr>
        <w:rPr>
          <w:rFonts w:eastAsia="黑体"/>
          <w:sz w:val="32"/>
          <w:szCs w:val="32"/>
        </w:rPr>
      </w:pPr>
    </w:p>
    <w:p w14:paraId="2CC6ACEF">
      <w:pPr>
        <w:pStyle w:val="9"/>
        <w:widowControl/>
        <w:numPr>
          <w:ilvl w:val="0"/>
          <w:numId w:val="0"/>
        </w:numPr>
        <w:rPr>
          <w:rFonts w:eastAsia="黑体"/>
          <w:sz w:val="32"/>
          <w:szCs w:val="32"/>
        </w:rPr>
      </w:pPr>
      <w:r>
        <w:rPr>
          <w:rFonts w:hint="eastAsia" w:eastAsia="黑体"/>
          <w:sz w:val="32"/>
          <w:szCs w:val="32"/>
          <w:lang w:eastAsia="zh-CN"/>
        </w:rPr>
        <w:t>一、</w:t>
      </w:r>
      <w:r>
        <w:rPr>
          <w:rFonts w:eastAsia="黑体"/>
          <w:sz w:val="32"/>
          <w:szCs w:val="32"/>
        </w:rPr>
        <w:t>部门、单位基本情况</w:t>
      </w:r>
    </w:p>
    <w:p w14:paraId="084B44DD">
      <w:pPr>
        <w:pStyle w:val="9"/>
        <w:widowControl/>
        <w:numPr>
          <w:ilvl w:val="0"/>
          <w:numId w:val="0"/>
        </w:numPr>
        <w:ind w:firstLine="321" w:firstLineChars="100"/>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（一）基本情况。</w:t>
      </w:r>
      <w:bookmarkStart w:id="0" w:name="_GoBack"/>
      <w:bookmarkEnd w:id="0"/>
    </w:p>
    <w:p w14:paraId="21361040">
      <w:pPr>
        <w:keepNext w:val="0"/>
        <w:keepLines w:val="0"/>
        <w:widowControl w:val="0"/>
        <w:suppressLineNumbers w:val="0"/>
        <w:spacing w:before="0" w:beforeAutospacing="0" w:after="0" w:afterAutospacing="0" w:line="360" w:lineRule="auto"/>
        <w:ind w:right="0" w:firstLine="643" w:firstLineChars="200"/>
        <w:jc w:val="both"/>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1．主要职能。</w:t>
      </w:r>
    </w:p>
    <w:p w14:paraId="547F8AC0">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根据《中共衡阳市委衡阳市人民政府关于印发〈衡阳市人民政府机构改革方案的实施意见〉的通知》（衡发[2010]3号）和《中共衡阳市委衡阳市人民政府关于衡阳市人民政府机构设置的通知》（衡委[2010]4号），设立衡阳市供销合作总社，为市人民政府直属事业单位。主要职责为：</w:t>
      </w:r>
    </w:p>
    <w:p w14:paraId="19FC14B0">
      <w:pPr>
        <w:keepNext w:val="0"/>
        <w:keepLines w:val="0"/>
        <w:widowControl w:val="0"/>
        <w:suppressLineNumbers w:val="0"/>
        <w:spacing w:before="0" w:beforeAutospacing="0" w:after="0" w:afterAutospacing="0" w:line="360" w:lineRule="auto"/>
        <w:ind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负责制定全市供销合作社系统改革和发展规划，组织指导全市系统具体实施。贯彻执行中共中央、国务院、省、市党委政府和中华全国供销合作总社等有关供销社改革发展的路线、方针、政策和法规。认真履行对全市供销社系统的指导、协调、监督、服务、教育培训职能。 </w:t>
      </w:r>
    </w:p>
    <w:p w14:paraId="61810AF8">
      <w:pPr>
        <w:keepNext w:val="0"/>
        <w:keepLines w:val="0"/>
        <w:widowControl w:val="0"/>
        <w:suppressLineNumbers w:val="0"/>
        <w:spacing w:before="0" w:beforeAutospacing="0" w:after="0" w:afterAutospacing="0" w:line="360" w:lineRule="auto"/>
        <w:ind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（2）负责建设全市农村现代商品流通体系。主要发展农业生产资料、农村日用消费品（含图书、药品）、农副产品现代购销、再生资源（含报废车辆）回收利用和烟花爆竹归口经营五大经营网络。 </w:t>
      </w:r>
    </w:p>
    <w:p w14:paraId="2F0C7218">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（3）负责建立新型的完整的为农服务体系。采取创办、领办、联办等形式发展农民专业合作社，创办农产品基地，组建有关行业协会，负责在全市农村社区建立主体多元、功能完备、便民实用的综合服务中心。 </w:t>
      </w:r>
    </w:p>
    <w:p w14:paraId="7E4C6692">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指导全市供销合作社系统做大做强社有企业，培育参股控股各类龙头企业，推进社有企业健全现代企业制度，推动社有企业参与农业产业化、标准化示范、农业技术研发推广等项目，积极探索发展适合当地农村特点的金融产品和服务方式。 </w:t>
      </w:r>
    </w:p>
    <w:p w14:paraId="33CD966F">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承担化肥、农药、棉花、食用油等重要物资的国家和地方政府储备及救灾物资储备等任务。会同有关部门参与全市农村商品流通及市场体系建设的规划编制及修订；参与有关农业生产资料和烟花爆竹行业的市场管理；参与管理指导农民专业合作社、行业协会、农产品经纪人队伍的建设；参与管理指导全市再生资源回收利用市场体系建设。 </w:t>
      </w:r>
    </w:p>
    <w:p w14:paraId="609E95B5">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（6）指导和监督全市供销合作社系统的资产管理，依法依规依政策维护供销社的合法权益。 </w:t>
      </w:r>
    </w:p>
    <w:p w14:paraId="47EEF201">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（7）指导全市供销社系统的科技开发和有关科技成果的转化及推广工作，推进科技兴社。 </w:t>
      </w:r>
    </w:p>
    <w:p w14:paraId="0BA4167C">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（8）负责全社系统人才队伍建设和干部职工教育培训工作。 </w:t>
      </w:r>
    </w:p>
    <w:p w14:paraId="2B8BE99A">
      <w:pPr>
        <w:pStyle w:val="9"/>
        <w:widowControl/>
        <w:ind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（9）承办市人民政府交办的其他事项。</w:t>
      </w:r>
    </w:p>
    <w:p w14:paraId="042E1375">
      <w:pPr>
        <w:keepNext w:val="0"/>
        <w:keepLines w:val="0"/>
        <w:widowControl w:val="0"/>
        <w:numPr>
          <w:ilvl w:val="0"/>
          <w:numId w:val="1"/>
        </w:numPr>
        <w:suppressLineNumbers w:val="0"/>
        <w:spacing w:before="0" w:beforeAutospacing="0" w:after="0" w:afterAutospacing="0" w:line="360" w:lineRule="auto"/>
        <w:ind w:left="0" w:right="0" w:firstLine="643" w:firstLineChars="200"/>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机构情况，包括当年变动情况及原因。</w:t>
      </w:r>
    </w:p>
    <w:p w14:paraId="34EE7268">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eastAsia" w:ascii="楷体_GB2312" w:hAnsi="楷体_GB2312" w:eastAsia="楷体_GB2312" w:cs="楷体_GB2312"/>
          <w:b/>
          <w:bCs/>
          <w:kern w:val="2"/>
          <w:sz w:val="32"/>
          <w:szCs w:val="32"/>
          <w:lang w:val="en-US" w:eastAsia="zh-CN" w:bidi="ar"/>
        </w:rPr>
      </w:pPr>
      <w:r>
        <w:rPr>
          <w:rFonts w:hint="eastAsia" w:ascii="仿宋_GB2312" w:hAnsi="仿宋_GB2312" w:eastAsia="仿宋_GB2312" w:cs="仿宋_GB2312"/>
          <w:kern w:val="2"/>
          <w:sz w:val="32"/>
          <w:szCs w:val="32"/>
          <w:lang w:val="en-US" w:eastAsia="zh-CN" w:bidi="ar"/>
        </w:rPr>
        <w:t>市供销社设11个内设机构：办公室、组织人事科、财务科、改革发展科、合作经济科、综合服务科、安全信访科、社有资产管理科、宣传法规科、监审科、离退休人员管理服务科。 </w:t>
      </w:r>
    </w:p>
    <w:p w14:paraId="623A08A1">
      <w:pPr>
        <w:keepNext w:val="0"/>
        <w:keepLines w:val="0"/>
        <w:widowControl w:val="0"/>
        <w:numPr>
          <w:ilvl w:val="0"/>
          <w:numId w:val="1"/>
        </w:numPr>
        <w:suppressLineNumbers w:val="0"/>
        <w:spacing w:before="0" w:beforeAutospacing="0" w:after="0" w:afterAutospacing="0" w:line="360" w:lineRule="auto"/>
        <w:ind w:left="0" w:leftChars="0" w:right="0" w:firstLine="643" w:firstLineChars="200"/>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人员情况，包括当年变动情况及原因。</w:t>
      </w:r>
    </w:p>
    <w:p w14:paraId="4C6C125E">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市供销社编制数为40个，其中（1）机关全额拨款事业编制36名：理事会主任１名、理事会副主任３名；监事会主任1名、监事会副主任1名，正科级领导职数12名，副科级领导职数9名。 （2）机关后勤服务全额拨款事业编制4名。</w:t>
      </w:r>
    </w:p>
    <w:p w14:paraId="5B484450">
      <w:pPr>
        <w:pStyle w:val="9"/>
        <w:widowControl/>
        <w:ind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2023年底，市供销社实有人数为35人，其中全额拨款事业编制人数为33名、机关后勤服务全额拨款事业编制人数为2名、临聘人员2名。2023年，通过湖南省公务员招考录用2名</w:t>
      </w:r>
      <w:r>
        <w:rPr>
          <w:rFonts w:hint="default"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1名干部从耒阳市纪委监委驻耒阳市委统战部纪检监察组遴选考入。</w:t>
      </w:r>
    </w:p>
    <w:p w14:paraId="1576BDDC">
      <w:pPr>
        <w:pStyle w:val="9"/>
        <w:widowControl/>
        <w:numPr>
          <w:ilvl w:val="0"/>
          <w:numId w:val="0"/>
        </w:numPr>
        <w:rPr>
          <w:rFonts w:eastAsia="黑体"/>
          <w:sz w:val="32"/>
          <w:szCs w:val="32"/>
        </w:rPr>
      </w:pPr>
    </w:p>
    <w:p w14:paraId="04ED3586">
      <w:pPr>
        <w:pStyle w:val="9"/>
        <w:widowControl/>
        <w:ind w:firstLine="640"/>
        <w:rPr>
          <w:rFonts w:eastAsia="黑体"/>
          <w:sz w:val="32"/>
          <w:szCs w:val="32"/>
        </w:rPr>
      </w:pPr>
      <w:r>
        <w:rPr>
          <w:rFonts w:eastAsia="黑体"/>
          <w:sz w:val="32"/>
          <w:szCs w:val="32"/>
        </w:rPr>
        <w:t>二、一般公共预算支出情况</w:t>
      </w:r>
    </w:p>
    <w:p w14:paraId="53B9E0B3">
      <w:pPr>
        <w:pStyle w:val="9"/>
        <w:widowControl/>
        <w:ind w:firstLine="643"/>
        <w:rPr>
          <w:rFonts w:eastAsia="楷体"/>
          <w:b/>
          <w:sz w:val="32"/>
          <w:szCs w:val="32"/>
        </w:rPr>
      </w:pPr>
      <w:r>
        <w:rPr>
          <w:rFonts w:eastAsia="楷体"/>
          <w:b/>
          <w:sz w:val="32"/>
          <w:szCs w:val="32"/>
        </w:rPr>
        <w:t>（一）基本支出情况</w:t>
      </w:r>
    </w:p>
    <w:p w14:paraId="5AD0D1ED">
      <w:pPr>
        <w:pStyle w:val="9"/>
        <w:widowControl/>
        <w:ind w:firstLine="643"/>
        <w:rPr>
          <w:rFonts w:eastAsia="楷体"/>
          <w:b/>
          <w:sz w:val="32"/>
          <w:szCs w:val="32"/>
        </w:rPr>
      </w:pPr>
      <w:r>
        <w:rPr>
          <w:rFonts w:hint="eastAsia" w:ascii="仿宋_GB2312" w:hAnsi="仿宋_GB2312" w:eastAsia="仿宋_GB2312" w:cs="仿宋_GB2312"/>
          <w:kern w:val="2"/>
          <w:sz w:val="32"/>
          <w:szCs w:val="32"/>
          <w:lang w:val="en-US" w:eastAsia="zh-CN" w:bidi="ar"/>
        </w:rPr>
        <w:t>2023年，财政拨款支出1148.52万元，其中（1）工资福利支出606.32万元，占比52.79%，主要反映在职人员的工资福利和缴纳的五险一金；（2）商品和服务支出179.43万元，占比9.8%，主要反映单位的机关运行经费；（3）对个人和家庭的补助支出299.07万元，占比26.04%，主要反映单位离退休人员的相关经费；（4）资本性支出5.21万元，占比0.45%，主要反映单位的办公设备购置经费（5）对企业补助支出58.5万元，占比5.09%，主要反映单位综合改革专项资金及对下属企业的困难补助。</w:t>
      </w:r>
    </w:p>
    <w:p w14:paraId="0EA1900F">
      <w:pPr>
        <w:pStyle w:val="9"/>
        <w:widowControl/>
        <w:ind w:firstLine="643"/>
        <w:rPr>
          <w:rFonts w:eastAsia="楷体"/>
          <w:b/>
          <w:sz w:val="32"/>
          <w:szCs w:val="32"/>
        </w:rPr>
      </w:pPr>
    </w:p>
    <w:p w14:paraId="5707224F">
      <w:pPr>
        <w:pStyle w:val="9"/>
        <w:widowControl/>
        <w:ind w:firstLine="643"/>
        <w:rPr>
          <w:rFonts w:eastAsia="楷体"/>
          <w:b/>
          <w:sz w:val="32"/>
          <w:szCs w:val="32"/>
        </w:rPr>
      </w:pPr>
      <w:r>
        <w:rPr>
          <w:rFonts w:eastAsia="楷体"/>
          <w:b/>
          <w:sz w:val="32"/>
          <w:szCs w:val="32"/>
        </w:rPr>
        <w:t>（二）项目支出情况</w:t>
      </w:r>
    </w:p>
    <w:p w14:paraId="4CBEEA93">
      <w:pPr>
        <w:pStyle w:val="9"/>
        <w:widowControl/>
        <w:numPr>
          <w:ilvl w:val="0"/>
          <w:numId w:val="0"/>
        </w:numPr>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项目支出90万元，为供销社综合改革经费，是依据2019年8月29日衡阳市深化供销合作社综合改革领导小组会议纪要（〔2019〕第1次）及2019年9月12日召开的市政府2019年第11次（15届38次）常务会议精神列入预算的供销社综合改革经费</w:t>
      </w:r>
      <w:r>
        <w:rPr>
          <w:rFonts w:hint="eastAsia" w:ascii="仿宋_GB2312" w:hAnsi="仿宋_GB2312" w:eastAsia="仿宋_GB2312" w:cs="仿宋_GB2312"/>
          <w:color w:val="auto"/>
          <w:sz w:val="32"/>
          <w:szCs w:val="32"/>
          <w:lang w:val="en-US" w:eastAsia="zh-CN"/>
        </w:rPr>
        <w:t>，该项经费一是用于2023年度</w:t>
      </w:r>
      <w:r>
        <w:rPr>
          <w:rFonts w:hint="eastAsia" w:ascii="仿宋_GB2312" w:eastAsia="仿宋_GB2312"/>
          <w:color w:val="auto"/>
          <w:sz w:val="32"/>
          <w:szCs w:val="32"/>
          <w:lang w:val="en-US" w:eastAsia="zh-CN"/>
        </w:rPr>
        <w:t>基层组织建设，以持续深化供销合作社改革，大力实施“强基强能”，全面推动落实“两个到户”工作，</w:t>
      </w:r>
      <w:r>
        <w:rPr>
          <w:rFonts w:hint="eastAsia" w:ascii="仿宋_GB2312" w:eastAsia="仿宋_GB2312"/>
          <w:sz w:val="32"/>
          <w:szCs w:val="32"/>
          <w:lang w:val="en-US" w:eastAsia="zh-CN"/>
        </w:rPr>
        <w:t>进一步提升供销合作社为农服务功能，巩固党在农村执政基础部署的需要；二是用于“数字供销”平台建设。</w:t>
      </w:r>
    </w:p>
    <w:p w14:paraId="5465F822">
      <w:pPr>
        <w:pStyle w:val="9"/>
        <w:widowControl/>
        <w:numPr>
          <w:ilvl w:val="0"/>
          <w:numId w:val="0"/>
        </w:numPr>
        <w:ind w:firstLine="640" w:firstLineChars="200"/>
        <w:rPr>
          <w:rFonts w:eastAsia="黑体"/>
          <w:sz w:val="32"/>
          <w:szCs w:val="32"/>
        </w:rPr>
      </w:pPr>
      <w:r>
        <w:rPr>
          <w:rFonts w:hint="eastAsia" w:eastAsia="黑体"/>
          <w:sz w:val="32"/>
          <w:szCs w:val="32"/>
          <w:lang w:val="en-US" w:eastAsia="zh-CN"/>
        </w:rPr>
        <w:t>三、</w:t>
      </w:r>
      <w:r>
        <w:rPr>
          <w:rFonts w:eastAsia="黑体"/>
          <w:sz w:val="32"/>
          <w:szCs w:val="32"/>
        </w:rPr>
        <w:t>政府性基金预算支出情况</w:t>
      </w:r>
    </w:p>
    <w:p w14:paraId="17075B60">
      <w:pPr>
        <w:pStyle w:val="9"/>
        <w:widowControl/>
        <w:numPr>
          <w:ilvl w:val="0"/>
          <w:numId w:val="0"/>
        </w:numPr>
        <w:ind w:firstLine="640" w:firstLineChars="200"/>
        <w:jc w:val="both"/>
        <w:rPr>
          <w:rFonts w:eastAsia="黑体"/>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无政府性基金预算支出。</w:t>
      </w:r>
    </w:p>
    <w:p w14:paraId="35C32B2A">
      <w:pPr>
        <w:pStyle w:val="9"/>
        <w:widowControl/>
        <w:numPr>
          <w:ilvl w:val="0"/>
          <w:numId w:val="2"/>
        </w:numPr>
        <w:ind w:firstLine="640"/>
        <w:rPr>
          <w:rFonts w:eastAsia="黑体"/>
          <w:sz w:val="32"/>
          <w:szCs w:val="32"/>
        </w:rPr>
      </w:pPr>
      <w:r>
        <w:rPr>
          <w:rFonts w:eastAsia="黑体"/>
          <w:sz w:val="32"/>
          <w:szCs w:val="32"/>
        </w:rPr>
        <w:t>国有资本经营预算支出情况</w:t>
      </w:r>
    </w:p>
    <w:p w14:paraId="267F743B">
      <w:pPr>
        <w:pStyle w:val="9"/>
        <w:widowControl/>
        <w:numPr>
          <w:ilvl w:val="0"/>
          <w:numId w:val="0"/>
        </w:numPr>
        <w:ind w:firstLine="640" w:firstLineChars="200"/>
        <w:jc w:val="both"/>
        <w:rPr>
          <w:rFonts w:eastAsia="黑体"/>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无国有资本经营预算支出。</w:t>
      </w:r>
    </w:p>
    <w:p w14:paraId="0FB5A7B3">
      <w:pPr>
        <w:pStyle w:val="9"/>
        <w:widowControl/>
        <w:numPr>
          <w:ilvl w:val="0"/>
          <w:numId w:val="2"/>
        </w:numPr>
        <w:ind w:left="0" w:leftChars="0" w:firstLine="640" w:firstLineChars="200"/>
        <w:rPr>
          <w:rFonts w:eastAsia="黑体"/>
          <w:sz w:val="32"/>
          <w:szCs w:val="32"/>
        </w:rPr>
      </w:pPr>
      <w:r>
        <w:rPr>
          <w:rFonts w:eastAsia="黑体"/>
          <w:sz w:val="32"/>
          <w:szCs w:val="32"/>
        </w:rPr>
        <w:t>社会保险基金预算支出情况</w:t>
      </w:r>
    </w:p>
    <w:p w14:paraId="39072BC1">
      <w:pPr>
        <w:pStyle w:val="9"/>
        <w:widowControl/>
        <w:numPr>
          <w:ilvl w:val="0"/>
          <w:numId w:val="0"/>
        </w:numPr>
        <w:ind w:firstLine="640" w:firstLineChars="200"/>
        <w:jc w:val="both"/>
        <w:rPr>
          <w:rFonts w:hint="eastAsia" w:eastAsia="黑体"/>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无社会保险基金预算支出。</w:t>
      </w:r>
    </w:p>
    <w:p w14:paraId="5BEC9017">
      <w:pPr>
        <w:pStyle w:val="9"/>
        <w:widowControl/>
        <w:ind w:firstLine="640"/>
        <w:rPr>
          <w:rFonts w:hint="eastAsia" w:ascii="仿宋_GB2312" w:hAnsi="仿宋_GB2312" w:eastAsia="仿宋_GB2312" w:cs="仿宋_GB2312"/>
          <w:color w:val="0000FF"/>
          <w:sz w:val="32"/>
          <w:szCs w:val="32"/>
        </w:rPr>
      </w:pPr>
    </w:p>
    <w:p w14:paraId="755E4B61">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1EFEF110">
      <w:pPr>
        <w:ind w:firstLine="643" w:firstLineChars="200"/>
        <w:rPr>
          <w:rFonts w:hint="eastAsia" w:eastAsia="仿宋_GB2312"/>
          <w:b/>
          <w:bCs/>
          <w:sz w:val="32"/>
          <w:szCs w:val="32"/>
          <w:lang w:eastAsia="zh-CN"/>
        </w:rPr>
      </w:pPr>
      <w:r>
        <w:rPr>
          <w:rFonts w:hint="eastAsia" w:eastAsia="仿宋_GB2312"/>
          <w:b/>
          <w:bCs/>
          <w:sz w:val="32"/>
          <w:szCs w:val="32"/>
          <w:lang w:eastAsia="zh-CN"/>
        </w:rPr>
        <w:t>（一）预算配置</w:t>
      </w:r>
    </w:p>
    <w:p w14:paraId="58D91C19">
      <w:pPr>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财政供养人员控制在预算编制之内，我单位编制数为40人，年末在职人数为35人，在职人员控制率为88%。</w:t>
      </w:r>
    </w:p>
    <w:p w14:paraId="2FC1DF41">
      <w:pPr>
        <w:ind w:firstLine="640" w:firstLineChars="200"/>
        <w:rPr>
          <w:rFonts w:hint="eastAsia"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cs="Times New Roman"/>
          <w:bCs/>
          <w:color w:val="auto"/>
          <w:kern w:val="0"/>
          <w:sz w:val="32"/>
          <w:szCs w:val="32"/>
          <w:lang w:val="en-US" w:eastAsia="zh-CN" w:bidi="ar-SA"/>
        </w:rPr>
        <w:t>“三公”</w:t>
      </w:r>
      <w:r>
        <w:rPr>
          <w:rFonts w:hint="eastAsia" w:ascii="Times New Roman" w:hAnsi="Times New Roman" w:eastAsia="仿宋_GB2312" w:cs="Times New Roman"/>
          <w:bCs/>
          <w:color w:val="auto"/>
          <w:kern w:val="0"/>
          <w:sz w:val="32"/>
          <w:szCs w:val="32"/>
          <w:shd w:val="clear" w:color="auto" w:fill="auto"/>
          <w:lang w:val="en-US" w:eastAsia="zh-CN" w:bidi="ar-SA"/>
        </w:rPr>
        <w:t>经费预算没有超过预算安排。</w:t>
      </w:r>
    </w:p>
    <w:p w14:paraId="649FE536">
      <w:pPr>
        <w:numPr>
          <w:ilvl w:val="0"/>
          <w:numId w:val="3"/>
        </w:numPr>
        <w:ind w:left="-13" w:leftChars="0" w:firstLine="643" w:firstLineChars="0"/>
        <w:rPr>
          <w:rFonts w:hint="eastAsia" w:eastAsia="仿宋_GB2312"/>
          <w:b/>
          <w:bCs/>
          <w:sz w:val="32"/>
          <w:szCs w:val="32"/>
          <w:shd w:val="clear" w:color="auto" w:fill="auto"/>
          <w:lang w:eastAsia="zh-CN"/>
        </w:rPr>
      </w:pPr>
      <w:r>
        <w:rPr>
          <w:rFonts w:hint="eastAsia" w:eastAsia="仿宋_GB2312"/>
          <w:b/>
          <w:bCs/>
          <w:sz w:val="32"/>
          <w:szCs w:val="32"/>
          <w:shd w:val="clear" w:color="auto" w:fill="auto"/>
          <w:lang w:eastAsia="zh-CN"/>
        </w:rPr>
        <w:t>预算执行</w:t>
      </w:r>
    </w:p>
    <w:p w14:paraId="1E4ECE2D">
      <w:pPr>
        <w:ind w:firstLine="640" w:firstLineChars="200"/>
        <w:rPr>
          <w:rFonts w:hint="eastAsia" w:ascii="仿宋_GB2312" w:hAnsi="仿宋_GB2312" w:eastAsia="仿宋_GB2312" w:cs="仿宋_GB2312"/>
          <w:color w:val="auto"/>
          <w:sz w:val="32"/>
          <w:szCs w:val="32"/>
          <w:shd w:val="clear" w:color="auto" w:fill="auto"/>
          <w:lang w:val="en-US" w:eastAsia="zh-CN"/>
        </w:rPr>
      </w:pPr>
      <w:r>
        <w:rPr>
          <w:rFonts w:hint="eastAsia" w:ascii="Times New Roman" w:hAnsi="Times New Roman" w:eastAsia="仿宋_GB2312" w:cs="Times New Roman"/>
          <w:bCs/>
          <w:color w:val="auto"/>
          <w:kern w:val="0"/>
          <w:sz w:val="32"/>
          <w:szCs w:val="32"/>
          <w:shd w:val="clear" w:color="auto" w:fill="auto"/>
          <w:lang w:val="en-US" w:eastAsia="zh-CN" w:bidi="ar-SA"/>
        </w:rPr>
        <w:t>2023年</w:t>
      </w:r>
      <w:r>
        <w:rPr>
          <w:rFonts w:hint="eastAsia" w:ascii="Times New Roman" w:hAnsi="Times New Roman" w:eastAsia="仿宋_GB2312" w:cs="Times New Roman"/>
          <w:bCs/>
          <w:color w:val="auto"/>
          <w:kern w:val="0"/>
          <w:sz w:val="32"/>
          <w:szCs w:val="32"/>
          <w:lang w:val="en-US" w:eastAsia="zh-CN" w:bidi="ar-SA"/>
        </w:rPr>
        <w:t>我单位预算完成率为</w:t>
      </w:r>
      <w:r>
        <w:rPr>
          <w:rFonts w:hint="eastAsia" w:ascii="Times New Roman" w:hAnsi="Times New Roman" w:eastAsia="仿宋_GB2312" w:cs="Times New Roman"/>
          <w:bCs/>
          <w:color w:val="auto"/>
          <w:kern w:val="0"/>
          <w:sz w:val="32"/>
          <w:szCs w:val="32"/>
          <w:highlight w:val="none"/>
          <w:lang w:val="en-US" w:eastAsia="zh-CN" w:bidi="ar-SA"/>
        </w:rPr>
        <w:t>100%</w:t>
      </w:r>
      <w:r>
        <w:rPr>
          <w:rFonts w:hint="eastAsia" w:ascii="Times New Roman" w:hAnsi="Times New Roman" w:eastAsia="仿宋_GB2312" w:cs="Times New Roman"/>
          <w:bCs/>
          <w:color w:val="auto"/>
          <w:kern w:val="0"/>
          <w:sz w:val="32"/>
          <w:szCs w:val="32"/>
          <w:lang w:val="en-US" w:eastAsia="zh-CN" w:bidi="ar-SA"/>
        </w:rPr>
        <w:t>；本年追加预算204.16万元，年初预算944.36万元，预算控制率为21.62%，导致预算追加的原因主要是职业年金纪实拨款、职级晋升公务交通补贴、增人增资拨款、死亡一次性抚恤金、春节特困企业慰问金等。</w:t>
      </w:r>
    </w:p>
    <w:p w14:paraId="158EAF0A">
      <w:pPr>
        <w:bidi w:val="0"/>
        <w:ind w:firstLine="640" w:firstLineChars="200"/>
        <w:rPr>
          <w:rFonts w:hint="default"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cs="Times New Roman"/>
          <w:bCs/>
          <w:color w:val="auto"/>
          <w:kern w:val="0"/>
          <w:sz w:val="32"/>
          <w:szCs w:val="32"/>
          <w:lang w:val="en-US" w:eastAsia="zh-CN" w:bidi="ar-SA"/>
        </w:rPr>
        <w:t>2023年，本部门收入实际完成1148.52万元，比上年减少166.21万元，同比下降12.64%。</w:t>
      </w:r>
      <w:r>
        <w:rPr>
          <w:rFonts w:hint="eastAsia" w:ascii="Times New Roman" w:hAnsi="Times New Roman" w:eastAsia="仿宋_GB2312" w:cs="Times New Roman"/>
          <w:bCs/>
          <w:color w:val="auto"/>
          <w:kern w:val="0"/>
          <w:sz w:val="32"/>
          <w:szCs w:val="32"/>
          <w:shd w:val="clear" w:color="auto" w:fill="auto"/>
          <w:lang w:val="en-US" w:eastAsia="zh-CN" w:bidi="ar-SA"/>
        </w:rPr>
        <w:t>主要原因是对县社的综合改革专项奖补资金由市财政直接拨付指标至县财政及社保代扣代缴政策变化、公积金医保铺底缴费基数下降。其中：一般公共预算财政拨款收入完成1140.25万元，比上年1312.8万元，减少了172.55万元，同比下降13.14%，变化的主要原因对县社的综合改革专项奖补资金由市财政直接拨付指标至县财政及社保代扣代缴政策变化、公积金医保铺底缴费基数下降。</w:t>
      </w:r>
    </w:p>
    <w:p w14:paraId="60393549">
      <w:pPr>
        <w:bidi w:val="0"/>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2023年，本部门支出实际为1148.52万元，比上年减少166.21万元，同比下降12.64%。</w:t>
      </w:r>
      <w:r>
        <w:rPr>
          <w:rFonts w:hint="eastAsia" w:ascii="Times New Roman" w:hAnsi="Times New Roman" w:eastAsia="仿宋_GB2312" w:cs="Times New Roman"/>
          <w:bCs/>
          <w:color w:val="auto"/>
          <w:kern w:val="0"/>
          <w:sz w:val="32"/>
          <w:szCs w:val="32"/>
          <w:shd w:val="clear" w:color="auto" w:fill="auto"/>
          <w:lang w:val="en-US" w:eastAsia="zh-CN" w:bidi="ar-SA"/>
        </w:rPr>
        <w:t>变化的主要原因是社保代扣政策变化、公积金医保铺底缴费基数下调。</w:t>
      </w:r>
      <w:r>
        <w:rPr>
          <w:rFonts w:hint="eastAsia" w:ascii="Times New Roman" w:hAnsi="Times New Roman" w:eastAsia="仿宋_GB2312" w:cs="Times New Roman"/>
          <w:bCs/>
          <w:color w:val="auto"/>
          <w:kern w:val="0"/>
          <w:sz w:val="32"/>
          <w:szCs w:val="32"/>
          <w:lang w:val="en-US" w:eastAsia="zh-CN" w:bidi="ar-SA"/>
        </w:rPr>
        <w:t>其中基本支出完成1133.52万元，比上年减少49.98万元，同比下降4.22%。</w:t>
      </w:r>
    </w:p>
    <w:p w14:paraId="6E5A1C53">
      <w:pPr>
        <w:bidi w:val="0"/>
        <w:ind w:firstLine="640" w:firstLineChars="200"/>
        <w:rPr>
          <w:rFonts w:hint="eastAsia"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cs="Times New Roman"/>
          <w:bCs/>
          <w:color w:val="auto"/>
          <w:kern w:val="0"/>
          <w:sz w:val="32"/>
          <w:szCs w:val="32"/>
          <w:lang w:val="en-US" w:eastAsia="zh-CN" w:bidi="ar-SA"/>
        </w:rPr>
        <w:t>项目支出15万元，比上年减少115万元，同比下降88.46%，</w:t>
      </w:r>
      <w:r>
        <w:rPr>
          <w:rFonts w:hint="eastAsia" w:ascii="Times New Roman" w:hAnsi="Times New Roman" w:eastAsia="仿宋_GB2312" w:cs="Times New Roman"/>
          <w:bCs/>
          <w:color w:val="auto"/>
          <w:kern w:val="0"/>
          <w:sz w:val="32"/>
          <w:szCs w:val="32"/>
          <w:shd w:val="clear" w:color="auto" w:fill="auto"/>
          <w:lang w:val="en-US" w:eastAsia="zh-CN" w:bidi="ar-SA"/>
        </w:rPr>
        <w:t>变化的主要原因是对县社的综合改革专项奖补资金由市财政直接拨付指标至县财政。人员经费完成905.39万元，比上年下降64.17万元，同比下降6.61%，变化的主要原因是公积金医保铺底缴费基数下降等；公用经费完成228.13万元，比上年增加65万元，同比增长39.85%；变化的主要原因是22年6月单位搬迁物业管理费用、电费、差旅费、劳务费增加，经费开支增加。</w:t>
      </w:r>
    </w:p>
    <w:p w14:paraId="555077AD">
      <w:pPr>
        <w:ind w:firstLine="643" w:firstLineChars="200"/>
        <w:rPr>
          <w:rFonts w:hint="eastAsia" w:eastAsia="仿宋_GB2312"/>
          <w:b/>
          <w:bCs/>
          <w:sz w:val="32"/>
          <w:szCs w:val="32"/>
          <w:highlight w:val="none"/>
          <w:lang w:eastAsia="zh-CN"/>
        </w:rPr>
      </w:pPr>
      <w:r>
        <w:rPr>
          <w:rFonts w:hint="eastAsia" w:eastAsia="仿宋_GB2312"/>
          <w:b/>
          <w:bCs/>
          <w:sz w:val="32"/>
          <w:szCs w:val="32"/>
          <w:highlight w:val="none"/>
          <w:lang w:eastAsia="zh-CN"/>
        </w:rPr>
        <w:t>（三）预算管理</w:t>
      </w:r>
    </w:p>
    <w:p w14:paraId="55887AC0">
      <w:pPr>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1.费用控制情况：</w:t>
      </w:r>
      <w:r>
        <w:rPr>
          <w:rFonts w:hint="eastAsia" w:ascii="Times New Roman" w:hAnsi="Times New Roman" w:eastAsia="仿宋_GB2312" w:cs="Times New Roman"/>
          <w:bCs/>
          <w:color w:val="auto"/>
          <w:kern w:val="0"/>
          <w:sz w:val="32"/>
          <w:szCs w:val="32"/>
          <w:lang w:val="en-US" w:eastAsia="zh-CN" w:bidi="ar-SA"/>
        </w:rPr>
        <w:t>2023年我单位公用经费实际支出总额为228.13万元，预算安排公用经费总额为176.71万元，公用经费控制率为129.1%；三公经费实际支出额为2.81万元，三公经费预算安排数为4万元，三公经费控制率为70.25%</w:t>
      </w:r>
      <w:r>
        <w:rPr>
          <w:rFonts w:hint="eastAsia" w:ascii="仿宋_GB2312" w:hAnsi="仿宋_GB2312" w:eastAsia="仿宋_GB2312" w:cs="仿宋_GB2312"/>
          <w:sz w:val="32"/>
          <w:szCs w:val="32"/>
          <w:highlight w:val="none"/>
          <w:lang w:val="en-US" w:eastAsia="zh-CN"/>
        </w:rPr>
        <w:t>。</w:t>
      </w:r>
    </w:p>
    <w:p w14:paraId="23176BCF">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2.管理制度健全性：</w:t>
      </w:r>
      <w:r>
        <w:rPr>
          <w:rFonts w:hint="eastAsia" w:ascii="仿宋_GB2312" w:hAnsi="仿宋_GB2312" w:eastAsia="仿宋_GB2312" w:cs="仿宋_GB2312"/>
          <w:sz w:val="32"/>
          <w:szCs w:val="32"/>
          <w:highlight w:val="none"/>
          <w:lang w:val="en-US" w:eastAsia="zh-CN"/>
        </w:rPr>
        <w:t>2022年我社建立健全了管理制度，相关制度合规合法并得到有效执行；</w:t>
      </w:r>
    </w:p>
    <w:p w14:paraId="621E7AC6">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3.资金使用合规性：</w:t>
      </w:r>
      <w:r>
        <w:rPr>
          <w:rFonts w:hint="eastAsia" w:ascii="仿宋_GB2312" w:hAnsi="仿宋_GB2312" w:eastAsia="仿宋_GB2312" w:cs="仿宋_GB2312"/>
          <w:sz w:val="32"/>
          <w:szCs w:val="32"/>
          <w:highlight w:val="none"/>
          <w:lang w:val="en-US" w:eastAsia="zh-CN"/>
        </w:rPr>
        <w:t>支出符合国家财经法规和财务管理制度规定；资金拨付有完整的审批程序和手续；支出符合部门预算批复的用途；资金使用无截留、挤占、挪用、虚列支出等情况。</w:t>
      </w:r>
    </w:p>
    <w:p w14:paraId="3F7C0610">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4.预决算信息公开性：</w:t>
      </w:r>
      <w:r>
        <w:rPr>
          <w:rFonts w:hint="eastAsia" w:ascii="仿宋_GB2312" w:hAnsi="仿宋_GB2312" w:eastAsia="仿宋_GB2312" w:cs="仿宋_GB2312"/>
          <w:sz w:val="32"/>
          <w:szCs w:val="32"/>
          <w:highlight w:val="none"/>
          <w:lang w:val="en-US" w:eastAsia="zh-CN"/>
        </w:rPr>
        <w:t>及时、准确地公开了预决算信息。</w:t>
      </w:r>
    </w:p>
    <w:p w14:paraId="532F9C4D">
      <w:pPr>
        <w:ind w:firstLine="643" w:firstLineChars="200"/>
        <w:rPr>
          <w:rFonts w:hint="eastAsia" w:eastAsia="仿宋_GB2312" w:cs="Times New Roman"/>
          <w:b/>
          <w:bCs/>
          <w:sz w:val="32"/>
          <w:szCs w:val="32"/>
          <w:highlight w:val="none"/>
          <w:lang w:eastAsia="zh-CN"/>
        </w:rPr>
      </w:pPr>
      <w:r>
        <w:rPr>
          <w:rFonts w:hint="eastAsia" w:eastAsia="仿宋_GB2312" w:cs="Times New Roman"/>
          <w:b/>
          <w:bCs/>
          <w:sz w:val="32"/>
          <w:szCs w:val="32"/>
          <w:highlight w:val="none"/>
          <w:lang w:eastAsia="zh-CN"/>
        </w:rPr>
        <w:t>（四）职责履行及履职效益</w:t>
      </w:r>
    </w:p>
    <w:p w14:paraId="19571A31">
      <w:pPr>
        <w:pStyle w:val="2"/>
        <w:rPr>
          <w:rFonts w:hint="eastAsia" w:ascii="Times New Roman" w:hAnsi="Times New Roman" w:eastAsia="仿宋_GB2312" w:cs="宋体"/>
          <w:b w:val="0"/>
          <w:bCs/>
          <w:color w:val="auto"/>
          <w:spacing w:val="0"/>
          <w:kern w:val="2"/>
          <w:sz w:val="32"/>
          <w:szCs w:val="32"/>
          <w:lang w:val="en-US" w:eastAsia="zh-CN" w:bidi="ar-SA"/>
        </w:rPr>
      </w:pPr>
      <w:r>
        <w:rPr>
          <w:rFonts w:hint="eastAsia" w:ascii="Times New Roman" w:hAnsi="Times New Roman" w:cs="宋体"/>
          <w:b w:val="0"/>
          <w:bCs/>
          <w:color w:val="auto"/>
          <w:spacing w:val="0"/>
          <w:kern w:val="2"/>
          <w:sz w:val="32"/>
          <w:szCs w:val="32"/>
          <w:lang w:val="en-US" w:eastAsia="zh-CN" w:bidi="ar-SA"/>
        </w:rPr>
        <w:t>2023年</w:t>
      </w:r>
      <w:r>
        <w:rPr>
          <w:rFonts w:hint="eastAsia" w:ascii="Times New Roman" w:hAnsi="Times New Roman" w:eastAsia="仿宋_GB2312" w:cs="宋体"/>
          <w:b w:val="0"/>
          <w:bCs/>
          <w:color w:val="auto"/>
          <w:spacing w:val="0"/>
          <w:kern w:val="2"/>
          <w:sz w:val="32"/>
          <w:szCs w:val="32"/>
          <w:lang w:val="en-US" w:eastAsia="zh-CN" w:bidi="ar-SA"/>
        </w:rPr>
        <w:t>在市委市政府的坚强领导和省社的正确指导下，紧紧围绕“为农服务、推进城乡融合发展”工作思路，大力实施“强基强能”工程，全面推动“两个到户”，拓展为农服务领域，完善供销服务体系建设，不断开拓供销事业新局面。</w:t>
      </w:r>
    </w:p>
    <w:p w14:paraId="1D894429">
      <w:pPr>
        <w:pStyle w:val="5"/>
        <w:spacing w:after="0" w:afterAutospacing="0"/>
        <w:ind w:firstLine="643" w:firstLineChars="200"/>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1.</w:t>
      </w:r>
      <w:r>
        <w:rPr>
          <w:rFonts w:hint="eastAsia" w:ascii="楷体_GB2312" w:hAnsi="Calibri" w:eastAsia="楷体_GB2312" w:cs="Times New Roman"/>
          <w:b/>
          <w:kern w:val="2"/>
          <w:sz w:val="32"/>
          <w:szCs w:val="32"/>
          <w:lang w:val="en-US" w:eastAsia="zh-CN" w:bidi="ar-SA"/>
        </w:rPr>
        <w:t>以城乡融合为路径，探索供销综合改革新模式。</w:t>
      </w:r>
    </w:p>
    <w:p w14:paraId="5084DB1F">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宋体"/>
          <w:b w:val="0"/>
          <w:bCs/>
          <w:color w:val="auto"/>
          <w:spacing w:val="0"/>
          <w:kern w:val="2"/>
          <w:sz w:val="32"/>
          <w:szCs w:val="32"/>
          <w:lang w:val="en-US" w:eastAsia="zh-CN" w:bidi="ar-SA"/>
        </w:rPr>
      </w:pPr>
      <w:r>
        <w:rPr>
          <w:rFonts w:hint="eastAsia" w:ascii="楷体" w:hAnsi="楷体" w:eastAsia="楷体" w:cs="楷体"/>
          <w:b/>
          <w:bCs/>
          <w:i w:val="0"/>
          <w:color w:val="000000"/>
          <w:spacing w:val="0"/>
          <w:w w:val="100"/>
          <w:kern w:val="2"/>
          <w:sz w:val="32"/>
          <w:szCs w:val="32"/>
          <w:lang w:val="en-US" w:eastAsia="zh-CN" w:bidi="ar-SA"/>
        </w:rPr>
        <w:t>一是影响大，各方高度重视。</w:t>
      </w:r>
      <w:r>
        <w:rPr>
          <w:rFonts w:hint="eastAsia" w:ascii="Times New Roman" w:hAnsi="Times New Roman" w:eastAsia="仿宋_GB2312" w:cs="宋体"/>
          <w:b w:val="0"/>
          <w:bCs/>
          <w:color w:val="auto"/>
          <w:spacing w:val="0"/>
          <w:kern w:val="2"/>
          <w:sz w:val="32"/>
          <w:szCs w:val="32"/>
          <w:lang w:val="en-US" w:eastAsia="zh-CN" w:bidi="ar-SA"/>
        </w:rPr>
        <w:t>衡阳市搭建全国首家城乡产业运营平台的经验做法引起各方关注。今年以来广西贵港市供销合作社、中华合作时报联合调研团、省社周晓理主任先后到我市专题调研城乡产业运营平台建设工作。全省供销合作社基层组织建设暨农业社会化服务推进会在我市召开。全省首个“乡村振兴观察点”落户衡阳市社。</w:t>
      </w:r>
    </w:p>
    <w:p w14:paraId="712AE2AF">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楷体" w:hAnsi="楷体" w:eastAsia="楷体" w:cs="楷体"/>
          <w:b/>
          <w:bCs/>
          <w:i w:val="0"/>
          <w:color w:val="000000"/>
          <w:spacing w:val="0"/>
          <w:w w:val="100"/>
          <w:kern w:val="2"/>
          <w:sz w:val="32"/>
          <w:szCs w:val="32"/>
          <w:lang w:val="en-US" w:eastAsia="zh-CN" w:bidi="ar-SA"/>
        </w:rPr>
        <w:t>二是载体新，发展态势良好。</w:t>
      </w:r>
      <w:r>
        <w:rPr>
          <w:rFonts w:hint="eastAsia" w:ascii="仿宋_GB2312" w:hAnsi="微软雅黑" w:eastAsia="仿宋_GB2312" w:cs="仿宋_GB2312"/>
          <w:i w:val="0"/>
          <w:color w:val="auto"/>
          <w:spacing w:val="0"/>
          <w:kern w:val="0"/>
          <w:sz w:val="32"/>
          <w:szCs w:val="32"/>
          <w:shd w:val="clear" w:color="auto" w:fill="FFFFFF"/>
          <w:lang w:val="en-US" w:eastAsia="zh-CN" w:bidi="ar"/>
        </w:rPr>
        <w:t>市城乡产业运营集团有限公司、衡阳数字供销有限公司、集团产品销售中心、</w:t>
      </w:r>
      <w:r>
        <w:rPr>
          <w:rFonts w:hint="eastAsia" w:ascii="仿宋_GB2312" w:hAnsi="仿宋_GB2312" w:eastAsia="仿宋_GB2312" w:cs="仿宋_GB2312"/>
          <w:color w:val="auto"/>
          <w:spacing w:val="0"/>
          <w:sz w:val="32"/>
          <w:szCs w:val="32"/>
          <w:lang w:val="en-US" w:eastAsia="zh-CN"/>
        </w:rPr>
        <w:t>市新三湘供销现代农业服务有限公司</w:t>
      </w:r>
      <w:r>
        <w:rPr>
          <w:rFonts w:hint="eastAsia" w:ascii="仿宋_GB2312" w:hAnsi="微软雅黑" w:eastAsia="仿宋_GB2312" w:cs="仿宋_GB2312"/>
          <w:i w:val="0"/>
          <w:color w:val="auto"/>
          <w:spacing w:val="0"/>
          <w:kern w:val="0"/>
          <w:sz w:val="32"/>
          <w:szCs w:val="32"/>
          <w:shd w:val="clear" w:color="auto" w:fill="FFFFFF"/>
          <w:lang w:val="en-US" w:eastAsia="zh-CN" w:bidi="ar"/>
        </w:rPr>
        <w:t>先后成立并投入运营。</w:t>
      </w:r>
    </w:p>
    <w:p w14:paraId="63376044">
      <w:pPr>
        <w:pStyle w:val="10"/>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Times New Roman"/>
          <w:spacing w:val="0"/>
          <w:kern w:val="2"/>
          <w:sz w:val="32"/>
          <w:szCs w:val="32"/>
          <w:lang w:val="en-US" w:eastAsia="zh-CN" w:bidi="ar-SA"/>
        </w:rPr>
      </w:pPr>
      <w:r>
        <w:rPr>
          <w:rFonts w:hint="eastAsia" w:ascii="楷体" w:hAnsi="楷体" w:eastAsia="楷体" w:cs="楷体"/>
          <w:b/>
          <w:bCs/>
          <w:i w:val="0"/>
          <w:color w:val="000000"/>
          <w:spacing w:val="0"/>
          <w:w w:val="100"/>
          <w:kern w:val="2"/>
          <w:sz w:val="32"/>
          <w:szCs w:val="32"/>
          <w:lang w:val="en-US" w:eastAsia="zh-CN" w:bidi="ar-SA"/>
        </w:rPr>
        <w:t>三是形式活，多方普遍受益。</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衡阳县</w:t>
      </w:r>
      <w:r>
        <w:rPr>
          <w:rFonts w:hint="eastAsia" w:ascii="仿宋_GB2312" w:hAnsi="仿宋_GB2312" w:eastAsia="仿宋_GB2312" w:cs="仿宋_GB2312"/>
          <w:spacing w:val="0"/>
          <w:sz w:val="32"/>
          <w:szCs w:val="32"/>
          <w:lang w:val="en-US" w:eastAsia="zh-CN"/>
        </w:rPr>
        <w:t>演陂桥村公司以闲置粮站资产出资，引进8家企业入驻，引进社会资本投资2000万元，园内企业年营收1亿余元，利税近1000万元。</w:t>
      </w:r>
      <w:r>
        <w:rPr>
          <w:rFonts w:hint="eastAsia" w:ascii="Times New Roman" w:hAnsi="Times New Roman" w:eastAsia="仿宋_GB2312"/>
          <w:color w:val="auto"/>
          <w:spacing w:val="0"/>
          <w:sz w:val="32"/>
          <w:szCs w:val="32"/>
          <w:lang w:eastAsia="zh-CN"/>
        </w:rPr>
        <w:t>通过“农资团购”形式，以出厂价整村直发农资，既保证了农资质量，又帮助村民节</w:t>
      </w:r>
      <w:r>
        <w:rPr>
          <w:rFonts w:hint="eastAsia" w:ascii="仿宋_GB2312" w:hAnsi="仿宋_GB2312" w:eastAsia="仿宋_GB2312" w:cs="Times New Roman"/>
          <w:spacing w:val="0"/>
          <w:kern w:val="2"/>
          <w:sz w:val="32"/>
          <w:szCs w:val="32"/>
          <w:lang w:val="en-US" w:eastAsia="zh-CN" w:bidi="ar-SA"/>
        </w:rPr>
        <w:t>省成本近20万元。市公司打造的“供销品牌”——船山源饮用水年销售额突破400万元，已具备盈利能力。</w:t>
      </w:r>
    </w:p>
    <w:p w14:paraId="774DFC16">
      <w:pPr>
        <w:pStyle w:val="10"/>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Times New Roman"/>
          <w:spacing w:val="0"/>
          <w:kern w:val="2"/>
          <w:sz w:val="32"/>
          <w:szCs w:val="32"/>
          <w:lang w:val="en-US" w:eastAsia="zh-CN" w:bidi="ar-SA"/>
        </w:rPr>
      </w:pPr>
    </w:p>
    <w:p w14:paraId="7BC62678">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2.</w:t>
      </w:r>
      <w:r>
        <w:rPr>
          <w:rFonts w:hint="eastAsia" w:ascii="楷体_GB2312" w:hAnsi="Calibri" w:eastAsia="楷体_GB2312" w:cs="Times New Roman"/>
          <w:b/>
          <w:kern w:val="2"/>
          <w:sz w:val="32"/>
          <w:szCs w:val="32"/>
          <w:lang w:val="en-US" w:eastAsia="zh-CN" w:bidi="ar-SA"/>
        </w:rPr>
        <w:t>以夯实基层为目标，为农服务能力新提升</w:t>
      </w:r>
    </w:p>
    <w:p w14:paraId="221D98C1">
      <w:pPr>
        <w:pStyle w:val="10"/>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pacing w:val="0"/>
          <w:kern w:val="2"/>
          <w:sz w:val="32"/>
          <w:szCs w:val="32"/>
          <w:lang w:val="en-US" w:eastAsia="zh-CN" w:bidi="ar-SA"/>
        </w:rPr>
      </w:pPr>
      <w:r>
        <w:rPr>
          <w:rFonts w:hint="eastAsia" w:ascii="楷体" w:hAnsi="楷体" w:eastAsia="楷体" w:cs="楷体"/>
          <w:b/>
          <w:bCs/>
          <w:i w:val="0"/>
          <w:color w:val="000000"/>
          <w:spacing w:val="0"/>
          <w:w w:val="100"/>
          <w:kern w:val="2"/>
          <w:sz w:val="32"/>
          <w:szCs w:val="32"/>
          <w:lang w:val="en-US" w:eastAsia="zh-CN" w:bidi="ar-SA"/>
        </w:rPr>
        <w:t>一是保持战略定力。</w:t>
      </w:r>
      <w:r>
        <w:rPr>
          <w:rFonts w:hint="eastAsia" w:ascii="仿宋_GB2312" w:hAnsi="仿宋_GB2312" w:eastAsia="仿宋_GB2312" w:cs="仿宋_GB2312"/>
          <w:spacing w:val="0"/>
          <w:sz w:val="32"/>
          <w:szCs w:val="32"/>
          <w:lang w:val="en-US" w:eastAsia="zh-CN"/>
        </w:rPr>
        <w:t>按照“乡覆盖、村优选、联关口、补缺口”的总要求，</w:t>
      </w:r>
      <w:r>
        <w:rPr>
          <w:rFonts w:hint="eastAsia" w:ascii="仿宋_GB2312" w:hAnsi="仿宋_GB2312" w:eastAsia="仿宋_GB2312" w:cs="仿宋_GB2312"/>
          <w:spacing w:val="0"/>
          <w:kern w:val="2"/>
          <w:sz w:val="32"/>
          <w:szCs w:val="32"/>
          <w:lang w:val="en-US" w:eastAsia="zh-CN" w:bidi="ar-SA"/>
        </w:rPr>
        <w:t>恢复和建立基层供销社537家。</w:t>
      </w:r>
      <w:r>
        <w:rPr>
          <w:rFonts w:hint="eastAsia" w:ascii="仿宋_GB2312" w:hAnsi="仿宋_GB2312" w:eastAsia="仿宋_GB2312" w:cs="仿宋_GB2312"/>
          <w:sz w:val="32"/>
          <w:szCs w:val="32"/>
          <w:lang w:val="en-US" w:eastAsia="zh-CN"/>
        </w:rPr>
        <w:t>对120家基层社进行编码，</w:t>
      </w:r>
      <w:r>
        <w:rPr>
          <w:rFonts w:hint="eastAsia" w:ascii="仿宋_GB2312" w:hAnsi="仿宋_GB2312" w:eastAsia="仿宋_GB2312" w:cs="仿宋_GB2312"/>
          <w:color w:val="auto"/>
          <w:sz w:val="32"/>
          <w:szCs w:val="32"/>
          <w:lang w:val="en-US" w:eastAsia="zh-CN"/>
        </w:rPr>
        <w:t>创建7家高质量基层社。</w:t>
      </w:r>
      <w:r>
        <w:rPr>
          <w:rFonts w:hint="eastAsia" w:ascii="仿宋_GB2312" w:hAnsi="仿宋_GB2312" w:eastAsia="仿宋_GB2312" w:cs="仿宋_GB2312"/>
          <w:spacing w:val="0"/>
          <w:kern w:val="2"/>
          <w:sz w:val="32"/>
          <w:szCs w:val="32"/>
          <w:lang w:val="en-US" w:eastAsia="zh-CN" w:bidi="ar-SA"/>
        </w:rPr>
        <w:t>衡阳县编办发文在乡镇农业综合服务中心加挂乡镇供销社牌子，明确专职工作人员。衡东县深改领导小组发文成立乡镇、村（社区）供销社，实现全覆盖。</w:t>
      </w:r>
    </w:p>
    <w:p w14:paraId="0EB73B72">
      <w:pPr>
        <w:pStyle w:val="10"/>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pacing w:val="0"/>
          <w:sz w:val="32"/>
          <w:szCs w:val="32"/>
          <w:lang w:val="en-US" w:eastAsia="zh-CN"/>
        </w:rPr>
      </w:pPr>
      <w:r>
        <w:rPr>
          <w:rFonts w:hint="eastAsia" w:ascii="楷体" w:hAnsi="楷体" w:eastAsia="楷体" w:cs="楷体"/>
          <w:b/>
          <w:bCs/>
          <w:i w:val="0"/>
          <w:color w:val="000000"/>
          <w:spacing w:val="0"/>
          <w:w w:val="100"/>
          <w:kern w:val="2"/>
          <w:sz w:val="32"/>
          <w:szCs w:val="32"/>
          <w:lang w:val="en-US" w:eastAsia="zh-CN" w:bidi="ar-SA"/>
        </w:rPr>
        <w:t>二是增强带动能力。</w:t>
      </w:r>
      <w:r>
        <w:rPr>
          <w:rFonts w:hint="eastAsia" w:ascii="仿宋_GB2312" w:eastAsia="仿宋_GB2312" w:cs="仿宋_GB2312"/>
          <w:spacing w:val="0"/>
          <w:sz w:val="32"/>
          <w:szCs w:val="32"/>
        </w:rPr>
        <w:t>全市</w:t>
      </w:r>
      <w:r>
        <w:rPr>
          <w:rFonts w:hint="eastAsia" w:ascii="仿宋_GB2312" w:eastAsia="仿宋_GB2312" w:cs="仿宋_GB2312"/>
          <w:spacing w:val="0"/>
          <w:sz w:val="32"/>
          <w:szCs w:val="32"/>
          <w:lang w:eastAsia="zh-CN"/>
        </w:rPr>
        <w:t>成立农业社会化服务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大联盟</w:t>
      </w:r>
      <w:r>
        <w:rPr>
          <w:rFonts w:hint="eastAsia" w:ascii="仿宋_GB2312" w:hAnsi="仿宋_GB2312" w:eastAsia="仿宋_GB2312" w:cs="仿宋_GB2312"/>
          <w:spacing w:val="0"/>
          <w:sz w:val="32"/>
          <w:szCs w:val="32"/>
          <w:lang w:eastAsia="zh-CN"/>
        </w:rPr>
        <w:t>”。截止目前，</w:t>
      </w:r>
      <w:r>
        <w:rPr>
          <w:rFonts w:hint="eastAsia" w:ascii="仿宋_GB2312" w:hAnsi="仿宋_GB2312" w:eastAsia="仿宋_GB2312" w:cs="仿宋_GB2312"/>
          <w:sz w:val="32"/>
          <w:szCs w:val="32"/>
          <w:lang w:val="en-US" w:eastAsia="zh-CN"/>
        </w:rPr>
        <w:t>大联盟平台各方主体累计数量727个，其中农业生产组织493个，农业服务组织191个，农资生产企业9个，农机生产企业3个，银行机构16个，保险机构7个，数量在全省排名靠前。</w:t>
      </w:r>
      <w:r>
        <w:rPr>
          <w:rFonts w:hint="eastAsia" w:ascii="仿宋_GB2312" w:hAnsi="仿宋_GB2312" w:eastAsia="仿宋_GB2312" w:cs="仿宋_GB2312"/>
          <w:spacing w:val="0"/>
          <w:sz w:val="32"/>
          <w:szCs w:val="32"/>
          <w:lang w:eastAsia="zh-CN"/>
        </w:rPr>
        <w:t>服务面积</w:t>
      </w:r>
      <w:r>
        <w:rPr>
          <w:rFonts w:hint="eastAsia" w:ascii="仿宋_GB2312" w:hAnsi="仿宋_GB2312" w:eastAsia="仿宋_GB2312" w:cs="仿宋_GB2312"/>
          <w:spacing w:val="0"/>
          <w:sz w:val="32"/>
          <w:szCs w:val="32"/>
          <w:lang w:val="en-US" w:eastAsia="zh-CN"/>
        </w:rPr>
        <w:t>11.03万</w:t>
      </w:r>
      <w:r>
        <w:rPr>
          <w:rFonts w:hint="eastAsia" w:ascii="仿宋_GB2312" w:hAnsi="仿宋_GB2312" w:eastAsia="仿宋_GB2312" w:cs="仿宋_GB2312"/>
          <w:spacing w:val="0"/>
          <w:sz w:val="32"/>
          <w:szCs w:val="32"/>
        </w:rPr>
        <w:t>亩,</w:t>
      </w:r>
      <w:r>
        <w:rPr>
          <w:rFonts w:hint="eastAsia" w:ascii="仿宋_GB2312" w:hAnsi="仿宋_GB2312" w:eastAsia="仿宋_GB2312" w:cs="仿宋_GB2312"/>
          <w:spacing w:val="0"/>
          <w:sz w:val="32"/>
          <w:szCs w:val="32"/>
          <w:lang w:eastAsia="zh-CN"/>
        </w:rPr>
        <w:t>为衡阳市争取中央财政资金</w:t>
      </w:r>
      <w:r>
        <w:rPr>
          <w:rFonts w:hint="eastAsia" w:ascii="仿宋_GB2312" w:hAnsi="仿宋_GB2312" w:eastAsia="仿宋_GB2312" w:cs="仿宋_GB2312"/>
          <w:spacing w:val="0"/>
          <w:sz w:val="32"/>
          <w:szCs w:val="32"/>
          <w:lang w:val="en-US" w:eastAsia="zh-CN"/>
        </w:rPr>
        <w:t>981.8万元，</w:t>
      </w:r>
      <w:r>
        <w:rPr>
          <w:rFonts w:hint="eastAsia" w:ascii="仿宋_GB2312" w:hAnsi="仿宋_GB2312" w:eastAsia="仿宋_GB2312" w:cs="仿宋_GB2312"/>
          <w:spacing w:val="0"/>
          <w:sz w:val="32"/>
          <w:szCs w:val="32"/>
        </w:rPr>
        <w:t>服务带动农户</w:t>
      </w:r>
      <w:r>
        <w:rPr>
          <w:rFonts w:hint="eastAsia" w:ascii="仿宋_GB2312" w:hAnsi="仿宋_GB2312" w:eastAsia="仿宋_GB2312" w:cs="仿宋_GB2312"/>
          <w:spacing w:val="0"/>
          <w:sz w:val="32"/>
          <w:szCs w:val="32"/>
          <w:lang w:val="en-US" w:eastAsia="zh-CN"/>
        </w:rPr>
        <w:t>11万</w:t>
      </w:r>
      <w:r>
        <w:rPr>
          <w:rFonts w:hint="eastAsia" w:ascii="仿宋_GB2312" w:hAnsi="仿宋_GB2312" w:eastAsia="仿宋_GB2312" w:cs="仿宋_GB2312"/>
          <w:spacing w:val="0"/>
          <w:sz w:val="32"/>
          <w:szCs w:val="32"/>
        </w:rPr>
        <w:t>户。</w:t>
      </w:r>
      <w:r>
        <w:rPr>
          <w:rFonts w:hint="eastAsia" w:ascii="仿宋_GB2312" w:hAnsi="微软雅黑" w:eastAsia="仿宋_GB2312" w:cs="仿宋_GB2312"/>
          <w:i w:val="0"/>
          <w:color w:val="auto"/>
          <w:spacing w:val="0"/>
          <w:kern w:val="0"/>
          <w:sz w:val="32"/>
          <w:szCs w:val="32"/>
          <w:shd w:val="clear" w:color="auto" w:fill="FFFFFF"/>
          <w:lang w:val="en-US" w:eastAsia="zh-CN" w:bidi="ar"/>
        </w:rPr>
        <w:t>我市</w:t>
      </w:r>
      <w:r>
        <w:rPr>
          <w:rFonts w:hint="eastAsia" w:ascii="仿宋_GB2312" w:hAnsi="仿宋_GB2312" w:eastAsia="仿宋_GB2312" w:cs="仿宋_GB2312"/>
          <w:spacing w:val="0"/>
          <w:sz w:val="32"/>
          <w:szCs w:val="32"/>
          <w:lang w:val="en-US" w:eastAsia="zh-CN"/>
        </w:rPr>
        <w:t>5个县（市）入选全省供销合作社</w:t>
      </w:r>
      <w:r>
        <w:rPr>
          <w:rFonts w:hint="eastAsia" w:ascii="仿宋_GB2312" w:hAnsi="仿宋_GB2312" w:eastAsia="仿宋_GB2312" w:cs="仿宋_GB2312"/>
          <w:spacing w:val="0"/>
          <w:sz w:val="32"/>
          <w:szCs w:val="32"/>
          <w:lang w:eastAsia="zh-CN"/>
        </w:rPr>
        <w:t>农业社会化服务试点县，服务面积</w:t>
      </w:r>
      <w:r>
        <w:rPr>
          <w:rFonts w:hint="eastAsia" w:ascii="仿宋_GB2312" w:hAnsi="仿宋_GB2312" w:eastAsia="仿宋_GB2312" w:cs="仿宋_GB2312"/>
          <w:spacing w:val="0"/>
          <w:sz w:val="32"/>
          <w:szCs w:val="32"/>
          <w:lang w:val="en-US" w:eastAsia="zh-CN"/>
        </w:rPr>
        <w:t>占全省系统十分之一。</w:t>
      </w:r>
    </w:p>
    <w:p w14:paraId="453C058D">
      <w:pPr>
        <w:pStyle w:val="10"/>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楷体" w:hAnsi="楷体" w:eastAsia="楷体" w:cs="楷体"/>
          <w:b/>
          <w:bCs/>
          <w:i w:val="0"/>
          <w:color w:val="000000"/>
          <w:spacing w:val="0"/>
          <w:w w:val="100"/>
          <w:kern w:val="2"/>
          <w:sz w:val="32"/>
          <w:szCs w:val="32"/>
          <w:lang w:val="en-US" w:eastAsia="zh-CN" w:bidi="ar-SA"/>
        </w:rPr>
        <w:t>三是激活基层活力。</w:t>
      </w:r>
      <w:r>
        <w:rPr>
          <w:rFonts w:hint="eastAsia" w:ascii="仿宋_GB2312" w:hAnsi="微软雅黑" w:eastAsia="仿宋_GB2312" w:cs="仿宋_GB2312"/>
          <w:i w:val="0"/>
          <w:color w:val="000000"/>
          <w:spacing w:val="0"/>
          <w:kern w:val="0"/>
          <w:sz w:val="32"/>
          <w:szCs w:val="32"/>
          <w:shd w:val="clear" w:color="auto" w:fill="FFFFFF"/>
          <w:lang w:val="en-US" w:eastAsia="zh-CN" w:bidi="ar"/>
        </w:rPr>
        <w:t>各</w:t>
      </w:r>
      <w:r>
        <w:rPr>
          <w:rFonts w:hint="eastAsia" w:ascii="仿宋_GB2312" w:hAnsi="微软雅黑" w:eastAsia="仿宋_GB2312" w:cs="仿宋_GB2312"/>
          <w:i w:val="0"/>
          <w:color w:val="000000"/>
          <w:spacing w:val="0"/>
          <w:kern w:val="0"/>
          <w:sz w:val="32"/>
          <w:szCs w:val="32"/>
          <w:shd w:val="clear" w:color="auto" w:fill="FFFFFF"/>
          <w:lang w:val="en" w:eastAsia="zh-CN" w:bidi="ar"/>
        </w:rPr>
        <w:t>县市同步开展城乡产业运营试点工作，</w:t>
      </w:r>
      <w:r>
        <w:rPr>
          <w:rFonts w:hint="eastAsia" w:ascii="仿宋_GB2312" w:hAnsi="微软雅黑" w:eastAsia="仿宋_GB2312" w:cs="仿宋_GB2312"/>
          <w:i w:val="0"/>
          <w:color w:val="000000"/>
          <w:spacing w:val="0"/>
          <w:kern w:val="0"/>
          <w:sz w:val="32"/>
          <w:szCs w:val="32"/>
          <w:shd w:val="clear" w:color="auto" w:fill="FFFFFF"/>
          <w:lang w:val="en-US" w:eastAsia="zh-CN" w:bidi="ar"/>
        </w:rPr>
        <w:t>除衡南县向阳供销社外，均由乡镇政府分管领导兼任乡镇供销社主任和公司经理，村级公司成了名副其实的“强村公司”，</w:t>
      </w:r>
      <w:r>
        <w:rPr>
          <w:rFonts w:hint="eastAsia" w:ascii="仿宋_GB2312" w:hAnsi="仿宋_GB2312" w:eastAsia="仿宋_GB2312" w:cs="仿宋_GB2312"/>
          <w:spacing w:val="0"/>
          <w:sz w:val="32"/>
          <w:szCs w:val="32"/>
          <w:lang w:val="en-US" w:eastAsia="zh-CN"/>
        </w:rPr>
        <w:t>真正突破了村集体经济虚化、村党组织弱化、村民创收渠道固化的困境，</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村“两委”公信力得以提高，党在农村的执政基础得以巩固。</w:t>
      </w:r>
    </w:p>
    <w:p w14:paraId="669A47C7">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楷体_GB2312"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3.以搭建平台为抓手，促进乡村振兴迈向新台阶</w:t>
      </w:r>
    </w:p>
    <w:p w14:paraId="05BE6EA6">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color w:val="auto"/>
          <w:kern w:val="0"/>
          <w:sz w:val="32"/>
          <w:szCs w:val="32"/>
          <w:lang w:val="en-US" w:eastAsia="zh-CN" w:bidi="ar"/>
        </w:rPr>
        <w:t>一是提升农资保障能力。</w:t>
      </w:r>
      <w:r>
        <w:rPr>
          <w:rFonts w:hint="eastAsia" w:ascii="仿宋_GB2312" w:hAnsi="仿宋_GB2312" w:eastAsia="仿宋_GB2312" w:cs="仿宋_GB2312"/>
          <w:b w:val="0"/>
          <w:bCs/>
          <w:color w:val="auto"/>
          <w:kern w:val="0"/>
          <w:sz w:val="32"/>
          <w:szCs w:val="32"/>
          <w:lang w:val="en-US" w:eastAsia="zh-CN" w:bidi="ar"/>
        </w:rPr>
        <w:t>先后成立</w:t>
      </w:r>
      <w:r>
        <w:rPr>
          <w:rFonts w:hint="eastAsia" w:ascii="仿宋_GB2312" w:hAnsi="仿宋_GB2312" w:eastAsia="仿宋_GB2312" w:cs="仿宋_GB2312"/>
          <w:b w:val="0"/>
          <w:bCs/>
          <w:sz w:val="32"/>
          <w:szCs w:val="32"/>
          <w:lang w:val="en-US" w:eastAsia="zh-CN"/>
        </w:rPr>
        <w:t>衡</w:t>
      </w:r>
      <w:r>
        <w:rPr>
          <w:rFonts w:hint="eastAsia" w:ascii="仿宋_GB2312" w:hAnsi="仿宋_GB2312" w:eastAsia="仿宋_GB2312" w:cs="仿宋_GB2312"/>
          <w:b w:val="0"/>
          <w:bCs w:val="0"/>
          <w:sz w:val="32"/>
          <w:szCs w:val="32"/>
          <w:lang w:val="en-US" w:eastAsia="zh-CN"/>
        </w:rPr>
        <w:t>阳市新三湘现代农业发展有限公司、衡南新三湘供销现代农业服务有限公司，填补了农资供应空白。市县农资公司将充分利用省新三湘公司的网络、渠道、资源等优势，构筑省、市、县、乡三级供销社惠农服务新格局，扩大农资连锁经营网络的覆盖范围和市场控制力，切实承接好省、市、县化肥商业储备工作，不断提升供销社服务"三农"综合能力。</w:t>
      </w:r>
    </w:p>
    <w:p w14:paraId="1B9533BE">
      <w:pPr>
        <w:keepNext w:val="0"/>
        <w:keepLines w:val="0"/>
        <w:pageBreakBefore w:val="0"/>
        <w:kinsoku/>
        <w:wordWrap/>
        <w:topLinePunct w:val="0"/>
        <w:autoSpaceDE/>
        <w:autoSpaceDN/>
        <w:bidi w:val="0"/>
        <w:spacing w:line="560" w:lineRule="exact"/>
        <w:ind w:firstLine="482" w:firstLineChars="15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kern w:val="0"/>
          <w:sz w:val="32"/>
          <w:szCs w:val="32"/>
          <w:lang w:val="en-US" w:eastAsia="zh-CN" w:bidi="ar"/>
        </w:rPr>
        <w:t>二是推动数字供销建设。</w:t>
      </w:r>
      <w:r>
        <w:rPr>
          <w:rFonts w:hint="eastAsia" w:ascii="仿宋_GB2312" w:hAnsi="仿宋_GB2312" w:eastAsia="仿宋_GB2312" w:cs="仿宋_GB2312"/>
          <w:color w:val="auto"/>
          <w:sz w:val="32"/>
          <w:szCs w:val="32"/>
          <w:lang w:val="en-US" w:eastAsia="zh-CN"/>
        </w:rPr>
        <w:t>衡阳数字供销有限公司，大力实施城乡产业融合发展战略、数字乡村建设，构建农业产业链、供应链体系，集交易、物流、冷链、信息服务功能于一体的综合平台。启动衡阳“一乡一品”产业促进计划，梳理打造出优势地域品牌，目前已与衡阳鱼丸、渣江米粉、金甲岭萝卜、常宁无渣生姜等农合会企业签订了战略合作协议，共同打造本土知名“土特产”。</w:t>
      </w:r>
    </w:p>
    <w:p w14:paraId="614797A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val="0"/>
          <w:color w:val="auto"/>
          <w:kern w:val="0"/>
          <w:sz w:val="32"/>
          <w:szCs w:val="32"/>
          <w:lang w:val="en-US" w:eastAsia="zh-CN" w:bidi="ar"/>
        </w:rPr>
        <w:t>三是巩固消费帮扶成果。</w:t>
      </w:r>
      <w:r>
        <w:rPr>
          <w:rFonts w:hint="eastAsia" w:ascii="仿宋_GB2312" w:hAnsi="仿宋_GB2312" w:eastAsia="仿宋_GB2312" w:cs="仿宋_GB2312"/>
          <w:b w:val="0"/>
          <w:bCs/>
          <w:color w:val="auto"/>
          <w:kern w:val="0"/>
          <w:sz w:val="32"/>
          <w:szCs w:val="32"/>
          <w:lang w:val="en-US" w:eastAsia="zh-CN" w:bidi="ar"/>
        </w:rPr>
        <w:t>积极</w:t>
      </w:r>
      <w:r>
        <w:rPr>
          <w:rFonts w:hint="eastAsia" w:ascii="仿宋_GB2312" w:hAnsi="仿宋_GB2312" w:eastAsia="仿宋_GB2312" w:cs="仿宋_GB2312"/>
          <w:i w:val="0"/>
          <w:caps w:val="0"/>
          <w:color w:val="000000"/>
          <w:spacing w:val="0"/>
          <w:sz w:val="32"/>
          <w:szCs w:val="32"/>
          <w:lang w:eastAsia="zh-CN"/>
        </w:rPr>
        <w:t>协调消费帮扶平台，</w:t>
      </w:r>
      <w:r>
        <w:rPr>
          <w:rFonts w:hint="eastAsia" w:ascii="仿宋_GB2312" w:hAnsi="仿宋_GB2312" w:eastAsia="仿宋_GB2312" w:cs="仿宋_GB2312"/>
          <w:i w:val="0"/>
          <w:caps w:val="0"/>
          <w:color w:val="000000"/>
          <w:spacing w:val="0"/>
          <w:sz w:val="32"/>
          <w:szCs w:val="32"/>
        </w:rPr>
        <w:t>充分发挥政府采购平台功能，加强脱贫地区农副产品产销对接，</w:t>
      </w:r>
      <w:r>
        <w:rPr>
          <w:rFonts w:hint="eastAsia" w:ascii="仿宋_GB2312" w:hAnsi="仿宋_GB2312" w:eastAsia="仿宋_GB2312" w:cs="仿宋_GB2312"/>
          <w:i w:val="0"/>
          <w:caps w:val="0"/>
          <w:color w:val="000000"/>
          <w:spacing w:val="0"/>
          <w:sz w:val="32"/>
          <w:szCs w:val="32"/>
          <w:lang w:eastAsia="zh-CN"/>
        </w:rPr>
        <w:t>不断提高消费帮扶力度</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组织市城乡产业运营集团产品销售中心、市数字供销有限公司、市消费帮扶平台、香江百货，耒阳福</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源乡村物流等公司负责人，干饭兄弟、饭匹兄弟等衡阳头部抖音账号运营负责人赴永顺县对接消费</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帮</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扶工作</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000000"/>
          <w:spacing w:val="0"/>
          <w:sz w:val="32"/>
          <w:szCs w:val="32"/>
        </w:rPr>
        <w:t>为巩固拓展脱贫攻坚成果、全面推进乡村振兴</w:t>
      </w:r>
      <w:r>
        <w:rPr>
          <w:rFonts w:hint="eastAsia" w:ascii="仿宋_GB2312" w:hAnsi="仿宋_GB2312" w:eastAsia="仿宋_GB2312" w:cs="仿宋_GB2312"/>
          <w:i w:val="0"/>
          <w:caps w:val="0"/>
          <w:color w:val="000000"/>
          <w:spacing w:val="0"/>
          <w:sz w:val="32"/>
          <w:szCs w:val="32"/>
          <w:lang w:eastAsia="zh-CN"/>
        </w:rPr>
        <w:t>作出</w:t>
      </w:r>
      <w:r>
        <w:rPr>
          <w:rFonts w:hint="eastAsia" w:ascii="仿宋_GB2312" w:hAnsi="仿宋_GB2312" w:eastAsia="仿宋_GB2312" w:cs="仿宋_GB2312"/>
          <w:i w:val="0"/>
          <w:caps w:val="0"/>
          <w:color w:val="000000"/>
          <w:spacing w:val="0"/>
          <w:sz w:val="32"/>
          <w:szCs w:val="32"/>
        </w:rPr>
        <w:t>供销新贡献。</w:t>
      </w:r>
    </w:p>
    <w:p w14:paraId="7211305E">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四是持续做好产品营销。</w:t>
      </w:r>
      <w:r>
        <w:rPr>
          <w:rFonts w:hint="eastAsia" w:ascii="仿宋_GB2312" w:hAnsi="仿宋_GB2312" w:eastAsia="仿宋_GB2312" w:cs="仿宋_GB2312"/>
          <w:color w:val="auto"/>
          <w:sz w:val="32"/>
          <w:szCs w:val="32"/>
          <w:lang w:val="en-US" w:eastAsia="zh-CN"/>
        </w:rPr>
        <w:t>联合市商务局承办“云上惠选、乐购雁城”2023衡阳网上年货节，活动期间共实现本地网络零售额超4900万元，同比增长14%。组织13家企业100多种本地优质“湘品”参加博览会湖南专区展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color w:val="auto"/>
          <w:sz w:val="32"/>
          <w:szCs w:val="32"/>
          <w:lang w:val="en-US" w:eastAsia="zh-CN"/>
        </w:rPr>
        <w:t>促进了衡阳本土特色产品的宣传推广营销，助推衡阳特产离衡出湘，帮助</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解决农产品销售难题，</w:t>
      </w:r>
      <w:r>
        <w:rPr>
          <w:rFonts w:hint="eastAsia" w:ascii="仿宋_GB2312" w:hAnsi="仿宋_GB2312" w:eastAsia="仿宋_GB2312" w:cs="仿宋_GB2312"/>
          <w:color w:val="auto"/>
          <w:sz w:val="32"/>
          <w:szCs w:val="32"/>
          <w:lang w:val="en-US" w:eastAsia="zh-CN"/>
        </w:rPr>
        <w:t>增加农户收入</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p>
    <w:p w14:paraId="3F0ABF69">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default"/>
          <w:lang w:val="en-US" w:eastAsia="zh-CN"/>
        </w:rPr>
      </w:pPr>
      <w:r>
        <w:rPr>
          <w:rFonts w:hint="eastAsia" w:ascii="仿宋_GB2312" w:hAnsi="仿宋_GB2312" w:eastAsia="仿宋_GB2312" w:cs="仿宋_GB2312"/>
          <w:b/>
          <w:bCs w:val="0"/>
          <w:color w:val="auto"/>
          <w:kern w:val="0"/>
          <w:sz w:val="32"/>
          <w:szCs w:val="32"/>
          <w:lang w:val="en-US" w:eastAsia="zh-CN" w:bidi="ar"/>
        </w:rPr>
        <w:t>五是推进农合会健康有序发展。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选举产生了新一届农合会理事会、监事会等，及时更新清退不符合要求的会员单位，截止目前，市农合保持稳定优质的会员单位100家以上。利用微信公众号平台宣传推荐会员单位，编发推文30篇，市数字供销有限公司以短视频为突破口，一对一定制宣传方案，每月集中宣传推介会员单位，打造数字供销爆款，累计观看量超60万人次。</w:t>
      </w:r>
    </w:p>
    <w:p w14:paraId="2F9888AD">
      <w:pPr>
        <w:pStyle w:val="9"/>
        <w:widowControl/>
        <w:ind w:firstLine="640"/>
        <w:rPr>
          <w:rFonts w:eastAsia="黑体"/>
          <w:sz w:val="32"/>
          <w:szCs w:val="32"/>
        </w:rPr>
      </w:pPr>
      <w:r>
        <w:rPr>
          <w:rFonts w:eastAsia="黑体"/>
          <w:sz w:val="32"/>
          <w:szCs w:val="32"/>
        </w:rPr>
        <w:t>七、存在的问题及原因分析</w:t>
      </w:r>
    </w:p>
    <w:p w14:paraId="26ED60B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预算编制的口径与实际执行出现误差：按照现行的预算编制原则，人员经费和日常公用经费都是按照上年度九月份的工资表反映的人数安排，而实际执行中单位工作人员往往有变动或流动。</w:t>
      </w:r>
    </w:p>
    <w:p w14:paraId="3BB27D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预算编制的分类和实行执行出现脱节：预算编制的功能分类与经济分类不够细化，而实际支出中的情况更加多元化和明细化，出现了分类不一致的情况。</w:t>
      </w:r>
    </w:p>
    <w:p w14:paraId="29939142">
      <w:pPr>
        <w:pStyle w:val="5"/>
        <w:ind w:firstLine="640" w:firstLineChars="200"/>
        <w:rPr>
          <w:rFonts w:hint="eastAsia" w:ascii="Times New Roman" w:hAnsi="Times New Roman" w:eastAsia="仿宋"/>
          <w:sz w:val="32"/>
          <w:szCs w:val="32"/>
        </w:rPr>
      </w:pPr>
      <w:r>
        <w:rPr>
          <w:rFonts w:hint="eastAsia" w:ascii="仿宋_GB2312" w:hAnsi="仿宋_GB2312" w:eastAsia="仿宋_GB2312" w:cs="仿宋_GB2312"/>
          <w:sz w:val="32"/>
          <w:szCs w:val="32"/>
          <w:lang w:val="en-US" w:eastAsia="zh-CN"/>
        </w:rPr>
        <w:t>3.部门整体支出不能很好的对比支出与成果，投入与产出效果，进而很难有针对性的发现问题，分析问题，提出解决方案。</w:t>
      </w:r>
    </w:p>
    <w:p w14:paraId="3B0D5D9F">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79FFF23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进一步强化预算管理意识，预算编制前多与有关各方做好沟通衔接，提高预算编制的科学性、合理性、准确性和可控性。</w:t>
      </w:r>
    </w:p>
    <w:p w14:paraId="607524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完善各类支出管理制度，明细收支项目，坚持专款专用，提高预算编制的前瞻性和指导性。</w:t>
      </w:r>
    </w:p>
    <w:p w14:paraId="7BF89C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进一步推进预算绩效管理信息系统建设，完善绩效管理相关制度，提高可操作性。</w:t>
      </w:r>
    </w:p>
    <w:p w14:paraId="6AD60483">
      <w:pPr>
        <w:pStyle w:val="2"/>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构建单位财务部门和业务部门共同参与、协调配合的绩效评价工作机制，落实 “谁干事谁花钱、谁花钱谁担责”的权责机制，提高财政资金使用效益</w:t>
      </w:r>
      <w:r>
        <w:rPr>
          <w:rFonts w:hint="eastAsia" w:ascii="仿宋_GB2312" w:hAnsi="仿宋_GB2312" w:eastAsia="仿宋_GB2312" w:cs="仿宋_GB2312"/>
          <w:sz w:val="32"/>
          <w:szCs w:val="32"/>
          <w:lang w:eastAsia="zh-CN"/>
        </w:rPr>
        <w:t>。</w:t>
      </w:r>
    </w:p>
    <w:p w14:paraId="6E7F13C3">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14:paraId="6202E473">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r>
        <w:rPr>
          <w:rFonts w:hint="eastAsia" w:hAnsi="仿宋_GB2312" w:cs="仿宋_GB2312"/>
          <w:sz w:val="32"/>
          <w:szCs w:val="32"/>
          <w:lang w:val="en-US" w:eastAsia="zh-CN"/>
        </w:rPr>
        <w:t>。</w:t>
      </w:r>
    </w:p>
    <w:p w14:paraId="709CF2DF">
      <w:pPr>
        <w:ind w:right="640"/>
        <w:rPr>
          <w:rFonts w:hint="eastAsia" w:ascii="黑体" w:hAnsi="黑体" w:eastAsia="黑体" w:cs="黑体"/>
          <w:kern w:val="0"/>
          <w:sz w:val="32"/>
          <w:szCs w:val="32"/>
        </w:rPr>
      </w:pPr>
    </w:p>
    <w:p w14:paraId="654D8C8B">
      <w:pPr>
        <w:ind w:right="640"/>
        <w:rPr>
          <w:rFonts w:hint="eastAsia" w:ascii="黑体" w:hAnsi="黑体" w:eastAsia="黑体" w:cs="黑体"/>
          <w:kern w:val="0"/>
          <w:sz w:val="32"/>
          <w:szCs w:val="32"/>
        </w:rPr>
      </w:pPr>
    </w:p>
    <w:p w14:paraId="0A9411DB">
      <w:pPr>
        <w:ind w:right="640"/>
        <w:rPr>
          <w:rFonts w:hint="eastAsia" w:ascii="黑体" w:hAnsi="黑体" w:eastAsia="黑体" w:cs="黑体"/>
          <w:kern w:val="0"/>
          <w:sz w:val="32"/>
          <w:szCs w:val="32"/>
        </w:rPr>
      </w:pPr>
    </w:p>
    <w:p w14:paraId="51733D62">
      <w:pPr>
        <w:ind w:right="640"/>
        <w:rPr>
          <w:rFonts w:hint="eastAsia" w:ascii="黑体" w:hAnsi="黑体" w:eastAsia="黑体" w:cs="黑体"/>
          <w:kern w:val="0"/>
          <w:sz w:val="32"/>
          <w:szCs w:val="32"/>
        </w:rPr>
      </w:pPr>
    </w:p>
    <w:p w14:paraId="4ED036CA">
      <w:pPr>
        <w:ind w:right="640"/>
        <w:rPr>
          <w:rFonts w:hint="eastAsia" w:ascii="黑体" w:hAnsi="黑体" w:eastAsia="黑体" w:cs="黑体"/>
          <w:kern w:val="0"/>
          <w:sz w:val="32"/>
          <w:szCs w:val="32"/>
        </w:rPr>
      </w:pPr>
    </w:p>
    <w:p w14:paraId="249B1FBC">
      <w:pPr>
        <w:ind w:right="640"/>
        <w:rPr>
          <w:rFonts w:hint="eastAsia" w:ascii="黑体" w:hAnsi="黑体" w:eastAsia="黑体" w:cs="黑体"/>
          <w:kern w:val="0"/>
          <w:sz w:val="32"/>
          <w:szCs w:val="32"/>
        </w:rPr>
      </w:pPr>
    </w:p>
    <w:p w14:paraId="57E42264">
      <w:pPr>
        <w:ind w:right="640"/>
        <w:rPr>
          <w:rFonts w:hint="eastAsia" w:ascii="黑体" w:hAnsi="黑体" w:eastAsia="黑体" w:cs="黑体"/>
          <w:kern w:val="0"/>
          <w:sz w:val="32"/>
          <w:szCs w:val="32"/>
        </w:rPr>
      </w:pPr>
    </w:p>
    <w:p w14:paraId="03A705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FFDFC"/>
    <w:multiLevelType w:val="singleLevel"/>
    <w:tmpl w:val="974FFDFC"/>
    <w:lvl w:ilvl="0" w:tentative="0">
      <w:start w:val="2"/>
      <w:numFmt w:val="chineseCounting"/>
      <w:suff w:val="nothing"/>
      <w:lvlText w:val="（%1）"/>
      <w:lvlJc w:val="left"/>
      <w:pPr>
        <w:ind w:left="-13"/>
      </w:pPr>
      <w:rPr>
        <w:rFonts w:hint="eastAsia"/>
      </w:rPr>
    </w:lvl>
  </w:abstractNum>
  <w:abstractNum w:abstractNumId="1">
    <w:nsid w:val="9ED27A46"/>
    <w:multiLevelType w:val="singleLevel"/>
    <w:tmpl w:val="9ED27A46"/>
    <w:lvl w:ilvl="0" w:tentative="0">
      <w:start w:val="4"/>
      <w:numFmt w:val="chineseCounting"/>
      <w:suff w:val="nothing"/>
      <w:lvlText w:val="%1、"/>
      <w:lvlJc w:val="left"/>
      <w:rPr>
        <w:rFonts w:hint="eastAsia"/>
      </w:rPr>
    </w:lvl>
  </w:abstractNum>
  <w:abstractNum w:abstractNumId="2">
    <w:nsid w:val="D4CE37CC"/>
    <w:multiLevelType w:val="singleLevel"/>
    <w:tmpl w:val="D4CE37CC"/>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s>
  <w:rsids>
    <w:rsidRoot w:val="00000000"/>
    <w:rsid w:val="05240858"/>
    <w:rsid w:val="08956F34"/>
    <w:rsid w:val="12AD4B40"/>
    <w:rsid w:val="5C1B4BE9"/>
    <w:rsid w:val="B7CF7051"/>
    <w:rsid w:val="B9FF8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line="360" w:lineRule="auto"/>
      <w:ind w:firstLine="420" w:firstLineChars="200"/>
    </w:pPr>
    <w:rPr>
      <w:rFonts w:ascii="仿宋_GB2312" w:hAnsi="Times New Roman" w:eastAsia="仿宋_GB2312"/>
      <w:sz w:val="32"/>
    </w:rPr>
  </w:style>
  <w:style w:type="paragraph" w:styleId="4">
    <w:name w:val="index 5"/>
    <w:basedOn w:val="1"/>
    <w:next w:val="1"/>
    <w:qFormat/>
    <w:uiPriority w:val="0"/>
    <w:pPr>
      <w:ind w:left="1680"/>
    </w:pPr>
  </w:style>
  <w:style w:type="paragraph" w:styleId="5">
    <w:name w:val="Body Text"/>
    <w:basedOn w:val="1"/>
    <w:next w:val="6"/>
    <w:qFormat/>
    <w:uiPriority w:val="0"/>
    <w:rPr>
      <w:sz w:val="32"/>
    </w:rPr>
  </w:style>
  <w:style w:type="paragraph" w:styleId="6">
    <w:name w:val="footer"/>
    <w:basedOn w:val="1"/>
    <w:next w:val="4"/>
    <w:qFormat/>
    <w:uiPriority w:val="0"/>
    <w:pPr>
      <w:tabs>
        <w:tab w:val="center" w:pos="4153"/>
        <w:tab w:val="right" w:pos="8306"/>
      </w:tabs>
      <w:snapToGrid w:val="0"/>
      <w:jc w:val="left"/>
    </w:pPr>
    <w:rPr>
      <w:sz w:val="18"/>
    </w:rPr>
  </w:style>
  <w:style w:type="paragraph" w:styleId="9">
    <w:name w:val="List Paragraph"/>
    <w:basedOn w:val="1"/>
    <w:qFormat/>
    <w:uiPriority w:val="99"/>
    <w:pPr>
      <w:ind w:firstLine="420" w:firstLineChars="200"/>
    </w:pPr>
    <w:rPr>
      <w:rFonts w:ascii="Times New Roman" w:hAnsi="Times New Roman"/>
      <w:szCs w:val="24"/>
    </w:rPr>
  </w:style>
  <w:style w:type="paragraph" w:customStyle="1" w:styleId="10">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4865</Words>
  <Characters>5197</Characters>
  <Lines>0</Lines>
  <Paragraphs>0</Paragraphs>
  <TotalTime>18</TotalTime>
  <ScaleCrop>false</ScaleCrop>
  <LinksUpToDate>false</LinksUpToDate>
  <CharactersWithSpaces>5210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2024-03-19T18:08:00Z</dcterms:created>
  <dc:creator>供销社</dc:creator>
  <cp:lastModifiedBy>邓婷</cp:lastModifiedBy>
  <dcterms:modified xsi:type="dcterms:W3CDTF">2024-10-31T08:12:47Z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AE8ED960329E4CAC85E7A3AF2945B95E_12</vt:lpwstr>
  </property>
</Properties>
</file>