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4F0B7">
      <w:pPr>
        <w:jc w:val="center"/>
        <w:rPr>
          <w:rFonts w:ascii="Times New Roman" w:hAnsi="Times New Roman" w:eastAsia="方正小标宋简体"/>
          <w:sz w:val="48"/>
          <w:szCs w:val="48"/>
        </w:rPr>
      </w:pPr>
    </w:p>
    <w:p w14:paraId="63A73D17">
      <w:pPr>
        <w:jc w:val="center"/>
        <w:rPr>
          <w:rFonts w:ascii="Times New Roman" w:hAnsi="Times New Roman" w:eastAsia="方正小标宋简体"/>
          <w:sz w:val="48"/>
          <w:szCs w:val="48"/>
        </w:rPr>
      </w:pPr>
    </w:p>
    <w:p w14:paraId="0AAF58EE">
      <w:pPr>
        <w:jc w:val="center"/>
        <w:rPr>
          <w:rFonts w:ascii="Times New Roman" w:hAnsi="Times New Roman" w:eastAsia="方正小标宋简体"/>
          <w:sz w:val="48"/>
          <w:szCs w:val="48"/>
        </w:rPr>
      </w:pPr>
    </w:p>
    <w:p w14:paraId="31BB6DDF">
      <w:pPr>
        <w:rPr>
          <w:rFonts w:ascii="Times New Roman" w:hAnsi="Times New Roman" w:eastAsia="方正小标宋简体"/>
          <w:sz w:val="48"/>
          <w:szCs w:val="48"/>
        </w:rPr>
      </w:pPr>
    </w:p>
    <w:p w14:paraId="3A4A0104">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03E8F89A">
      <w:pPr>
        <w:jc w:val="center"/>
        <w:rPr>
          <w:rFonts w:hint="eastAsia" w:ascii="Times New Roman" w:hAnsi="Times New Roman" w:eastAsia="方正小标宋简体"/>
          <w:sz w:val="36"/>
          <w:szCs w:val="36"/>
          <w:lang w:eastAsia="zh-CN"/>
        </w:rPr>
      </w:pPr>
      <w:r>
        <w:rPr>
          <w:rFonts w:hint="eastAsia" w:ascii="Times New Roman" w:hAnsi="Times New Roman" w:eastAsia="方正小标宋简体"/>
          <w:sz w:val="36"/>
          <w:szCs w:val="36"/>
          <w:lang w:eastAsia="zh-CN"/>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lang w:eastAsia="zh-CN"/>
        </w:rPr>
        <w:t>）</w:t>
      </w:r>
    </w:p>
    <w:p w14:paraId="70A54248">
      <w:pPr>
        <w:jc w:val="center"/>
        <w:rPr>
          <w:rFonts w:ascii="Times New Roman" w:hAnsi="Times New Roman" w:eastAsia="黑体"/>
          <w:sz w:val="32"/>
          <w:szCs w:val="32"/>
        </w:rPr>
      </w:pPr>
    </w:p>
    <w:p w14:paraId="4DB0D8E7">
      <w:pPr>
        <w:jc w:val="center"/>
        <w:rPr>
          <w:rFonts w:ascii="Times New Roman" w:hAnsi="Times New Roman" w:eastAsia="黑体"/>
          <w:sz w:val="32"/>
          <w:szCs w:val="32"/>
        </w:rPr>
      </w:pPr>
    </w:p>
    <w:p w14:paraId="2B0FF5E6">
      <w:pPr>
        <w:jc w:val="center"/>
        <w:rPr>
          <w:rFonts w:ascii="Times New Roman" w:hAnsi="Times New Roman" w:eastAsia="黑体"/>
          <w:sz w:val="32"/>
          <w:szCs w:val="32"/>
        </w:rPr>
      </w:pPr>
    </w:p>
    <w:p w14:paraId="0A12BACA">
      <w:pPr>
        <w:jc w:val="center"/>
        <w:rPr>
          <w:rFonts w:ascii="Times New Roman" w:hAnsi="Times New Roman" w:eastAsia="黑体"/>
          <w:sz w:val="32"/>
          <w:szCs w:val="32"/>
        </w:rPr>
      </w:pPr>
    </w:p>
    <w:p w14:paraId="7F50FC3A">
      <w:pPr>
        <w:rPr>
          <w:rFonts w:ascii="Times New Roman" w:hAnsi="Times New Roman" w:eastAsia="黑体"/>
          <w:sz w:val="32"/>
          <w:szCs w:val="32"/>
        </w:rPr>
      </w:pPr>
    </w:p>
    <w:p w14:paraId="046EB9DD">
      <w:pPr>
        <w:jc w:val="center"/>
        <w:rPr>
          <w:rFonts w:ascii="Times New Roman" w:hAnsi="Times New Roman"/>
          <w:sz w:val="36"/>
          <w:szCs w:val="36"/>
        </w:rPr>
      </w:pPr>
    </w:p>
    <w:p w14:paraId="1A994627">
      <w:pPr>
        <w:jc w:val="center"/>
        <w:rPr>
          <w:rFonts w:ascii="Times New Roman" w:hAnsi="Times New Roman"/>
          <w:sz w:val="36"/>
          <w:szCs w:val="36"/>
        </w:rPr>
      </w:pPr>
    </w:p>
    <w:p w14:paraId="5DE2E613">
      <w:pPr>
        <w:jc w:val="center"/>
        <w:rPr>
          <w:rFonts w:ascii="Times New Roman" w:hAnsi="Times New Roman"/>
          <w:sz w:val="36"/>
          <w:szCs w:val="36"/>
        </w:rPr>
      </w:pPr>
    </w:p>
    <w:p w14:paraId="0F3D8B46">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lang w:eastAsia="zh-CN"/>
        </w:rPr>
        <w:t>：衡阳市水利水电规划设计院（</w:t>
      </w:r>
      <w:r>
        <w:rPr>
          <w:rFonts w:hint="eastAsia" w:ascii="Times New Roman" w:hAnsi="Times New Roman"/>
          <w:sz w:val="36"/>
          <w:szCs w:val="36"/>
          <w:lang w:val="en-US" w:eastAsia="zh-CN"/>
        </w:rPr>
        <w:t>盖章</w:t>
      </w:r>
      <w:r>
        <w:rPr>
          <w:rFonts w:hint="eastAsia" w:ascii="Times New Roman" w:hAnsi="Times New Roman"/>
          <w:sz w:val="36"/>
          <w:szCs w:val="36"/>
          <w:lang w:eastAsia="zh-CN"/>
        </w:rPr>
        <w:t>）</w:t>
      </w:r>
    </w:p>
    <w:p w14:paraId="3E3A727B">
      <w:pPr>
        <w:jc w:val="center"/>
        <w:rPr>
          <w:rFonts w:ascii="Times New Roman" w:hAnsi="Times New Roman" w:eastAsia="黑体"/>
          <w:sz w:val="36"/>
          <w:szCs w:val="36"/>
        </w:rPr>
      </w:pPr>
      <w:r>
        <w:rPr>
          <w:rFonts w:hint="eastAsia" w:ascii="Times New Roman" w:hAnsi="Times New Roman"/>
          <w:sz w:val="36"/>
          <w:szCs w:val="36"/>
          <w:lang w:val="en-US" w:eastAsia="zh-CN"/>
        </w:rPr>
        <w:t>主要负责人签字</w:t>
      </w:r>
      <w:r>
        <w:rPr>
          <w:rFonts w:ascii="Times New Roman" w:hAnsi="Times New Roman"/>
          <w:sz w:val="36"/>
          <w:szCs w:val="36"/>
        </w:rPr>
        <w:t>：</w:t>
      </w:r>
    </w:p>
    <w:p w14:paraId="1F42A006">
      <w:pPr>
        <w:jc w:val="center"/>
        <w:rPr>
          <w:rFonts w:ascii="Times New Roman" w:hAnsi="Times New Roman" w:eastAsia="黑体"/>
          <w:sz w:val="36"/>
          <w:szCs w:val="36"/>
        </w:rPr>
      </w:pPr>
    </w:p>
    <w:p w14:paraId="67EE2676">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2024</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3</w:t>
      </w:r>
      <w:r>
        <w:rPr>
          <w:rFonts w:ascii="Times New Roman" w:hAnsi="Times New Roman" w:eastAsia="黑体"/>
          <w:sz w:val="32"/>
          <w:szCs w:val="32"/>
        </w:rPr>
        <w:t xml:space="preserve"> 月</w:t>
      </w:r>
      <w:r>
        <w:rPr>
          <w:rFonts w:hint="eastAsia" w:ascii="Times New Roman" w:hAnsi="Times New Roman" w:eastAsia="黑体"/>
          <w:sz w:val="32"/>
          <w:szCs w:val="32"/>
          <w:lang w:val="en-US" w:eastAsia="zh-CN"/>
        </w:rPr>
        <w:t>25</w:t>
      </w:r>
      <w:r>
        <w:rPr>
          <w:rFonts w:ascii="Times New Roman" w:hAnsi="Times New Roman" w:eastAsia="黑体"/>
          <w:sz w:val="32"/>
          <w:szCs w:val="32"/>
        </w:rPr>
        <w:t>日</w:t>
      </w:r>
    </w:p>
    <w:p w14:paraId="5BE526AF">
      <w:pPr>
        <w:jc w:val="center"/>
        <w:rPr>
          <w:rFonts w:ascii="Times New Roman" w:hAnsi="Times New Roman" w:eastAsia="黑体"/>
          <w:sz w:val="32"/>
          <w:szCs w:val="32"/>
        </w:rPr>
      </w:pPr>
    </w:p>
    <w:p w14:paraId="6AEFE88A">
      <w:pPr>
        <w:spacing w:line="600" w:lineRule="exact"/>
        <w:rPr>
          <w:rFonts w:ascii="Times New Roman" w:hAnsi="Times New Roman" w:eastAsia="方正小标宋简体"/>
          <w:sz w:val="44"/>
          <w:szCs w:val="44"/>
        </w:rPr>
      </w:pPr>
    </w:p>
    <w:p w14:paraId="19206650">
      <w:pPr>
        <w:spacing w:line="600" w:lineRule="exact"/>
        <w:jc w:val="center"/>
        <w:rPr>
          <w:rFonts w:ascii="Times New Roman" w:hAnsi="Times New Roman" w:eastAsia="方正小标宋简体"/>
          <w:sz w:val="44"/>
          <w:szCs w:val="44"/>
        </w:rPr>
      </w:pPr>
    </w:p>
    <w:p w14:paraId="693CB4DF">
      <w:pPr>
        <w:spacing w:line="600" w:lineRule="exact"/>
        <w:jc w:val="center"/>
        <w:rPr>
          <w:rFonts w:ascii="Times New Roman" w:hAnsi="Times New Roman" w:eastAsia="方正小标宋简体"/>
          <w:sz w:val="44"/>
          <w:szCs w:val="44"/>
        </w:rPr>
      </w:pPr>
    </w:p>
    <w:p w14:paraId="4B7DE04F">
      <w:pPr>
        <w:spacing w:line="600" w:lineRule="exact"/>
        <w:jc w:val="center"/>
        <w:rPr>
          <w:rFonts w:ascii="Times New Roman" w:hAnsi="Times New Roman" w:eastAsia="方正小标宋简体"/>
          <w:sz w:val="44"/>
          <w:szCs w:val="44"/>
        </w:rPr>
      </w:pPr>
    </w:p>
    <w:p w14:paraId="58684505">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134E704B">
      <w:pPr>
        <w:rPr>
          <w:rFonts w:ascii="Times New Roman" w:hAnsi="Times New Roman" w:eastAsia="方正小标宋_GBK"/>
          <w:sz w:val="32"/>
          <w:szCs w:val="32"/>
        </w:rPr>
      </w:pPr>
    </w:p>
    <w:p w14:paraId="50FC87EF">
      <w:pPr>
        <w:rPr>
          <w:rFonts w:ascii="Times New Roman" w:hAnsi="Times New Roman" w:eastAsia="方正小标宋_GBK"/>
          <w:sz w:val="32"/>
          <w:szCs w:val="32"/>
        </w:rPr>
      </w:pPr>
    </w:p>
    <w:p w14:paraId="1056956D">
      <w:pPr>
        <w:pStyle w:val="5"/>
        <w:widowControl/>
        <w:numPr>
          <w:ilvl w:val="0"/>
          <w:numId w:val="1"/>
        </w:numPr>
        <w:ind w:firstLine="640"/>
        <w:rPr>
          <w:rFonts w:eastAsia="黑体"/>
          <w:sz w:val="32"/>
          <w:szCs w:val="32"/>
        </w:rPr>
      </w:pPr>
      <w:r>
        <w:rPr>
          <w:rFonts w:eastAsia="黑体"/>
          <w:sz w:val="32"/>
          <w:szCs w:val="32"/>
        </w:rPr>
        <w:t>部门、单位基本情况</w:t>
      </w:r>
    </w:p>
    <w:p w14:paraId="5D17AD1E">
      <w:pPr>
        <w:pStyle w:val="5"/>
        <w:widowControl/>
        <w:ind w:firstLine="640"/>
        <w:rPr>
          <w:rFonts w:hint="eastAsia" w:eastAsia="仿宋_GB2312"/>
          <w:sz w:val="32"/>
          <w:szCs w:val="32"/>
        </w:rPr>
      </w:pPr>
      <w:r>
        <w:rPr>
          <w:rFonts w:hint="eastAsia" w:eastAsia="仿宋_GB2312"/>
          <w:sz w:val="32"/>
          <w:szCs w:val="32"/>
        </w:rPr>
        <w:t>为实现全过程预算绩效管理，强化部门责任意识，增强预算执行的科学性、合理性、规范性，优化财政资源配置，保障财政支出实现预期目标，提高财政资金使用绩效，</w:t>
      </w:r>
      <w:r>
        <w:rPr>
          <w:rFonts w:ascii="Times New Roman" w:hAnsi="Times New Roman" w:eastAsia="仿宋_GB2312"/>
          <w:sz w:val="32"/>
          <w:szCs w:val="32"/>
        </w:rPr>
        <w:t>根据</w:t>
      </w:r>
      <w:r>
        <w:rPr>
          <w:rFonts w:hint="eastAsia" w:ascii="Times New Roman" w:hAnsi="Times New Roman" w:eastAsia="仿宋_GB2312"/>
          <w:sz w:val="32"/>
          <w:szCs w:val="32"/>
        </w:rPr>
        <w:t>省委省政府</w:t>
      </w:r>
      <w:r>
        <w:rPr>
          <w:rFonts w:ascii="Times New Roman" w:hAnsi="Times New Roman" w:eastAsia="仿宋_GB2312"/>
          <w:sz w:val="32"/>
          <w:szCs w:val="32"/>
        </w:rPr>
        <w:t>《关于全面实施预算绩效管理的实施意见》（湘办发〔2019〕10号）和《衡阳市预算绩效管理实施办法》(衡办发〔2021〕13号)精神</w:t>
      </w:r>
      <w:r>
        <w:rPr>
          <w:rFonts w:hint="eastAsia" w:eastAsia="仿宋_GB2312"/>
          <w:sz w:val="32"/>
          <w:szCs w:val="32"/>
        </w:rPr>
        <w:t>，开展</w:t>
      </w:r>
      <w:r>
        <w:rPr>
          <w:rFonts w:eastAsia="仿宋_GB2312"/>
          <w:sz w:val="32"/>
          <w:szCs w:val="32"/>
        </w:rPr>
        <w:t>202</w:t>
      </w:r>
      <w:r>
        <w:rPr>
          <w:rFonts w:hint="eastAsia" w:eastAsia="仿宋_GB2312"/>
          <w:sz w:val="32"/>
          <w:szCs w:val="32"/>
          <w:lang w:val="en-US" w:eastAsia="zh-CN"/>
        </w:rPr>
        <w:t>3</w:t>
      </w:r>
      <w:r>
        <w:rPr>
          <w:rFonts w:hint="eastAsia" w:eastAsia="仿宋_GB2312"/>
          <w:sz w:val="32"/>
          <w:szCs w:val="32"/>
        </w:rPr>
        <w:t>年度</w:t>
      </w:r>
      <w:r>
        <w:rPr>
          <w:rFonts w:hint="eastAsia" w:eastAsia="仿宋_GB2312"/>
          <w:sz w:val="32"/>
          <w:szCs w:val="32"/>
          <w:lang w:eastAsia="zh-CN"/>
        </w:rPr>
        <w:t>预算</w:t>
      </w:r>
      <w:r>
        <w:rPr>
          <w:rFonts w:hint="eastAsia" w:eastAsia="仿宋_GB2312"/>
          <w:sz w:val="32"/>
          <w:szCs w:val="32"/>
        </w:rPr>
        <w:t>支出绩效</w:t>
      </w:r>
      <w:r>
        <w:rPr>
          <w:rFonts w:hint="eastAsia" w:eastAsia="仿宋_GB2312"/>
          <w:sz w:val="32"/>
          <w:szCs w:val="32"/>
          <w:lang w:eastAsia="zh-CN"/>
        </w:rPr>
        <w:t>自评工作</w:t>
      </w:r>
      <w:r>
        <w:rPr>
          <w:rFonts w:hint="eastAsia" w:eastAsia="仿宋_GB2312"/>
          <w:sz w:val="32"/>
          <w:szCs w:val="32"/>
        </w:rPr>
        <w:t>：</w:t>
      </w:r>
    </w:p>
    <w:p w14:paraId="74FE0E8A">
      <w:pPr>
        <w:pStyle w:val="5"/>
        <w:widowControl/>
        <w:ind w:firstLine="640"/>
        <w:rPr>
          <w:rFonts w:eastAsia="黑体"/>
          <w:sz w:val="32"/>
          <w:szCs w:val="32"/>
        </w:rPr>
      </w:pPr>
      <w:r>
        <w:rPr>
          <w:rFonts w:eastAsia="黑体"/>
          <w:sz w:val="32"/>
          <w:szCs w:val="32"/>
        </w:rPr>
        <w:t>二、一般公共预算</w:t>
      </w:r>
      <w:r>
        <w:rPr>
          <w:rFonts w:hint="eastAsia" w:eastAsia="黑体"/>
          <w:sz w:val="32"/>
          <w:szCs w:val="32"/>
          <w:lang w:eastAsia="zh-CN"/>
        </w:rPr>
        <w:t>收入</w:t>
      </w:r>
      <w:r>
        <w:rPr>
          <w:rFonts w:eastAsia="黑体"/>
          <w:sz w:val="32"/>
          <w:szCs w:val="32"/>
        </w:rPr>
        <w:t>支出情况</w:t>
      </w:r>
    </w:p>
    <w:p w14:paraId="31BD9D57">
      <w:pPr>
        <w:pStyle w:val="5"/>
        <w:widowControl/>
        <w:ind w:firstLine="643"/>
        <w:rPr>
          <w:rFonts w:eastAsia="楷体"/>
          <w:b/>
          <w:sz w:val="32"/>
          <w:szCs w:val="32"/>
        </w:rPr>
      </w:pPr>
      <w:r>
        <w:rPr>
          <w:rFonts w:eastAsia="楷体"/>
          <w:b/>
          <w:sz w:val="32"/>
          <w:szCs w:val="32"/>
        </w:rPr>
        <w:t>（一）基本支出情况</w:t>
      </w:r>
    </w:p>
    <w:p w14:paraId="4C2E68C4">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outlineLvl w:val="9"/>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我院2023年</w:t>
      </w:r>
      <w:r>
        <w:rPr>
          <w:rFonts w:hint="eastAsia" w:ascii="Times New Roman" w:hAnsi="Times New Roman" w:eastAsia="仿宋_GB2312" w:cs="Times New Roman"/>
          <w:color w:val="auto"/>
          <w:kern w:val="2"/>
          <w:sz w:val="32"/>
          <w:szCs w:val="32"/>
          <w:lang w:val="en-US" w:eastAsia="zh-CN" w:bidi="ar-SA"/>
        </w:rPr>
        <w:t>度一般公共预算收入206.03万元。</w:t>
      </w:r>
    </w:p>
    <w:p w14:paraId="57FF9E90">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outlineLvl w:val="9"/>
        <w:rPr>
          <w:rFonts w:hint="eastAsia" w:ascii="Times New Roman" w:hAnsi="Times New Roman" w:eastAsia="仿宋_GB2312" w:cs="Times New Roman"/>
          <w:kern w:val="2"/>
          <w:sz w:val="32"/>
          <w:szCs w:val="32"/>
          <w:lang w:val="en-US" w:eastAsia="zh-CN" w:bidi="ar-SA"/>
          <w14:textFill>
            <w14:gradFill>
              <w14:gsLst>
                <w14:gs w14:pos="0">
                  <w14:srgbClr w14:val="E30000"/>
                </w14:gs>
                <w14:gs w14:pos="100000">
                  <w14:srgbClr w14:val="760303"/>
                </w14:gs>
              </w14:gsLst>
              <w14:lin w14:scaled="0"/>
            </w14:gradFill>
          </w14:textFill>
        </w:rPr>
      </w:pPr>
      <w:r>
        <w:rPr>
          <w:rFonts w:hint="eastAsia" w:ascii="Times New Roman" w:hAnsi="Times New Roman" w:eastAsia="仿宋_GB2312" w:cs="Times New Roman"/>
          <w:color w:val="auto"/>
          <w:kern w:val="2"/>
          <w:sz w:val="32"/>
          <w:szCs w:val="32"/>
          <w:lang w:val="en-US" w:eastAsia="zh-CN" w:bidi="ar-SA"/>
        </w:rPr>
        <w:t>2023年设计院支出206.03万元，其中：人员支出193.19万元，公用经费支出12.84万元。</w:t>
      </w:r>
    </w:p>
    <w:p w14:paraId="2061B4B7">
      <w:pPr>
        <w:pStyle w:val="5"/>
        <w:widowControl/>
        <w:ind w:firstLine="643"/>
        <w:rPr>
          <w:rFonts w:eastAsia="楷体"/>
          <w:b/>
          <w:sz w:val="32"/>
          <w:szCs w:val="32"/>
        </w:rPr>
      </w:pPr>
      <w:r>
        <w:rPr>
          <w:rFonts w:hint="eastAsia" w:ascii="Times New Roman" w:hAnsi="Times New Roman" w:eastAsia="仿宋_GB2312" w:cs="Times New Roman"/>
          <w:kern w:val="2"/>
          <w:sz w:val="32"/>
          <w:szCs w:val="32"/>
          <w:lang w:val="en-US" w:eastAsia="zh-CN" w:bidi="ar-SA"/>
        </w:rPr>
        <w:t>“三公”经费支出情况，因我院是财政补助事业单位，财政预算拨款只有工资福利支出及个人与家庭补助支出，无此经费支出。</w:t>
      </w:r>
    </w:p>
    <w:p w14:paraId="695DB3F9">
      <w:pPr>
        <w:pStyle w:val="5"/>
        <w:widowControl/>
        <w:ind w:firstLine="643"/>
        <w:rPr>
          <w:rFonts w:eastAsia="楷体"/>
          <w:b/>
          <w:sz w:val="32"/>
          <w:szCs w:val="32"/>
        </w:rPr>
      </w:pPr>
      <w:r>
        <w:rPr>
          <w:rFonts w:eastAsia="楷体"/>
          <w:b/>
          <w:sz w:val="32"/>
          <w:szCs w:val="32"/>
        </w:rPr>
        <w:t>（二）项目支出情况</w:t>
      </w:r>
    </w:p>
    <w:p w14:paraId="6328EF0C">
      <w:pPr>
        <w:pStyle w:val="5"/>
        <w:widowControl/>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我院无202</w:t>
      </w: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年度专项资金安排和使用管理情况以及除专项资金以外的其他项目支出情况。</w:t>
      </w:r>
    </w:p>
    <w:p w14:paraId="49A0CDA5">
      <w:pPr>
        <w:pStyle w:val="5"/>
        <w:widowControl/>
        <w:numPr>
          <w:ilvl w:val="0"/>
          <w:numId w:val="1"/>
        </w:numPr>
        <w:ind w:left="0" w:leftChars="0" w:firstLine="640" w:firstLineChars="200"/>
        <w:rPr>
          <w:rFonts w:eastAsia="黑体"/>
          <w:sz w:val="32"/>
          <w:szCs w:val="32"/>
        </w:rPr>
      </w:pPr>
      <w:r>
        <w:rPr>
          <w:rFonts w:eastAsia="黑体"/>
          <w:sz w:val="32"/>
          <w:szCs w:val="32"/>
        </w:rPr>
        <w:t>政府性基金预算支出情况</w:t>
      </w:r>
    </w:p>
    <w:p w14:paraId="3CEA412F">
      <w:pPr>
        <w:pStyle w:val="5"/>
        <w:widowControl/>
        <w:numPr>
          <w:ilvl w:val="0"/>
          <w:numId w:val="0"/>
        </w:numPr>
        <w:ind w:leftChars="200" w:firstLine="320" w:firstLineChars="100"/>
        <w:rPr>
          <w:rFonts w:eastAsia="黑体"/>
          <w:sz w:val="32"/>
          <w:szCs w:val="32"/>
        </w:rPr>
      </w:pPr>
      <w:r>
        <w:rPr>
          <w:rFonts w:hint="eastAsia" w:eastAsia="仿宋_GB2312"/>
          <w:sz w:val="32"/>
          <w:szCs w:val="32"/>
          <w:lang w:val="en-US" w:eastAsia="zh-CN"/>
        </w:rPr>
        <w:t>我院无政府性基金预算支出情况。</w:t>
      </w:r>
    </w:p>
    <w:p w14:paraId="1CCF6FE3">
      <w:pPr>
        <w:pStyle w:val="5"/>
        <w:widowControl/>
        <w:numPr>
          <w:ilvl w:val="0"/>
          <w:numId w:val="2"/>
        </w:numPr>
        <w:ind w:firstLine="640"/>
        <w:rPr>
          <w:rFonts w:eastAsia="黑体"/>
          <w:sz w:val="32"/>
          <w:szCs w:val="32"/>
        </w:rPr>
      </w:pPr>
      <w:r>
        <w:rPr>
          <w:rFonts w:eastAsia="黑体"/>
          <w:sz w:val="32"/>
          <w:szCs w:val="32"/>
        </w:rPr>
        <w:t>国有资本经营预算支出情况</w:t>
      </w:r>
    </w:p>
    <w:p w14:paraId="2B3A073E">
      <w:pPr>
        <w:pStyle w:val="5"/>
        <w:widowControl/>
        <w:ind w:firstLine="640"/>
        <w:rPr>
          <w:rFonts w:hint="eastAsia" w:eastAsia="仿宋_GB2312"/>
          <w:sz w:val="32"/>
          <w:szCs w:val="32"/>
          <w:lang w:val="en-US" w:eastAsia="zh-CN"/>
        </w:rPr>
      </w:pPr>
      <w:r>
        <w:rPr>
          <w:rFonts w:hint="eastAsia" w:eastAsia="仿宋_GB2312"/>
          <w:sz w:val="32"/>
          <w:szCs w:val="32"/>
          <w:lang w:val="en-US" w:eastAsia="zh-CN"/>
        </w:rPr>
        <w:t>我院无国有资本经营预算支出情况。</w:t>
      </w:r>
    </w:p>
    <w:p w14:paraId="3F5507F5">
      <w:pPr>
        <w:pStyle w:val="5"/>
        <w:widowControl/>
        <w:numPr>
          <w:ilvl w:val="0"/>
          <w:numId w:val="2"/>
        </w:numPr>
        <w:ind w:left="0" w:leftChars="0" w:firstLine="640" w:firstLineChars="200"/>
        <w:rPr>
          <w:rFonts w:eastAsia="黑体"/>
          <w:sz w:val="32"/>
          <w:szCs w:val="32"/>
        </w:rPr>
      </w:pPr>
      <w:r>
        <w:rPr>
          <w:rFonts w:eastAsia="黑体"/>
          <w:sz w:val="32"/>
          <w:szCs w:val="32"/>
        </w:rPr>
        <w:t>社会保险基金预算支出情况</w:t>
      </w:r>
    </w:p>
    <w:p w14:paraId="718C9136">
      <w:pPr>
        <w:pStyle w:val="5"/>
        <w:widowControl/>
        <w:ind w:firstLine="640"/>
        <w:rPr>
          <w:rFonts w:hint="eastAsia" w:eastAsia="仿宋_GB2312"/>
          <w:sz w:val="32"/>
          <w:szCs w:val="32"/>
          <w:lang w:val="en-US" w:eastAsia="zh-CN"/>
        </w:rPr>
      </w:pPr>
      <w:r>
        <w:rPr>
          <w:rFonts w:hint="eastAsia" w:eastAsia="仿宋_GB2312"/>
          <w:sz w:val="32"/>
          <w:szCs w:val="32"/>
          <w:lang w:val="en-US" w:eastAsia="zh-CN"/>
        </w:rPr>
        <w:t>我院无社会保险基金预算支出情况。</w:t>
      </w:r>
    </w:p>
    <w:p w14:paraId="17F0B29B">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1DEF429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2023年，在院全体干部职工同心协力，紧密配合的情况下，先后完成了以下主要设计项目：</w:t>
      </w:r>
    </w:p>
    <w:p w14:paraId="5930801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①完成了衡阳市8条中小河流逐河治理方案及衡阳市中小河流总体治理方案；衡阳市十四五水安全保障中期评估报告；</w:t>
      </w:r>
    </w:p>
    <w:p w14:paraId="184ABD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②完成了祁东县红旗水库（中型水库）除险加固工程初步设计、技施设计；衡东县荣桓水库可行性研究报告；衡东县梅花冲、渣冲水库除险加固工程施工设计 ；衡东县石禾场、大禾塘、风仙岭、狮子</w:t>
      </w:r>
      <w:bookmarkStart w:id="0" w:name="_GoBack"/>
      <w:bookmarkEnd w:id="0"/>
      <w:r>
        <w:rPr>
          <w:rFonts w:hint="eastAsia" w:ascii="Times New Roman" w:hAnsi="Times New Roman" w:eastAsia="仿宋_GB2312" w:cs="Times New Roman"/>
          <w:kern w:val="2"/>
          <w:sz w:val="32"/>
          <w:szCs w:val="32"/>
          <w:lang w:val="en-US" w:eastAsia="zh-CN" w:bidi="ar-SA"/>
        </w:rPr>
        <w:t>岩初步设计水库除险加固工程初步设计；</w:t>
      </w:r>
    </w:p>
    <w:p w14:paraId="060160E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③完成了衡东县洣水新塘保护圈治理工程施工设计；洣水衡东县霞流镇洣河村段李家垅防洪堤除险加固工程、衡东县蓟江潭保护圈新开段岸坡应急抢险工程；衡东县萱塘水库副坝放水涵应急抢险工程；</w:t>
      </w:r>
    </w:p>
    <w:p w14:paraId="6E4A49F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④衡东县甘溪灌区续建配套与节水改造项目实施方案；衡东县江东灌区续建配套与节水改造项目可研报告；衡东县江东灌区等四大灌区高效节水工程可研和初步设计；</w:t>
      </w:r>
    </w:p>
    <w:p w14:paraId="78DD275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⑤常宁市西岭镇青竹、五冲等村安全饮水提质改造项目；湖南高速衡阳物流港项目泄洪渠改造工程施工设计。</w:t>
      </w:r>
    </w:p>
    <w:p w14:paraId="47FF831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正在设计的项目有：衡阳市城区2021-2035年防洪规划报告；衡东县望日岩灌区续建配套与节水改造工程初步设计；祁东县曹口堰灌区续建配套与节水改造实施方案；祁东县七碗灌区续建配套与节水改造工程初步设计。</w:t>
      </w:r>
    </w:p>
    <w:p w14:paraId="2ED4FC3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leftChars="200" w:firstLine="57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同时对去年已完成的部分项目进行修改和后续施工服务，主要是衡东县德圳水库除险加固工程、衡阳市石鼓区黄沙湾街道排渍站扩建工程的施工服务；石鼓区西湖保护圈治理工程施工服务以及衡东水库、四水治理项目的施工服务。</w:t>
      </w:r>
    </w:p>
    <w:p w14:paraId="3C3C5845">
      <w:pPr>
        <w:pStyle w:val="5"/>
        <w:widowControl/>
        <w:ind w:firstLine="640"/>
        <w:rPr>
          <w:rFonts w:eastAsia="黑体"/>
          <w:sz w:val="32"/>
          <w:szCs w:val="32"/>
        </w:rPr>
      </w:pPr>
      <w:r>
        <w:rPr>
          <w:rFonts w:eastAsia="黑体"/>
          <w:sz w:val="32"/>
          <w:szCs w:val="32"/>
        </w:rPr>
        <w:t>七、存在的问题及原因分析</w:t>
      </w:r>
    </w:p>
    <w:p w14:paraId="2EA9CD32">
      <w:pPr>
        <w:widowControl/>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综合近几年我院批复预算看，财政核定拨付我院的基本支出经费预算基本围绕保在编人员的人员经费的一半</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 xml:space="preserve">从决算情况看，基本支出比重比较大，基本保障面临巨大的压力。  </w:t>
      </w:r>
    </w:p>
    <w:p w14:paraId="7AA1530C">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3ED5C306">
      <w:pPr>
        <w:keepNext w:val="0"/>
        <w:keepLines w:val="0"/>
        <w:pageBreakBefore w:val="0"/>
        <w:widowControl/>
        <w:kinsoku/>
        <w:wordWrap/>
        <w:overflowPunct/>
        <w:topLinePunct w:val="0"/>
        <w:autoSpaceDE/>
        <w:autoSpaceDN/>
        <w:bidi w:val="0"/>
        <w:adjustRightInd/>
        <w:snapToGrid/>
        <w:spacing w:before="157" w:beforeLines="50" w:after="157" w:afterLines="50" w:afterAutospacing="0" w:line="240" w:lineRule="auto"/>
        <w:ind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w:t>
      </w:r>
    </w:p>
    <w:p w14:paraId="15DB5F12">
      <w:pPr>
        <w:widowControl/>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建立资产管理责任机制，增强财物管理人员的责任意识，使账物管理责任和记账人员的责任真正落到实处。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14:paraId="5C17FE1F">
      <w:pPr>
        <w:widowControl/>
        <w:ind w:firstLine="640" w:firstLineChars="200"/>
        <w:rPr>
          <w:rFonts w:ascii="黑体" w:hAnsi="黑体" w:eastAsia="黑体" w:cs="黑体"/>
          <w:kern w:val="0"/>
          <w:sz w:val="32"/>
          <w:szCs w:val="32"/>
        </w:rPr>
      </w:pPr>
      <w:r>
        <w:rPr>
          <w:rFonts w:ascii="Times New Roman" w:hAnsi="Times New Roman" w:eastAsia="黑体"/>
          <w:sz w:val="32"/>
          <w:szCs w:val="32"/>
        </w:rPr>
        <w:t>九、其他需要说明的情况</w:t>
      </w:r>
    </w:p>
    <w:p w14:paraId="0B0BBE60">
      <w:pPr>
        <w:ind w:right="64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无。</w:t>
      </w:r>
    </w:p>
    <w:p w14:paraId="2E7F9B1E"/>
    <w:sectPr>
      <w:pgSz w:w="11906" w:h="16838"/>
      <w:pgMar w:top="1440" w:right="113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79029"/>
    <w:multiLevelType w:val="singleLevel"/>
    <w:tmpl w:val="B9379029"/>
    <w:lvl w:ilvl="0" w:tentative="0">
      <w:start w:val="4"/>
      <w:numFmt w:val="chineseCounting"/>
      <w:suff w:val="nothing"/>
      <w:lvlText w:val="%1、"/>
      <w:lvlJc w:val="left"/>
      <w:rPr>
        <w:rFonts w:hint="eastAsia"/>
      </w:rPr>
    </w:lvl>
  </w:abstractNum>
  <w:abstractNum w:abstractNumId="1">
    <w:nsid w:val="EF0B0E99"/>
    <w:multiLevelType w:val="singleLevel"/>
    <w:tmpl w:val="EF0B0E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YmM5ZmY1NDY2MzA3YzM1NDY2NzJlYWJjMjcwY2QifQ=="/>
  </w:docVars>
  <w:rsids>
    <w:rsidRoot w:val="00000000"/>
    <w:rsid w:val="071C0D73"/>
    <w:rsid w:val="144B7D94"/>
    <w:rsid w:val="1594246C"/>
    <w:rsid w:val="4CF92CA3"/>
    <w:rsid w:val="4DA66AC3"/>
    <w:rsid w:val="4E235B10"/>
    <w:rsid w:val="545A6928"/>
    <w:rsid w:val="58E97957"/>
    <w:rsid w:val="5FE8212C"/>
    <w:rsid w:val="65E551BE"/>
    <w:rsid w:val="7D08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1475</Words>
  <Characters>1532</Characters>
  <Lines>0</Lines>
  <Paragraphs>0</Paragraphs>
  <TotalTime>15</TotalTime>
  <ScaleCrop>false</ScaleCrop>
  <LinksUpToDate>false</LinksUpToDate>
  <CharactersWithSpaces>1541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2024-03-21T00:51:00Z</dcterms:created>
  <dc:creator>Administrator</dc:creator>
  <cp:lastModifiedBy>WPS_1591846392</cp:lastModifiedBy>
  <cp:lastPrinted>2024-09-25T09:07:05Z</cp:lastPrinted>
  <dcterms:modified xsi:type="dcterms:W3CDTF">2024-09-25T09:13:02Z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A766FE166D1F4F4BBE1B6B9AA5F0590A_12</vt:lpwstr>
  </property>
</Properties>
</file>