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9FE" w:rsidRDefault="0047719E">
      <w:pPr>
        <w:spacing w:afterLines="100" w:after="312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/>
          <w:kern w:val="0"/>
          <w:sz w:val="32"/>
          <w:szCs w:val="32"/>
        </w:rPr>
        <w:t>1</w:t>
      </w:r>
    </w:p>
    <w:p w:rsidR="00F049FE" w:rsidRDefault="00F049FE">
      <w:pPr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F049FE" w:rsidRDefault="0047719E">
      <w:pPr>
        <w:ind w:firstLineChars="200" w:firstLine="1040"/>
        <w:rPr>
          <w:rFonts w:ascii="Times New Roman" w:eastAsia="黑体" w:hAnsi="Times New Roman"/>
          <w:b/>
          <w:bCs/>
          <w:sz w:val="36"/>
          <w:szCs w:val="36"/>
        </w:rPr>
      </w:pPr>
      <w:r>
        <w:rPr>
          <w:rFonts w:ascii="Times New Roman" w:eastAsia="方正小标宋简体" w:hAnsi="Times New Roman"/>
          <w:b/>
          <w:bCs/>
          <w:sz w:val="52"/>
          <w:szCs w:val="52"/>
        </w:rPr>
        <w:t>部门整体支出绩效自评报告</w:t>
      </w:r>
    </w:p>
    <w:p w:rsidR="00F049FE" w:rsidRDefault="00F049FE">
      <w:pPr>
        <w:rPr>
          <w:rFonts w:ascii="Times New Roman" w:eastAsia="黑体" w:hAnsi="Times New Roman"/>
          <w:sz w:val="32"/>
          <w:szCs w:val="32"/>
        </w:rPr>
      </w:pPr>
    </w:p>
    <w:p w:rsidR="00F049FE" w:rsidRDefault="00F049FE">
      <w:pPr>
        <w:rPr>
          <w:rFonts w:ascii="Times New Roman" w:eastAsia="黑体" w:hAnsi="Times New Roman"/>
          <w:sz w:val="32"/>
          <w:szCs w:val="32"/>
        </w:rPr>
      </w:pPr>
    </w:p>
    <w:p w:rsidR="00F049FE" w:rsidRDefault="0047719E">
      <w:pPr>
        <w:jc w:val="center"/>
        <w:rPr>
          <w:rFonts w:ascii="方正小标宋简体" w:eastAsia="方正小标宋简体" w:hAnsi="Times New Roman"/>
          <w:b/>
          <w:bCs/>
          <w:sz w:val="48"/>
          <w:szCs w:val="48"/>
        </w:rPr>
      </w:pPr>
      <w:r>
        <w:rPr>
          <w:rFonts w:ascii="方正小标宋简体" w:eastAsia="方正小标宋简体" w:hAnsi="Times New Roman" w:hint="eastAsia"/>
          <w:b/>
          <w:bCs/>
          <w:sz w:val="48"/>
          <w:szCs w:val="48"/>
        </w:rPr>
        <w:t>（</w:t>
      </w:r>
      <w:r>
        <w:rPr>
          <w:rFonts w:ascii="方正小标宋简体" w:eastAsia="方正小标宋简体" w:hAnsi="Times New Roman"/>
          <w:b/>
          <w:bCs/>
          <w:sz w:val="40"/>
          <w:szCs w:val="40"/>
        </w:rPr>
        <w:t>202</w:t>
      </w:r>
      <w:r>
        <w:rPr>
          <w:rFonts w:ascii="方正小标宋简体" w:eastAsia="方正小标宋简体" w:hAnsi="Times New Roman" w:hint="eastAsia"/>
          <w:b/>
          <w:bCs/>
          <w:sz w:val="40"/>
          <w:szCs w:val="40"/>
        </w:rPr>
        <w:t>3</w:t>
      </w:r>
      <w:r>
        <w:rPr>
          <w:rFonts w:ascii="方正小标宋简体" w:eastAsia="方正小标宋简体" w:hAnsi="Times New Roman" w:hint="eastAsia"/>
          <w:b/>
          <w:bCs/>
          <w:sz w:val="40"/>
          <w:szCs w:val="40"/>
        </w:rPr>
        <w:t>年度</w:t>
      </w:r>
      <w:r>
        <w:rPr>
          <w:rFonts w:ascii="方正小标宋简体" w:eastAsia="方正小标宋简体" w:hAnsi="Times New Roman" w:hint="eastAsia"/>
          <w:b/>
          <w:bCs/>
          <w:sz w:val="48"/>
          <w:szCs w:val="48"/>
        </w:rPr>
        <w:t>）</w:t>
      </w: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47719E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 xml:space="preserve">    </w:t>
      </w:r>
      <w:r>
        <w:rPr>
          <w:rFonts w:ascii="Times New Roman" w:hAnsi="Times New Roman"/>
          <w:sz w:val="36"/>
          <w:szCs w:val="36"/>
        </w:rPr>
        <w:t>单位名称</w:t>
      </w:r>
      <w:r>
        <w:rPr>
          <w:rFonts w:ascii="Times New Roman" w:hAnsi="Times New Roman" w:hint="eastAsia"/>
          <w:sz w:val="36"/>
          <w:szCs w:val="36"/>
        </w:rPr>
        <w:t>：</w:t>
      </w:r>
      <w:r>
        <w:rPr>
          <w:rFonts w:ascii="楷体" w:eastAsia="楷体" w:hAnsi="楷体" w:cs="楷体" w:hint="eastAsia"/>
          <w:b/>
          <w:bCs/>
          <w:sz w:val="36"/>
          <w:szCs w:val="36"/>
        </w:rPr>
        <w:t>衡阳市市场监督管理事务中心</w:t>
      </w:r>
      <w:r>
        <w:rPr>
          <w:rFonts w:ascii="Times New Roman" w:hAnsi="Times New Roman" w:hint="eastAsia"/>
          <w:sz w:val="36"/>
          <w:szCs w:val="36"/>
        </w:rPr>
        <w:t>（盖章）</w:t>
      </w:r>
    </w:p>
    <w:p w:rsidR="00F049FE" w:rsidRDefault="00F049FE">
      <w:pPr>
        <w:ind w:firstLineChars="200" w:firstLine="720"/>
        <w:rPr>
          <w:rFonts w:ascii="Times New Roman" w:hAnsi="Times New Roman"/>
          <w:sz w:val="36"/>
          <w:szCs w:val="36"/>
        </w:rPr>
      </w:pPr>
    </w:p>
    <w:p w:rsidR="00F049FE" w:rsidRDefault="00F049FE">
      <w:pPr>
        <w:ind w:firstLineChars="200" w:firstLine="720"/>
        <w:rPr>
          <w:rFonts w:ascii="Times New Roman" w:hAnsi="Times New Roman"/>
          <w:sz w:val="36"/>
          <w:szCs w:val="36"/>
        </w:rPr>
      </w:pPr>
    </w:p>
    <w:p w:rsidR="00F049FE" w:rsidRDefault="0047719E">
      <w:pPr>
        <w:ind w:firstLineChars="200" w:firstLine="720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:rsidR="00F049FE" w:rsidRDefault="00F049FE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49FE" w:rsidRDefault="0047719E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2024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sz w:val="32"/>
          <w:szCs w:val="32"/>
        </w:rPr>
        <w:t xml:space="preserve">3 </w:t>
      </w:r>
      <w:r>
        <w:rPr>
          <w:rFonts w:ascii="Times New Roman" w:eastAsia="黑体" w:hAnsi="Times New Roman"/>
          <w:sz w:val="32"/>
          <w:szCs w:val="32"/>
        </w:rPr>
        <w:t>日</w:t>
      </w: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b/>
          <w:bCs/>
          <w:sz w:val="32"/>
          <w:szCs w:val="32"/>
        </w:rPr>
      </w:pPr>
    </w:p>
    <w:p w:rsidR="00F049FE" w:rsidRDefault="00F049FE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49FE" w:rsidRDefault="00F049FE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F049FE" w:rsidRDefault="0047719E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衡阳市市场监督管理事务中心</w:t>
      </w:r>
    </w:p>
    <w:p w:rsidR="00F049FE" w:rsidRDefault="0047719E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202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年度部门整体支出绩效自评报告</w:t>
      </w:r>
    </w:p>
    <w:p w:rsidR="00F049FE" w:rsidRDefault="00F049FE">
      <w:pPr>
        <w:rPr>
          <w:rFonts w:ascii="Times New Roman" w:eastAsia="方正小标宋_GBK" w:hAnsi="Times New Roman"/>
          <w:sz w:val="32"/>
          <w:szCs w:val="32"/>
        </w:rPr>
      </w:pPr>
    </w:p>
    <w:p w:rsidR="00F049FE" w:rsidRDefault="0047719E">
      <w:pPr>
        <w:pStyle w:val="a9"/>
        <w:widowControl/>
        <w:numPr>
          <w:ilvl w:val="0"/>
          <w:numId w:val="1"/>
        </w:numPr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单位基本情况</w:t>
      </w:r>
    </w:p>
    <w:p w:rsidR="00F049FE" w:rsidRDefault="0047719E">
      <w:pPr>
        <w:pStyle w:val="a9"/>
        <w:widowControl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衡阳市市场监督管理事务中心</w:t>
      </w:r>
      <w:r>
        <w:rPr>
          <w:rFonts w:ascii="仿宋" w:eastAsia="仿宋" w:hAnsi="仿宋" w:cs="仿宋" w:hint="eastAsia"/>
          <w:sz w:val="32"/>
          <w:szCs w:val="32"/>
        </w:rPr>
        <w:t>为市市场监督管理局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所属正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科级公益一类事业单位，主要负责全市农贸市场管理服务工作，为市场监管和执法提供信息服务。</w:t>
      </w:r>
    </w:p>
    <w:p w:rsidR="00F049FE" w:rsidRDefault="0047719E">
      <w:pPr>
        <w:pStyle w:val="a9"/>
        <w:widowControl/>
        <w:numPr>
          <w:ilvl w:val="0"/>
          <w:numId w:val="2"/>
        </w:numPr>
        <w:ind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主要职能</w:t>
      </w:r>
    </w:p>
    <w:p w:rsidR="00F049FE" w:rsidRDefault="0047719E">
      <w:pPr>
        <w:pStyle w:val="a9"/>
        <w:widowControl/>
        <w:ind w:firstLine="640"/>
        <w:rPr>
          <w:rFonts w:ascii="仿宋" w:eastAsia="仿宋" w:hAnsi="仿宋" w:cs="仿宋"/>
          <w:color w:val="414141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根据《</w:t>
      </w:r>
      <w:r>
        <w:rPr>
          <w:rFonts w:ascii="仿宋" w:eastAsia="仿宋" w:hAnsi="仿宋" w:hint="eastAsia"/>
          <w:sz w:val="32"/>
          <w:szCs w:val="32"/>
        </w:rPr>
        <w:t>关于市市场监督管理局所属事业单位机构编制调整的复函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》文件，本部门主要职责如下：</w:t>
      </w:r>
    </w:p>
    <w:p w:rsidR="00F049FE" w:rsidRDefault="0047719E">
      <w:pPr>
        <w:pStyle w:val="a6"/>
        <w:widowControl/>
        <w:numPr>
          <w:ilvl w:val="0"/>
          <w:numId w:val="3"/>
        </w:numPr>
        <w:wordWrap w:val="0"/>
        <w:spacing w:beforeAutospacing="0" w:afterAutospacing="0" w:line="450" w:lineRule="atLeast"/>
        <w:ind w:firstLineChars="200" w:firstLine="640"/>
        <w:jc w:val="both"/>
        <w:rPr>
          <w:rFonts w:ascii="楷体" w:eastAsia="楷体" w:hAnsi="楷体" w:cs="楷体"/>
          <w:b/>
          <w:bCs/>
          <w:color w:val="414141"/>
          <w:sz w:val="32"/>
          <w:szCs w:val="32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负责宣传贯彻党和国家、省、市、有关农贸市场管理、服务工作的法律法规、方针政策，承担市政府规定及局机关委托直管的农贸市场管理和服务工作。（二）负责督促市场业主及经营者建立和完善市场管理制度，规范市场经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lastRenderedPageBreak/>
        <w:t>营行为；负责组织引导市场业主及经营者开展治安、消防、卫生自我监督和整改，提升安全保障水平，改善市场经营环境。（三）承担全市质量、计量、标准、知识产权等方面的政策宣传和相关服务工作，负责向社会提供质量、计量、标准等方面的法律法规咨询和信息服务。（四）负责专利申请、专利评估、专利保护等咨询服务，组织专利技术的推广和实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施。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(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五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)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完成市市场监督管理局交办的其他任务。</w:t>
      </w:r>
    </w:p>
    <w:p w:rsidR="00F049FE" w:rsidRDefault="0047719E">
      <w:pPr>
        <w:pStyle w:val="a6"/>
        <w:widowControl/>
        <w:numPr>
          <w:ilvl w:val="0"/>
          <w:numId w:val="3"/>
        </w:numPr>
        <w:wordWrap w:val="0"/>
        <w:spacing w:beforeAutospacing="0" w:afterAutospacing="0" w:line="450" w:lineRule="atLeast"/>
        <w:ind w:firstLineChars="200" w:firstLine="643"/>
        <w:jc w:val="both"/>
        <w:rPr>
          <w:rFonts w:ascii="仿宋" w:eastAsia="仿宋" w:hAnsi="仿宋" w:cs="仿宋"/>
          <w:b/>
          <w:bCs/>
          <w:color w:val="41414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414141"/>
          <w:sz w:val="32"/>
          <w:szCs w:val="32"/>
        </w:rPr>
        <w:t>机构情</w:t>
      </w:r>
      <w:r>
        <w:rPr>
          <w:rFonts w:ascii="仿宋" w:eastAsia="仿宋" w:hAnsi="仿宋" w:cs="仿宋" w:hint="eastAsia"/>
          <w:b/>
          <w:bCs/>
          <w:color w:val="414141"/>
          <w:sz w:val="32"/>
          <w:szCs w:val="32"/>
        </w:rPr>
        <w:t>况</w:t>
      </w:r>
    </w:p>
    <w:p w:rsidR="00F049FE" w:rsidRDefault="0047719E">
      <w:pPr>
        <w:pStyle w:val="a6"/>
        <w:widowControl/>
        <w:wordWrap w:val="0"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color w:val="414141"/>
          <w:sz w:val="32"/>
          <w:szCs w:val="32"/>
        </w:rPr>
        <w:t>我部门</w:t>
      </w:r>
      <w:proofErr w:type="gramEnd"/>
      <w:r>
        <w:rPr>
          <w:rFonts w:ascii="仿宋" w:eastAsia="仿宋" w:hAnsi="仿宋" w:cs="仿宋" w:hint="eastAsia"/>
          <w:color w:val="414141"/>
          <w:sz w:val="32"/>
          <w:szCs w:val="32"/>
        </w:rPr>
        <w:t>为财政全额拨款事业单位，属市二级预算单位。内</w:t>
      </w:r>
      <w:r>
        <w:rPr>
          <w:rFonts w:ascii="仿宋" w:eastAsia="仿宋" w:hAnsi="仿宋" w:cs="仿宋" w:hint="eastAsia"/>
          <w:sz w:val="32"/>
          <w:szCs w:val="32"/>
        </w:rPr>
        <w:t>设财务科、组织人事科、办公室、市场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运行科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个科室。</w:t>
      </w:r>
    </w:p>
    <w:p w:rsidR="00F049FE" w:rsidRDefault="0047719E">
      <w:pPr>
        <w:pStyle w:val="a6"/>
        <w:widowControl/>
        <w:wordWrap w:val="0"/>
        <w:spacing w:beforeAutospacing="0" w:afterAutospacing="0" w:line="450" w:lineRule="atLeas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（三）人员情况</w:t>
      </w:r>
    </w:p>
    <w:p w:rsidR="00F049FE" w:rsidRDefault="0047719E">
      <w:pPr>
        <w:pStyle w:val="a6"/>
        <w:widowControl/>
        <w:wordWrap w:val="0"/>
        <w:spacing w:beforeAutospacing="0" w:afterAutospacing="0" w:line="450" w:lineRule="atLeast"/>
        <w:ind w:firstLineChars="200" w:firstLine="64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414141"/>
          <w:sz w:val="32"/>
          <w:szCs w:val="32"/>
        </w:rPr>
        <w:t>市市场监督管理事务中心共有编制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30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人，现有在职人员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人，退休人员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2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4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人。</w:t>
      </w:r>
    </w:p>
    <w:p w:rsidR="00F049FE" w:rsidRDefault="0047719E">
      <w:pPr>
        <w:pStyle w:val="a9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二、一般公共预算支出情况</w:t>
      </w:r>
    </w:p>
    <w:p w:rsidR="00F049FE" w:rsidRDefault="0047719E">
      <w:pPr>
        <w:pStyle w:val="a9"/>
        <w:widowControl/>
        <w:ind w:firstLine="643"/>
        <w:rPr>
          <w:rFonts w:eastAsia="楷体"/>
          <w:b/>
          <w:sz w:val="32"/>
          <w:szCs w:val="32"/>
        </w:rPr>
      </w:pPr>
      <w:r>
        <w:rPr>
          <w:rFonts w:eastAsia="楷体" w:hint="eastAsia"/>
          <w:b/>
          <w:sz w:val="32"/>
          <w:szCs w:val="32"/>
        </w:rPr>
        <w:t>（一）基本支出情况</w:t>
      </w:r>
    </w:p>
    <w:p w:rsidR="00F049FE" w:rsidRDefault="0047719E">
      <w:pPr>
        <w:pStyle w:val="a9"/>
        <w:widowControl/>
        <w:ind w:firstLine="640"/>
        <w:jc w:val="distribute"/>
        <w:rPr>
          <w:rFonts w:eastAsia="楷体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202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年基本支出</w:t>
      </w:r>
      <w:r>
        <w:rPr>
          <w:rFonts w:ascii="仿宋" w:eastAsia="仿宋" w:hAnsi="仿宋" w:cs="仿宋" w:hint="eastAsia"/>
          <w:bCs/>
          <w:sz w:val="32"/>
          <w:szCs w:val="32"/>
        </w:rPr>
        <w:t>469.59</w:t>
      </w:r>
      <w:r>
        <w:rPr>
          <w:rFonts w:ascii="仿宋" w:eastAsia="仿宋" w:hAnsi="仿宋" w:cs="仿宋" w:hint="eastAsia"/>
          <w:bCs/>
          <w:sz w:val="32"/>
          <w:szCs w:val="32"/>
        </w:rPr>
        <w:t>万元，其中工资福利支出</w:t>
      </w:r>
    </w:p>
    <w:p w:rsidR="00F049FE" w:rsidRDefault="0047719E">
      <w:pPr>
        <w:pStyle w:val="a9"/>
        <w:widowControl/>
        <w:ind w:firstLineChars="0" w:firstLine="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49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66</w:t>
      </w:r>
      <w:r>
        <w:rPr>
          <w:rFonts w:ascii="仿宋" w:eastAsia="仿宋" w:hAnsi="仿宋" w:cs="仿宋" w:hint="eastAsia"/>
          <w:bCs/>
          <w:sz w:val="32"/>
          <w:szCs w:val="32"/>
        </w:rPr>
        <w:t>万元、一般商品和服务支出</w:t>
      </w:r>
      <w:r>
        <w:rPr>
          <w:rFonts w:ascii="仿宋" w:eastAsia="仿宋" w:hAnsi="仿宋" w:cs="仿宋" w:hint="eastAsia"/>
          <w:bCs/>
          <w:sz w:val="32"/>
          <w:szCs w:val="32"/>
        </w:rPr>
        <w:t>30</w:t>
      </w:r>
      <w:r>
        <w:rPr>
          <w:rFonts w:ascii="仿宋" w:eastAsia="仿宋" w:hAnsi="仿宋" w:cs="仿宋" w:hint="eastAsia"/>
          <w:bCs/>
          <w:sz w:val="32"/>
          <w:szCs w:val="32"/>
        </w:rPr>
        <w:t>.</w:t>
      </w:r>
      <w:r>
        <w:rPr>
          <w:rFonts w:ascii="仿宋" w:eastAsia="仿宋" w:hAnsi="仿宋" w:cs="仿宋" w:hint="eastAsia"/>
          <w:bCs/>
          <w:sz w:val="32"/>
          <w:szCs w:val="32"/>
        </w:rPr>
        <w:t>69</w:t>
      </w:r>
      <w:r>
        <w:rPr>
          <w:rFonts w:ascii="仿宋" w:eastAsia="仿宋" w:hAnsi="仿宋" w:cs="仿宋" w:hint="eastAsia"/>
          <w:bCs/>
          <w:sz w:val="32"/>
          <w:szCs w:val="32"/>
        </w:rPr>
        <w:t>万元、对个人和家庭的补助</w:t>
      </w:r>
      <w:r>
        <w:rPr>
          <w:rFonts w:ascii="仿宋" w:eastAsia="仿宋" w:hAnsi="仿宋" w:cs="仿宋" w:hint="eastAsia"/>
          <w:bCs/>
          <w:sz w:val="32"/>
          <w:szCs w:val="32"/>
        </w:rPr>
        <w:t>89.24</w:t>
      </w:r>
      <w:r>
        <w:rPr>
          <w:rFonts w:ascii="仿宋" w:eastAsia="仿宋" w:hAnsi="仿宋" w:cs="仿宋" w:hint="eastAsia"/>
          <w:bCs/>
          <w:sz w:val="32"/>
          <w:szCs w:val="32"/>
        </w:rPr>
        <w:t>万元、其他类资本性支出</w:t>
      </w:r>
      <w:r>
        <w:rPr>
          <w:rFonts w:ascii="仿宋" w:eastAsia="仿宋" w:hAnsi="仿宋" w:cs="仿宋" w:hint="eastAsia"/>
          <w:bCs/>
          <w:sz w:val="32"/>
          <w:szCs w:val="32"/>
        </w:rPr>
        <w:t>0</w:t>
      </w:r>
      <w:r>
        <w:rPr>
          <w:rFonts w:ascii="仿宋" w:eastAsia="仿宋" w:hAnsi="仿宋" w:cs="仿宋" w:hint="eastAsia"/>
          <w:bCs/>
          <w:sz w:val="32"/>
          <w:szCs w:val="32"/>
        </w:rPr>
        <w:t>万</w:t>
      </w:r>
      <w:r>
        <w:rPr>
          <w:rFonts w:ascii="仿宋" w:eastAsia="仿宋" w:hAnsi="仿宋" w:cs="仿宋" w:hint="eastAsia"/>
          <w:bCs/>
          <w:sz w:val="32"/>
          <w:szCs w:val="32"/>
        </w:rPr>
        <w:t>元。</w:t>
      </w:r>
    </w:p>
    <w:p w:rsidR="00F049FE" w:rsidRDefault="0047719E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>
        <w:rPr>
          <w:rFonts w:ascii="Times New Roman" w:eastAsia="黑体" w:hAnsi="Times New Roman" w:hint="eastAsia"/>
          <w:sz w:val="32"/>
          <w:szCs w:val="32"/>
        </w:rPr>
        <w:t>部门整体支出绩效情况</w:t>
      </w:r>
    </w:p>
    <w:p w:rsidR="00F049FE" w:rsidRDefault="0047719E">
      <w:pPr>
        <w:widowControl/>
        <w:ind w:firstLineChars="200" w:firstLine="640"/>
        <w:rPr>
          <w:rFonts w:ascii="华文宋体" w:eastAsia="仿宋_GB2312" w:hAnsi="华文宋体" w:cs="华文宋体"/>
          <w:b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202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3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年是市场监督管理事务中心改革合并运行后的第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四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年，中心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认真</w:t>
      </w:r>
      <w:r w:rsidR="00B92A8E">
        <w:rPr>
          <w:rFonts w:ascii="Times New Roman" w:eastAsia="仿宋" w:hAnsi="Times New Roman" w:hint="eastAsia"/>
          <w:color w:val="000000"/>
          <w:sz w:val="32"/>
          <w:szCs w:val="32"/>
        </w:rPr>
        <w:t>学习贯彻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党的基本方针政策，积极宣传学习贯彻党的二十大精神，组织党员干部职工开展党纪条规、廉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lastRenderedPageBreak/>
        <w:t>政法律法规学习、</w:t>
      </w:r>
      <w:proofErr w:type="gramStart"/>
      <w:r>
        <w:rPr>
          <w:rFonts w:ascii="Times New Roman" w:eastAsia="仿宋" w:hAnsi="Times New Roman" w:hint="eastAsia"/>
          <w:color w:val="000000"/>
          <w:sz w:val="32"/>
          <w:szCs w:val="32"/>
        </w:rPr>
        <w:t>廉洁文化</w:t>
      </w:r>
      <w:proofErr w:type="gramEnd"/>
      <w:r>
        <w:rPr>
          <w:rFonts w:ascii="Times New Roman" w:eastAsia="仿宋" w:hAnsi="Times New Roman" w:hint="eastAsia"/>
          <w:color w:val="000000"/>
          <w:sz w:val="32"/>
          <w:szCs w:val="32"/>
        </w:rPr>
        <w:t>宣传教育和作风建设，先后制定了微党课学习、观看党员教育片、开展社会实践活动、党风廉政建设学习等活动计划。</w:t>
      </w:r>
      <w:r>
        <w:rPr>
          <w:rFonts w:ascii="仿宋" w:eastAsia="仿宋" w:hAnsi="仿宋" w:hint="eastAsia"/>
          <w:sz w:val="32"/>
          <w:szCs w:val="32"/>
        </w:rPr>
        <w:t>以加强能力建设为中心，以服务市场监管和服务经济发展为重点，以管理服务检验、科研提升水平、文化创造环境、合作促进提高为支撑，中心全体干部职工</w:t>
      </w:r>
      <w:r>
        <w:rPr>
          <w:rFonts w:ascii="仿宋" w:eastAsia="仿宋" w:hAnsi="仿宋" w:hint="eastAsia"/>
          <w:sz w:val="32"/>
          <w:szCs w:val="32"/>
        </w:rPr>
        <w:t>积极抓好农贸市场常态化疫情防控</w:t>
      </w:r>
      <w:proofErr w:type="gramStart"/>
      <w:r>
        <w:rPr>
          <w:rFonts w:ascii="仿宋" w:eastAsia="仿宋" w:hAnsi="仿宋" w:hint="eastAsia"/>
          <w:sz w:val="32"/>
          <w:szCs w:val="32"/>
        </w:rPr>
        <w:t>和创文巩卫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等日常巡查督导工作，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 w:hint="eastAsia"/>
          <w:sz w:val="32"/>
          <w:szCs w:val="32"/>
        </w:rPr>
        <w:t>履行工作职责，</w:t>
      </w:r>
      <w:r>
        <w:rPr>
          <w:rFonts w:ascii="仿宋" w:eastAsia="仿宋" w:hAnsi="仿宋" w:hint="eastAsia"/>
          <w:sz w:val="32"/>
          <w:szCs w:val="32"/>
        </w:rPr>
        <w:t>圆满完成了</w:t>
      </w:r>
      <w:r>
        <w:rPr>
          <w:rFonts w:ascii="仿宋" w:eastAsia="仿宋" w:hAnsi="仿宋" w:hint="eastAsia"/>
          <w:sz w:val="32"/>
          <w:szCs w:val="32"/>
        </w:rPr>
        <w:t>上级局机关交</w:t>
      </w:r>
      <w:r>
        <w:rPr>
          <w:rFonts w:ascii="仿宋" w:eastAsia="仿宋" w:hAnsi="仿宋" w:hint="eastAsia"/>
          <w:sz w:val="32"/>
          <w:szCs w:val="32"/>
        </w:rPr>
        <w:t>办的</w:t>
      </w:r>
      <w:r>
        <w:rPr>
          <w:rFonts w:ascii="仿宋" w:eastAsia="仿宋" w:hAnsi="仿宋" w:hint="eastAsia"/>
          <w:sz w:val="32"/>
          <w:szCs w:val="32"/>
        </w:rPr>
        <w:t>各项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任务。</w:t>
      </w:r>
    </w:p>
    <w:p w:rsidR="00F049FE" w:rsidRDefault="0047719E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积极开展各项政治思想教育理论学习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深入开展常态化党史学习教育，先后组织召开</w:t>
      </w:r>
      <w:r>
        <w:rPr>
          <w:rFonts w:ascii="仿宋" w:eastAsia="仿宋" w:hAnsi="仿宋" w:hint="eastAsia"/>
          <w:sz w:val="32"/>
          <w:szCs w:val="32"/>
        </w:rPr>
        <w:t>14</w:t>
      </w:r>
      <w:r>
        <w:rPr>
          <w:rFonts w:ascii="仿宋" w:eastAsia="仿宋" w:hAnsi="仿宋" w:hint="eastAsia"/>
          <w:sz w:val="32"/>
          <w:szCs w:val="32"/>
        </w:rPr>
        <w:t>次支委会、党员大会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次、班子和中层干部会议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次，为全体党员发放《习近平谈治国理政》第四卷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本、学习资料</w:t>
      </w:r>
      <w:r>
        <w:rPr>
          <w:rFonts w:ascii="仿宋" w:eastAsia="仿宋" w:hAnsi="仿宋" w:hint="eastAsia"/>
          <w:sz w:val="32"/>
          <w:szCs w:val="32"/>
        </w:rPr>
        <w:t>100</w:t>
      </w:r>
      <w:r>
        <w:rPr>
          <w:rFonts w:ascii="仿宋" w:eastAsia="仿宋" w:hAnsi="仿宋" w:hint="eastAsia"/>
          <w:sz w:val="32"/>
          <w:szCs w:val="32"/>
        </w:rPr>
        <w:t>余份，上党课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次，结合常态化党史学习教育“永远跟党走”群众性主题宣传等教育活动，积极组织支部党员在市星</w:t>
      </w:r>
      <w:proofErr w:type="gramStart"/>
      <w:r>
        <w:rPr>
          <w:rFonts w:ascii="仿宋" w:eastAsia="仿宋" w:hAnsi="仿宋" w:hint="eastAsia"/>
          <w:sz w:val="32"/>
          <w:szCs w:val="32"/>
        </w:rPr>
        <w:t>烨</w:t>
      </w:r>
      <w:proofErr w:type="gramEnd"/>
      <w:r>
        <w:rPr>
          <w:rFonts w:ascii="仿宋" w:eastAsia="仿宋" w:hAnsi="仿宋" w:hint="eastAsia"/>
          <w:sz w:val="32"/>
          <w:szCs w:val="32"/>
        </w:rPr>
        <w:t>影城观看“光影铸魂”电影党课推荐影片《奋斗吧中华儿女》、《何叔衡》等影片，进一步激发干部职工传承和发扬先辈们</w:t>
      </w:r>
      <w:proofErr w:type="gramStart"/>
      <w:r>
        <w:rPr>
          <w:rFonts w:ascii="仿宋" w:eastAsia="仿宋" w:hAnsi="仿宋" w:hint="eastAsia"/>
          <w:sz w:val="32"/>
          <w:szCs w:val="32"/>
        </w:rPr>
        <w:t>坚韧不拔</w:t>
      </w:r>
      <w:proofErr w:type="gramEnd"/>
      <w:r>
        <w:rPr>
          <w:rFonts w:ascii="仿宋" w:eastAsia="仿宋" w:hAnsi="仿宋" w:hint="eastAsia"/>
          <w:sz w:val="32"/>
          <w:szCs w:val="32"/>
        </w:rPr>
        <w:t>和无私奉献的精神，凝聚奋斗力量，立足本职岗位，以更加饱满的工作态度、更加务实的</w:t>
      </w:r>
      <w:r>
        <w:rPr>
          <w:rFonts w:ascii="仿宋" w:eastAsia="仿宋" w:hAnsi="仿宋" w:hint="eastAsia"/>
          <w:sz w:val="32"/>
          <w:szCs w:val="32"/>
        </w:rPr>
        <w:t>工作作风，为市场监管工作高质量发展贡献力量。</w:t>
      </w:r>
      <w:r>
        <w:rPr>
          <w:rFonts w:ascii="仿宋" w:eastAsia="仿宋" w:hAnsi="仿宋" w:hint="eastAsia"/>
          <w:sz w:val="32"/>
          <w:szCs w:val="32"/>
        </w:rPr>
        <w:t>通过近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年的工作磨合，中心基本实现了从“物理整合”到“化学融合”的转变，达到了合心合力的效果，从人员配备和技术能力提升等多方面为中心今后发展指明了方向。积极沟通，出色完成岗位设置，并帮助市局完</w:t>
      </w:r>
      <w:r>
        <w:rPr>
          <w:rFonts w:ascii="仿宋" w:eastAsia="仿宋" w:hAnsi="仿宋" w:hint="eastAsia"/>
          <w:sz w:val="32"/>
          <w:szCs w:val="32"/>
        </w:rPr>
        <w:lastRenderedPageBreak/>
        <w:t>成了下属单位的相关工作。</w:t>
      </w:r>
    </w:p>
    <w:p w:rsidR="00F049FE" w:rsidRDefault="0047719E">
      <w:pPr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b/>
          <w:bCs/>
          <w:sz w:val="32"/>
          <w:szCs w:val="32"/>
        </w:rPr>
        <w:t>立足本职，扎实认真做好农贸市场相关工作</w:t>
      </w:r>
      <w:r>
        <w:rPr>
          <w:rFonts w:ascii="仿宋" w:eastAsia="仿宋" w:hAnsi="仿宋" w:hint="eastAsia"/>
          <w:b/>
          <w:bCs/>
          <w:sz w:val="32"/>
          <w:szCs w:val="32"/>
        </w:rPr>
        <w:t>。</w:t>
      </w:r>
    </w:p>
    <w:p w:rsidR="00F049FE" w:rsidRDefault="00477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一是持续开展</w:t>
      </w:r>
      <w:r>
        <w:rPr>
          <w:rFonts w:ascii="仿宋" w:eastAsia="仿宋" w:hAnsi="仿宋" w:hint="eastAsia"/>
          <w:sz w:val="32"/>
          <w:szCs w:val="32"/>
        </w:rPr>
        <w:t>全市农贸市场</w:t>
      </w:r>
      <w:r>
        <w:rPr>
          <w:rFonts w:ascii="仿宋" w:eastAsia="仿宋" w:hAnsi="仿宋" w:hint="eastAsia"/>
          <w:sz w:val="32"/>
          <w:szCs w:val="32"/>
        </w:rPr>
        <w:t>常态化疫情防控，营造安全健康市场环境，全体干部职工分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个专班按区域和人员安排深入农贸市场，慎终如始、全力以赴扎实开展巡查督导疫情防控工作，先后督导全市农贸市场落实设置公平交易秤、</w:t>
      </w:r>
      <w:r>
        <w:rPr>
          <w:rFonts w:ascii="仿宋" w:eastAsia="仿宋" w:hAnsi="仿宋" w:hint="eastAsia"/>
          <w:sz w:val="32"/>
          <w:szCs w:val="32"/>
        </w:rPr>
        <w:t>垃圾分类、摊位不占道经营摆放有序、疏通消防通道占用现象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余次，督查农药残留检测结果是否达标及每日公示到位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余次，劝导农贸市场消费者和业主禁止吸烟、不乱吐乱扔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余人次。</w:t>
      </w:r>
    </w:p>
    <w:p w:rsidR="00F049FE" w:rsidRDefault="00477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二是持续加强</w:t>
      </w:r>
      <w:proofErr w:type="gramStart"/>
      <w:r>
        <w:rPr>
          <w:rFonts w:ascii="仿宋" w:eastAsia="仿宋" w:hAnsi="仿宋" w:hint="eastAsia"/>
          <w:sz w:val="32"/>
          <w:szCs w:val="32"/>
        </w:rPr>
        <w:t>农贸市场创文巩卫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巡查督导，促进市场文明有序管理，先后组织召开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次专题工作会议，完善巡查督导机制，明确工作职责和责任区域，班子成员分组分区域带队，对标对表深入农贸市场持续开展巡查</w:t>
      </w:r>
      <w:proofErr w:type="gramStart"/>
      <w:r>
        <w:rPr>
          <w:rFonts w:ascii="仿宋" w:eastAsia="仿宋" w:hAnsi="仿宋" w:hint="eastAsia"/>
          <w:sz w:val="32"/>
          <w:szCs w:val="32"/>
        </w:rPr>
        <w:t>督导创文巩卫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和常态化疫情防控各项工作落实情况。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年中心共完成日常巡查</w:t>
      </w:r>
      <w:r>
        <w:rPr>
          <w:rFonts w:ascii="仿宋" w:eastAsia="仿宋" w:hAnsi="仿宋" w:hint="eastAsia"/>
          <w:sz w:val="32"/>
          <w:szCs w:val="32"/>
        </w:rPr>
        <w:t>两</w:t>
      </w:r>
      <w:r>
        <w:rPr>
          <w:rFonts w:ascii="仿宋" w:eastAsia="仿宋" w:hAnsi="仿宋" w:hint="eastAsia"/>
          <w:sz w:val="32"/>
          <w:szCs w:val="32"/>
        </w:rPr>
        <w:t>百余次，突击检查</w:t>
      </w:r>
      <w:r>
        <w:rPr>
          <w:rFonts w:ascii="仿宋" w:eastAsia="仿宋" w:hAnsi="仿宋" w:hint="eastAsia"/>
          <w:sz w:val="32"/>
          <w:szCs w:val="32"/>
        </w:rPr>
        <w:t>一百</w:t>
      </w:r>
      <w:r>
        <w:rPr>
          <w:rFonts w:ascii="仿宋" w:eastAsia="仿宋" w:hAnsi="仿宋" w:hint="eastAsia"/>
          <w:sz w:val="32"/>
          <w:szCs w:val="32"/>
        </w:rPr>
        <w:t>余次</w:t>
      </w:r>
      <w:r>
        <w:rPr>
          <w:rFonts w:ascii="仿宋" w:eastAsia="仿宋" w:hAnsi="仿宋" w:hint="eastAsia"/>
          <w:sz w:val="32"/>
          <w:szCs w:val="32"/>
        </w:rPr>
        <w:t>，先后</w:t>
      </w:r>
      <w:proofErr w:type="gramStart"/>
      <w:r>
        <w:rPr>
          <w:rFonts w:ascii="仿宋" w:eastAsia="仿宋" w:hAnsi="仿宋" w:hint="eastAsia"/>
          <w:sz w:val="32"/>
          <w:szCs w:val="32"/>
        </w:rPr>
        <w:t>上报创文巩卫</w:t>
      </w:r>
      <w:proofErr w:type="gramEnd"/>
      <w:r>
        <w:rPr>
          <w:rFonts w:ascii="仿宋" w:eastAsia="仿宋" w:hAnsi="仿宋" w:hint="eastAsia"/>
          <w:sz w:val="32"/>
          <w:szCs w:val="32"/>
        </w:rPr>
        <w:t>存在问题图片</w:t>
      </w:r>
      <w:r>
        <w:rPr>
          <w:rFonts w:ascii="仿宋" w:eastAsia="仿宋" w:hAnsi="仿宋" w:hint="eastAsia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余张，现场指出并整改乱摆乱放等现象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余起处，制止不文明、不卫生行为</w:t>
      </w:r>
      <w:r>
        <w:rPr>
          <w:rFonts w:ascii="仿宋" w:eastAsia="仿宋" w:hAnsi="仿宋" w:hint="eastAsia"/>
          <w:sz w:val="32"/>
          <w:szCs w:val="32"/>
        </w:rPr>
        <w:t>200</w:t>
      </w:r>
      <w:r>
        <w:rPr>
          <w:rFonts w:ascii="仿宋" w:eastAsia="仿宋" w:hAnsi="仿宋" w:hint="eastAsia"/>
          <w:sz w:val="32"/>
          <w:szCs w:val="32"/>
        </w:rPr>
        <w:t>多起人次。</w:t>
      </w:r>
    </w:p>
    <w:p w:rsidR="00F049FE" w:rsidRDefault="0047719E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四、存在的问题</w:t>
      </w:r>
      <w:r>
        <w:rPr>
          <w:rFonts w:eastAsia="黑体" w:hint="eastAsia"/>
          <w:sz w:val="32"/>
          <w:szCs w:val="32"/>
        </w:rPr>
        <w:t>及原因分析</w:t>
      </w:r>
    </w:p>
    <w:p w:rsidR="00F049FE" w:rsidRDefault="0047719E">
      <w:pPr>
        <w:ind w:firstLineChars="196" w:firstLine="63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（一）市场监管经费存在缺口</w:t>
      </w:r>
    </w:p>
    <w:p w:rsidR="00F049FE" w:rsidRDefault="0047719E">
      <w:pPr>
        <w:ind w:firstLineChars="245" w:firstLine="784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工作经费不能满足工作开展需要。中心没有下达公车经费，也没有</w:t>
      </w:r>
      <w:proofErr w:type="gramStart"/>
      <w:r>
        <w:rPr>
          <w:rFonts w:ascii="仿宋" w:eastAsia="仿宋" w:hAnsi="仿宋" w:hint="eastAsia"/>
          <w:sz w:val="32"/>
          <w:szCs w:val="32"/>
        </w:rPr>
        <w:t>下达</w:t>
      </w:r>
      <w:r>
        <w:rPr>
          <w:rFonts w:ascii="仿宋" w:eastAsia="仿宋" w:hAnsi="仿宋" w:hint="eastAsia"/>
          <w:sz w:val="32"/>
          <w:szCs w:val="32"/>
        </w:rPr>
        <w:t>创文创</w:t>
      </w:r>
      <w:proofErr w:type="gramEnd"/>
      <w:r>
        <w:rPr>
          <w:rFonts w:ascii="仿宋" w:eastAsia="仿宋" w:hAnsi="仿宋" w:hint="eastAsia"/>
          <w:sz w:val="32"/>
          <w:szCs w:val="32"/>
        </w:rPr>
        <w:t>卫巩卫等</w:t>
      </w:r>
      <w:r>
        <w:rPr>
          <w:rFonts w:ascii="仿宋" w:eastAsia="仿宋" w:hAnsi="仿宋" w:hint="eastAsia"/>
          <w:sz w:val="32"/>
          <w:szCs w:val="32"/>
        </w:rPr>
        <w:t>工作专项经费，</w:t>
      </w:r>
      <w:r>
        <w:rPr>
          <w:rFonts w:ascii="仿宋" w:eastAsia="仿宋" w:hAnsi="仿宋" w:hint="eastAsia"/>
          <w:sz w:val="32"/>
          <w:szCs w:val="32"/>
        </w:rPr>
        <w:t>每年</w:t>
      </w:r>
      <w:proofErr w:type="gramStart"/>
      <w:r>
        <w:rPr>
          <w:rFonts w:ascii="仿宋" w:eastAsia="仿宋" w:hAnsi="仿宋" w:hint="eastAsia"/>
          <w:sz w:val="32"/>
          <w:szCs w:val="32"/>
        </w:rPr>
        <w:t>市级</w:t>
      </w:r>
      <w:r>
        <w:rPr>
          <w:rFonts w:ascii="仿宋" w:eastAsia="仿宋" w:hAnsi="仿宋" w:hint="eastAsia"/>
          <w:sz w:val="32"/>
          <w:szCs w:val="32"/>
        </w:rPr>
        <w:lastRenderedPageBreak/>
        <w:t>创文创</w:t>
      </w:r>
      <w:proofErr w:type="gramEnd"/>
      <w:r>
        <w:rPr>
          <w:rFonts w:ascii="仿宋" w:eastAsia="仿宋" w:hAnsi="仿宋" w:hint="eastAsia"/>
          <w:sz w:val="32"/>
          <w:szCs w:val="32"/>
        </w:rPr>
        <w:t>卫巩卫长江禁渔等监督巡查工作任务</w:t>
      </w:r>
      <w:r>
        <w:rPr>
          <w:rFonts w:ascii="仿宋" w:eastAsia="仿宋" w:hAnsi="仿宋" w:hint="eastAsia"/>
          <w:sz w:val="32"/>
          <w:szCs w:val="32"/>
        </w:rPr>
        <w:t>逐</w:t>
      </w:r>
      <w:r>
        <w:rPr>
          <w:rFonts w:ascii="仿宋" w:eastAsia="仿宋" w:hAnsi="仿宋" w:hint="eastAsia"/>
          <w:sz w:val="32"/>
          <w:szCs w:val="32"/>
        </w:rPr>
        <w:t>年增加，但却</w:t>
      </w:r>
      <w:r>
        <w:rPr>
          <w:rFonts w:ascii="仿宋" w:eastAsia="仿宋" w:hAnsi="仿宋" w:hint="eastAsia"/>
          <w:sz w:val="32"/>
          <w:szCs w:val="32"/>
        </w:rPr>
        <w:t>一直</w:t>
      </w:r>
      <w:r>
        <w:rPr>
          <w:rFonts w:ascii="仿宋" w:eastAsia="仿宋" w:hAnsi="仿宋" w:hint="eastAsia"/>
          <w:sz w:val="32"/>
          <w:szCs w:val="32"/>
        </w:rPr>
        <w:t>没有安排经费。</w:t>
      </w:r>
    </w:p>
    <w:p w:rsidR="00F049FE" w:rsidRDefault="0047719E">
      <w:pPr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（二）绩效管理意识待提高</w:t>
      </w:r>
    </w:p>
    <w:p w:rsidR="00F049FE" w:rsidRDefault="0047719E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部分科室对绩效管理理解不到位，绩效目标的设置质量不高、绩效目标分解不够清晰、绩效管理效果不佳，加上机构改革期间，业务部门人员变化较大，项目</w:t>
      </w:r>
      <w:r>
        <w:rPr>
          <w:rFonts w:ascii="仿宋" w:eastAsia="仿宋" w:hAnsi="仿宋" w:hint="eastAsia"/>
          <w:sz w:val="32"/>
          <w:szCs w:val="32"/>
        </w:rPr>
        <w:t>的绩效跟踪难度较大。</w:t>
      </w:r>
    </w:p>
    <w:p w:rsidR="00F049FE" w:rsidRDefault="0047719E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五、下一步改进措施</w:t>
      </w:r>
    </w:p>
    <w:p w:rsidR="00F049FE" w:rsidRDefault="0047719E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请求财政加大对市场巡查经费的支持</w:t>
      </w:r>
    </w:p>
    <w:p w:rsidR="00F049FE" w:rsidRDefault="0047719E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农贸市场监管是民生领域的一项重点工作，</w:t>
      </w:r>
      <w:r>
        <w:rPr>
          <w:rFonts w:ascii="仿宋" w:eastAsia="仿宋" w:hAnsi="仿宋" w:cs="仿宋" w:hint="eastAsia"/>
          <w:sz w:val="32"/>
          <w:szCs w:val="32"/>
        </w:rPr>
        <w:t>食品安全监管</w:t>
      </w:r>
      <w:r>
        <w:rPr>
          <w:rFonts w:ascii="仿宋" w:eastAsia="仿宋" w:hAnsi="仿宋" w:hint="eastAsia"/>
          <w:sz w:val="32"/>
          <w:szCs w:val="32"/>
        </w:rPr>
        <w:t>是</w:t>
      </w:r>
      <w:r>
        <w:rPr>
          <w:rFonts w:ascii="仿宋" w:eastAsia="仿宋" w:hAnsi="仿宋" w:cs="仿宋" w:hint="eastAsia"/>
          <w:sz w:val="32"/>
          <w:szCs w:val="32"/>
        </w:rPr>
        <w:t>安全监管的基础，目前未安排任何费用，请求财政加大项目投入，以便更好地开展专项工作，确保人民的食品安全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049FE" w:rsidRDefault="0047719E">
      <w:pPr>
        <w:ind w:firstLineChars="200"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2.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加强绩效评价结果的运用</w:t>
      </w:r>
    </w:p>
    <w:p w:rsidR="00F049FE" w:rsidRDefault="0047719E">
      <w:pPr>
        <w:ind w:firstLineChars="200"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对各个项目资金绩效情况进行及时整理、归纳、分析，</w:t>
      </w:r>
    </w:p>
    <w:p w:rsidR="00F049FE" w:rsidRDefault="0047719E">
      <w:pPr>
        <w:widowControl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将其作为改善部门预算管理工作和安排以后年度预算的依据，合理保障资金使用绩效的评价结果与预算安排、政策调整、改进管理、资金分配实质性挂钩，充分发挥资金绩效评价的管理性作用。</w:t>
      </w:r>
    </w:p>
    <w:p w:rsidR="00F049FE" w:rsidRDefault="00F049FE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F049FE" w:rsidRDefault="0047719E">
      <w:pPr>
        <w:widowControl/>
        <w:ind w:firstLineChars="200" w:firstLine="643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b/>
          <w:sz w:val="32"/>
          <w:szCs w:val="32"/>
        </w:rPr>
        <w:t>附件</w:t>
      </w:r>
      <w:r>
        <w:rPr>
          <w:rFonts w:ascii="Times New Roman" w:eastAsia="仿宋" w:hAnsi="Times New Roman" w:hint="eastAsia"/>
          <w:sz w:val="32"/>
          <w:szCs w:val="32"/>
        </w:rPr>
        <w:t>：</w:t>
      </w:r>
    </w:p>
    <w:p w:rsidR="00F049FE" w:rsidRDefault="0047719E">
      <w:pPr>
        <w:ind w:leftChars="304" w:left="1918" w:right="640" w:hangingChars="400" w:hanging="12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pacing w:val="-8"/>
          <w:sz w:val="32"/>
          <w:szCs w:val="32"/>
        </w:rPr>
        <w:t>部门整体支出绩效自评报告</w:t>
      </w:r>
    </w:p>
    <w:p w:rsidR="00F049FE" w:rsidRDefault="0047719E">
      <w:pPr>
        <w:ind w:right="64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.</w:t>
      </w:r>
      <w:r>
        <w:rPr>
          <w:rFonts w:ascii="Times New Roman" w:eastAsia="仿宋_GB2312" w:hAnsi="Times New Roman"/>
          <w:sz w:val="32"/>
          <w:szCs w:val="32"/>
        </w:rPr>
        <w:t>部门整体支出绩效评价基础数据表</w:t>
      </w:r>
    </w:p>
    <w:p w:rsidR="00F049FE" w:rsidRDefault="0047719E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/>
          <w:sz w:val="32"/>
          <w:szCs w:val="32"/>
        </w:rPr>
        <w:t>部门整体支出绩效自评表</w:t>
      </w:r>
    </w:p>
    <w:p w:rsidR="00F049FE" w:rsidRDefault="00F049FE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F049FE" w:rsidRDefault="00F049FE">
      <w:pPr>
        <w:widowControl/>
        <w:rPr>
          <w:rFonts w:ascii="Times New Roman" w:eastAsia="仿宋" w:hAnsi="Times New Roman"/>
          <w:color w:val="000000"/>
          <w:kern w:val="0"/>
          <w:sz w:val="32"/>
          <w:szCs w:val="32"/>
        </w:rPr>
      </w:pPr>
    </w:p>
    <w:p w:rsidR="00F049FE" w:rsidRDefault="0047719E">
      <w:pPr>
        <w:ind w:right="640"/>
        <w:rPr>
          <w:rFonts w:ascii="Times New Roman" w:eastAsia="仿宋_GB2312" w:hAnsi="Times New Roman"/>
          <w:kern w:val="0"/>
          <w:sz w:val="36"/>
          <w:szCs w:val="36"/>
        </w:rPr>
      </w:pP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6"/>
          <w:szCs w:val="36"/>
        </w:rPr>
        <w:t xml:space="preserve"> </w:t>
      </w:r>
    </w:p>
    <w:p w:rsidR="00F049FE" w:rsidRDefault="0047719E">
      <w:pPr>
        <w:ind w:leftChars="171" w:left="359" w:right="640"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部门整体支出绩效评价基础数据表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 </w:t>
      </w:r>
    </w:p>
    <w:tbl>
      <w:tblPr>
        <w:tblW w:w="94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40"/>
        <w:gridCol w:w="969"/>
        <w:gridCol w:w="1110"/>
        <w:gridCol w:w="861"/>
        <w:gridCol w:w="1080"/>
        <w:gridCol w:w="1080"/>
        <w:gridCol w:w="1080"/>
      </w:tblGrid>
      <w:tr w:rsidR="00F049FE">
        <w:trPr>
          <w:trHeight w:val="409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财政供养人员情况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编制数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年实际在职人数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控制率</w:t>
            </w:r>
          </w:p>
        </w:tc>
      </w:tr>
      <w:tr w:rsidR="00F049FE">
        <w:trPr>
          <w:trHeight w:val="44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30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24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80%</w:t>
            </w:r>
          </w:p>
        </w:tc>
      </w:tr>
      <w:tr w:rsidR="00F049FE">
        <w:trPr>
          <w:trHeight w:val="63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经费控制情况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万元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2022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决算数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预算数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决算数</w:t>
            </w:r>
          </w:p>
        </w:tc>
      </w:tr>
      <w:tr w:rsidR="00F049FE">
        <w:trPr>
          <w:trHeight w:val="45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公经费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4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、公务用车购置和维护经费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1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其中：公车购置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0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公车运行维护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4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、出国经费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、公务接待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4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项目支出：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、业务工作经费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、运行维护经费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1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、专项资金（一个专项一行）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0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公用经费：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23.37</w:t>
            </w:r>
            <w:r>
              <w:rPr>
                <w:rFonts w:ascii="Times New Roman" w:hAnsi="Times New Roman" w:hint="eastAsia"/>
                <w:kern w:val="0"/>
                <w:szCs w:val="21"/>
              </w:rPr>
              <w:t>万元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30.68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</w:t>
            </w:r>
          </w:p>
        </w:tc>
      </w:tr>
      <w:tr w:rsidR="00F049FE">
        <w:trPr>
          <w:trHeight w:val="47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其中：办公经费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3.63</w:t>
            </w: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万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10.45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4.48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</w:t>
            </w:r>
          </w:p>
        </w:tc>
      </w:tr>
      <w:tr w:rsidR="00F049FE">
        <w:trPr>
          <w:trHeight w:val="4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水费、电费、差旅费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</w:tr>
      <w:tr w:rsidR="00F049FE">
        <w:trPr>
          <w:trHeight w:val="44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会议费、培训费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万元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0.38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万</w:t>
            </w:r>
          </w:p>
        </w:tc>
      </w:tr>
      <w:tr w:rsidR="00F049FE">
        <w:trPr>
          <w:trHeight w:val="50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政府采购金额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54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部门基本支出预算调整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  <w:tr w:rsidR="00F049FE">
        <w:trPr>
          <w:trHeight w:val="703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楼堂馆所控制情况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年完工项目）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批复规模（㎡）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实际规模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（㎡）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2"/>
                <w:lang w:bidi="ar"/>
              </w:rPr>
              <w:t>规模控制率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2"/>
                <w:lang w:bidi="ar"/>
              </w:rPr>
              <w:t>预算投资（万元）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2"/>
                <w:lang w:bidi="ar"/>
              </w:rPr>
              <w:t>实际投资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2"/>
                <w:lang w:bidi="ar"/>
              </w:rPr>
              <w:t>（万元）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2"/>
                <w:lang w:bidi="ar"/>
              </w:rPr>
              <w:t>投资概算控制率</w:t>
            </w:r>
          </w:p>
        </w:tc>
      </w:tr>
      <w:tr w:rsidR="00F049FE">
        <w:trPr>
          <w:trHeight w:val="563"/>
        </w:trPr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无</w:t>
            </w:r>
          </w:p>
        </w:tc>
      </w:tr>
      <w:tr w:rsidR="00F049FE">
        <w:trPr>
          <w:trHeight w:val="100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lang w:bidi="ar"/>
              </w:rPr>
              <w:t>厉行节约保障措施</w:t>
            </w:r>
          </w:p>
        </w:tc>
        <w:tc>
          <w:tcPr>
            <w:tcW w:w="6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</w:p>
        </w:tc>
      </w:tr>
    </w:tbl>
    <w:p w:rsidR="00F049FE" w:rsidRDefault="00F049FE">
      <w:pPr>
        <w:rPr>
          <w:rFonts w:ascii="Times New Roman" w:eastAsia="黑体" w:hAnsi="Times New Roman"/>
          <w:sz w:val="32"/>
          <w:szCs w:val="32"/>
        </w:rPr>
      </w:pPr>
    </w:p>
    <w:p w:rsidR="00F049FE" w:rsidRDefault="0047719E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F049FE" w:rsidRDefault="0047719E">
      <w:pPr>
        <w:ind w:leftChars="171" w:left="359" w:right="640" w:firstLineChars="600" w:firstLine="216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部门整体支出绩效自评表</w:t>
      </w:r>
    </w:p>
    <w:tbl>
      <w:tblPr>
        <w:tblW w:w="93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624"/>
        <w:gridCol w:w="828"/>
        <w:gridCol w:w="1332"/>
        <w:gridCol w:w="540"/>
        <w:gridCol w:w="442"/>
        <w:gridCol w:w="363"/>
        <w:gridCol w:w="590"/>
        <w:gridCol w:w="219"/>
        <w:gridCol w:w="846"/>
        <w:gridCol w:w="630"/>
        <w:gridCol w:w="300"/>
        <w:gridCol w:w="975"/>
        <w:gridCol w:w="1039"/>
      </w:tblGrid>
      <w:tr w:rsidR="00F049FE">
        <w:trPr>
          <w:trHeight w:val="545"/>
        </w:trPr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预算部门名称</w:t>
            </w:r>
          </w:p>
        </w:tc>
        <w:tc>
          <w:tcPr>
            <w:tcW w:w="72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衡阳市市场监督管理事务中心</w:t>
            </w:r>
          </w:p>
        </w:tc>
      </w:tr>
      <w:tr w:rsidR="00F049FE">
        <w:trPr>
          <w:trHeight w:val="680"/>
        </w:trPr>
        <w:tc>
          <w:tcPr>
            <w:tcW w:w="20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年度预算申请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br/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年初预算数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万元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调整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后预算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数（万元）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全年执行数（万元）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执行率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得分</w:t>
            </w:r>
          </w:p>
        </w:tc>
      </w:tr>
      <w:tr w:rsidR="00F049FE">
        <w:trPr>
          <w:trHeight w:val="478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年度资金总额：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381.75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477.47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469.59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98.35%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9.84</w:t>
            </w:r>
          </w:p>
        </w:tc>
      </w:tr>
      <w:tr w:rsidR="00F049FE">
        <w:trPr>
          <w:trHeight w:val="468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按收入性质分：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按支出性质分：</w:t>
            </w:r>
          </w:p>
        </w:tc>
      </w:tr>
      <w:tr w:rsidR="00F049FE">
        <w:trPr>
          <w:trHeight w:val="518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一般公共预算：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ind w:firstLineChars="500" w:firstLine="1000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476.45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基本支出：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469.59</w:t>
            </w:r>
          </w:p>
        </w:tc>
      </w:tr>
      <w:tr w:rsidR="00F049FE">
        <w:trPr>
          <w:trHeight w:val="584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政府性基金拨款：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65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纳入专户管理的非税收入拨款：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项目支出：</w:t>
            </w: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34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3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437"/>
        </w:trPr>
        <w:tc>
          <w:tcPr>
            <w:tcW w:w="20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年度总体目标</w:t>
            </w:r>
          </w:p>
        </w:tc>
        <w:tc>
          <w:tcPr>
            <w:tcW w:w="4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预期目标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实际完成情况</w:t>
            </w:r>
          </w:p>
        </w:tc>
      </w:tr>
      <w:tr w:rsidR="00F049FE">
        <w:trPr>
          <w:trHeight w:val="640"/>
        </w:trPr>
        <w:tc>
          <w:tcPr>
            <w:tcW w:w="2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创文创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卫、长江流域禁渔退捕、疫情防控、马路市场整治全年巡查全覆盖</w:t>
            </w:r>
          </w:p>
        </w:tc>
        <w:tc>
          <w:tcPr>
            <w:tcW w:w="2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每周定时巡查，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测评点全覆盖</w:t>
            </w:r>
            <w:proofErr w:type="gramEnd"/>
          </w:p>
        </w:tc>
      </w:tr>
      <w:tr w:rsidR="00F049FE">
        <w:trPr>
          <w:trHeight w:val="308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一级指标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二级指标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三级指标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年度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指标值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pacing w:val="-2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实际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完成值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分值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得分</w:t>
            </w:r>
          </w:p>
        </w:tc>
        <w:tc>
          <w:tcPr>
            <w:tcW w:w="23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偏差原因分析及改进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措施</w:t>
            </w:r>
          </w:p>
        </w:tc>
      </w:tr>
      <w:tr w:rsidR="00F049FE">
        <w:trPr>
          <w:trHeight w:val="312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2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绩效指标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成本指标</w:t>
            </w:r>
          </w:p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经济成本指标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成本控制率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不超过预算内成本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3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社会成本指标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推动创文创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卫工作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推动创文创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卫工作正常进行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6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生态环境指标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49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产出指标</w:t>
            </w:r>
          </w:p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巡查次数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不少于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次巡查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0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质量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巡查覆盖率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确保全市测评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点巡查全覆盖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4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时效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执行年限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巡查时长间隔不超过一周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25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效益指标（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经济效益指标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保障单位正常运行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考察单位是否有效保障正常运转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4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社会效益指标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推动创文创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卫工作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有效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推动创文创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卫工作正常进行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3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生态效益指标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59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可持续影响指标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管理机制健全性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长效管理机制健全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  <w:tr w:rsidR="00F049FE">
        <w:trPr>
          <w:trHeight w:val="649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F049F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47719E">
            <w:pPr>
              <w:widowControl/>
              <w:spacing w:line="2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满意度指标（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0"/>
                <w:kern w:val="0"/>
                <w:sz w:val="20"/>
                <w:szCs w:val="20"/>
                <w:lang w:bidi="ar"/>
              </w:rPr>
              <w:t>分）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 w:bidi="ar"/>
              </w:rPr>
              <w:t>服务对象满意度指标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社会满意度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力争满意度达到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90%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以上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9FE" w:rsidRDefault="0047719E">
            <w:pPr>
              <w:widowControl/>
              <w:spacing w:line="200" w:lineRule="exact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49FE" w:rsidRDefault="00F049FE">
            <w:pPr>
              <w:widowControl/>
              <w:spacing w:line="2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</w:p>
        </w:tc>
      </w:tr>
    </w:tbl>
    <w:p w:rsidR="00F049FE" w:rsidRDefault="00F049FE"/>
    <w:p w:rsidR="00F049FE" w:rsidRDefault="00F049FE">
      <w:pPr>
        <w:rPr>
          <w:rFonts w:eastAsiaTheme="minorEastAsia"/>
        </w:rPr>
      </w:pPr>
    </w:p>
    <w:sectPr w:rsidR="00F049FE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9E" w:rsidRDefault="0047719E">
      <w:r>
        <w:separator/>
      </w:r>
    </w:p>
  </w:endnote>
  <w:endnote w:type="continuationSeparator" w:id="0">
    <w:p w:rsidR="0047719E" w:rsidRDefault="004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FE" w:rsidRDefault="0047719E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49FE" w:rsidRDefault="00F049F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9FE" w:rsidRDefault="0047719E">
    <w:pPr>
      <w:pStyle w:val="a3"/>
      <w:framePr w:wrap="around" w:vAnchor="text" w:hAnchor="margin" w:xAlign="outside" w:y="1"/>
      <w:rPr>
        <w:rStyle w:val="a7"/>
        <w:rFonts w:ascii="Times New Roman" w:hAnsi="Times New Roman"/>
        <w:sz w:val="28"/>
        <w:szCs w:val="28"/>
      </w:rPr>
    </w:pPr>
    <w:r>
      <w:rPr>
        <w:rStyle w:val="a7"/>
        <w:rFonts w:ascii="Times New Roman" w:hAnsi="Times New Roman"/>
        <w:sz w:val="28"/>
        <w:szCs w:val="28"/>
      </w:rPr>
      <w:fldChar w:fldCharType="begin"/>
    </w:r>
    <w:r>
      <w:rPr>
        <w:rStyle w:val="a7"/>
        <w:rFonts w:ascii="Times New Roman" w:hAnsi="Times New Roman"/>
        <w:sz w:val="28"/>
        <w:szCs w:val="28"/>
      </w:rPr>
      <w:instrText xml:space="preserve">PAGE  </w:instrText>
    </w:r>
    <w:r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sz w:val="28"/>
        <w:szCs w:val="28"/>
      </w:rPr>
      <w:t>- 6 -</w:t>
    </w:r>
    <w:r>
      <w:rPr>
        <w:rStyle w:val="a7"/>
        <w:rFonts w:ascii="Times New Roman" w:hAnsi="Times New Roman"/>
        <w:sz w:val="28"/>
        <w:szCs w:val="28"/>
      </w:rPr>
      <w:fldChar w:fldCharType="end"/>
    </w:r>
  </w:p>
  <w:p w:rsidR="00F049FE" w:rsidRDefault="00F049F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9E" w:rsidRDefault="0047719E">
      <w:r>
        <w:separator/>
      </w:r>
    </w:p>
  </w:footnote>
  <w:footnote w:type="continuationSeparator" w:id="0">
    <w:p w:rsidR="0047719E" w:rsidRDefault="004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3281C"/>
    <w:multiLevelType w:val="singleLevel"/>
    <w:tmpl w:val="8B03281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72FEA5A"/>
    <w:multiLevelType w:val="singleLevel"/>
    <w:tmpl w:val="972FEA5A"/>
    <w:lvl w:ilvl="0">
      <w:start w:val="1"/>
      <w:numFmt w:val="chineseCounting"/>
      <w:suff w:val="nothing"/>
      <w:lvlText w:val="(%1）"/>
      <w:lvlJc w:val="left"/>
      <w:rPr>
        <w:rFonts w:hint="eastAsia"/>
      </w:rPr>
    </w:lvl>
  </w:abstractNum>
  <w:abstractNum w:abstractNumId="2" w15:restartNumberingAfterBreak="0">
    <w:nsid w:val="28F1B538"/>
    <w:multiLevelType w:val="singleLevel"/>
    <w:tmpl w:val="28F1B5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FjMjQwYmFkNDFmNzhhMTRmNjJmZmYwNWRiNWRhZDUifQ=="/>
  </w:docVars>
  <w:rsids>
    <w:rsidRoot w:val="36394EFE"/>
    <w:rsid w:val="00026591"/>
    <w:rsid w:val="000A2175"/>
    <w:rsid w:val="000C6C42"/>
    <w:rsid w:val="000E7AAD"/>
    <w:rsid w:val="000F75D3"/>
    <w:rsid w:val="00127771"/>
    <w:rsid w:val="001A700F"/>
    <w:rsid w:val="002305AA"/>
    <w:rsid w:val="00232F3A"/>
    <w:rsid w:val="0029799F"/>
    <w:rsid w:val="002E0E69"/>
    <w:rsid w:val="00370B41"/>
    <w:rsid w:val="0039479B"/>
    <w:rsid w:val="0047719E"/>
    <w:rsid w:val="00491758"/>
    <w:rsid w:val="00496325"/>
    <w:rsid w:val="004B0659"/>
    <w:rsid w:val="00543959"/>
    <w:rsid w:val="005F0D54"/>
    <w:rsid w:val="0064415F"/>
    <w:rsid w:val="00707F50"/>
    <w:rsid w:val="0076448B"/>
    <w:rsid w:val="00775053"/>
    <w:rsid w:val="007D29FC"/>
    <w:rsid w:val="007E0A98"/>
    <w:rsid w:val="00803323"/>
    <w:rsid w:val="00816D17"/>
    <w:rsid w:val="00821C3A"/>
    <w:rsid w:val="00937367"/>
    <w:rsid w:val="00942EB4"/>
    <w:rsid w:val="009A5466"/>
    <w:rsid w:val="009B29B7"/>
    <w:rsid w:val="009F731F"/>
    <w:rsid w:val="00A101F8"/>
    <w:rsid w:val="00A27351"/>
    <w:rsid w:val="00AD36D0"/>
    <w:rsid w:val="00B47266"/>
    <w:rsid w:val="00B92A8E"/>
    <w:rsid w:val="00B93482"/>
    <w:rsid w:val="00C23C3A"/>
    <w:rsid w:val="00DF19C6"/>
    <w:rsid w:val="00E26371"/>
    <w:rsid w:val="00EA0B73"/>
    <w:rsid w:val="00F049FE"/>
    <w:rsid w:val="00F16D74"/>
    <w:rsid w:val="00FE0AB1"/>
    <w:rsid w:val="089D525D"/>
    <w:rsid w:val="22F6244A"/>
    <w:rsid w:val="24BC31D3"/>
    <w:rsid w:val="255B3FE7"/>
    <w:rsid w:val="26B93D45"/>
    <w:rsid w:val="2F253AEB"/>
    <w:rsid w:val="344D55AB"/>
    <w:rsid w:val="348930EF"/>
    <w:rsid w:val="36394EFE"/>
    <w:rsid w:val="41CC1B25"/>
    <w:rsid w:val="439338D8"/>
    <w:rsid w:val="46825474"/>
    <w:rsid w:val="47581AF6"/>
    <w:rsid w:val="4A531313"/>
    <w:rsid w:val="4B024A90"/>
    <w:rsid w:val="4BFE7A8B"/>
    <w:rsid w:val="4EC17D64"/>
    <w:rsid w:val="54A21F3F"/>
    <w:rsid w:val="594E14F8"/>
    <w:rsid w:val="5A2F12C4"/>
    <w:rsid w:val="5E12502C"/>
    <w:rsid w:val="62096FD1"/>
    <w:rsid w:val="67D17BFB"/>
    <w:rsid w:val="698963C0"/>
    <w:rsid w:val="6D585139"/>
    <w:rsid w:val="70AD56EE"/>
    <w:rsid w:val="76A04200"/>
    <w:rsid w:val="7B420F6E"/>
    <w:rsid w:val="7F242CCD"/>
    <w:rsid w:val="7F70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B473F0-4BC5-4B5B-8BE5-A7FFDF2F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Emphasis"/>
    <w:basedOn w:val="a0"/>
    <w:qFormat/>
    <w:rPr>
      <w:i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reader-word-layerreader-word-s4-5">
    <w:name w:val="reader-word-layer reader-word-s4-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5">
    <w:name w:val="页眉 字符"/>
    <w:basedOn w:val="a0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537</Words>
  <Characters>3064</Characters>
  <Application>Microsoft Office Word</Application>
  <DocSecurity>0</DocSecurity>
  <Lines>25</Lines>
  <Paragraphs>7</Paragraphs>
  <ScaleCrop>false</ScaleCrop>
  <Company>Microsoft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Administrator</cp:lastModifiedBy>
  <cp:revision>7</cp:revision>
  <cp:lastPrinted>2022-03-29T02:43:00Z</cp:lastPrinted>
  <dcterms:created xsi:type="dcterms:W3CDTF">2022-03-28T07:36:00Z</dcterms:created>
  <dcterms:modified xsi:type="dcterms:W3CDTF">2024-09-29T07:58:00Z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311148010_btnclosed</vt:lpwstr>
  </property>
  <property fmtid="{D5CDD505-2E9C-101B-9397-08002B2CF9AE}" pid="4" name="ICV">
    <vt:lpwstr>69CBF35979AF4DB5BC3525A31F612C03</vt:lpwstr>
  </property>
</Properties>
</file>