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rPr>
          <w:rFonts w:ascii="Times New Roman" w:hAnsi="Times New Roman" w:eastAsia="仿宋_GB2312"/>
          <w:kern w:val="0"/>
          <w:sz w:val="32"/>
          <w:szCs w:val="32"/>
        </w:rPr>
      </w:pPr>
      <w:r>
        <w:rPr>
          <w:rFonts w:hint="eastAsia" w:ascii="黑体" w:hAnsi="黑体" w:eastAsia="黑体" w:cs="黑体"/>
          <w:kern w:val="0"/>
          <w:sz w:val="32"/>
          <w:szCs w:val="32"/>
        </w:rPr>
        <w:t>附件</w:t>
      </w:r>
      <w:r>
        <w:rPr>
          <w:rFonts w:ascii="Times New Roman" w:hAnsi="Times New Roman" w:eastAsia="仿宋_GB2312"/>
          <w:kern w:val="0"/>
          <w:sz w:val="32"/>
          <w:szCs w:val="32"/>
        </w:rPr>
        <w:t>1</w:t>
      </w:r>
    </w:p>
    <w:p>
      <w:pPr>
        <w:jc w:val="center"/>
        <w:rPr>
          <w:rFonts w:ascii="Times New Roman" w:hAnsi="Times New Roman" w:eastAsia="方正小标宋简体"/>
          <w:sz w:val="48"/>
          <w:szCs w:val="48"/>
        </w:rPr>
      </w:pPr>
    </w:p>
    <w:p>
      <w:pPr>
        <w:jc w:val="center"/>
        <w:rPr>
          <w:rFonts w:ascii="Times New Roman" w:hAnsi="Times New Roman" w:eastAsia="方正小标宋简体"/>
          <w:sz w:val="48"/>
          <w:szCs w:val="48"/>
        </w:rPr>
      </w:pPr>
    </w:p>
    <w:p>
      <w:pPr>
        <w:jc w:val="center"/>
        <w:rPr>
          <w:rFonts w:ascii="Times New Roman" w:hAnsi="Times New Roman" w:eastAsia="方正小标宋简体"/>
          <w:sz w:val="48"/>
          <w:szCs w:val="48"/>
        </w:rPr>
      </w:pPr>
    </w:p>
    <w:p>
      <w:pPr>
        <w:rPr>
          <w:rFonts w:ascii="Times New Roman" w:hAnsi="Times New Roman" w:eastAsia="方正小标宋简体"/>
          <w:sz w:val="48"/>
          <w:szCs w:val="48"/>
        </w:rPr>
      </w:pPr>
    </w:p>
    <w:p>
      <w:pPr>
        <w:jc w:val="center"/>
        <w:rPr>
          <w:rFonts w:ascii="Times New Roman" w:hAnsi="Times New Roman" w:eastAsia="方正小标宋简体"/>
          <w:sz w:val="48"/>
          <w:szCs w:val="48"/>
        </w:rPr>
      </w:pPr>
      <w:r>
        <w:rPr>
          <w:rFonts w:hint="eastAsia" w:ascii="Times New Roman" w:hAnsi="Times New Roman" w:eastAsia="方正小标宋简体"/>
          <w:sz w:val="48"/>
          <w:szCs w:val="48"/>
        </w:rPr>
        <w:t>衡阳市人民政府办公室</w:t>
      </w:r>
    </w:p>
    <w:p>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rPr>
        <w:t>3</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：（盖章）</w:t>
      </w:r>
    </w:p>
    <w:p>
      <w:pPr>
        <w:jc w:val="center"/>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p>
    <w:p>
      <w:pPr>
        <w:jc w:val="center"/>
        <w:rPr>
          <w:rFonts w:ascii="Times New Roman" w:hAnsi="Times New Roman" w:eastAsia="黑体"/>
          <w:sz w:val="36"/>
          <w:szCs w:val="36"/>
        </w:rPr>
      </w:pPr>
    </w:p>
    <w:p>
      <w:pPr>
        <w:jc w:val="center"/>
        <w:rPr>
          <w:rFonts w:ascii="Times New Roman" w:hAnsi="Times New Roman" w:eastAsia="黑体"/>
          <w:sz w:val="32"/>
          <w:szCs w:val="32"/>
        </w:rPr>
      </w:pPr>
      <w:r>
        <w:rPr>
          <w:rFonts w:ascii="Times New Roman" w:hAnsi="Times New Roman" w:eastAsia="黑体"/>
          <w:sz w:val="32"/>
          <w:szCs w:val="32"/>
        </w:rPr>
        <w:t>202</w:t>
      </w:r>
      <w:r>
        <w:rPr>
          <w:rFonts w:hint="eastAsia" w:ascii="Times New Roman" w:hAnsi="Times New Roman" w:eastAsia="黑体"/>
          <w:sz w:val="32"/>
          <w:szCs w:val="32"/>
        </w:rPr>
        <w:t>4</w:t>
      </w:r>
      <w:r>
        <w:rPr>
          <w:rFonts w:ascii="Times New Roman" w:hAnsi="Times New Roman" w:eastAsia="黑体"/>
          <w:sz w:val="32"/>
          <w:szCs w:val="32"/>
        </w:rPr>
        <w:t>年 3 月</w:t>
      </w:r>
      <w:r>
        <w:rPr>
          <w:rFonts w:hint="eastAsia" w:ascii="Times New Roman" w:hAnsi="Times New Roman" w:eastAsia="黑体"/>
          <w:sz w:val="32"/>
          <w:szCs w:val="32"/>
        </w:rPr>
        <w:t>30</w:t>
      </w:r>
      <w:r>
        <w:rPr>
          <w:rFonts w:ascii="Times New Roman" w:hAnsi="Times New Roman" w:eastAsia="黑体"/>
          <w:sz w:val="32"/>
          <w:szCs w:val="32"/>
        </w:rPr>
        <w:t>日</w:t>
      </w:r>
    </w:p>
    <w:p>
      <w:pPr>
        <w:rPr>
          <w:rFonts w:ascii="黑体" w:hAnsi="黑体" w:eastAsia="黑体" w:cs="黑体"/>
          <w:kern w:val="0"/>
          <w:sz w:val="32"/>
          <w:szCs w:val="32"/>
        </w:rPr>
      </w:pPr>
      <w:r>
        <w:rPr>
          <w:rFonts w:hint="eastAsia" w:ascii="黑体" w:hAnsi="黑体" w:eastAsia="黑体" w:cs="黑体"/>
          <w:kern w:val="0"/>
          <w:sz w:val="32"/>
          <w:szCs w:val="32"/>
        </w:rPr>
        <w:br w:type="page"/>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pPr>
        <w:rPr>
          <w:rFonts w:ascii="Times New Roman" w:hAnsi="Times New Roman" w:eastAsia="方正小标宋_GBK"/>
          <w:sz w:val="32"/>
          <w:szCs w:val="32"/>
        </w:rPr>
      </w:pPr>
    </w:p>
    <w:p>
      <w:pPr>
        <w:pStyle w:val="17"/>
        <w:widowControl/>
        <w:numPr>
          <w:ilvl w:val="0"/>
          <w:numId w:val="1"/>
        </w:numPr>
        <w:ind w:firstLine="640" w:firstLineChars="0"/>
        <w:rPr>
          <w:rFonts w:eastAsia="黑体"/>
          <w:sz w:val="32"/>
          <w:szCs w:val="32"/>
        </w:rPr>
      </w:pPr>
      <w:r>
        <w:rPr>
          <w:rFonts w:eastAsia="黑体"/>
          <w:sz w:val="32"/>
          <w:szCs w:val="32"/>
        </w:rPr>
        <w:t>部门、单位基本情况</w:t>
      </w:r>
    </w:p>
    <w:p>
      <w:pPr>
        <w:pStyle w:val="7"/>
        <w:shd w:val="clear" w:color="auto" w:fill="FFFFFF"/>
        <w:spacing w:before="0" w:beforeAutospacing="0" w:after="0" w:afterAutospacing="0" w:line="58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color w:val="414141"/>
          <w:sz w:val="32"/>
          <w:szCs w:val="32"/>
        </w:rPr>
        <w:t>衡阳市人民政府办公室是协助市政府领导同志处理市政府日常工作的机构，</w:t>
      </w:r>
      <w:r>
        <w:rPr>
          <w:rFonts w:hint="eastAsia" w:ascii="Times New Roman" w:hAnsi="Times New Roman" w:eastAsia="仿宋_GB2312" w:cs="Times New Roman"/>
          <w:color w:val="414141"/>
          <w:sz w:val="32"/>
          <w:szCs w:val="32"/>
        </w:rPr>
        <w:t>主要职能是：</w:t>
      </w:r>
      <w:r>
        <w:rPr>
          <w:rFonts w:ascii="Times New Roman" w:hAnsi="Times New Roman" w:eastAsia="仿宋_GB2312" w:cs="Times New Roman"/>
          <w:color w:val="414141"/>
          <w:sz w:val="32"/>
          <w:szCs w:val="32"/>
        </w:rPr>
        <w:t>协助市政府领导同志审核或组织起草以市政府、市政府办公室名义发布的公文。研究市政府各部门和各县市区人民政府请示市政府的事项，提出审核意见，报市政府领导同志审批。负责市政府会议的组织和服务工作，协助实施会议决定事项。根据市政府领导同志的指示或工作需要，对有关问题进行协调，提出处理意见，报市政府领导同志决定。办理中央和省、市政府领导同志的批示，并督促落实。督促检查市政府各部门和县市区人民政府对市政府决定事项的执行落实情况，及时向市政府报告。组织开展人大代表建议、政协提案办理工作。协助市政府领导同志做好需要由市政府组织处理的突发事件应急处置工作；负责向国务院和省、市政府领导同志报告重要信息和情况；负责市政府值班工作。负责衡阳南岳机场建设、管理和运营的协调。完成市政府和市政府领导同志交办的其他任务。</w:t>
      </w:r>
    </w:p>
    <w:p>
      <w:pPr>
        <w:pStyle w:val="17"/>
        <w:widowControl/>
        <w:ind w:firstLine="640"/>
        <w:rPr>
          <w:rFonts w:eastAsia="黑体"/>
          <w:sz w:val="32"/>
          <w:szCs w:val="32"/>
        </w:rPr>
      </w:pPr>
      <w:r>
        <w:rPr>
          <w:rFonts w:hint="eastAsia" w:eastAsia="仿宋_GB2312"/>
          <w:color w:val="414141"/>
          <w:sz w:val="32"/>
          <w:szCs w:val="32"/>
        </w:rPr>
        <w:t>本</w:t>
      </w:r>
      <w:r>
        <w:rPr>
          <w:rFonts w:eastAsia="仿宋_GB2312"/>
          <w:color w:val="414141"/>
          <w:sz w:val="32"/>
          <w:szCs w:val="32"/>
        </w:rPr>
        <w:t>单位现有</w:t>
      </w:r>
      <w:r>
        <w:rPr>
          <w:rFonts w:hint="eastAsia" w:eastAsia="仿宋_GB2312"/>
          <w:color w:val="414141"/>
          <w:sz w:val="32"/>
          <w:szCs w:val="32"/>
        </w:rPr>
        <w:t>内设机构22</w:t>
      </w:r>
      <w:r>
        <w:rPr>
          <w:rFonts w:eastAsia="仿宋_GB2312"/>
          <w:color w:val="414141"/>
          <w:sz w:val="32"/>
          <w:szCs w:val="32"/>
        </w:rPr>
        <w:t>个，在职人员</w:t>
      </w:r>
      <w:r>
        <w:rPr>
          <w:rFonts w:hint="eastAsia" w:eastAsia="仿宋_GB2312"/>
          <w:color w:val="414141"/>
          <w:sz w:val="32"/>
          <w:szCs w:val="32"/>
        </w:rPr>
        <w:t>115</w:t>
      </w:r>
      <w:r>
        <w:rPr>
          <w:rFonts w:eastAsia="仿宋_GB2312"/>
          <w:color w:val="414141"/>
          <w:sz w:val="32"/>
          <w:szCs w:val="32"/>
        </w:rPr>
        <w:t>人。</w:t>
      </w:r>
    </w:p>
    <w:p>
      <w:pPr>
        <w:pStyle w:val="17"/>
        <w:widowControl/>
        <w:ind w:firstLine="640"/>
        <w:rPr>
          <w:rFonts w:eastAsia="黑体"/>
          <w:sz w:val="32"/>
          <w:szCs w:val="32"/>
        </w:rPr>
      </w:pPr>
      <w:r>
        <w:rPr>
          <w:rFonts w:eastAsia="黑体"/>
          <w:sz w:val="32"/>
          <w:szCs w:val="32"/>
        </w:rPr>
        <w:t>二、一般公共预算支出情况</w:t>
      </w:r>
    </w:p>
    <w:p>
      <w:pPr>
        <w:pStyle w:val="17"/>
        <w:widowControl/>
        <w:ind w:firstLine="643"/>
        <w:rPr>
          <w:rFonts w:eastAsia="楷体"/>
          <w:b/>
          <w:sz w:val="32"/>
          <w:szCs w:val="32"/>
        </w:rPr>
      </w:pPr>
      <w:r>
        <w:rPr>
          <w:rFonts w:eastAsia="楷体"/>
          <w:b/>
          <w:sz w:val="32"/>
          <w:szCs w:val="32"/>
        </w:rPr>
        <w:t>（一）基本支出情况</w:t>
      </w:r>
    </w:p>
    <w:p>
      <w:pPr>
        <w:pStyle w:val="7"/>
        <w:shd w:val="clear" w:color="auto" w:fill="FFFFFF"/>
        <w:spacing w:before="0" w:beforeAutospacing="0" w:after="0" w:afterAutospacing="0" w:line="58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初</w:t>
      </w:r>
      <w:r>
        <w:rPr>
          <w:rFonts w:ascii="Times New Roman" w:hAnsi="Times New Roman" w:eastAsia="仿宋_GB2312" w:cs="Times New Roman"/>
          <w:sz w:val="32"/>
          <w:szCs w:val="32"/>
        </w:rPr>
        <w:t>预算总收入和总支出为</w:t>
      </w:r>
      <w:r>
        <w:rPr>
          <w:rFonts w:hint="eastAsia" w:ascii="Times New Roman" w:hAnsi="Times New Roman" w:eastAsia="仿宋_GB2312" w:cs="Times New Roman"/>
          <w:sz w:val="32"/>
          <w:szCs w:val="32"/>
        </w:rPr>
        <w:t>4629.53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3491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，项目支出1138.52万元。</w:t>
      </w:r>
    </w:p>
    <w:p>
      <w:pPr>
        <w:pStyle w:val="7"/>
        <w:shd w:val="clear" w:color="auto" w:fill="FFFFFF"/>
        <w:spacing w:before="0" w:beforeAutospacing="0" w:after="0" w:afterAutospacing="0" w:line="580" w:lineRule="exact"/>
        <w:ind w:firstLine="640" w:firstLineChars="200"/>
        <w:rPr>
          <w:rFonts w:eastAsia="楷体"/>
          <w:b/>
          <w:sz w:val="32"/>
          <w:szCs w:val="32"/>
        </w:rPr>
      </w:pPr>
      <w:r>
        <w:rPr>
          <w:rFonts w:hint="eastAsia" w:ascii="Times New Roman" w:hAnsi="Times New Roman" w:eastAsia="仿宋_GB2312" w:cs="Times New Roman"/>
          <w:sz w:val="32"/>
          <w:szCs w:val="32"/>
        </w:rPr>
        <w:t>2023年基本支出决算数为4308.15万元，其中：工资福</w:t>
      </w:r>
      <w:bookmarkStart w:id="0" w:name="_GoBack"/>
      <w:bookmarkEnd w:id="0"/>
      <w:r>
        <w:rPr>
          <w:rFonts w:hint="eastAsia" w:ascii="Times New Roman" w:hAnsi="Times New Roman" w:eastAsia="仿宋_GB2312" w:cs="Times New Roman"/>
          <w:sz w:val="32"/>
          <w:szCs w:val="32"/>
        </w:rPr>
        <w:t>利支出为2035.27万元，一般商品和服务支出为1449.14万元，对个人和家庭的补助为635.57万元；项目支出决算数为1096.40万元。</w:t>
      </w:r>
    </w:p>
    <w:p>
      <w:pPr>
        <w:pStyle w:val="17"/>
        <w:widowControl/>
        <w:ind w:firstLine="643"/>
        <w:rPr>
          <w:rFonts w:eastAsia="楷体"/>
          <w:b/>
          <w:sz w:val="32"/>
          <w:szCs w:val="32"/>
        </w:rPr>
      </w:pPr>
      <w:r>
        <w:rPr>
          <w:rFonts w:eastAsia="楷体"/>
          <w:b/>
          <w:sz w:val="32"/>
          <w:szCs w:val="32"/>
        </w:rPr>
        <w:t>（二）项目支出情况</w:t>
      </w:r>
    </w:p>
    <w:p>
      <w:pPr>
        <w:pStyle w:val="7"/>
        <w:shd w:val="clear" w:color="auto" w:fill="FFFFFF"/>
        <w:spacing w:before="0" w:beforeAutospacing="0" w:after="0" w:afterAutospacing="0" w:line="580" w:lineRule="exact"/>
        <w:ind w:firstLine="640" w:firstLineChars="200"/>
        <w:rPr>
          <w:rFonts w:hint="eastAsia" w:ascii="Times New Roman" w:hAnsi="Times New Roman" w:eastAsia="仿宋_GB2312" w:cs="Times New Roman"/>
          <w:color w:val="414141"/>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初项目支出</w:t>
      </w:r>
      <w:r>
        <w:rPr>
          <w:rFonts w:ascii="Times New Roman" w:hAnsi="Times New Roman" w:eastAsia="仿宋_GB2312" w:cs="Times New Roman"/>
          <w:sz w:val="32"/>
          <w:szCs w:val="32"/>
        </w:rPr>
        <w:t>预算总收入和总支出为</w:t>
      </w:r>
      <w:r>
        <w:rPr>
          <w:rFonts w:hint="eastAsia" w:ascii="Times New Roman" w:hAnsi="Times New Roman" w:eastAsia="仿宋_GB2312" w:cs="Times New Roman"/>
          <w:sz w:val="32"/>
          <w:szCs w:val="32"/>
        </w:rPr>
        <w:t>1138.52</w:t>
      </w:r>
      <w:r>
        <w:rPr>
          <w:rFonts w:ascii="Times New Roman" w:hAnsi="Times New Roman" w:eastAsia="仿宋_GB2312" w:cs="Times New Roman"/>
          <w:sz w:val="32"/>
          <w:szCs w:val="32"/>
        </w:rPr>
        <w:t>万元，</w:t>
      </w:r>
      <w:r>
        <w:rPr>
          <w:rFonts w:hint="eastAsia" w:ascii="Times New Roman" w:hAnsi="Times New Roman" w:eastAsia="仿宋_GB2312" w:cs="Times New Roman"/>
          <w:color w:val="414141"/>
          <w:sz w:val="32"/>
          <w:szCs w:val="32"/>
        </w:rPr>
        <w:t>其中：防控办专项资金21.17万元，电视电话会议及幻真系统改造运用维护费20.17万元、公务用车购置费42.96万元、机要工作经费20万元、纪检派驻派出机构工作经费6万元、市政府大院沥青道路提质改造项目经费79.35万元、市政府会议中心更换中央空调系统经费146万元、其他政府综合事务工作经费650万元、其他补助经费63.75万元、其他资金89.12万元。</w:t>
      </w:r>
    </w:p>
    <w:p>
      <w:pPr>
        <w:pStyle w:val="7"/>
        <w:shd w:val="clear" w:color="auto" w:fill="FFFFFF"/>
        <w:spacing w:before="0" w:beforeAutospacing="0" w:after="0" w:afterAutospacing="0" w:line="580" w:lineRule="exact"/>
        <w:ind w:firstLine="640" w:firstLineChars="200"/>
        <w:rPr>
          <w:rFonts w:ascii="Times New Roman" w:hAnsi="Times New Roman" w:eastAsia="仿宋_GB2312" w:cs="Times New Roman"/>
          <w:color w:val="414141"/>
          <w:sz w:val="32"/>
          <w:szCs w:val="32"/>
        </w:rPr>
      </w:pPr>
      <w:r>
        <w:rPr>
          <w:rFonts w:hint="eastAsia" w:ascii="Times New Roman" w:hAnsi="Times New Roman" w:eastAsia="仿宋_GB2312" w:cs="Times New Roman"/>
          <w:color w:val="414141"/>
          <w:sz w:val="32"/>
          <w:szCs w:val="32"/>
        </w:rPr>
        <w:t>2023年项目支出决算数为1096.40万元，比预算减少42.12万元。主要原因是防控办、纪检派驻派出机构专项经费、会议中心更换中央空调经费等支出减少。</w:t>
      </w:r>
    </w:p>
    <w:p>
      <w:pPr>
        <w:pStyle w:val="17"/>
        <w:widowControl/>
        <w:ind w:left="840" w:firstLine="0" w:firstLineChars="0"/>
        <w:rPr>
          <w:rFonts w:eastAsia="黑体"/>
          <w:sz w:val="32"/>
          <w:szCs w:val="32"/>
        </w:rPr>
      </w:pPr>
      <w:r>
        <w:rPr>
          <w:rFonts w:hint="eastAsia" w:eastAsia="黑体"/>
          <w:sz w:val="32"/>
          <w:szCs w:val="32"/>
        </w:rPr>
        <w:t>三、</w:t>
      </w:r>
      <w:r>
        <w:rPr>
          <w:rFonts w:eastAsia="黑体"/>
          <w:sz w:val="32"/>
          <w:szCs w:val="32"/>
        </w:rPr>
        <w:t>政府性基金预算支出情况</w:t>
      </w:r>
    </w:p>
    <w:p>
      <w:pPr>
        <w:pStyle w:val="17"/>
        <w:widowControl/>
        <w:ind w:left="420" w:leftChars="200" w:firstLine="320" w:firstLineChars="100"/>
        <w:rPr>
          <w:rFonts w:eastAsia="仿宋_GB2312"/>
          <w:kern w:val="0"/>
          <w:sz w:val="32"/>
          <w:szCs w:val="32"/>
        </w:rPr>
      </w:pPr>
      <w:r>
        <w:rPr>
          <w:rFonts w:hint="eastAsia" w:eastAsia="仿宋_GB2312"/>
          <w:kern w:val="0"/>
          <w:sz w:val="32"/>
          <w:szCs w:val="32"/>
        </w:rPr>
        <w:t>无。</w:t>
      </w:r>
    </w:p>
    <w:p>
      <w:pPr>
        <w:pStyle w:val="17"/>
        <w:widowControl/>
        <w:ind w:left="420" w:leftChars="200" w:firstLine="0" w:firstLineChars="0"/>
        <w:rPr>
          <w:rFonts w:eastAsia="黑体"/>
          <w:sz w:val="32"/>
          <w:szCs w:val="32"/>
        </w:rPr>
      </w:pPr>
    </w:p>
    <w:p>
      <w:pPr>
        <w:pStyle w:val="17"/>
        <w:widowControl/>
        <w:ind w:firstLine="640"/>
        <w:rPr>
          <w:rFonts w:eastAsia="黑体"/>
          <w:sz w:val="32"/>
          <w:szCs w:val="32"/>
        </w:rPr>
      </w:pPr>
      <w:r>
        <w:rPr>
          <w:rFonts w:hint="eastAsia" w:eastAsia="黑体"/>
          <w:sz w:val="32"/>
          <w:szCs w:val="32"/>
        </w:rPr>
        <w:t>四、</w:t>
      </w:r>
      <w:r>
        <w:rPr>
          <w:rFonts w:eastAsia="黑体"/>
          <w:sz w:val="32"/>
          <w:szCs w:val="32"/>
        </w:rPr>
        <w:t>国有资本经营预算支出情况</w:t>
      </w:r>
    </w:p>
    <w:p>
      <w:pPr>
        <w:pStyle w:val="17"/>
        <w:widowControl/>
        <w:ind w:left="420" w:leftChars="200" w:firstLine="320" w:firstLineChars="100"/>
        <w:rPr>
          <w:rFonts w:eastAsia="黑体"/>
          <w:sz w:val="32"/>
          <w:szCs w:val="32"/>
        </w:rPr>
      </w:pPr>
      <w:r>
        <w:rPr>
          <w:rFonts w:hint="eastAsia" w:eastAsia="仿宋_GB2312"/>
          <w:kern w:val="0"/>
          <w:sz w:val="32"/>
          <w:szCs w:val="32"/>
        </w:rPr>
        <w:t>无。</w:t>
      </w:r>
    </w:p>
    <w:p>
      <w:pPr>
        <w:pStyle w:val="17"/>
        <w:widowControl/>
        <w:ind w:firstLine="640"/>
        <w:rPr>
          <w:rFonts w:eastAsia="黑体"/>
          <w:sz w:val="32"/>
          <w:szCs w:val="32"/>
        </w:rPr>
      </w:pPr>
      <w:r>
        <w:rPr>
          <w:rFonts w:hint="eastAsia" w:eastAsia="黑体"/>
          <w:sz w:val="32"/>
          <w:szCs w:val="32"/>
        </w:rPr>
        <w:t>五、</w:t>
      </w:r>
      <w:r>
        <w:rPr>
          <w:rFonts w:eastAsia="黑体"/>
          <w:sz w:val="32"/>
          <w:szCs w:val="32"/>
        </w:rPr>
        <w:t>社会保险基金预算支出情况</w:t>
      </w:r>
    </w:p>
    <w:p>
      <w:pPr>
        <w:pStyle w:val="17"/>
        <w:widowControl/>
        <w:ind w:left="420" w:leftChars="200" w:firstLine="320" w:firstLineChars="100"/>
        <w:rPr>
          <w:rFonts w:eastAsia="仿宋_GB2312"/>
          <w:kern w:val="0"/>
          <w:sz w:val="32"/>
          <w:szCs w:val="32"/>
        </w:rPr>
      </w:pPr>
      <w:r>
        <w:rPr>
          <w:rFonts w:hint="eastAsia" w:eastAsia="仿宋_GB2312"/>
          <w:kern w:val="0"/>
          <w:sz w:val="32"/>
          <w:szCs w:val="32"/>
        </w:rPr>
        <w:t>无。</w:t>
      </w:r>
    </w:p>
    <w:p>
      <w:pPr>
        <w:widowControl/>
        <w:ind w:firstLine="640" w:firstLineChars="200"/>
        <w:rPr>
          <w:rFonts w:ascii="Times New Roman" w:hAnsi="Times New Roman" w:eastAsia="黑体"/>
          <w:sz w:val="32"/>
          <w:szCs w:val="32"/>
        </w:rPr>
      </w:pPr>
      <w:r>
        <w:rPr>
          <w:rFonts w:hint="eastAsia" w:ascii="Times New Roman" w:hAnsi="Times New Roman" w:eastAsia="黑体"/>
          <w:sz w:val="32"/>
          <w:szCs w:val="32"/>
        </w:rPr>
        <w:t>六、</w:t>
      </w:r>
      <w:r>
        <w:rPr>
          <w:rFonts w:ascii="Times New Roman" w:hAnsi="Times New Roman" w:eastAsia="黑体"/>
          <w:sz w:val="32"/>
          <w:szCs w:val="32"/>
        </w:rPr>
        <w:t>部门整体支出绩效情况</w:t>
      </w:r>
    </w:p>
    <w:p>
      <w:pPr>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 年我办</w:t>
      </w:r>
      <w:r>
        <w:rPr>
          <w:rFonts w:ascii="Times New Roman" w:hAnsi="Times New Roman" w:eastAsia="仿宋_GB2312"/>
          <w:sz w:val="32"/>
          <w:szCs w:val="32"/>
        </w:rPr>
        <w:t>基本完成</w:t>
      </w:r>
      <w:r>
        <w:rPr>
          <w:rFonts w:hint="eastAsia" w:ascii="Times New Roman" w:hAnsi="Times New Roman" w:eastAsia="仿宋_GB2312"/>
          <w:sz w:val="32"/>
          <w:szCs w:val="32"/>
        </w:rPr>
        <w:t>以下</w:t>
      </w:r>
      <w:r>
        <w:rPr>
          <w:rFonts w:ascii="Times New Roman" w:hAnsi="Times New Roman" w:eastAsia="仿宋_GB2312"/>
          <w:sz w:val="32"/>
          <w:szCs w:val="32"/>
        </w:rPr>
        <w:t>六个绩效目标</w:t>
      </w:r>
      <w:r>
        <w:rPr>
          <w:rFonts w:hint="eastAsia" w:ascii="Times New Roman" w:hAnsi="Times New Roman" w:eastAsia="仿宋_GB2312"/>
          <w:sz w:val="32"/>
          <w:szCs w:val="32"/>
        </w:rPr>
        <w:t>：</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目标1：通过预算执行，保障政府办在职人员</w:t>
      </w:r>
      <w:r>
        <w:rPr>
          <w:rFonts w:hint="eastAsia" w:ascii="Times New Roman" w:hAnsi="Times New Roman" w:eastAsia="仿宋_GB2312"/>
          <w:sz w:val="32"/>
          <w:szCs w:val="32"/>
        </w:rPr>
        <w:t>115</w:t>
      </w:r>
      <w:r>
        <w:rPr>
          <w:rFonts w:ascii="Times New Roman" w:hAnsi="Times New Roman" w:eastAsia="仿宋_GB2312"/>
          <w:sz w:val="32"/>
          <w:szCs w:val="32"/>
        </w:rPr>
        <w:t>人正常办公、生活秩序；</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目标2：积极推进办文办会、综合调研、督查督办、应急管理等工作，充分发挥协调、参谋助手和枢纽运转作用，为建立法制、责任、服务型政府做好本职工作；</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目标3：认真办理市党代表提案，市人大议案、代表建议，以及政协提案；</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目标4：不断健全公共安全体系，提高公共突发事件防范和处置能力；</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目标5：完善政府绩效评价机制；</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目标6：统筹督促各级各相关部门完成省市下达的重点民生实事工作任务。</w:t>
      </w:r>
    </w:p>
    <w:p>
      <w:pPr>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目标7:优化经济环境和疫情防控管理。</w:t>
      </w:r>
    </w:p>
    <w:p>
      <w:pPr>
        <w:pStyle w:val="17"/>
        <w:widowControl/>
        <w:ind w:firstLine="640"/>
        <w:rPr>
          <w:rFonts w:eastAsia="黑体"/>
          <w:sz w:val="32"/>
          <w:szCs w:val="32"/>
        </w:rPr>
      </w:pPr>
      <w:r>
        <w:rPr>
          <w:rFonts w:hint="eastAsia" w:eastAsia="黑体"/>
          <w:sz w:val="32"/>
          <w:szCs w:val="32"/>
        </w:rPr>
        <w:t>七</w:t>
      </w:r>
      <w:r>
        <w:rPr>
          <w:rFonts w:eastAsia="黑体"/>
          <w:sz w:val="32"/>
          <w:szCs w:val="32"/>
        </w:rPr>
        <w:t>、存在的问题及原因分析</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财务</w:t>
      </w:r>
      <w:r>
        <w:rPr>
          <w:rFonts w:ascii="Times New Roman" w:hAnsi="Times New Roman" w:eastAsia="仿宋_GB2312"/>
          <w:sz w:val="32"/>
          <w:szCs w:val="32"/>
        </w:rPr>
        <w:t>工作人员项目管理能力有限，专业技术知识有待提高，管理经验不足。</w:t>
      </w:r>
    </w:p>
    <w:p>
      <w:pPr>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_GB2312"/>
          <w:sz w:val="32"/>
          <w:szCs w:val="32"/>
        </w:rPr>
        <w:t>2.部门指导作用发挥不够，各工作部门之间，缺乏有效沟通与配合，统一组织协调工作有待加强。</w:t>
      </w:r>
    </w:p>
    <w:p>
      <w:pPr>
        <w:widowControl/>
        <w:ind w:firstLine="640" w:firstLineChars="200"/>
        <w:rPr>
          <w:rFonts w:ascii="Times New Roman" w:hAnsi="Times New Roman" w:eastAsia="黑体"/>
          <w:sz w:val="32"/>
          <w:szCs w:val="32"/>
        </w:rPr>
      </w:pPr>
      <w:r>
        <w:rPr>
          <w:rFonts w:hint="eastAsia" w:ascii="Times New Roman" w:hAnsi="Times New Roman" w:eastAsia="黑体"/>
          <w:sz w:val="32"/>
          <w:szCs w:val="32"/>
        </w:rPr>
        <w:t>八</w:t>
      </w:r>
      <w:r>
        <w:rPr>
          <w:rFonts w:ascii="Times New Roman" w:hAnsi="Times New Roman" w:eastAsia="黑体"/>
          <w:sz w:val="32"/>
          <w:szCs w:val="32"/>
        </w:rPr>
        <w:t>、下一步改进措施</w:t>
      </w:r>
    </w:p>
    <w:p>
      <w:pPr>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加强资金目标设置的指导，完善绩效自评工作。建议财政部门对各单位绩效评价工作人员给予适当培训，积极开展事前、事中、事后评价，使绩效自评工作常态化，以自评促管理提升、促绩效目标实现，改变自评工作滞后和不规范的局面。</w:t>
      </w:r>
    </w:p>
    <w:p>
      <w:pPr>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2.加强项目工作监督检查指导工作，积极协调解决政府项目管理能力薄弱等问题，确保项目工作有效实施。</w:t>
      </w:r>
    </w:p>
    <w:p>
      <w:pPr>
        <w:widowControl/>
        <w:ind w:firstLine="640" w:firstLineChars="200"/>
        <w:rPr>
          <w:rFonts w:ascii="Times New Roman" w:hAnsi="Times New Roman" w:eastAsia="黑体"/>
          <w:sz w:val="32"/>
          <w:szCs w:val="32"/>
        </w:rPr>
      </w:pPr>
    </w:p>
    <w:p>
      <w:pPr>
        <w:widowControl/>
        <w:ind w:firstLine="640" w:firstLineChars="200"/>
        <w:rPr>
          <w:rFonts w:ascii="Times New Roman" w:hAnsi="Times New Roman" w:eastAsia="黑体"/>
          <w:sz w:val="32"/>
          <w:szCs w:val="32"/>
        </w:rPr>
      </w:pPr>
      <w:r>
        <w:rPr>
          <w:rFonts w:hint="eastAsia" w:ascii="Times New Roman" w:hAnsi="Times New Roman" w:eastAsia="黑体"/>
          <w:sz w:val="32"/>
          <w:szCs w:val="32"/>
        </w:rPr>
        <w:t>九</w:t>
      </w:r>
      <w:r>
        <w:rPr>
          <w:rFonts w:ascii="Times New Roman" w:hAnsi="Times New Roman" w:eastAsia="黑体"/>
          <w:sz w:val="32"/>
          <w:szCs w:val="32"/>
        </w:rPr>
        <w:t>、其他需要说明的情况</w:t>
      </w:r>
    </w:p>
    <w:p>
      <w:pPr>
        <w:widowControl/>
        <w:ind w:firstLine="640" w:firstLineChars="200"/>
        <w:rPr>
          <w:rFonts w:ascii="Times New Roman" w:hAnsi="Times New Roman"/>
          <w:sz w:val="32"/>
          <w:szCs w:val="32"/>
        </w:rPr>
      </w:pPr>
      <w:r>
        <w:rPr>
          <w:rFonts w:hint="eastAsia" w:ascii="Times New Roman" w:hAnsi="Times New Roman"/>
          <w:sz w:val="32"/>
          <w:szCs w:val="32"/>
        </w:rPr>
        <w:t>无。</w:t>
      </w:r>
    </w:p>
    <w:p>
      <w:pPr>
        <w:widowControl/>
        <w:rPr>
          <w:rFonts w:ascii="Times New Roman" w:hAnsi="Times New Roman"/>
          <w:sz w:val="32"/>
          <w:szCs w:val="32"/>
        </w:rPr>
      </w:pPr>
    </w:p>
    <w:p>
      <w:pPr>
        <w:ind w:firstLine="640" w:firstLineChars="200"/>
        <w:rPr>
          <w:rFonts w:ascii="Times New Roman" w:hAnsi="Times New Roman" w:eastAsia="仿宋"/>
          <w:sz w:val="32"/>
          <w:szCs w:val="32"/>
        </w:rPr>
      </w:pPr>
    </w:p>
    <w:p>
      <w:pPr>
        <w:ind w:firstLine="640" w:firstLineChars="200"/>
        <w:rPr>
          <w:rFonts w:ascii="Times New Roman" w:hAnsi="Times New Roman" w:eastAsia="仿宋"/>
          <w:sz w:val="32"/>
          <w:szCs w:val="32"/>
        </w:rPr>
      </w:pPr>
    </w:p>
    <w:p>
      <w:pPr>
        <w:ind w:firstLine="640" w:firstLineChars="200"/>
        <w:rPr>
          <w:rFonts w:ascii="Times New Roman" w:hAnsi="Times New Roman" w:eastAsia="仿宋"/>
          <w:sz w:val="32"/>
          <w:szCs w:val="32"/>
        </w:rPr>
      </w:pPr>
    </w:p>
    <w:p>
      <w:pPr>
        <w:ind w:firstLine="640" w:firstLineChars="200"/>
        <w:rPr>
          <w:rFonts w:ascii="Times New Roman" w:hAnsi="Times New Roman" w:eastAsia="仿宋"/>
          <w:sz w:val="32"/>
          <w:szCs w:val="32"/>
        </w:rPr>
      </w:pPr>
    </w:p>
    <w:p>
      <w:pPr>
        <w:ind w:firstLine="640" w:firstLineChars="200"/>
        <w:rPr>
          <w:rFonts w:ascii="Times New Roman" w:hAnsi="Times New Roman" w:eastAsia="仿宋"/>
          <w:sz w:val="32"/>
          <w:szCs w:val="32"/>
        </w:rPr>
      </w:pPr>
    </w:p>
    <w:p>
      <w:pPr>
        <w:ind w:firstLine="640" w:firstLineChars="200"/>
        <w:rPr>
          <w:rFonts w:ascii="Times New Roman" w:hAnsi="Times New Roman" w:eastAsia="仿宋"/>
          <w:sz w:val="32"/>
          <w:szCs w:val="32"/>
        </w:rPr>
      </w:pPr>
    </w:p>
    <w:p>
      <w:pPr>
        <w:ind w:right="640"/>
        <w:rPr>
          <w:rFonts w:ascii="黑体" w:hAnsi="黑体" w:eastAsia="黑体" w:cs="黑体"/>
          <w:kern w:val="0"/>
          <w:sz w:val="32"/>
          <w:szCs w:val="32"/>
        </w:rPr>
      </w:pPr>
    </w:p>
    <w:p>
      <w:pPr>
        <w:spacing w:beforeLines="50"/>
        <w:rPr>
          <w:rFonts w:ascii="Times New Roman" w:hAnsi="Times New Roman" w:eastAsia="黑体"/>
          <w:sz w:val="32"/>
          <w:szCs w:val="32"/>
        </w:rPr>
      </w:pPr>
    </w:p>
    <w:sectPr>
      <w:footerReference r:id="rId3" w:type="default"/>
      <w:footerReference r:id="rId4" w:type="even"/>
      <w:pgSz w:w="11906" w:h="16838"/>
      <w:pgMar w:top="1440" w:right="1797" w:bottom="1440" w:left="1797" w:header="851" w:footer="1134" w:gutter="0"/>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pPr>
                  <w:pStyle w:val="5"/>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ascii="Times New Roman" w:hAnsi="Times New Roman"/>
                    <w:sz w:val="24"/>
                    <w:szCs w:val="24"/>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85B258"/>
    <w:multiLevelType w:val="singleLevel"/>
    <w:tmpl w:val="DF85B258"/>
    <w:lvl w:ilvl="0" w:tentative="0">
      <w:start w:val="1"/>
      <w:numFmt w:val="chineseCounting"/>
      <w:suff w:val="nothing"/>
      <w:lvlText w:val="%1、"/>
      <w:lvlJc w:val="left"/>
      <w:pPr>
        <w:ind w:left="2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NGM3NTIzNjM3NGRjYWNhNzA3M2I4ODQzMjVjZTk2YzkifQ=="/>
  </w:docVars>
  <w:rsids>
    <w:rsidRoot w:val="00C553EF"/>
    <w:rsid w:val="00012C93"/>
    <w:rsid w:val="000734E3"/>
    <w:rsid w:val="000773D5"/>
    <w:rsid w:val="00080625"/>
    <w:rsid w:val="00093B9D"/>
    <w:rsid w:val="00094646"/>
    <w:rsid w:val="000A561A"/>
    <w:rsid w:val="000D5E7F"/>
    <w:rsid w:val="000E2B59"/>
    <w:rsid w:val="000F775C"/>
    <w:rsid w:val="00135131"/>
    <w:rsid w:val="00135395"/>
    <w:rsid w:val="00184AF2"/>
    <w:rsid w:val="001941BF"/>
    <w:rsid w:val="001A7CAB"/>
    <w:rsid w:val="001B56F4"/>
    <w:rsid w:val="001B69B6"/>
    <w:rsid w:val="001B6D56"/>
    <w:rsid w:val="00220A85"/>
    <w:rsid w:val="002238BB"/>
    <w:rsid w:val="00225BED"/>
    <w:rsid w:val="002320EB"/>
    <w:rsid w:val="002A03D6"/>
    <w:rsid w:val="002D01D7"/>
    <w:rsid w:val="002F05A3"/>
    <w:rsid w:val="003056F3"/>
    <w:rsid w:val="003126FC"/>
    <w:rsid w:val="00323CF3"/>
    <w:rsid w:val="0032533F"/>
    <w:rsid w:val="003A1408"/>
    <w:rsid w:val="003B6FE0"/>
    <w:rsid w:val="003B7F5C"/>
    <w:rsid w:val="003E1FD6"/>
    <w:rsid w:val="003E5841"/>
    <w:rsid w:val="003F1540"/>
    <w:rsid w:val="004148E0"/>
    <w:rsid w:val="004217FE"/>
    <w:rsid w:val="00440BFE"/>
    <w:rsid w:val="00463FD5"/>
    <w:rsid w:val="00474AD0"/>
    <w:rsid w:val="00487AC5"/>
    <w:rsid w:val="00496F05"/>
    <w:rsid w:val="00537950"/>
    <w:rsid w:val="00551D43"/>
    <w:rsid w:val="0056423E"/>
    <w:rsid w:val="00566BA9"/>
    <w:rsid w:val="00581EEE"/>
    <w:rsid w:val="005851E9"/>
    <w:rsid w:val="00591495"/>
    <w:rsid w:val="00594AEE"/>
    <w:rsid w:val="005D294A"/>
    <w:rsid w:val="006264B7"/>
    <w:rsid w:val="006964D9"/>
    <w:rsid w:val="006F37DA"/>
    <w:rsid w:val="007123D7"/>
    <w:rsid w:val="00713B58"/>
    <w:rsid w:val="00751BF0"/>
    <w:rsid w:val="00764972"/>
    <w:rsid w:val="00771B0E"/>
    <w:rsid w:val="007A6F2C"/>
    <w:rsid w:val="007B3731"/>
    <w:rsid w:val="007C3C5A"/>
    <w:rsid w:val="007E2D1B"/>
    <w:rsid w:val="007E3E71"/>
    <w:rsid w:val="008241E1"/>
    <w:rsid w:val="00837DE6"/>
    <w:rsid w:val="00847A3C"/>
    <w:rsid w:val="00893AEC"/>
    <w:rsid w:val="008E5DB0"/>
    <w:rsid w:val="008F43BF"/>
    <w:rsid w:val="009334CD"/>
    <w:rsid w:val="00940D4A"/>
    <w:rsid w:val="00971DB4"/>
    <w:rsid w:val="0097394E"/>
    <w:rsid w:val="009845BD"/>
    <w:rsid w:val="009D0C0A"/>
    <w:rsid w:val="00A0127D"/>
    <w:rsid w:val="00A148B9"/>
    <w:rsid w:val="00A2187E"/>
    <w:rsid w:val="00A3605E"/>
    <w:rsid w:val="00A377C0"/>
    <w:rsid w:val="00A55C61"/>
    <w:rsid w:val="00A801F4"/>
    <w:rsid w:val="00AC12C1"/>
    <w:rsid w:val="00AC5F31"/>
    <w:rsid w:val="00AF15ED"/>
    <w:rsid w:val="00B049DD"/>
    <w:rsid w:val="00B17D23"/>
    <w:rsid w:val="00B62F82"/>
    <w:rsid w:val="00B702EE"/>
    <w:rsid w:val="00B86511"/>
    <w:rsid w:val="00B86BA1"/>
    <w:rsid w:val="00B9399A"/>
    <w:rsid w:val="00BD4955"/>
    <w:rsid w:val="00C23636"/>
    <w:rsid w:val="00C553EF"/>
    <w:rsid w:val="00C6089C"/>
    <w:rsid w:val="00C641BD"/>
    <w:rsid w:val="00C91F4C"/>
    <w:rsid w:val="00C9428C"/>
    <w:rsid w:val="00CC6012"/>
    <w:rsid w:val="00CC6447"/>
    <w:rsid w:val="00CD7E4E"/>
    <w:rsid w:val="00CE4DFE"/>
    <w:rsid w:val="00CF0AA7"/>
    <w:rsid w:val="00D64926"/>
    <w:rsid w:val="00D74987"/>
    <w:rsid w:val="00D812AD"/>
    <w:rsid w:val="00D8620A"/>
    <w:rsid w:val="00D90B2D"/>
    <w:rsid w:val="00DC7EE1"/>
    <w:rsid w:val="00DD4AA2"/>
    <w:rsid w:val="00DD5A15"/>
    <w:rsid w:val="00E01819"/>
    <w:rsid w:val="00E039BF"/>
    <w:rsid w:val="00E323CD"/>
    <w:rsid w:val="00E8571A"/>
    <w:rsid w:val="00E94B12"/>
    <w:rsid w:val="00EB2F6D"/>
    <w:rsid w:val="00EF0339"/>
    <w:rsid w:val="00F137EB"/>
    <w:rsid w:val="00F2080B"/>
    <w:rsid w:val="00F55DE1"/>
    <w:rsid w:val="00FA2BB2"/>
    <w:rsid w:val="00FC450D"/>
    <w:rsid w:val="00FD081E"/>
    <w:rsid w:val="00FE100B"/>
    <w:rsid w:val="00FE4826"/>
    <w:rsid w:val="01E5246B"/>
    <w:rsid w:val="028D58A7"/>
    <w:rsid w:val="029C7664"/>
    <w:rsid w:val="02DC0520"/>
    <w:rsid w:val="03043E77"/>
    <w:rsid w:val="075C7981"/>
    <w:rsid w:val="0A0E51DF"/>
    <w:rsid w:val="0AC2127F"/>
    <w:rsid w:val="0ACE6104"/>
    <w:rsid w:val="0F262ACD"/>
    <w:rsid w:val="12437D47"/>
    <w:rsid w:val="13576E06"/>
    <w:rsid w:val="15DA6FC6"/>
    <w:rsid w:val="16FF67F9"/>
    <w:rsid w:val="17C72637"/>
    <w:rsid w:val="18455FE2"/>
    <w:rsid w:val="18934E7A"/>
    <w:rsid w:val="189D1F36"/>
    <w:rsid w:val="198872D8"/>
    <w:rsid w:val="1AC20A5B"/>
    <w:rsid w:val="1BC07B65"/>
    <w:rsid w:val="1BCF14EC"/>
    <w:rsid w:val="1CAB71F2"/>
    <w:rsid w:val="1ED355AE"/>
    <w:rsid w:val="217D46AD"/>
    <w:rsid w:val="22173AFA"/>
    <w:rsid w:val="22B83031"/>
    <w:rsid w:val="235D255C"/>
    <w:rsid w:val="256F143E"/>
    <w:rsid w:val="26100A1C"/>
    <w:rsid w:val="26404C6A"/>
    <w:rsid w:val="27A04796"/>
    <w:rsid w:val="2C1E63CA"/>
    <w:rsid w:val="2CA61530"/>
    <w:rsid w:val="2E660FDE"/>
    <w:rsid w:val="2EBA7C6B"/>
    <w:rsid w:val="303B19BB"/>
    <w:rsid w:val="303E2C82"/>
    <w:rsid w:val="31A100F9"/>
    <w:rsid w:val="34563B80"/>
    <w:rsid w:val="35B86B98"/>
    <w:rsid w:val="35C3679B"/>
    <w:rsid w:val="35FEE57D"/>
    <w:rsid w:val="36663F85"/>
    <w:rsid w:val="398B5761"/>
    <w:rsid w:val="3A4142CC"/>
    <w:rsid w:val="3AEA64B7"/>
    <w:rsid w:val="3D0A6293"/>
    <w:rsid w:val="3D173DD6"/>
    <w:rsid w:val="3F147FA7"/>
    <w:rsid w:val="3F50051A"/>
    <w:rsid w:val="3F52287D"/>
    <w:rsid w:val="416B7C26"/>
    <w:rsid w:val="41C61B6B"/>
    <w:rsid w:val="41E2798B"/>
    <w:rsid w:val="43E14235"/>
    <w:rsid w:val="4435459B"/>
    <w:rsid w:val="44A75419"/>
    <w:rsid w:val="44AA32EE"/>
    <w:rsid w:val="459D39C1"/>
    <w:rsid w:val="465968B4"/>
    <w:rsid w:val="47AA78DA"/>
    <w:rsid w:val="4B2659FE"/>
    <w:rsid w:val="4C5D3AE1"/>
    <w:rsid w:val="4E3D321B"/>
    <w:rsid w:val="548D3CCE"/>
    <w:rsid w:val="59492735"/>
    <w:rsid w:val="59CF748C"/>
    <w:rsid w:val="59FB10DB"/>
    <w:rsid w:val="5AD148AC"/>
    <w:rsid w:val="5B675146"/>
    <w:rsid w:val="5B7D6ADF"/>
    <w:rsid w:val="5C2F64BB"/>
    <w:rsid w:val="5D120975"/>
    <w:rsid w:val="609A4BD3"/>
    <w:rsid w:val="60E76242"/>
    <w:rsid w:val="61BB07F0"/>
    <w:rsid w:val="61C549C7"/>
    <w:rsid w:val="62F62474"/>
    <w:rsid w:val="640815D9"/>
    <w:rsid w:val="662560FC"/>
    <w:rsid w:val="66B91727"/>
    <w:rsid w:val="67BF1E8D"/>
    <w:rsid w:val="6A604FCB"/>
    <w:rsid w:val="6AF80B9B"/>
    <w:rsid w:val="6BAD2A66"/>
    <w:rsid w:val="6C9A748E"/>
    <w:rsid w:val="6CDE3E9F"/>
    <w:rsid w:val="6D1C4D71"/>
    <w:rsid w:val="6E594C1E"/>
    <w:rsid w:val="6E6119FD"/>
    <w:rsid w:val="6FCF0FCC"/>
    <w:rsid w:val="70227983"/>
    <w:rsid w:val="704644F4"/>
    <w:rsid w:val="71125845"/>
    <w:rsid w:val="71B92164"/>
    <w:rsid w:val="72873DEF"/>
    <w:rsid w:val="74243C3A"/>
    <w:rsid w:val="747B40A4"/>
    <w:rsid w:val="75774B88"/>
    <w:rsid w:val="773A3B3B"/>
    <w:rsid w:val="777949B3"/>
    <w:rsid w:val="77A24B7F"/>
    <w:rsid w:val="78563B6F"/>
    <w:rsid w:val="785E75E4"/>
    <w:rsid w:val="78DE3623"/>
    <w:rsid w:val="79722ABF"/>
    <w:rsid w:val="79F001B2"/>
    <w:rsid w:val="7A5F5FB8"/>
    <w:rsid w:val="7B7749BD"/>
    <w:rsid w:val="7B7B180D"/>
    <w:rsid w:val="7BB732AA"/>
    <w:rsid w:val="7F4A2182"/>
    <w:rsid w:val="7F531EB8"/>
    <w:rsid w:val="7F910F92"/>
    <w:rsid w:val="7FBE5807"/>
    <w:rsid w:val="7FEF3DF1"/>
    <w:rsid w:val="E96F1BDF"/>
    <w:rsid w:val="FBFFFFF1"/>
    <w:rsid w:val="FEE7C17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99"/>
    <w:pPr>
      <w:jc w:val="left"/>
    </w:pPr>
    <w:rPr>
      <w:rFonts w:ascii="Times New Roman" w:hAnsi="Times New Roman"/>
      <w:szCs w:val="24"/>
    </w:rPr>
  </w:style>
  <w:style w:type="paragraph" w:styleId="3">
    <w:name w:val="Body Text"/>
    <w:basedOn w:val="1"/>
    <w:unhideWhenUsed/>
    <w:qFormat/>
    <w:uiPriority w:val="0"/>
  </w:style>
  <w:style w:type="paragraph" w:styleId="4">
    <w:name w:val="Balloon Text"/>
    <w:basedOn w:val="1"/>
    <w:link w:val="13"/>
    <w:qFormat/>
    <w:uiPriority w:val="99"/>
    <w:rPr>
      <w:rFonts w:ascii="Times New Roman" w:hAnsi="Times New Roman"/>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99"/>
    <w:rPr>
      <w:rFonts w:cs="Times New Roman"/>
    </w:rPr>
  </w:style>
  <w:style w:type="character" w:styleId="11">
    <w:name w:val="annotation reference"/>
    <w:basedOn w:val="9"/>
    <w:qFormat/>
    <w:uiPriority w:val="99"/>
    <w:rPr>
      <w:rFonts w:cs="Times New Roman"/>
      <w:sz w:val="21"/>
      <w:szCs w:val="21"/>
    </w:rPr>
  </w:style>
  <w:style w:type="character" w:customStyle="1" w:styleId="12">
    <w:name w:val="批注文字 Char"/>
    <w:basedOn w:val="9"/>
    <w:link w:val="2"/>
    <w:qFormat/>
    <w:locked/>
    <w:uiPriority w:val="99"/>
    <w:rPr>
      <w:rFonts w:ascii="Times New Roman" w:hAnsi="Times New Roman" w:eastAsia="宋体" w:cs="Times New Roman"/>
      <w:sz w:val="24"/>
      <w:szCs w:val="24"/>
    </w:rPr>
  </w:style>
  <w:style w:type="character" w:customStyle="1" w:styleId="13">
    <w:name w:val="批注框文本 Char"/>
    <w:basedOn w:val="9"/>
    <w:link w:val="4"/>
    <w:qFormat/>
    <w:locked/>
    <w:uiPriority w:val="99"/>
    <w:rPr>
      <w:rFonts w:ascii="Times New Roman" w:hAnsi="Times New Roman" w:eastAsia="宋体" w:cs="Times New Roman"/>
      <w:sz w:val="18"/>
      <w:szCs w:val="18"/>
    </w:rPr>
  </w:style>
  <w:style w:type="character" w:customStyle="1" w:styleId="14">
    <w:name w:val="页脚 Char"/>
    <w:basedOn w:val="9"/>
    <w:link w:val="5"/>
    <w:qFormat/>
    <w:locked/>
    <w:uiPriority w:val="99"/>
    <w:rPr>
      <w:rFonts w:cs="Times New Roman"/>
      <w:sz w:val="18"/>
      <w:szCs w:val="18"/>
    </w:rPr>
  </w:style>
  <w:style w:type="character" w:customStyle="1" w:styleId="15">
    <w:name w:val="页眉 Char"/>
    <w:basedOn w:val="9"/>
    <w:link w:val="6"/>
    <w:qFormat/>
    <w:locked/>
    <w:uiPriority w:val="99"/>
    <w:rPr>
      <w:rFonts w:cs="Times New Roman"/>
      <w:sz w:val="18"/>
      <w:szCs w:val="18"/>
    </w:rPr>
  </w:style>
  <w:style w:type="paragraph" w:customStyle="1" w:styleId="16">
    <w:name w:val="列出段落1"/>
    <w:basedOn w:val="1"/>
    <w:qFormat/>
    <w:uiPriority w:val="99"/>
    <w:pPr>
      <w:ind w:firstLine="420" w:firstLineChars="200"/>
    </w:pPr>
    <w:rPr>
      <w:rFonts w:ascii="Times New Roman" w:hAnsi="Times New Roman"/>
      <w:szCs w:val="24"/>
    </w:rPr>
  </w:style>
  <w:style w:type="paragraph" w:styleId="17">
    <w:name w:val="List Paragraph"/>
    <w:basedOn w:val="1"/>
    <w:qFormat/>
    <w:uiPriority w:val="99"/>
    <w:pPr>
      <w:ind w:firstLine="420" w:firstLineChars="200"/>
    </w:pPr>
    <w:rPr>
      <w:rFonts w:ascii="Times New Roman" w:hAnsi="Times New Roman"/>
      <w:szCs w:val="24"/>
    </w:rPr>
  </w:style>
  <w:style w:type="paragraph" w:customStyle="1" w:styleId="18">
    <w:name w:val="修订1"/>
    <w: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7433</Words>
  <Characters>9339</Characters>
  <Lines>77</Lines>
  <Paragraphs>33</Paragraphs>
  <TotalTime>350</TotalTime>
  <ScaleCrop>false</ScaleCrop>
  <LinksUpToDate>false</LinksUpToDate>
  <CharactersWithSpaces>16739</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2024-04-03T03:49:00Z</dcterms:created>
  <dc:creator>lenovo</dc:creator>
  <cp:lastModifiedBy>admin</cp:lastModifiedBy>
  <cp:lastPrinted>2023-03-25T01:17:00Z</cp:lastPrinted>
  <dcterms:modified xsi:type="dcterms:W3CDTF">2024-04-07T01:17:08Z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05A3344A75BF4096A4DCE5DEC370004C</vt:lpwstr>
  </property>
</Properties>
</file>