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F38E7" w14:textId="77777777" w:rsidR="00D350DD" w:rsidRDefault="00397749">
      <w:pPr>
        <w:spacing w:afterLines="100" w:after="312"/>
        <w:rPr>
          <w:rFonts w:ascii="仿宋_GB2312" w:eastAsia="仿宋_GB2312" w:hAnsi="Times New Roman"/>
          <w:kern w:val="0"/>
          <w:sz w:val="32"/>
          <w:szCs w:val="32"/>
        </w:rPr>
      </w:pPr>
      <w:r>
        <w:rPr>
          <w:rFonts w:ascii="仿宋_GB2312" w:eastAsia="仿宋_GB2312" w:hAnsi="Times New Roman" w:hint="eastAsia"/>
          <w:kern w:val="0"/>
          <w:sz w:val="32"/>
          <w:szCs w:val="32"/>
        </w:rPr>
        <w:t>附</w:t>
      </w:r>
      <w:r>
        <w:rPr>
          <w:rFonts w:ascii="仿宋_GB2312" w:eastAsia="仿宋_GB2312" w:hAnsi="Times New Roman" w:hint="eastAsia"/>
          <w:kern w:val="0"/>
          <w:sz w:val="32"/>
          <w:szCs w:val="32"/>
        </w:rPr>
        <w:t>件</w:t>
      </w:r>
      <w:r>
        <w:rPr>
          <w:rFonts w:ascii="仿宋_GB2312" w:eastAsia="仿宋_GB2312" w:hAnsi="Times New Roman" w:hint="eastAsia"/>
          <w:kern w:val="0"/>
          <w:sz w:val="32"/>
          <w:szCs w:val="32"/>
        </w:rPr>
        <w:t>2</w:t>
      </w:r>
    </w:p>
    <w:p w14:paraId="45711929" w14:textId="77777777" w:rsidR="00D350DD" w:rsidRDefault="00D350DD">
      <w:pPr>
        <w:rPr>
          <w:rFonts w:ascii="Times New Roman" w:eastAsia="黑体" w:hAnsi="Times New Roman"/>
          <w:sz w:val="32"/>
          <w:szCs w:val="32"/>
        </w:rPr>
      </w:pPr>
      <w:bookmarkStart w:id="0" w:name="_GoBack"/>
      <w:bookmarkEnd w:id="0"/>
    </w:p>
    <w:p w14:paraId="7EF79349" w14:textId="77777777" w:rsidR="00D350DD" w:rsidRDefault="00D350DD">
      <w:pPr>
        <w:rPr>
          <w:rFonts w:ascii="Times New Roman" w:eastAsia="黑体" w:hAnsi="Times New Roman"/>
          <w:sz w:val="32"/>
          <w:szCs w:val="32"/>
        </w:rPr>
      </w:pPr>
    </w:p>
    <w:p w14:paraId="177FD525" w14:textId="77777777" w:rsidR="00D350DD" w:rsidRDefault="00D350DD">
      <w:pPr>
        <w:rPr>
          <w:rFonts w:ascii="Times New Roman" w:eastAsia="黑体" w:hAnsi="Times New Roman"/>
          <w:sz w:val="32"/>
          <w:szCs w:val="32"/>
        </w:rPr>
      </w:pPr>
    </w:p>
    <w:p w14:paraId="153B54D9" w14:textId="77777777" w:rsidR="00D350DD" w:rsidRDefault="00D350DD">
      <w:pPr>
        <w:rPr>
          <w:rFonts w:ascii="Times New Roman" w:eastAsia="黑体" w:hAnsi="Times New Roman"/>
          <w:sz w:val="32"/>
          <w:szCs w:val="32"/>
        </w:rPr>
      </w:pPr>
    </w:p>
    <w:p w14:paraId="58F64DD1" w14:textId="77777777" w:rsidR="00D350DD" w:rsidRDefault="00397749">
      <w:pPr>
        <w:jc w:val="center"/>
        <w:rPr>
          <w:rFonts w:ascii="方正小标宋简体" w:eastAsia="方正小标宋简体" w:hAnsi="Times New Roman"/>
          <w:sz w:val="48"/>
          <w:szCs w:val="48"/>
        </w:rPr>
      </w:pPr>
      <w:r>
        <w:rPr>
          <w:rFonts w:ascii="方正小标宋简体" w:eastAsia="方正小标宋简体" w:hAnsi="Times New Roman"/>
          <w:sz w:val="48"/>
          <w:szCs w:val="48"/>
        </w:rPr>
        <w:t>202</w:t>
      </w:r>
      <w:r>
        <w:rPr>
          <w:rFonts w:ascii="方正小标宋简体" w:eastAsia="方正小标宋简体" w:hAnsi="Times New Roman" w:hint="eastAsia"/>
          <w:sz w:val="48"/>
          <w:szCs w:val="48"/>
        </w:rPr>
        <w:t>3</w:t>
      </w:r>
      <w:r>
        <w:rPr>
          <w:rFonts w:ascii="方正小标宋简体" w:eastAsia="方正小标宋简体" w:hAnsi="Times New Roman" w:hint="eastAsia"/>
          <w:sz w:val="48"/>
          <w:szCs w:val="48"/>
        </w:rPr>
        <w:t>年度部门整体支出绩效自评报告</w:t>
      </w:r>
    </w:p>
    <w:p w14:paraId="3E7A48C9" w14:textId="77777777" w:rsidR="00D350DD" w:rsidRDefault="00D350DD">
      <w:pPr>
        <w:jc w:val="center"/>
        <w:rPr>
          <w:rFonts w:ascii="Times New Roman" w:eastAsia="黑体" w:hAnsi="Times New Roman"/>
          <w:sz w:val="32"/>
          <w:szCs w:val="32"/>
        </w:rPr>
      </w:pPr>
    </w:p>
    <w:p w14:paraId="32E7FF73" w14:textId="77777777" w:rsidR="00D350DD" w:rsidRDefault="00D350DD">
      <w:pPr>
        <w:jc w:val="center"/>
        <w:rPr>
          <w:rFonts w:ascii="Times New Roman" w:eastAsia="黑体" w:hAnsi="Times New Roman"/>
          <w:sz w:val="32"/>
          <w:szCs w:val="32"/>
        </w:rPr>
      </w:pPr>
    </w:p>
    <w:p w14:paraId="47DAA91F" w14:textId="77777777" w:rsidR="00D350DD" w:rsidRDefault="00D350DD">
      <w:pPr>
        <w:jc w:val="center"/>
        <w:rPr>
          <w:rFonts w:ascii="Times New Roman" w:eastAsia="黑体" w:hAnsi="Times New Roman"/>
          <w:sz w:val="32"/>
          <w:szCs w:val="32"/>
        </w:rPr>
      </w:pPr>
    </w:p>
    <w:p w14:paraId="253423F4" w14:textId="77777777" w:rsidR="00D350DD" w:rsidRDefault="00D350DD">
      <w:pPr>
        <w:jc w:val="center"/>
        <w:rPr>
          <w:rFonts w:ascii="Times New Roman" w:eastAsia="黑体" w:hAnsi="Times New Roman"/>
          <w:sz w:val="32"/>
          <w:szCs w:val="32"/>
        </w:rPr>
      </w:pPr>
    </w:p>
    <w:p w14:paraId="6CAEBF05" w14:textId="77777777" w:rsidR="00D350DD" w:rsidRDefault="00D350DD">
      <w:pPr>
        <w:jc w:val="center"/>
        <w:rPr>
          <w:rFonts w:ascii="Times New Roman" w:eastAsia="黑体" w:hAnsi="Times New Roman"/>
          <w:sz w:val="32"/>
          <w:szCs w:val="32"/>
        </w:rPr>
      </w:pPr>
    </w:p>
    <w:p w14:paraId="17D8AF22" w14:textId="77777777" w:rsidR="00D350DD" w:rsidRDefault="00D350DD">
      <w:pPr>
        <w:jc w:val="center"/>
        <w:rPr>
          <w:rFonts w:ascii="Times New Roman" w:eastAsia="黑体" w:hAnsi="Times New Roman"/>
          <w:sz w:val="32"/>
          <w:szCs w:val="32"/>
        </w:rPr>
      </w:pPr>
    </w:p>
    <w:p w14:paraId="2773DE7B" w14:textId="77777777" w:rsidR="00D350DD" w:rsidRDefault="00D350DD">
      <w:pPr>
        <w:rPr>
          <w:rFonts w:ascii="Times New Roman" w:eastAsia="黑体" w:hAnsi="Times New Roman"/>
          <w:sz w:val="32"/>
          <w:szCs w:val="32"/>
        </w:rPr>
      </w:pPr>
    </w:p>
    <w:p w14:paraId="432AFD56" w14:textId="77777777" w:rsidR="00D350DD" w:rsidRDefault="00D350DD">
      <w:pPr>
        <w:jc w:val="center"/>
        <w:rPr>
          <w:rFonts w:ascii="Times New Roman" w:eastAsia="黑体" w:hAnsi="Times New Roman"/>
          <w:sz w:val="32"/>
          <w:szCs w:val="32"/>
        </w:rPr>
      </w:pPr>
    </w:p>
    <w:p w14:paraId="130A8DC0" w14:textId="77777777" w:rsidR="00D350DD" w:rsidRDefault="00397749">
      <w:pPr>
        <w:jc w:val="center"/>
        <w:rPr>
          <w:rFonts w:ascii="Times New Roman" w:hAnsi="Times New Roman"/>
          <w:sz w:val="36"/>
          <w:szCs w:val="36"/>
        </w:rPr>
      </w:pPr>
      <w:r>
        <w:rPr>
          <w:rFonts w:ascii="Times New Roman" w:hAnsi="Times New Roman" w:hint="eastAsia"/>
          <w:sz w:val="36"/>
          <w:szCs w:val="36"/>
        </w:rPr>
        <w:t xml:space="preserve">     </w:t>
      </w:r>
      <w:r>
        <w:rPr>
          <w:rFonts w:ascii="Times New Roman" w:hAnsi="Times New Roman" w:hint="eastAsia"/>
          <w:sz w:val="36"/>
          <w:szCs w:val="36"/>
        </w:rPr>
        <w:t>单位名称：</w:t>
      </w:r>
      <w:r>
        <w:rPr>
          <w:rFonts w:ascii="Times New Roman" w:hAnsi="Times New Roman" w:hint="eastAsia"/>
          <w:sz w:val="36"/>
          <w:szCs w:val="36"/>
        </w:rPr>
        <w:t xml:space="preserve">     </w:t>
      </w:r>
      <w:r>
        <w:rPr>
          <w:rFonts w:ascii="Times New Roman" w:hAnsi="Times New Roman" w:hint="eastAsia"/>
          <w:sz w:val="36"/>
          <w:szCs w:val="36"/>
        </w:rPr>
        <w:t>衡阳市公安局</w:t>
      </w:r>
    </w:p>
    <w:p w14:paraId="435D6C1C" w14:textId="77777777" w:rsidR="00D350DD" w:rsidRDefault="00397749">
      <w:pPr>
        <w:ind w:firstLineChars="600" w:firstLine="2160"/>
        <w:rPr>
          <w:rFonts w:ascii="Times New Roman" w:hAnsi="Times New Roman"/>
          <w:sz w:val="36"/>
          <w:szCs w:val="36"/>
          <w:lang w:val="en"/>
        </w:rPr>
      </w:pPr>
      <w:r>
        <w:rPr>
          <w:rFonts w:ascii="Times New Roman" w:hAnsi="Times New Roman" w:hint="eastAsia"/>
          <w:sz w:val="36"/>
          <w:szCs w:val="36"/>
          <w:lang w:val="en"/>
        </w:rPr>
        <w:t>主要负责人签字：</w:t>
      </w:r>
    </w:p>
    <w:p w14:paraId="4D090A23" w14:textId="77777777" w:rsidR="00D350DD" w:rsidRDefault="00D350DD">
      <w:pPr>
        <w:jc w:val="center"/>
        <w:rPr>
          <w:rFonts w:ascii="Times New Roman" w:eastAsia="黑体" w:hAnsi="Times New Roman"/>
          <w:sz w:val="36"/>
          <w:szCs w:val="36"/>
        </w:rPr>
      </w:pPr>
    </w:p>
    <w:p w14:paraId="1D036768" w14:textId="77777777" w:rsidR="00D350DD" w:rsidRDefault="00397749">
      <w:pPr>
        <w:jc w:val="center"/>
        <w:rPr>
          <w:rFonts w:ascii="Times New Roman" w:eastAsia="黑体" w:hAnsi="Times New Roman"/>
          <w:sz w:val="32"/>
          <w:szCs w:val="32"/>
        </w:rPr>
      </w:pPr>
      <w:r>
        <w:rPr>
          <w:rFonts w:ascii="Times New Roman" w:eastAsia="黑体" w:hAnsi="Times New Roman" w:hint="eastAsia"/>
          <w:sz w:val="32"/>
          <w:szCs w:val="32"/>
        </w:rPr>
        <w:t>2024</w:t>
      </w:r>
      <w:r>
        <w:rPr>
          <w:rFonts w:ascii="Times New Roman" w:eastAsia="黑体" w:hAnsi="Times New Roman" w:hint="eastAsia"/>
          <w:sz w:val="32"/>
          <w:szCs w:val="32"/>
        </w:rPr>
        <w:t>年</w:t>
      </w:r>
      <w:r>
        <w:rPr>
          <w:rFonts w:ascii="Times New Roman" w:eastAsia="黑体" w:hAnsi="Times New Roman"/>
          <w:sz w:val="32"/>
          <w:szCs w:val="32"/>
        </w:rPr>
        <w:t xml:space="preserve"> </w:t>
      </w:r>
      <w:r>
        <w:rPr>
          <w:rFonts w:ascii="Times New Roman" w:eastAsia="黑体" w:hAnsi="Times New Roman" w:hint="eastAsia"/>
          <w:sz w:val="32"/>
          <w:szCs w:val="32"/>
        </w:rPr>
        <w:t>3</w:t>
      </w:r>
      <w:r>
        <w:rPr>
          <w:rFonts w:ascii="Times New Roman" w:eastAsia="黑体" w:hAnsi="Times New Roman" w:hint="eastAsia"/>
          <w:sz w:val="32"/>
          <w:szCs w:val="32"/>
        </w:rPr>
        <w:t>月</w:t>
      </w:r>
      <w:r>
        <w:rPr>
          <w:rFonts w:ascii="Times New Roman" w:eastAsia="黑体" w:hAnsi="Times New Roman"/>
          <w:sz w:val="32"/>
          <w:szCs w:val="32"/>
        </w:rPr>
        <w:t xml:space="preserve"> </w:t>
      </w:r>
      <w:r>
        <w:rPr>
          <w:rFonts w:ascii="Times New Roman" w:eastAsia="黑体" w:hAnsi="Times New Roman" w:hint="eastAsia"/>
          <w:sz w:val="32"/>
          <w:szCs w:val="32"/>
        </w:rPr>
        <w:t>29</w:t>
      </w:r>
      <w:r>
        <w:rPr>
          <w:rFonts w:ascii="Times New Roman" w:eastAsia="黑体" w:hAnsi="Times New Roman" w:hint="eastAsia"/>
          <w:sz w:val="32"/>
          <w:szCs w:val="32"/>
        </w:rPr>
        <w:t>日</w:t>
      </w:r>
    </w:p>
    <w:p w14:paraId="231F6FB5" w14:textId="77777777" w:rsidR="00D350DD" w:rsidRDefault="00D350DD">
      <w:pPr>
        <w:jc w:val="center"/>
        <w:rPr>
          <w:rFonts w:ascii="Times New Roman" w:eastAsia="黑体" w:hAnsi="Times New Roman"/>
          <w:sz w:val="32"/>
          <w:szCs w:val="32"/>
        </w:rPr>
      </w:pPr>
    </w:p>
    <w:p w14:paraId="0BC80650" w14:textId="77777777" w:rsidR="00D350DD" w:rsidRDefault="00D350DD">
      <w:pPr>
        <w:jc w:val="center"/>
        <w:rPr>
          <w:rFonts w:ascii="Times New Roman" w:eastAsia="黑体" w:hAnsi="Times New Roman"/>
          <w:sz w:val="32"/>
          <w:szCs w:val="32"/>
        </w:rPr>
      </w:pPr>
    </w:p>
    <w:p w14:paraId="027CD935" w14:textId="77777777" w:rsidR="00D350DD" w:rsidRDefault="00D350DD">
      <w:pPr>
        <w:jc w:val="center"/>
        <w:rPr>
          <w:rFonts w:ascii="Times New Roman" w:eastAsia="黑体" w:hAnsi="Times New Roman"/>
          <w:sz w:val="32"/>
          <w:szCs w:val="32"/>
        </w:rPr>
      </w:pPr>
    </w:p>
    <w:p w14:paraId="53DF4ADF" w14:textId="77777777" w:rsidR="00D350DD" w:rsidRDefault="00397749">
      <w:pPr>
        <w:pStyle w:val="a6"/>
        <w:widowControl/>
        <w:numPr>
          <w:ilvl w:val="0"/>
          <w:numId w:val="1"/>
        </w:numPr>
        <w:ind w:firstLine="640"/>
        <w:rPr>
          <w:rFonts w:eastAsia="黑体"/>
          <w:sz w:val="32"/>
          <w:szCs w:val="32"/>
        </w:rPr>
      </w:pPr>
      <w:r>
        <w:rPr>
          <w:rFonts w:eastAsia="黑体" w:hint="eastAsia"/>
          <w:sz w:val="32"/>
          <w:szCs w:val="32"/>
        </w:rPr>
        <w:t>部门、单位基本情况</w:t>
      </w:r>
    </w:p>
    <w:p w14:paraId="1650010B" w14:textId="77777777" w:rsidR="00D350DD" w:rsidRDefault="00397749">
      <w:pPr>
        <w:spacing w:line="360" w:lineRule="auto"/>
        <w:ind w:firstLineChars="200" w:firstLine="643"/>
        <w:rPr>
          <w:rFonts w:ascii="楷体" w:eastAsia="楷体"/>
          <w:b/>
          <w:bCs/>
          <w:color w:val="000000"/>
          <w:sz w:val="32"/>
          <w:szCs w:val="32"/>
        </w:rPr>
      </w:pPr>
      <w:r>
        <w:rPr>
          <w:rFonts w:ascii="楷体" w:eastAsia="楷体" w:hint="eastAsia"/>
          <w:b/>
          <w:bCs/>
          <w:color w:val="000000"/>
          <w:sz w:val="32"/>
          <w:szCs w:val="32"/>
        </w:rPr>
        <w:lastRenderedPageBreak/>
        <w:t>（一）部门基本概况</w:t>
      </w:r>
    </w:p>
    <w:p w14:paraId="7401F1BE" w14:textId="77777777" w:rsidR="00D350DD" w:rsidRDefault="00397749">
      <w:pPr>
        <w:pStyle w:val="a5"/>
        <w:spacing w:line="360" w:lineRule="auto"/>
        <w:ind w:firstLineChars="200" w:firstLine="605"/>
        <w:rPr>
          <w:rFonts w:ascii="仿宋_GB2312" w:eastAsia="仿宋_GB2312" w:hAnsi="仿宋_GB2312" w:cs="仿宋_GB2312"/>
          <w:color w:val="000000"/>
          <w:w w:val="95"/>
        </w:rPr>
      </w:pPr>
      <w:r>
        <w:rPr>
          <w:rFonts w:ascii="仿宋_GB2312" w:eastAsia="仿宋_GB2312" w:hAnsi="仿宋_GB2312" w:cs="仿宋_GB2312" w:hint="eastAsia"/>
          <w:color w:val="000000"/>
          <w:w w:val="95"/>
        </w:rPr>
        <w:t>根据《中共衡阳市委衡阳市人民政府关于印发</w:t>
      </w:r>
      <w:r>
        <w:rPr>
          <w:rFonts w:ascii="仿宋_GB2312" w:eastAsia="仿宋_GB2312" w:hAnsi="仿宋_GB2312" w:cs="仿宋_GB2312" w:hint="eastAsia"/>
          <w:color w:val="000000"/>
          <w:w w:val="95"/>
        </w:rPr>
        <w:t> &lt;</w:t>
      </w:r>
      <w:r>
        <w:rPr>
          <w:rFonts w:ascii="仿宋_GB2312" w:eastAsia="仿宋_GB2312" w:hAnsi="仿宋_GB2312" w:cs="仿宋_GB2312" w:hint="eastAsia"/>
          <w:color w:val="000000"/>
          <w:w w:val="95"/>
        </w:rPr>
        <w:t>衡阳市人民政府机构改革方案的实施意见</w:t>
      </w:r>
      <w:r>
        <w:rPr>
          <w:rFonts w:ascii="仿宋_GB2312" w:eastAsia="仿宋_GB2312" w:hAnsi="仿宋_GB2312" w:cs="仿宋_GB2312" w:hint="eastAsia"/>
          <w:color w:val="000000"/>
          <w:w w:val="95"/>
        </w:rPr>
        <w:t>&gt;</w:t>
      </w:r>
      <w:r>
        <w:rPr>
          <w:rFonts w:ascii="仿宋_GB2312" w:eastAsia="仿宋_GB2312" w:hAnsi="仿宋_GB2312" w:cs="仿宋_GB2312" w:hint="eastAsia"/>
          <w:color w:val="000000"/>
          <w:w w:val="95"/>
        </w:rPr>
        <w:t>的通知》（</w:t>
      </w:r>
      <w:proofErr w:type="gramStart"/>
      <w:r>
        <w:rPr>
          <w:rFonts w:ascii="仿宋_GB2312" w:eastAsia="仿宋_GB2312" w:hAnsi="仿宋_GB2312" w:cs="仿宋_GB2312" w:hint="eastAsia"/>
          <w:color w:val="000000"/>
          <w:w w:val="95"/>
        </w:rPr>
        <w:t>衡发</w:t>
      </w:r>
      <w:proofErr w:type="gramEnd"/>
      <w:r>
        <w:rPr>
          <w:rFonts w:ascii="仿宋_GB2312" w:eastAsia="仿宋_GB2312" w:hAnsi="仿宋_GB2312" w:cs="仿宋_GB2312" w:hint="eastAsia"/>
          <w:color w:val="000000"/>
        </w:rPr>
        <w:t>[</w:t>
      </w:r>
      <w:r>
        <w:rPr>
          <w:rFonts w:ascii="仿宋_GB2312" w:eastAsia="仿宋_GB2312" w:hAnsi="仿宋_GB2312" w:cs="仿宋_GB2312" w:hint="eastAsia"/>
          <w:color w:val="000000"/>
          <w:w w:val="95"/>
        </w:rPr>
        <w:t>2010</w:t>
      </w:r>
      <w:r>
        <w:rPr>
          <w:rFonts w:ascii="仿宋_GB2312" w:eastAsia="仿宋_GB2312" w:hAnsi="仿宋_GB2312" w:cs="仿宋_GB2312" w:hint="eastAsia"/>
          <w:color w:val="000000"/>
        </w:rPr>
        <w:t>]</w:t>
      </w:r>
      <w:r>
        <w:rPr>
          <w:rFonts w:ascii="仿宋_GB2312" w:eastAsia="仿宋_GB2312" w:hAnsi="仿宋_GB2312" w:cs="仿宋_GB2312" w:hint="eastAsia"/>
          <w:color w:val="000000"/>
          <w:w w:val="95"/>
        </w:rPr>
        <w:t>3 </w:t>
      </w:r>
      <w:r>
        <w:rPr>
          <w:rFonts w:ascii="仿宋_GB2312" w:eastAsia="仿宋_GB2312" w:hAnsi="仿宋_GB2312" w:cs="仿宋_GB2312" w:hint="eastAsia"/>
          <w:color w:val="000000"/>
          <w:w w:val="95"/>
        </w:rPr>
        <w:t>号）和《中共衡阳市委衡阳市人民政府关于衡阳市人民政府机构设置的通知》（</w:t>
      </w:r>
      <w:proofErr w:type="gramStart"/>
      <w:r>
        <w:rPr>
          <w:rFonts w:ascii="仿宋_GB2312" w:eastAsia="仿宋_GB2312" w:hAnsi="仿宋_GB2312" w:cs="仿宋_GB2312" w:hint="eastAsia"/>
          <w:color w:val="000000"/>
          <w:w w:val="95"/>
        </w:rPr>
        <w:t>衡委</w:t>
      </w:r>
      <w:proofErr w:type="gramEnd"/>
      <w:r>
        <w:rPr>
          <w:rFonts w:ascii="仿宋_GB2312" w:eastAsia="仿宋_GB2312" w:hAnsi="仿宋_GB2312" w:cs="仿宋_GB2312" w:hint="eastAsia"/>
          <w:color w:val="000000"/>
        </w:rPr>
        <w:t>[</w:t>
      </w:r>
      <w:r>
        <w:rPr>
          <w:rFonts w:ascii="仿宋_GB2312" w:eastAsia="仿宋_GB2312" w:hAnsi="仿宋_GB2312" w:cs="仿宋_GB2312" w:hint="eastAsia"/>
          <w:color w:val="000000"/>
          <w:w w:val="95"/>
        </w:rPr>
        <w:t>2010</w:t>
      </w:r>
      <w:r>
        <w:rPr>
          <w:rFonts w:ascii="仿宋_GB2312" w:eastAsia="仿宋_GB2312" w:hAnsi="仿宋_GB2312" w:cs="仿宋_GB2312" w:hint="eastAsia"/>
          <w:color w:val="000000"/>
        </w:rPr>
        <w:t>]</w:t>
      </w:r>
      <w:r>
        <w:rPr>
          <w:rFonts w:ascii="仿宋_GB2312" w:eastAsia="仿宋_GB2312" w:hAnsi="仿宋_GB2312" w:cs="仿宋_GB2312" w:hint="eastAsia"/>
          <w:color w:val="000000"/>
          <w:w w:val="95"/>
        </w:rPr>
        <w:t>4</w:t>
      </w:r>
      <w:r>
        <w:rPr>
          <w:rFonts w:ascii="仿宋_GB2312" w:eastAsia="仿宋_GB2312" w:hAnsi="仿宋_GB2312" w:cs="仿宋_GB2312" w:hint="eastAsia"/>
          <w:color w:val="000000"/>
          <w:w w:val="95"/>
        </w:rPr>
        <w:t>号），设立市公安局，为市人民政府工作部门。</w:t>
      </w:r>
    </w:p>
    <w:p w14:paraId="2EB5E523" w14:textId="77777777" w:rsidR="00D350DD" w:rsidRDefault="00397749">
      <w:pPr>
        <w:pStyle w:val="a5"/>
        <w:spacing w:line="360" w:lineRule="auto"/>
        <w:ind w:leftChars="300" w:left="630"/>
        <w:rPr>
          <w:rFonts w:ascii="楷体" w:eastAsia="楷体" w:hAnsi="楷体" w:cs="楷体"/>
          <w:b/>
          <w:bCs/>
          <w:color w:val="000000"/>
          <w:w w:val="95"/>
        </w:rPr>
      </w:pPr>
      <w:r>
        <w:rPr>
          <w:rFonts w:ascii="楷体" w:eastAsia="楷体" w:hAnsi="楷体" w:cs="楷体" w:hint="eastAsia"/>
          <w:b/>
          <w:bCs/>
          <w:color w:val="000000"/>
          <w:w w:val="95"/>
        </w:rPr>
        <w:t>1.</w:t>
      </w:r>
      <w:r>
        <w:rPr>
          <w:rFonts w:ascii="楷体" w:eastAsia="楷体" w:hAnsi="楷体" w:cs="楷体" w:hint="eastAsia"/>
          <w:b/>
          <w:bCs/>
          <w:color w:val="000000"/>
          <w:w w:val="95"/>
        </w:rPr>
        <w:t>市公安局主要职能职责</w:t>
      </w:r>
    </w:p>
    <w:p w14:paraId="1B2A3AA2" w14:textId="77777777" w:rsidR="00D350DD" w:rsidRDefault="00397749">
      <w:pPr>
        <w:widowControl/>
        <w:adjustRightInd w:val="0"/>
        <w:snapToGrid w:val="0"/>
        <w:spacing w:line="360" w:lineRule="auto"/>
        <w:ind w:firstLineChars="200" w:firstLine="605"/>
        <w:rPr>
          <w:rFonts w:ascii="仿宋_GB2312" w:eastAsia="仿宋_GB2312" w:hAnsi="仿宋_GB2312" w:cs="仿宋_GB2312"/>
          <w:color w:val="000000"/>
          <w:w w:val="95"/>
          <w:sz w:val="32"/>
          <w:szCs w:val="32"/>
        </w:rPr>
      </w:pPr>
      <w:r>
        <w:rPr>
          <w:rFonts w:ascii="仿宋_GB2312" w:eastAsia="仿宋_GB2312" w:hAnsi="仿宋_GB2312" w:cs="仿宋_GB2312" w:hint="eastAsia"/>
          <w:color w:val="000000"/>
          <w:w w:val="95"/>
          <w:sz w:val="32"/>
          <w:szCs w:val="32"/>
        </w:rPr>
        <w:t>根据《中共衡阳市委衡阳市人民政府关于衡阳市人民政府机构设置的通知》（</w:t>
      </w:r>
      <w:proofErr w:type="gramStart"/>
      <w:r>
        <w:rPr>
          <w:rFonts w:ascii="仿宋_GB2312" w:eastAsia="仿宋_GB2312" w:hAnsi="仿宋_GB2312" w:cs="仿宋_GB2312" w:hint="eastAsia"/>
          <w:color w:val="000000"/>
          <w:w w:val="95"/>
          <w:sz w:val="32"/>
          <w:szCs w:val="32"/>
        </w:rPr>
        <w:t>衡委</w:t>
      </w:r>
      <w:proofErr w:type="gramEnd"/>
      <w:r>
        <w:rPr>
          <w:rFonts w:ascii="仿宋_GB2312" w:eastAsia="仿宋_GB2312" w:hAnsi="仿宋_GB2312" w:cs="仿宋_GB2312" w:hint="eastAsia"/>
          <w:color w:val="000000"/>
          <w:w w:val="95"/>
          <w:sz w:val="32"/>
          <w:szCs w:val="32"/>
        </w:rPr>
        <w:t>[2010]4</w:t>
      </w:r>
      <w:r>
        <w:rPr>
          <w:rFonts w:ascii="仿宋_GB2312" w:eastAsia="仿宋_GB2312" w:hAnsi="仿宋_GB2312" w:cs="仿宋_GB2312" w:hint="eastAsia"/>
          <w:color w:val="000000"/>
          <w:w w:val="95"/>
          <w:sz w:val="32"/>
          <w:szCs w:val="32"/>
        </w:rPr>
        <w:t>号），市公安局主要职能职责见表</w:t>
      </w:r>
      <w:r>
        <w:rPr>
          <w:rFonts w:ascii="仿宋_GB2312" w:eastAsia="仿宋_GB2312" w:hAnsi="仿宋_GB2312" w:cs="仿宋_GB2312" w:hint="eastAsia"/>
          <w:color w:val="000000"/>
          <w:w w:val="95"/>
          <w:sz w:val="32"/>
          <w:szCs w:val="32"/>
        </w:rPr>
        <w:t xml:space="preserve"> 1-1</w:t>
      </w:r>
      <w:r>
        <w:rPr>
          <w:rFonts w:ascii="仿宋_GB2312" w:eastAsia="仿宋_GB2312" w:hAnsi="仿宋_GB2312" w:cs="仿宋_GB2312" w:hint="eastAsia"/>
          <w:color w:val="000000"/>
          <w:w w:val="95"/>
          <w:sz w:val="32"/>
          <w:szCs w:val="32"/>
        </w:rPr>
        <w:t>。</w:t>
      </w:r>
      <w:r>
        <w:rPr>
          <w:rFonts w:ascii="仿宋_GB2312" w:eastAsia="仿宋_GB2312" w:hAnsi="仿宋_GB2312" w:cs="仿宋_GB2312" w:hint="eastAsia"/>
          <w:color w:val="000000"/>
          <w:w w:val="95"/>
          <w:sz w:val="32"/>
          <w:szCs w:val="32"/>
        </w:rPr>
        <w:t xml:space="preserve"> </w:t>
      </w:r>
    </w:p>
    <w:p w14:paraId="450F4B8F" w14:textId="77777777" w:rsidR="00D350DD" w:rsidRDefault="00397749">
      <w:pPr>
        <w:widowControl/>
        <w:adjustRightInd w:val="0"/>
        <w:snapToGrid w:val="0"/>
        <w:spacing w:line="360" w:lineRule="auto"/>
        <w:ind w:firstLineChars="200" w:firstLine="459"/>
        <w:jc w:val="center"/>
        <w:rPr>
          <w:rFonts w:ascii="仿宋_GB2312" w:eastAsia="仿宋_GB2312" w:hAnsi="仿宋_GB2312" w:cs="仿宋_GB2312"/>
          <w:b/>
          <w:bCs/>
          <w:color w:val="000000"/>
          <w:w w:val="95"/>
          <w:sz w:val="24"/>
        </w:rPr>
      </w:pPr>
      <w:r>
        <w:rPr>
          <w:rFonts w:ascii="仿宋_GB2312" w:eastAsia="仿宋_GB2312" w:hAnsi="仿宋_GB2312" w:cs="仿宋_GB2312" w:hint="eastAsia"/>
          <w:b/>
          <w:bCs/>
          <w:color w:val="000000"/>
          <w:w w:val="95"/>
          <w:sz w:val="24"/>
        </w:rPr>
        <w:t>表</w:t>
      </w:r>
      <w:r>
        <w:rPr>
          <w:rFonts w:ascii="仿宋_GB2312" w:eastAsia="仿宋_GB2312" w:hAnsi="仿宋_GB2312" w:cs="仿宋_GB2312" w:hint="eastAsia"/>
          <w:b/>
          <w:bCs/>
          <w:color w:val="000000"/>
          <w:w w:val="95"/>
          <w:sz w:val="24"/>
        </w:rPr>
        <w:t>1-1</w:t>
      </w:r>
      <w:r>
        <w:rPr>
          <w:rFonts w:ascii="仿宋_GB2312" w:eastAsia="仿宋_GB2312" w:hAnsi="仿宋_GB2312" w:cs="仿宋_GB2312" w:hint="eastAsia"/>
          <w:b/>
          <w:bCs/>
          <w:color w:val="000000"/>
          <w:w w:val="95"/>
          <w:sz w:val="24"/>
        </w:rPr>
        <w:t>市公安局职能职责</w:t>
      </w:r>
    </w:p>
    <w:tbl>
      <w:tblPr>
        <w:tblW w:w="8334" w:type="dxa"/>
        <w:jc w:val="center"/>
        <w:tblLayout w:type="fixed"/>
        <w:tblCellMar>
          <w:left w:w="0" w:type="dxa"/>
          <w:right w:w="0" w:type="dxa"/>
        </w:tblCellMar>
        <w:tblLook w:val="04A0" w:firstRow="1" w:lastRow="0" w:firstColumn="1" w:lastColumn="0" w:noHBand="0" w:noVBand="1"/>
      </w:tblPr>
      <w:tblGrid>
        <w:gridCol w:w="756"/>
        <w:gridCol w:w="7578"/>
      </w:tblGrid>
      <w:tr w:rsidR="00D350DD" w14:paraId="3E13E8A7"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7C58DE" w14:textId="77777777" w:rsidR="00D350DD" w:rsidRDefault="00397749">
            <w:pPr>
              <w:widowControl/>
              <w:spacing w:line="264" w:lineRule="auto"/>
              <w:ind w:rightChars="25" w:right="53"/>
              <w:jc w:val="center"/>
              <w:textAlignment w:val="center"/>
              <w:rPr>
                <w:rFonts w:ascii="仿宋_GB2312" w:eastAsia="仿宋_GB2312" w:hAnsi="仿宋_GB2312" w:cs="仿宋_GB2312"/>
                <w:b/>
                <w:bCs/>
                <w:color w:val="000000"/>
                <w:sz w:val="24"/>
              </w:rPr>
            </w:pPr>
            <w:bookmarkStart w:id="1" w:name="（二）机构设置及人员情况"/>
            <w:bookmarkEnd w:id="1"/>
            <w:r>
              <w:rPr>
                <w:rFonts w:ascii="仿宋_GB2312" w:eastAsia="仿宋_GB2312" w:hAnsi="仿宋_GB2312" w:cs="仿宋_GB2312" w:hint="eastAsia"/>
                <w:b/>
                <w:bCs/>
                <w:color w:val="000000"/>
                <w:sz w:val="24"/>
              </w:rPr>
              <w:t>序号</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4C286A" w14:textId="77777777" w:rsidR="00D350DD" w:rsidRDefault="00397749">
            <w:pPr>
              <w:widowControl/>
              <w:spacing w:line="264" w:lineRule="auto"/>
              <w:ind w:rightChars="25" w:right="53"/>
              <w:jc w:val="center"/>
              <w:textAlignment w:val="center"/>
              <w:rPr>
                <w:rFonts w:ascii="仿宋_GB2312" w:eastAsia="仿宋_GB2312" w:hAnsi="仿宋_GB2312" w:cs="仿宋_GB2312"/>
                <w:b/>
                <w:bCs/>
                <w:color w:val="000000"/>
                <w:sz w:val="24"/>
              </w:rPr>
            </w:pPr>
            <w:r>
              <w:rPr>
                <w:rFonts w:ascii="仿宋_GB2312" w:eastAsia="仿宋_GB2312" w:hAnsi="仿宋_GB2312" w:cs="仿宋_GB2312" w:hint="eastAsia"/>
                <w:b/>
                <w:bCs/>
                <w:color w:val="000000"/>
                <w:sz w:val="24"/>
              </w:rPr>
              <w:t>主要职责</w:t>
            </w:r>
          </w:p>
        </w:tc>
      </w:tr>
      <w:tr w:rsidR="00D350DD" w14:paraId="1C23802E"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725072"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467D98"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预防、制止和侦查违法犯罪活动；</w:t>
            </w:r>
          </w:p>
        </w:tc>
      </w:tr>
      <w:tr w:rsidR="00D350DD" w14:paraId="044BA417"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6E2B4B"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CFDB85"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维护社会治安秩序，制止危害社会治安秩序的行为；</w:t>
            </w:r>
          </w:p>
        </w:tc>
      </w:tr>
      <w:tr w:rsidR="00D350DD" w14:paraId="583CD079"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86862F"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0F37F"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维护交通安全和交通秩序，处理交通事故；</w:t>
            </w:r>
          </w:p>
        </w:tc>
      </w:tr>
      <w:tr w:rsidR="00D350DD" w14:paraId="07A869C9"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328B2B"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FEED54"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组织、实施消防工作，实行消防监督；</w:t>
            </w:r>
          </w:p>
        </w:tc>
      </w:tr>
      <w:tr w:rsidR="00D350DD" w14:paraId="22DF8E7E"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F9DE49"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6AB7B"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管理枪支弹药、管制刀具和易燃易爆、剧毒、放射等危险物品；</w:t>
            </w:r>
          </w:p>
        </w:tc>
      </w:tr>
      <w:tr w:rsidR="00D350DD" w14:paraId="2D92D001"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8CF092"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D511A3"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对法律、法规指定的特种行业进行管理；</w:t>
            </w:r>
          </w:p>
        </w:tc>
      </w:tr>
      <w:tr w:rsidR="00D350DD" w14:paraId="6A1C9040"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20346E"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DF450D"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警卫国家规定的特定人员，守卫重要的场所和设施；</w:t>
            </w:r>
          </w:p>
        </w:tc>
      </w:tr>
      <w:tr w:rsidR="00D350DD" w14:paraId="53BC6140" w14:textId="77777777">
        <w:trPr>
          <w:trHeight w:val="9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3738EE"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39CC82"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管理集会、游行、示威活动；</w:t>
            </w:r>
          </w:p>
        </w:tc>
      </w:tr>
      <w:tr w:rsidR="00D350DD" w14:paraId="0A0C421E"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02656D"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DB57C"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管理户政、国籍、入境出境事务和外国人在中国境内居留、旅行的有关事务；</w:t>
            </w:r>
          </w:p>
        </w:tc>
      </w:tr>
      <w:tr w:rsidR="00D350DD" w14:paraId="13053D7C"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77D553"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A266B"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维护国（边）境地区的治安秩序；</w:t>
            </w:r>
          </w:p>
        </w:tc>
      </w:tr>
      <w:tr w:rsidR="00D350DD" w14:paraId="6DD5FF45" w14:textId="77777777">
        <w:trPr>
          <w:trHeight w:val="7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7816B9"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AC1EBC"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对被判处管制、拘役、剥夺政治权利的罪犯和监外执行的罪犯执行刑罚，对被宣告缓刑、假释的罪犯实行监督、考察；</w:t>
            </w:r>
          </w:p>
        </w:tc>
      </w:tr>
      <w:tr w:rsidR="00D350DD" w14:paraId="292AA40D"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38BA59"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08F718"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监督管理计算机信息系统的安全保护工作；</w:t>
            </w:r>
          </w:p>
        </w:tc>
      </w:tr>
      <w:tr w:rsidR="00D350DD" w14:paraId="48360909" w14:textId="77777777">
        <w:trPr>
          <w:trHeight w:val="6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A4FF49"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63BFDC"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指导和监督国家机关、社会团体、企业事业组织和重点建设工程的治安保卫工作，指导治安保卫委员会等群众性组织的治安防范工作；</w:t>
            </w:r>
          </w:p>
        </w:tc>
      </w:tr>
      <w:tr w:rsidR="00D350DD" w14:paraId="118B6211" w14:textId="77777777">
        <w:trPr>
          <w:trHeight w:val="400"/>
          <w:jc w:val="center"/>
        </w:trPr>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0D4477" w14:textId="77777777" w:rsidR="00D350DD" w:rsidRDefault="00397749">
            <w:pPr>
              <w:widowControl/>
              <w:spacing w:line="264" w:lineRule="auto"/>
              <w:ind w:rightChars="25" w:right="53"/>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c>
          <w:tcPr>
            <w:tcW w:w="7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001E62" w14:textId="77777777" w:rsidR="00D350DD" w:rsidRDefault="00397749">
            <w:pPr>
              <w:widowControl/>
              <w:spacing w:line="264" w:lineRule="auto"/>
              <w:ind w:leftChars="50" w:left="105" w:rightChars="50" w:right="105"/>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法律、法规规定的其他职责。</w:t>
            </w:r>
          </w:p>
        </w:tc>
      </w:tr>
    </w:tbl>
    <w:p w14:paraId="4EDAD4A8" w14:textId="77777777" w:rsidR="00D350DD" w:rsidRDefault="00397749">
      <w:pPr>
        <w:pStyle w:val="a5"/>
        <w:spacing w:line="360" w:lineRule="auto"/>
        <w:ind w:leftChars="300" w:left="630"/>
        <w:rPr>
          <w:rFonts w:ascii="楷体" w:eastAsia="楷体" w:hAnsi="楷体" w:cs="楷体"/>
          <w:b/>
          <w:bCs/>
          <w:color w:val="000000"/>
          <w:w w:val="95"/>
        </w:rPr>
      </w:pPr>
      <w:r>
        <w:rPr>
          <w:rFonts w:ascii="楷体" w:eastAsia="楷体" w:hAnsi="楷体" w:cs="楷体" w:hint="eastAsia"/>
          <w:b/>
          <w:bCs/>
          <w:color w:val="000000"/>
          <w:w w:val="95"/>
        </w:rPr>
        <w:lastRenderedPageBreak/>
        <w:t>2.</w:t>
      </w:r>
      <w:r>
        <w:rPr>
          <w:rFonts w:ascii="楷体" w:eastAsia="楷体" w:hAnsi="楷体" w:cs="楷体" w:hint="eastAsia"/>
          <w:b/>
          <w:bCs/>
          <w:color w:val="000000"/>
          <w:w w:val="95"/>
        </w:rPr>
        <w:t>机构设置及人员情况</w:t>
      </w:r>
    </w:p>
    <w:p w14:paraId="55E0830C" w14:textId="77777777" w:rsidR="00D350DD" w:rsidRDefault="00397749">
      <w:pPr>
        <w:pStyle w:val="a6"/>
        <w:widowControl/>
        <w:ind w:firstLine="640"/>
        <w:rPr>
          <w:color w:val="000000"/>
          <w:w w:val="95"/>
          <w:sz w:val="32"/>
          <w:szCs w:val="32"/>
        </w:rPr>
      </w:pPr>
      <w:r>
        <w:rPr>
          <w:rFonts w:eastAsia="仿宋" w:hint="eastAsia"/>
          <w:color w:val="000000"/>
          <w:sz w:val="32"/>
          <w:szCs w:val="32"/>
        </w:rPr>
        <w:t>根据市人民政府批准的“三定”方案</w:t>
      </w:r>
      <w:r>
        <w:rPr>
          <w:rFonts w:eastAsia="仿宋" w:hint="eastAsia"/>
          <w:color w:val="000000"/>
          <w:sz w:val="32"/>
          <w:szCs w:val="32"/>
        </w:rPr>
        <w:t>(</w:t>
      </w:r>
      <w:proofErr w:type="gramStart"/>
      <w:r>
        <w:rPr>
          <w:rFonts w:eastAsia="仿宋" w:hint="eastAsia"/>
          <w:color w:val="000000"/>
          <w:sz w:val="32"/>
          <w:szCs w:val="32"/>
        </w:rPr>
        <w:t>衡政办</w:t>
      </w:r>
      <w:proofErr w:type="gramEnd"/>
      <w:r>
        <w:rPr>
          <w:rFonts w:eastAsia="仿宋" w:hint="eastAsia"/>
          <w:color w:val="000000"/>
          <w:sz w:val="32"/>
          <w:szCs w:val="32"/>
        </w:rPr>
        <w:t>发</w:t>
      </w:r>
      <w:r>
        <w:rPr>
          <w:rFonts w:eastAsia="仿宋" w:hint="eastAsia"/>
          <w:color w:val="000000"/>
          <w:sz w:val="32"/>
          <w:szCs w:val="32"/>
        </w:rPr>
        <w:t>[2011]22</w:t>
      </w:r>
      <w:r>
        <w:rPr>
          <w:rFonts w:eastAsia="仿宋" w:hint="eastAsia"/>
          <w:color w:val="000000"/>
          <w:sz w:val="32"/>
          <w:szCs w:val="32"/>
        </w:rPr>
        <w:t>号</w:t>
      </w:r>
      <w:r>
        <w:rPr>
          <w:rFonts w:eastAsia="仿宋" w:hint="eastAsia"/>
          <w:color w:val="000000"/>
          <w:sz w:val="32"/>
          <w:szCs w:val="32"/>
        </w:rPr>
        <w:t>)</w:t>
      </w:r>
      <w:r>
        <w:rPr>
          <w:rFonts w:eastAsia="仿宋" w:hint="eastAsia"/>
          <w:color w:val="000000"/>
          <w:sz w:val="32"/>
          <w:szCs w:val="32"/>
        </w:rPr>
        <w:t>和因工作需要新增机构的实际，市公安局设置内设机构</w:t>
      </w:r>
      <w:r>
        <w:rPr>
          <w:rFonts w:eastAsia="仿宋" w:hint="eastAsia"/>
          <w:color w:val="000000"/>
          <w:sz w:val="32"/>
          <w:szCs w:val="32"/>
        </w:rPr>
        <w:t> 23</w:t>
      </w:r>
      <w:r>
        <w:rPr>
          <w:rFonts w:eastAsia="仿宋" w:hint="eastAsia"/>
          <w:color w:val="000000"/>
          <w:sz w:val="32"/>
          <w:szCs w:val="32"/>
        </w:rPr>
        <w:t>个：警令部、政治部、警务保障处、法制支队、国保支队、刑侦支队、治安支队、交警支队、</w:t>
      </w:r>
      <w:proofErr w:type="gramStart"/>
      <w:r>
        <w:rPr>
          <w:rFonts w:eastAsia="仿宋" w:hint="eastAsia"/>
          <w:color w:val="000000"/>
          <w:sz w:val="32"/>
          <w:szCs w:val="32"/>
        </w:rPr>
        <w:t>特</w:t>
      </w:r>
      <w:proofErr w:type="gramEnd"/>
      <w:r>
        <w:rPr>
          <w:rFonts w:eastAsia="仿宋" w:hint="eastAsia"/>
          <w:color w:val="000000"/>
          <w:sz w:val="32"/>
          <w:szCs w:val="32"/>
        </w:rPr>
        <w:t>巡警支队、经</w:t>
      </w:r>
      <w:proofErr w:type="gramStart"/>
      <w:r>
        <w:rPr>
          <w:rFonts w:eastAsia="仿宋" w:hint="eastAsia"/>
          <w:color w:val="000000"/>
          <w:sz w:val="32"/>
          <w:szCs w:val="32"/>
        </w:rPr>
        <w:t>侦</w:t>
      </w:r>
      <w:proofErr w:type="gramEnd"/>
      <w:r>
        <w:rPr>
          <w:rFonts w:eastAsia="仿宋" w:hint="eastAsia"/>
          <w:color w:val="000000"/>
          <w:sz w:val="32"/>
          <w:szCs w:val="32"/>
        </w:rPr>
        <w:t>支队、禁毒支队、督察支队、监管支队、网络安全保卫与技术侦查支队、人口与出入境管理支队、警卫处、综合执法警察支队、科技信息化支队、单位内部安全保卫支队、有组织犯罪侦查支队、环境与食品药品犯罪侦查支队、反恐怖工作支队、监察留置看护管理支队；下设机构</w:t>
      </w:r>
      <w:r>
        <w:rPr>
          <w:rFonts w:eastAsia="仿宋" w:hint="eastAsia"/>
          <w:color w:val="000000"/>
          <w:sz w:val="32"/>
          <w:szCs w:val="32"/>
        </w:rPr>
        <w:t>9</w:t>
      </w:r>
      <w:r>
        <w:rPr>
          <w:rFonts w:eastAsia="仿宋" w:hint="eastAsia"/>
          <w:color w:val="000000"/>
          <w:sz w:val="32"/>
          <w:szCs w:val="32"/>
        </w:rPr>
        <w:t>个：警官培训中心、衡阳市看守所、衡阳市未成年人看守所</w:t>
      </w:r>
      <w:r>
        <w:rPr>
          <w:rFonts w:eastAsia="仿宋" w:hint="eastAsia"/>
          <w:color w:val="000000"/>
          <w:sz w:val="32"/>
          <w:szCs w:val="32"/>
        </w:rPr>
        <w:t>、治安拘留与收容教育所、戒毒所、白沙洲戒毒康复中心、衡阳市女子看守所、衡阳市公安监管医院、行政审批服务中心。群团及老干组织</w:t>
      </w:r>
      <w:r>
        <w:rPr>
          <w:rFonts w:eastAsia="仿宋" w:hint="eastAsia"/>
          <w:color w:val="000000"/>
          <w:sz w:val="32"/>
          <w:szCs w:val="32"/>
        </w:rPr>
        <w:t>5</w:t>
      </w:r>
      <w:r>
        <w:rPr>
          <w:rFonts w:eastAsia="仿宋" w:hint="eastAsia"/>
          <w:color w:val="000000"/>
          <w:sz w:val="32"/>
          <w:szCs w:val="32"/>
        </w:rPr>
        <w:t>个：机关党委、工会、共青团、妇委会、离退休人员服务管理办公室。派出机构</w:t>
      </w:r>
      <w:r>
        <w:rPr>
          <w:rFonts w:eastAsia="仿宋" w:hint="eastAsia"/>
          <w:color w:val="000000"/>
          <w:sz w:val="32"/>
          <w:szCs w:val="32"/>
        </w:rPr>
        <w:t>7</w:t>
      </w:r>
      <w:r>
        <w:rPr>
          <w:rFonts w:eastAsia="仿宋" w:hint="eastAsia"/>
          <w:color w:val="000000"/>
          <w:sz w:val="32"/>
          <w:szCs w:val="32"/>
        </w:rPr>
        <w:t>个：珠晖、雁峰、石鼓、蒸湘、八角塘分局、高新开发区分局、南岳机场分局。其中副处机构</w:t>
      </w:r>
      <w:r>
        <w:rPr>
          <w:rFonts w:eastAsia="仿宋" w:hint="eastAsia"/>
          <w:color w:val="000000"/>
          <w:sz w:val="32"/>
          <w:szCs w:val="32"/>
        </w:rPr>
        <w:t>10</w:t>
      </w:r>
      <w:r>
        <w:rPr>
          <w:rFonts w:eastAsia="仿宋" w:hint="eastAsia"/>
          <w:color w:val="000000"/>
          <w:sz w:val="32"/>
          <w:szCs w:val="32"/>
        </w:rPr>
        <w:t>个，正科级机构</w:t>
      </w:r>
      <w:r>
        <w:rPr>
          <w:rFonts w:eastAsia="仿宋" w:hint="eastAsia"/>
          <w:color w:val="000000"/>
          <w:sz w:val="32"/>
          <w:szCs w:val="32"/>
        </w:rPr>
        <w:t>22</w:t>
      </w:r>
      <w:r>
        <w:rPr>
          <w:rFonts w:eastAsia="仿宋" w:hint="eastAsia"/>
          <w:color w:val="000000"/>
          <w:sz w:val="32"/>
          <w:szCs w:val="32"/>
        </w:rPr>
        <w:t>个。截至</w:t>
      </w:r>
      <w:r>
        <w:rPr>
          <w:rFonts w:eastAsia="仿宋" w:hint="eastAsia"/>
          <w:color w:val="000000"/>
          <w:sz w:val="32"/>
          <w:szCs w:val="32"/>
        </w:rPr>
        <w:t>202</w:t>
      </w:r>
      <w:r>
        <w:rPr>
          <w:rFonts w:eastAsia="仿宋" w:hint="eastAsia"/>
          <w:color w:val="000000"/>
          <w:sz w:val="32"/>
          <w:szCs w:val="32"/>
        </w:rPr>
        <w:t>3</w:t>
      </w:r>
      <w:r>
        <w:rPr>
          <w:rFonts w:eastAsia="仿宋" w:hint="eastAsia"/>
          <w:color w:val="000000"/>
          <w:sz w:val="32"/>
          <w:szCs w:val="32"/>
        </w:rPr>
        <w:t>年</w:t>
      </w:r>
      <w:r>
        <w:rPr>
          <w:rFonts w:eastAsia="仿宋" w:hint="eastAsia"/>
          <w:color w:val="000000"/>
          <w:sz w:val="32"/>
          <w:szCs w:val="32"/>
        </w:rPr>
        <w:t>12</w:t>
      </w:r>
      <w:r>
        <w:rPr>
          <w:rFonts w:eastAsia="仿宋" w:hint="eastAsia"/>
          <w:color w:val="000000"/>
          <w:sz w:val="32"/>
          <w:szCs w:val="32"/>
        </w:rPr>
        <w:t>月</w:t>
      </w:r>
      <w:r>
        <w:rPr>
          <w:rFonts w:eastAsia="仿宋" w:hint="eastAsia"/>
          <w:color w:val="000000"/>
          <w:sz w:val="32"/>
          <w:szCs w:val="32"/>
        </w:rPr>
        <w:t>，市公安局实际在编人数</w:t>
      </w:r>
      <w:r>
        <w:rPr>
          <w:rFonts w:eastAsia="仿宋" w:hint="eastAsia"/>
          <w:color w:val="000000"/>
          <w:sz w:val="32"/>
          <w:szCs w:val="32"/>
        </w:rPr>
        <w:t xml:space="preserve"> 2247</w:t>
      </w:r>
      <w:r>
        <w:rPr>
          <w:rFonts w:eastAsia="仿宋" w:hint="eastAsia"/>
          <w:color w:val="000000"/>
          <w:sz w:val="32"/>
          <w:szCs w:val="32"/>
        </w:rPr>
        <w:t>人</w:t>
      </w:r>
      <w:r>
        <w:rPr>
          <w:rFonts w:eastAsia="仿宋" w:hint="eastAsia"/>
          <w:color w:val="000000"/>
          <w:sz w:val="32"/>
          <w:szCs w:val="32"/>
        </w:rPr>
        <w:t>。</w:t>
      </w:r>
      <w:r>
        <w:rPr>
          <w:rFonts w:eastAsia="仿宋"/>
          <w:color w:val="000000"/>
          <w:sz w:val="32"/>
          <w:szCs w:val="32"/>
          <w:lang w:val="en"/>
        </w:rPr>
        <w:t>(</w:t>
      </w:r>
      <w:r>
        <w:rPr>
          <w:rFonts w:eastAsia="仿宋" w:hint="eastAsia"/>
          <w:color w:val="000000"/>
          <w:sz w:val="32"/>
          <w:szCs w:val="32"/>
          <w:lang w:val="en"/>
        </w:rPr>
        <w:t>不含交警支队、高新分局、森林分局）</w:t>
      </w:r>
    </w:p>
    <w:p w14:paraId="2A380A70" w14:textId="77777777" w:rsidR="00D350DD" w:rsidRDefault="00397749">
      <w:pPr>
        <w:pStyle w:val="a6"/>
        <w:widowControl/>
        <w:numPr>
          <w:ilvl w:val="0"/>
          <w:numId w:val="1"/>
        </w:numPr>
        <w:tabs>
          <w:tab w:val="left" w:pos="579"/>
        </w:tabs>
        <w:ind w:firstLine="640"/>
        <w:rPr>
          <w:rFonts w:eastAsia="黑体"/>
          <w:sz w:val="32"/>
          <w:szCs w:val="32"/>
        </w:rPr>
      </w:pPr>
      <w:r>
        <w:rPr>
          <w:rFonts w:eastAsia="黑体" w:hint="eastAsia"/>
          <w:sz w:val="32"/>
          <w:szCs w:val="32"/>
        </w:rPr>
        <w:t>一般公共预算支出情况</w:t>
      </w:r>
    </w:p>
    <w:p w14:paraId="71DEF375" w14:textId="77777777" w:rsidR="00D350DD" w:rsidRDefault="00397749">
      <w:pPr>
        <w:pStyle w:val="a6"/>
        <w:widowControl/>
        <w:ind w:firstLine="643"/>
        <w:rPr>
          <w:rFonts w:eastAsia="楷体"/>
          <w:b/>
          <w:sz w:val="32"/>
          <w:szCs w:val="32"/>
        </w:rPr>
      </w:pPr>
      <w:r>
        <w:rPr>
          <w:rFonts w:eastAsia="楷体" w:hint="eastAsia"/>
          <w:b/>
          <w:sz w:val="32"/>
          <w:szCs w:val="32"/>
        </w:rPr>
        <w:t>（一）</w:t>
      </w:r>
      <w:r>
        <w:rPr>
          <w:rFonts w:eastAsia="楷体" w:hint="eastAsia"/>
          <w:b/>
          <w:sz w:val="32"/>
          <w:szCs w:val="32"/>
        </w:rPr>
        <w:t>基本支出情况</w:t>
      </w:r>
    </w:p>
    <w:p w14:paraId="23F931A1" w14:textId="77777777" w:rsidR="00D350DD" w:rsidRDefault="00397749">
      <w:pPr>
        <w:pStyle w:val="a6"/>
        <w:widowControl/>
        <w:ind w:firstLine="640"/>
        <w:rPr>
          <w:rFonts w:eastAsia="仿宋"/>
          <w:color w:val="000000"/>
          <w:sz w:val="32"/>
          <w:szCs w:val="32"/>
        </w:rPr>
      </w:pPr>
      <w:r>
        <w:rPr>
          <w:rFonts w:eastAsia="仿宋" w:hint="eastAsia"/>
          <w:color w:val="000000"/>
          <w:sz w:val="32"/>
          <w:szCs w:val="32"/>
        </w:rPr>
        <w:lastRenderedPageBreak/>
        <w:t>工资福利支出</w:t>
      </w:r>
      <w:r>
        <w:rPr>
          <w:rFonts w:eastAsia="仿宋" w:hint="eastAsia"/>
          <w:color w:val="000000"/>
          <w:sz w:val="32"/>
          <w:szCs w:val="32"/>
        </w:rPr>
        <w:t>40971.98</w:t>
      </w:r>
      <w:r>
        <w:rPr>
          <w:rFonts w:eastAsia="仿宋" w:hint="eastAsia"/>
          <w:color w:val="000000"/>
          <w:sz w:val="32"/>
          <w:szCs w:val="32"/>
        </w:rPr>
        <w:t>万元，一般商品服务支出</w:t>
      </w:r>
      <w:r>
        <w:rPr>
          <w:rFonts w:eastAsia="仿宋" w:hint="eastAsia"/>
          <w:color w:val="000000"/>
          <w:sz w:val="32"/>
          <w:szCs w:val="32"/>
        </w:rPr>
        <w:t>9150.35</w:t>
      </w:r>
      <w:r>
        <w:rPr>
          <w:rFonts w:eastAsia="仿宋" w:hint="eastAsia"/>
          <w:color w:val="000000"/>
          <w:sz w:val="32"/>
          <w:szCs w:val="32"/>
        </w:rPr>
        <w:t>万元，对个人和家庭的补助</w:t>
      </w:r>
      <w:r>
        <w:rPr>
          <w:rFonts w:eastAsia="仿宋" w:hint="eastAsia"/>
          <w:color w:val="000000"/>
          <w:sz w:val="32"/>
          <w:szCs w:val="32"/>
        </w:rPr>
        <w:t>3777.85</w:t>
      </w:r>
      <w:r>
        <w:rPr>
          <w:rFonts w:eastAsia="仿宋" w:hint="eastAsia"/>
          <w:color w:val="000000"/>
          <w:sz w:val="32"/>
          <w:szCs w:val="32"/>
        </w:rPr>
        <w:t>万元。</w:t>
      </w:r>
    </w:p>
    <w:p w14:paraId="13AE4CAF" w14:textId="77777777" w:rsidR="00D350DD" w:rsidRDefault="00397749">
      <w:pPr>
        <w:pStyle w:val="a6"/>
        <w:widowControl/>
        <w:numPr>
          <w:ilvl w:val="0"/>
          <w:numId w:val="2"/>
        </w:numPr>
        <w:ind w:firstLine="643"/>
        <w:rPr>
          <w:rFonts w:eastAsia="楷体"/>
          <w:b/>
          <w:sz w:val="32"/>
          <w:szCs w:val="32"/>
        </w:rPr>
      </w:pPr>
      <w:r>
        <w:rPr>
          <w:rFonts w:eastAsia="楷体" w:hint="eastAsia"/>
          <w:b/>
          <w:sz w:val="32"/>
          <w:szCs w:val="32"/>
        </w:rPr>
        <w:t>项目支出情况</w:t>
      </w:r>
    </w:p>
    <w:p w14:paraId="261101ED" w14:textId="77777777" w:rsidR="00D350DD" w:rsidRDefault="00397749">
      <w:pPr>
        <w:pStyle w:val="a6"/>
        <w:widowControl/>
        <w:ind w:firstLine="640"/>
        <w:rPr>
          <w:rFonts w:eastAsia="仿宋"/>
          <w:color w:val="000000"/>
          <w:sz w:val="32"/>
          <w:szCs w:val="32"/>
        </w:rPr>
      </w:pPr>
      <w:r>
        <w:rPr>
          <w:rFonts w:eastAsia="仿宋" w:hint="eastAsia"/>
          <w:color w:val="000000"/>
          <w:sz w:val="32"/>
          <w:szCs w:val="32"/>
        </w:rPr>
        <w:t>其中纳入财政</w:t>
      </w:r>
      <w:r>
        <w:rPr>
          <w:rFonts w:eastAsia="仿宋" w:hint="eastAsia"/>
          <w:color w:val="000000"/>
          <w:sz w:val="32"/>
          <w:szCs w:val="32"/>
        </w:rPr>
        <w:t>专项</w:t>
      </w:r>
      <w:r>
        <w:rPr>
          <w:rFonts w:eastAsia="仿宋" w:hint="eastAsia"/>
          <w:color w:val="000000"/>
          <w:sz w:val="32"/>
          <w:szCs w:val="32"/>
        </w:rPr>
        <w:t>预算的项目有</w:t>
      </w:r>
      <w:r>
        <w:rPr>
          <w:rFonts w:eastAsia="仿宋" w:hint="eastAsia"/>
          <w:color w:val="000000"/>
          <w:sz w:val="32"/>
          <w:szCs w:val="32"/>
        </w:rPr>
        <w:t>15</w:t>
      </w:r>
      <w:r>
        <w:rPr>
          <w:rFonts w:eastAsia="仿宋" w:hint="eastAsia"/>
          <w:color w:val="000000"/>
          <w:sz w:val="32"/>
          <w:szCs w:val="32"/>
        </w:rPr>
        <w:t>个，分别是禁毒专项</w:t>
      </w:r>
      <w:r>
        <w:rPr>
          <w:rFonts w:eastAsia="仿宋" w:hint="eastAsia"/>
          <w:color w:val="000000"/>
          <w:sz w:val="32"/>
          <w:szCs w:val="32"/>
        </w:rPr>
        <w:t>550</w:t>
      </w:r>
      <w:r>
        <w:rPr>
          <w:rFonts w:eastAsia="仿宋" w:hint="eastAsia"/>
          <w:color w:val="000000"/>
          <w:sz w:val="32"/>
          <w:szCs w:val="32"/>
        </w:rPr>
        <w:t>万元，公安强</w:t>
      </w:r>
      <w:proofErr w:type="gramStart"/>
      <w:r>
        <w:rPr>
          <w:rFonts w:eastAsia="仿宋" w:hint="eastAsia"/>
          <w:color w:val="000000"/>
          <w:sz w:val="32"/>
          <w:szCs w:val="32"/>
        </w:rPr>
        <w:t>戒人员</w:t>
      </w:r>
      <w:proofErr w:type="gramEnd"/>
      <w:r>
        <w:rPr>
          <w:rFonts w:eastAsia="仿宋" w:hint="eastAsia"/>
          <w:color w:val="000000"/>
          <w:sz w:val="32"/>
          <w:szCs w:val="32"/>
        </w:rPr>
        <w:t>生活补助</w:t>
      </w:r>
      <w:r>
        <w:rPr>
          <w:rFonts w:eastAsia="仿宋" w:hint="eastAsia"/>
          <w:color w:val="000000"/>
          <w:sz w:val="32"/>
          <w:szCs w:val="32"/>
        </w:rPr>
        <w:t>252.72</w:t>
      </w:r>
      <w:r>
        <w:rPr>
          <w:rFonts w:eastAsia="仿宋" w:hint="eastAsia"/>
          <w:color w:val="000000"/>
          <w:sz w:val="32"/>
          <w:szCs w:val="32"/>
        </w:rPr>
        <w:t>万元，强</w:t>
      </w:r>
      <w:proofErr w:type="gramStart"/>
      <w:r>
        <w:rPr>
          <w:rFonts w:eastAsia="仿宋" w:hint="eastAsia"/>
          <w:color w:val="000000"/>
          <w:sz w:val="32"/>
          <w:szCs w:val="32"/>
        </w:rPr>
        <w:t>戒人员</w:t>
      </w:r>
      <w:proofErr w:type="gramEnd"/>
      <w:r>
        <w:rPr>
          <w:rFonts w:eastAsia="仿宋" w:hint="eastAsia"/>
          <w:color w:val="000000"/>
          <w:sz w:val="32"/>
          <w:szCs w:val="32"/>
        </w:rPr>
        <w:t>教育矫治费、诊断评估费、传染病查治费</w:t>
      </w:r>
      <w:r>
        <w:rPr>
          <w:rFonts w:eastAsia="仿宋" w:hint="eastAsia"/>
          <w:color w:val="000000"/>
          <w:sz w:val="32"/>
          <w:szCs w:val="32"/>
        </w:rPr>
        <w:t>31.2</w:t>
      </w:r>
      <w:r>
        <w:rPr>
          <w:rFonts w:eastAsia="仿宋" w:hint="eastAsia"/>
          <w:color w:val="000000"/>
          <w:sz w:val="32"/>
          <w:szCs w:val="32"/>
        </w:rPr>
        <w:t>万元，强</w:t>
      </w:r>
      <w:proofErr w:type="gramStart"/>
      <w:r>
        <w:rPr>
          <w:rFonts w:eastAsia="仿宋" w:hint="eastAsia"/>
          <w:color w:val="000000"/>
          <w:sz w:val="32"/>
          <w:szCs w:val="32"/>
        </w:rPr>
        <w:t>戒人员</w:t>
      </w:r>
      <w:proofErr w:type="gramEnd"/>
      <w:r>
        <w:rPr>
          <w:rFonts w:eastAsia="仿宋" w:hint="eastAsia"/>
          <w:color w:val="000000"/>
          <w:sz w:val="32"/>
          <w:szCs w:val="32"/>
        </w:rPr>
        <w:t>生理脱毒医疗费</w:t>
      </w:r>
      <w:r>
        <w:rPr>
          <w:rFonts w:eastAsia="仿宋" w:hint="eastAsia"/>
          <w:color w:val="000000"/>
          <w:sz w:val="32"/>
          <w:szCs w:val="32"/>
        </w:rPr>
        <w:t>156</w:t>
      </w:r>
      <w:r>
        <w:rPr>
          <w:rFonts w:eastAsia="仿宋" w:hint="eastAsia"/>
          <w:color w:val="000000"/>
          <w:sz w:val="32"/>
          <w:szCs w:val="32"/>
        </w:rPr>
        <w:t>万元，强戒所所政管理及维修经费</w:t>
      </w:r>
      <w:r>
        <w:rPr>
          <w:rFonts w:eastAsia="仿宋" w:hint="eastAsia"/>
          <w:color w:val="000000"/>
          <w:sz w:val="32"/>
          <w:szCs w:val="32"/>
        </w:rPr>
        <w:t>54.6</w:t>
      </w:r>
      <w:r>
        <w:rPr>
          <w:rFonts w:eastAsia="仿宋" w:hint="eastAsia"/>
          <w:color w:val="000000"/>
          <w:sz w:val="32"/>
          <w:szCs w:val="32"/>
        </w:rPr>
        <w:t>万元，拘留所被监管人员生活补贴</w:t>
      </w:r>
      <w:r>
        <w:rPr>
          <w:rFonts w:eastAsia="仿宋" w:hint="eastAsia"/>
          <w:color w:val="000000"/>
          <w:sz w:val="32"/>
          <w:szCs w:val="32"/>
        </w:rPr>
        <w:t>35</w:t>
      </w:r>
      <w:r>
        <w:rPr>
          <w:rFonts w:eastAsia="仿宋" w:hint="eastAsia"/>
          <w:color w:val="000000"/>
          <w:sz w:val="32"/>
          <w:szCs w:val="32"/>
        </w:rPr>
        <w:t>万元，纪检派驻机构专项经费</w:t>
      </w:r>
      <w:r>
        <w:rPr>
          <w:rFonts w:eastAsia="仿宋" w:hint="eastAsia"/>
          <w:color w:val="000000"/>
          <w:sz w:val="32"/>
          <w:szCs w:val="32"/>
        </w:rPr>
        <w:t>17</w:t>
      </w:r>
      <w:r>
        <w:rPr>
          <w:rFonts w:eastAsia="仿宋" w:hint="eastAsia"/>
          <w:color w:val="000000"/>
          <w:sz w:val="32"/>
          <w:szCs w:val="32"/>
        </w:rPr>
        <w:t>万元，“</w:t>
      </w:r>
      <w:r>
        <w:rPr>
          <w:rFonts w:eastAsia="仿宋" w:hint="eastAsia"/>
          <w:color w:val="000000"/>
          <w:sz w:val="32"/>
          <w:szCs w:val="32"/>
        </w:rPr>
        <w:t>驻滇驻粤</w:t>
      </w:r>
      <w:r>
        <w:rPr>
          <w:rFonts w:eastAsia="仿宋" w:hint="eastAsia"/>
          <w:color w:val="000000"/>
          <w:sz w:val="32"/>
          <w:szCs w:val="32"/>
        </w:rPr>
        <w:t>两站工作经费”</w:t>
      </w:r>
      <w:r>
        <w:rPr>
          <w:rFonts w:eastAsia="仿宋" w:hint="eastAsia"/>
          <w:color w:val="000000"/>
          <w:sz w:val="32"/>
          <w:szCs w:val="32"/>
        </w:rPr>
        <w:t>100</w:t>
      </w:r>
      <w:r>
        <w:rPr>
          <w:rFonts w:eastAsia="仿宋" w:hint="eastAsia"/>
          <w:color w:val="000000"/>
          <w:sz w:val="32"/>
          <w:szCs w:val="32"/>
        </w:rPr>
        <w:t>万，人民警察法定节假日加班补助</w:t>
      </w:r>
      <w:r>
        <w:rPr>
          <w:rFonts w:eastAsia="仿宋" w:hint="eastAsia"/>
          <w:color w:val="000000"/>
          <w:sz w:val="32"/>
          <w:szCs w:val="32"/>
        </w:rPr>
        <w:t>1848.84</w:t>
      </w:r>
      <w:r>
        <w:rPr>
          <w:rFonts w:eastAsia="仿宋" w:hint="eastAsia"/>
          <w:color w:val="000000"/>
          <w:sz w:val="32"/>
          <w:szCs w:val="32"/>
        </w:rPr>
        <w:t>万元，人民警察法定执勤岗位津贴</w:t>
      </w:r>
      <w:r>
        <w:rPr>
          <w:rFonts w:eastAsia="仿宋" w:hint="eastAsia"/>
          <w:color w:val="000000"/>
          <w:sz w:val="32"/>
          <w:szCs w:val="32"/>
        </w:rPr>
        <w:t>1947.79</w:t>
      </w:r>
      <w:r>
        <w:rPr>
          <w:rFonts w:eastAsia="仿宋" w:hint="eastAsia"/>
          <w:color w:val="000000"/>
          <w:sz w:val="32"/>
          <w:szCs w:val="32"/>
        </w:rPr>
        <w:t>万元，辅警工作经费</w:t>
      </w:r>
      <w:r>
        <w:rPr>
          <w:rFonts w:eastAsia="仿宋" w:hint="eastAsia"/>
          <w:color w:val="000000"/>
          <w:sz w:val="32"/>
          <w:szCs w:val="32"/>
        </w:rPr>
        <w:t>9000</w:t>
      </w:r>
      <w:r>
        <w:rPr>
          <w:rFonts w:eastAsia="仿宋" w:hint="eastAsia"/>
          <w:color w:val="000000"/>
          <w:sz w:val="32"/>
          <w:szCs w:val="32"/>
        </w:rPr>
        <w:t>万元，</w:t>
      </w:r>
      <w:r>
        <w:rPr>
          <w:rFonts w:eastAsia="仿宋" w:hint="eastAsia"/>
          <w:color w:val="000000"/>
          <w:sz w:val="32"/>
          <w:szCs w:val="32"/>
        </w:rPr>
        <w:t>收治中心运行经费</w:t>
      </w:r>
      <w:r>
        <w:rPr>
          <w:rFonts w:eastAsia="仿宋" w:hint="eastAsia"/>
          <w:color w:val="000000"/>
          <w:sz w:val="32"/>
          <w:szCs w:val="32"/>
        </w:rPr>
        <w:t>800</w:t>
      </w:r>
      <w:r>
        <w:rPr>
          <w:rFonts w:eastAsia="仿宋" w:hint="eastAsia"/>
          <w:color w:val="000000"/>
          <w:sz w:val="32"/>
          <w:szCs w:val="32"/>
        </w:rPr>
        <w:t>万元，看守所给养费</w:t>
      </w:r>
      <w:r>
        <w:rPr>
          <w:rFonts w:eastAsia="仿宋" w:hint="eastAsia"/>
          <w:color w:val="000000"/>
          <w:sz w:val="32"/>
          <w:szCs w:val="32"/>
        </w:rPr>
        <w:t>799.23</w:t>
      </w:r>
      <w:r>
        <w:rPr>
          <w:rFonts w:eastAsia="仿宋" w:hint="eastAsia"/>
          <w:color w:val="000000"/>
          <w:sz w:val="32"/>
          <w:szCs w:val="32"/>
        </w:rPr>
        <w:t>万元，</w:t>
      </w:r>
      <w:r>
        <w:rPr>
          <w:rFonts w:eastAsia="仿宋" w:hint="eastAsia"/>
          <w:color w:val="000000"/>
          <w:sz w:val="32"/>
          <w:szCs w:val="32"/>
        </w:rPr>
        <w:t>专项经费按照</w:t>
      </w:r>
      <w:r>
        <w:rPr>
          <w:rFonts w:eastAsia="仿宋" w:hint="eastAsia"/>
          <w:color w:val="000000"/>
          <w:sz w:val="32"/>
          <w:szCs w:val="32"/>
        </w:rPr>
        <w:t>规定和</w:t>
      </w:r>
      <w:r>
        <w:rPr>
          <w:rFonts w:eastAsia="仿宋" w:hint="eastAsia"/>
          <w:color w:val="000000"/>
          <w:sz w:val="32"/>
          <w:szCs w:val="32"/>
        </w:rPr>
        <w:t>支出要求，</w:t>
      </w:r>
      <w:r>
        <w:rPr>
          <w:rFonts w:eastAsia="仿宋" w:hint="eastAsia"/>
          <w:color w:val="000000"/>
          <w:sz w:val="32"/>
          <w:szCs w:val="32"/>
        </w:rPr>
        <w:t>扫黒专项经费</w:t>
      </w:r>
      <w:r>
        <w:rPr>
          <w:rFonts w:eastAsia="仿宋" w:hint="eastAsia"/>
          <w:color w:val="000000"/>
          <w:sz w:val="32"/>
          <w:szCs w:val="32"/>
        </w:rPr>
        <w:t>300</w:t>
      </w:r>
      <w:r>
        <w:rPr>
          <w:rFonts w:eastAsia="仿宋" w:hint="eastAsia"/>
          <w:color w:val="000000"/>
          <w:sz w:val="32"/>
          <w:szCs w:val="32"/>
        </w:rPr>
        <w:t>万元，反恐专项经费</w:t>
      </w:r>
      <w:r>
        <w:rPr>
          <w:rFonts w:eastAsia="仿宋" w:hint="eastAsia"/>
          <w:color w:val="000000"/>
          <w:sz w:val="32"/>
          <w:szCs w:val="32"/>
        </w:rPr>
        <w:t>200</w:t>
      </w:r>
      <w:r>
        <w:rPr>
          <w:rFonts w:eastAsia="仿宋" w:hint="eastAsia"/>
          <w:color w:val="000000"/>
          <w:sz w:val="32"/>
          <w:szCs w:val="32"/>
        </w:rPr>
        <w:t>万元，在</w:t>
      </w:r>
      <w:r>
        <w:rPr>
          <w:rFonts w:eastAsia="仿宋" w:hint="eastAsia"/>
          <w:color w:val="000000"/>
          <w:sz w:val="32"/>
          <w:szCs w:val="32"/>
        </w:rPr>
        <w:t>202</w:t>
      </w:r>
      <w:r>
        <w:rPr>
          <w:rFonts w:eastAsia="仿宋" w:hint="eastAsia"/>
          <w:color w:val="000000"/>
          <w:sz w:val="32"/>
          <w:szCs w:val="32"/>
        </w:rPr>
        <w:t>3</w:t>
      </w:r>
      <w:r>
        <w:rPr>
          <w:rFonts w:eastAsia="仿宋" w:hint="eastAsia"/>
          <w:color w:val="000000"/>
          <w:sz w:val="32"/>
          <w:szCs w:val="32"/>
        </w:rPr>
        <w:t>会计年度</w:t>
      </w:r>
      <w:r>
        <w:rPr>
          <w:rFonts w:eastAsia="仿宋" w:hint="eastAsia"/>
          <w:color w:val="000000"/>
          <w:sz w:val="32"/>
          <w:szCs w:val="32"/>
        </w:rPr>
        <w:t>按照专项经费支出要求全部</w:t>
      </w:r>
      <w:r>
        <w:rPr>
          <w:rFonts w:eastAsia="仿宋" w:hint="eastAsia"/>
          <w:color w:val="000000"/>
          <w:sz w:val="32"/>
          <w:szCs w:val="32"/>
        </w:rPr>
        <w:t>执行完毕。</w:t>
      </w:r>
    </w:p>
    <w:p w14:paraId="6409834C" w14:textId="77777777" w:rsidR="00D350DD" w:rsidRDefault="00397749">
      <w:pPr>
        <w:pStyle w:val="a6"/>
        <w:widowControl/>
        <w:numPr>
          <w:ilvl w:val="0"/>
          <w:numId w:val="1"/>
        </w:numPr>
        <w:ind w:firstLine="640"/>
        <w:rPr>
          <w:rFonts w:eastAsia="黑体"/>
          <w:sz w:val="32"/>
          <w:szCs w:val="32"/>
        </w:rPr>
      </w:pPr>
      <w:r>
        <w:rPr>
          <w:rFonts w:eastAsia="黑体" w:hint="eastAsia"/>
          <w:sz w:val="32"/>
          <w:szCs w:val="32"/>
        </w:rPr>
        <w:t>政府性基金预算支出情况</w:t>
      </w:r>
    </w:p>
    <w:p w14:paraId="326EAD91" w14:textId="77777777" w:rsidR="00D350DD" w:rsidRDefault="00397749">
      <w:pPr>
        <w:pStyle w:val="a6"/>
        <w:widowControl/>
        <w:ind w:firstLineChars="0" w:firstLine="0"/>
        <w:rPr>
          <w:rFonts w:eastAsia="黑体"/>
          <w:sz w:val="32"/>
          <w:szCs w:val="32"/>
        </w:rPr>
      </w:pPr>
      <w:r>
        <w:rPr>
          <w:rFonts w:eastAsia="黑体" w:hint="eastAsia"/>
          <w:sz w:val="32"/>
          <w:szCs w:val="32"/>
        </w:rPr>
        <w:t xml:space="preserve">    </w:t>
      </w:r>
      <w:r>
        <w:rPr>
          <w:rFonts w:eastAsia="黑体" w:hint="eastAsia"/>
          <w:sz w:val="32"/>
          <w:szCs w:val="32"/>
        </w:rPr>
        <w:t>无</w:t>
      </w:r>
    </w:p>
    <w:p w14:paraId="1AC411DB" w14:textId="77777777" w:rsidR="00D350DD" w:rsidRDefault="00397749">
      <w:pPr>
        <w:pStyle w:val="a6"/>
        <w:widowControl/>
        <w:ind w:firstLine="640"/>
        <w:rPr>
          <w:rFonts w:eastAsia="黑体"/>
          <w:sz w:val="32"/>
          <w:szCs w:val="32"/>
        </w:rPr>
      </w:pPr>
      <w:r>
        <w:rPr>
          <w:rFonts w:eastAsia="黑体" w:hint="eastAsia"/>
          <w:sz w:val="32"/>
          <w:szCs w:val="32"/>
        </w:rPr>
        <w:t>四、国有资本经营预算支出情况</w:t>
      </w:r>
    </w:p>
    <w:p w14:paraId="5B67EBAA" w14:textId="77777777" w:rsidR="00D350DD" w:rsidRDefault="00397749">
      <w:pPr>
        <w:pStyle w:val="a6"/>
        <w:widowControl/>
        <w:ind w:firstLine="640"/>
        <w:rPr>
          <w:rFonts w:eastAsia="黑体"/>
          <w:sz w:val="32"/>
          <w:szCs w:val="32"/>
        </w:rPr>
      </w:pPr>
      <w:r>
        <w:rPr>
          <w:rFonts w:eastAsia="黑体" w:hint="eastAsia"/>
          <w:sz w:val="32"/>
          <w:szCs w:val="32"/>
        </w:rPr>
        <w:t>无</w:t>
      </w:r>
    </w:p>
    <w:p w14:paraId="12DE03D5" w14:textId="77777777" w:rsidR="00D350DD" w:rsidRDefault="00397749">
      <w:pPr>
        <w:pStyle w:val="a6"/>
        <w:widowControl/>
        <w:ind w:firstLine="640"/>
        <w:rPr>
          <w:rFonts w:eastAsia="黑体"/>
          <w:sz w:val="32"/>
          <w:szCs w:val="32"/>
        </w:rPr>
      </w:pPr>
      <w:r>
        <w:rPr>
          <w:rFonts w:eastAsia="黑体" w:hint="eastAsia"/>
          <w:sz w:val="32"/>
          <w:szCs w:val="32"/>
        </w:rPr>
        <w:t>五、社会保险基金预算支出情况</w:t>
      </w:r>
    </w:p>
    <w:p w14:paraId="40E54F76" w14:textId="77777777" w:rsidR="00D350DD" w:rsidRDefault="00397749">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无</w:t>
      </w:r>
    </w:p>
    <w:p w14:paraId="3AB13CE1" w14:textId="77777777" w:rsidR="00D350DD" w:rsidRDefault="00397749">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六、部门整体支出绩效情况</w:t>
      </w:r>
    </w:p>
    <w:p w14:paraId="7CE90B8E" w14:textId="77777777" w:rsidR="00D350DD" w:rsidRDefault="00397749">
      <w:pPr>
        <w:widowControl/>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lastRenderedPageBreak/>
        <w:t>总体而言，我局</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年整体支出目标基本实现，资金使用绩效良好。</w:t>
      </w:r>
      <w:r>
        <w:rPr>
          <w:rFonts w:ascii="Times New Roman" w:eastAsia="仿宋" w:hAnsi="Times New Roman" w:hint="eastAsia"/>
          <w:color w:val="000000"/>
          <w:sz w:val="32"/>
          <w:szCs w:val="32"/>
        </w:rPr>
        <w:t>具体从以下两个方面分析如下：</w:t>
      </w:r>
    </w:p>
    <w:p w14:paraId="068926FD" w14:textId="77777777" w:rsidR="00D350DD" w:rsidRDefault="00397749">
      <w:pPr>
        <w:widowControl/>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（一）预算编制执行及内部控制方面</w:t>
      </w:r>
    </w:p>
    <w:p w14:paraId="6C93DC86" w14:textId="77777777" w:rsidR="00D350DD" w:rsidRDefault="00397749">
      <w:pPr>
        <w:widowControl/>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一是预算编制符合要求。我局严格按照市财政预算编制的原则和要求，结合</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年度部门履职需要和年度工作重点，在不同项目、不同用途之间合理分配预算资金。</w:t>
      </w:r>
    </w:p>
    <w:p w14:paraId="236FC0FC" w14:textId="77777777" w:rsidR="00D350DD" w:rsidRDefault="00397749">
      <w:pPr>
        <w:widowControl/>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二是预算执行规范。我局资金支出比较规范，资金下达及时，财政资金使用效率有所提升，从严控制“三公经费”支出，国库集中支付结转结余存量资金效率性有所提高，符合部门预算经济性要求，预决算信息公开等方面表现良好。</w:t>
      </w:r>
    </w:p>
    <w:p w14:paraId="1B40294C" w14:textId="77777777" w:rsidR="00D350DD" w:rsidRDefault="00397749">
      <w:pPr>
        <w:widowControl/>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三是资产管理规范有序。我局已经聘请专业的会计师事务所对全局的固定资产进行全面盘点和清查，建立了较为完备资产管理的制度，登记管理工作严格有序。</w:t>
      </w:r>
    </w:p>
    <w:p w14:paraId="01BE684E" w14:textId="77777777" w:rsidR="00D350DD" w:rsidRDefault="00397749">
      <w:pPr>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四是内部管理制度基本健全。我局内部管理制度与工作职能衔接程度较好，相关制度规范随工作开展情况不断完善。制定了《市公安局财务管理办法》、《市公安局政府采购管理实施办法》、《市公安局车辆与驾驶员管理办法》、《市公安局公务活动用餐管理办法》等相关制度，出台了《衡阳市公安局树立过“紧日子”思想的十条举措》等一系列制度，进一步加强对内部规范化管理，提升内部管理效率。</w:t>
      </w:r>
    </w:p>
    <w:p w14:paraId="0C700391" w14:textId="77777777" w:rsidR="00D350DD" w:rsidRDefault="00397749">
      <w:pPr>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（二）产出与效果方面</w:t>
      </w:r>
    </w:p>
    <w:p w14:paraId="60A6CF85" w14:textId="77777777" w:rsidR="00D350DD" w:rsidRDefault="00397749">
      <w:pPr>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一是强调经济性。我局“三公”经费控制率小于预算安</w:t>
      </w:r>
      <w:r>
        <w:rPr>
          <w:rFonts w:ascii="Times New Roman" w:eastAsia="仿宋" w:hAnsi="Times New Roman" w:hint="eastAsia"/>
          <w:color w:val="000000"/>
          <w:sz w:val="32"/>
          <w:szCs w:val="32"/>
        </w:rPr>
        <w:lastRenderedPageBreak/>
        <w:t>排数，绩效表现优秀，公用经费控制率大于预算安排数。</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年公安局“三公”经费支出</w:t>
      </w:r>
      <w:r>
        <w:rPr>
          <w:rFonts w:ascii="Times New Roman" w:eastAsia="仿宋" w:hAnsi="Times New Roman" w:hint="eastAsia"/>
          <w:color w:val="000000"/>
          <w:sz w:val="32"/>
          <w:szCs w:val="32"/>
        </w:rPr>
        <w:t>327.74</w:t>
      </w:r>
      <w:r>
        <w:rPr>
          <w:rFonts w:ascii="Times New Roman" w:eastAsia="仿宋" w:hAnsi="Times New Roman" w:hint="eastAsia"/>
          <w:color w:val="000000"/>
          <w:sz w:val="32"/>
          <w:szCs w:val="32"/>
        </w:rPr>
        <w:t>万元，较批复指标节约</w:t>
      </w:r>
      <w:r>
        <w:rPr>
          <w:rFonts w:ascii="Times New Roman" w:eastAsia="仿宋" w:hAnsi="Times New Roman" w:hint="eastAsia"/>
          <w:color w:val="000000"/>
          <w:sz w:val="32"/>
          <w:szCs w:val="32"/>
        </w:rPr>
        <w:t>363.86</w:t>
      </w:r>
      <w:r>
        <w:rPr>
          <w:rFonts w:ascii="Times New Roman" w:eastAsia="仿宋" w:hAnsi="Times New Roman" w:hint="eastAsia"/>
          <w:color w:val="000000"/>
          <w:sz w:val="32"/>
          <w:szCs w:val="32"/>
        </w:rPr>
        <w:t>万元，节约比率为</w:t>
      </w:r>
      <w:r>
        <w:rPr>
          <w:rFonts w:ascii="Times New Roman" w:eastAsia="仿宋" w:hAnsi="Times New Roman" w:hint="eastAsia"/>
          <w:color w:val="000000"/>
          <w:sz w:val="32"/>
          <w:szCs w:val="32"/>
        </w:rPr>
        <w:t>52.61%</w:t>
      </w:r>
      <w:r>
        <w:rPr>
          <w:rFonts w:ascii="Times New Roman" w:eastAsia="仿宋" w:hAnsi="Times New Roman" w:hint="eastAsia"/>
          <w:color w:val="000000"/>
          <w:sz w:val="32"/>
          <w:szCs w:val="32"/>
        </w:rPr>
        <w:t>，完成预算</w:t>
      </w:r>
      <w:r>
        <w:rPr>
          <w:rFonts w:ascii="Times New Roman" w:eastAsia="仿宋" w:hAnsi="Times New Roman" w:hint="eastAsia"/>
          <w:color w:val="000000"/>
          <w:sz w:val="32"/>
          <w:szCs w:val="32"/>
        </w:rPr>
        <w:t>47.39 %</w:t>
      </w:r>
      <w:r>
        <w:rPr>
          <w:rFonts w:ascii="Times New Roman" w:eastAsia="仿宋" w:hAnsi="Times New Roman" w:hint="eastAsia"/>
          <w:color w:val="000000"/>
          <w:sz w:val="32"/>
          <w:szCs w:val="32"/>
        </w:rPr>
        <w:t>。</w:t>
      </w:r>
    </w:p>
    <w:p w14:paraId="0CF0E0F1" w14:textId="77777777" w:rsidR="00D350DD" w:rsidRDefault="00397749">
      <w:pPr>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二是强调效果性。</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年度市公安局工作完成情况较好，基本完成年度工作任务，达成年度履职目标，取得了较为明显的成效。</w:t>
      </w:r>
      <w:r>
        <w:rPr>
          <w:rFonts w:ascii="仿宋_GB2312" w:eastAsia="仿宋_GB2312" w:hAnsi="仿宋_GB2312" w:cs="仿宋_GB2312" w:hint="eastAsia"/>
          <w:sz w:val="30"/>
          <w:szCs w:val="30"/>
        </w:rPr>
        <w:t>目前来看，我市基本完成年初设定目标，</w:t>
      </w:r>
      <w:r>
        <w:rPr>
          <w:rFonts w:ascii="仿宋_GB2312" w:eastAsia="仿宋_GB2312" w:hAnsi="仿宋_GB2312" w:cs="仿宋_GB2312" w:hint="eastAsia"/>
          <w:sz w:val="30"/>
          <w:szCs w:val="30"/>
          <w:lang w:val="en"/>
        </w:rPr>
        <w:t>依法根治了市城区“平安夜”乱象，</w:t>
      </w:r>
      <w:r>
        <w:rPr>
          <w:rFonts w:ascii="仿宋_GB2312" w:eastAsia="仿宋_GB2312" w:hAnsi="仿宋_GB2312" w:cs="仿宋_GB2312" w:hint="eastAsia"/>
          <w:sz w:val="30"/>
          <w:szCs w:val="30"/>
          <w:lang w:val="en"/>
        </w:rPr>
        <w:t>创新完善了“南岳安保”模式，成功处置了</w:t>
      </w:r>
      <w:r>
        <w:rPr>
          <w:rFonts w:ascii="仿宋_GB2312" w:eastAsia="仿宋_GB2312" w:hAnsi="仿宋_GB2312" w:cs="仿宋_GB2312" w:hint="eastAsia"/>
          <w:sz w:val="30"/>
          <w:szCs w:val="30"/>
        </w:rPr>
        <w:t>一批涉</w:t>
      </w:r>
      <w:proofErr w:type="gramStart"/>
      <w:r>
        <w:rPr>
          <w:rFonts w:ascii="仿宋_GB2312" w:eastAsia="仿宋_GB2312" w:hAnsi="仿宋_GB2312" w:cs="仿宋_GB2312" w:hint="eastAsia"/>
          <w:sz w:val="30"/>
          <w:szCs w:val="30"/>
        </w:rPr>
        <w:t>众型案</w:t>
      </w:r>
      <w:proofErr w:type="gramEnd"/>
      <w:r>
        <w:rPr>
          <w:rFonts w:ascii="仿宋_GB2312" w:eastAsia="仿宋_GB2312" w:hAnsi="仿宋_GB2312" w:cs="仿宋_GB2312" w:hint="eastAsia"/>
          <w:sz w:val="30"/>
          <w:szCs w:val="30"/>
        </w:rPr>
        <w:t>事件</w:t>
      </w:r>
      <w:r>
        <w:rPr>
          <w:rFonts w:ascii="仿宋_GB2312" w:eastAsia="仿宋_GB2312" w:hAnsi="仿宋_GB2312" w:cs="仿宋_GB2312" w:hint="eastAsia"/>
          <w:sz w:val="30"/>
          <w:szCs w:val="30"/>
          <w:lang w:val="en"/>
        </w:rPr>
        <w:t>。我们针对衡阳治安特点规律，推行主动警务，牢固树立“治安先治毒，治乱必惩恶”和“打防并重”理念，统筹推进扫黑除恶</w:t>
      </w:r>
      <w:proofErr w:type="gramStart"/>
      <w:r>
        <w:rPr>
          <w:rFonts w:ascii="仿宋_GB2312" w:eastAsia="仿宋_GB2312" w:hAnsi="仿宋_GB2312" w:cs="仿宋_GB2312" w:hint="eastAsia"/>
          <w:sz w:val="30"/>
          <w:szCs w:val="30"/>
          <w:lang w:val="en"/>
        </w:rPr>
        <w:t>禁毒反诈打跨治</w:t>
      </w:r>
      <w:proofErr w:type="gramEnd"/>
      <w:r>
        <w:rPr>
          <w:rFonts w:ascii="仿宋_GB2312" w:eastAsia="仿宋_GB2312" w:hAnsi="仿宋_GB2312" w:cs="仿宋_GB2312" w:hint="eastAsia"/>
          <w:sz w:val="30"/>
          <w:szCs w:val="30"/>
          <w:lang w:val="en"/>
        </w:rPr>
        <w:t>乱，</w:t>
      </w:r>
      <w:r>
        <w:rPr>
          <w:rFonts w:ascii="仿宋_GB2312" w:eastAsia="仿宋_GB2312" w:hAnsi="仿宋_GB2312" w:cs="仿宋_GB2312" w:hint="eastAsia"/>
          <w:sz w:val="30"/>
          <w:szCs w:val="30"/>
          <w:lang w:val="en"/>
        </w:rPr>
        <w:t>持续开展专项集中打击整治行动和“平安号”集中清查行动，</w:t>
      </w:r>
      <w:r>
        <w:rPr>
          <w:rFonts w:ascii="仿宋_GB2312" w:eastAsia="仿宋_GB2312" w:hAnsi="仿宋_GB2312" w:cs="仿宋_GB2312" w:hint="eastAsia"/>
          <w:sz w:val="30"/>
          <w:szCs w:val="30"/>
          <w:lang w:val="en"/>
        </w:rPr>
        <w:t>创新“一体两翼双轮”县域城乡警务模式和城乡防控“两大</w:t>
      </w:r>
      <w:proofErr w:type="gramStart"/>
      <w:r>
        <w:rPr>
          <w:rFonts w:ascii="仿宋_GB2312" w:eastAsia="仿宋_GB2312" w:hAnsi="仿宋_GB2312" w:cs="仿宋_GB2312" w:hint="eastAsia"/>
          <w:sz w:val="30"/>
          <w:szCs w:val="30"/>
          <w:lang w:val="en"/>
        </w:rPr>
        <w:t>版块</w:t>
      </w:r>
      <w:proofErr w:type="gramEnd"/>
      <w:r>
        <w:rPr>
          <w:rFonts w:ascii="仿宋_GB2312" w:eastAsia="仿宋_GB2312" w:hAnsi="仿宋_GB2312" w:cs="仿宋_GB2312" w:hint="eastAsia"/>
          <w:sz w:val="30"/>
          <w:szCs w:val="30"/>
          <w:lang w:val="en"/>
        </w:rPr>
        <w:t>”“十大模式”“三区警务”“衡阳快警”空地网一体化巡防、网格警务、“衡阳义警”</w:t>
      </w:r>
      <w:r>
        <w:rPr>
          <w:rFonts w:ascii="仿宋_GB2312" w:eastAsia="仿宋_GB2312" w:hAnsi="仿宋_GB2312" w:cs="仿宋_GB2312" w:hint="eastAsia"/>
          <w:sz w:val="30"/>
          <w:szCs w:val="30"/>
          <w:lang w:val="en"/>
        </w:rPr>
        <w:t>、</w:t>
      </w:r>
      <w:r>
        <w:rPr>
          <w:rFonts w:ascii="仿宋_GB2312" w:eastAsia="仿宋_GB2312" w:hAnsi="仿宋_GB2312" w:cs="仿宋_GB2312" w:hint="eastAsia"/>
          <w:sz w:val="30"/>
          <w:szCs w:val="30"/>
          <w:lang w:val="en"/>
        </w:rPr>
        <w:t>“平安号”行动等系列风险排查管控、治安巡防</w:t>
      </w:r>
      <w:proofErr w:type="gramStart"/>
      <w:r>
        <w:rPr>
          <w:rFonts w:ascii="仿宋_GB2312" w:eastAsia="仿宋_GB2312" w:hAnsi="仿宋_GB2312" w:cs="仿宋_GB2312" w:hint="eastAsia"/>
          <w:sz w:val="30"/>
          <w:szCs w:val="30"/>
          <w:lang w:val="en"/>
        </w:rPr>
        <w:t>打控模式</w:t>
      </w:r>
      <w:proofErr w:type="gramEnd"/>
      <w:r>
        <w:rPr>
          <w:rFonts w:ascii="仿宋_GB2312" w:eastAsia="仿宋_GB2312" w:hAnsi="仿宋_GB2312" w:cs="仿宋_GB2312" w:hint="eastAsia"/>
          <w:sz w:val="30"/>
          <w:szCs w:val="30"/>
          <w:lang w:val="en"/>
        </w:rPr>
        <w:t>机制，</w:t>
      </w:r>
      <w:r>
        <w:rPr>
          <w:rFonts w:ascii="仿宋_GB2312" w:eastAsia="仿宋_GB2312" w:hAnsi="仿宋_GB2312" w:cs="仿宋_GB2312" w:hint="eastAsia"/>
          <w:sz w:val="30"/>
          <w:szCs w:val="30"/>
          <w:lang w:val="en"/>
        </w:rPr>
        <w:t>一系列带有“标签性”的突出治安问题得到有效</w:t>
      </w:r>
      <w:r>
        <w:rPr>
          <w:rFonts w:ascii="仿宋_GB2312" w:eastAsia="仿宋_GB2312" w:hAnsi="仿宋_GB2312" w:cs="仿宋_GB2312" w:hint="eastAsia"/>
          <w:sz w:val="30"/>
          <w:szCs w:val="30"/>
        </w:rPr>
        <w:t>整治</w:t>
      </w:r>
      <w:r>
        <w:rPr>
          <w:rFonts w:ascii="仿宋_GB2312" w:eastAsia="仿宋_GB2312" w:hAnsi="仿宋_GB2312" w:cs="仿宋_GB2312" w:hint="eastAsia"/>
          <w:sz w:val="30"/>
          <w:szCs w:val="30"/>
          <w:lang w:val="en"/>
        </w:rPr>
        <w:t>，</w:t>
      </w:r>
      <w:r>
        <w:rPr>
          <w:rFonts w:ascii="仿宋_GB2312" w:eastAsia="仿宋_GB2312" w:hAnsi="仿宋_GB2312" w:cs="仿宋_GB2312" w:hint="eastAsia"/>
          <w:sz w:val="30"/>
          <w:szCs w:val="30"/>
          <w:lang w:val="en"/>
        </w:rPr>
        <w:t>社会</w:t>
      </w:r>
      <w:r>
        <w:rPr>
          <w:rFonts w:ascii="仿宋_GB2312" w:eastAsia="仿宋_GB2312" w:hAnsi="仿宋_GB2312" w:cs="仿宋_GB2312" w:hint="eastAsia"/>
          <w:sz w:val="30"/>
          <w:szCs w:val="30"/>
          <w:lang w:val="en"/>
        </w:rPr>
        <w:t>治安状况</w:t>
      </w:r>
      <w:r>
        <w:rPr>
          <w:rFonts w:ascii="仿宋_GB2312" w:eastAsia="仿宋_GB2312" w:hAnsi="仿宋_GB2312" w:cs="仿宋_GB2312" w:hint="eastAsia"/>
          <w:sz w:val="30"/>
          <w:szCs w:val="30"/>
        </w:rPr>
        <w:t>实现根本好转</w:t>
      </w:r>
      <w:r>
        <w:rPr>
          <w:rFonts w:ascii="仿宋_GB2312" w:eastAsia="仿宋_GB2312" w:hAnsi="仿宋_GB2312" w:cs="仿宋_GB2312" w:hint="eastAsia"/>
          <w:sz w:val="30"/>
          <w:szCs w:val="30"/>
          <w:lang w:val="en"/>
        </w:rPr>
        <w:t>。</w:t>
      </w:r>
    </w:p>
    <w:p w14:paraId="17C8F326" w14:textId="77777777" w:rsidR="00D350DD" w:rsidRDefault="00397749">
      <w:pPr>
        <w:pStyle w:val="a6"/>
        <w:widowControl/>
        <w:ind w:firstLine="640"/>
        <w:rPr>
          <w:rFonts w:eastAsia="黑体"/>
          <w:sz w:val="32"/>
          <w:szCs w:val="32"/>
        </w:rPr>
      </w:pPr>
      <w:r>
        <w:rPr>
          <w:rFonts w:eastAsia="黑体" w:hint="eastAsia"/>
          <w:sz w:val="32"/>
          <w:szCs w:val="32"/>
        </w:rPr>
        <w:t>七、存在的问题及原因分析</w:t>
      </w:r>
    </w:p>
    <w:p w14:paraId="446F919D" w14:textId="77777777" w:rsidR="00D350DD" w:rsidRDefault="00397749">
      <w:pPr>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年度市公安局部门整体支出带</w:t>
      </w:r>
      <w:r>
        <w:rPr>
          <w:rFonts w:ascii="Times New Roman" w:eastAsia="仿宋" w:hAnsi="Times New Roman" w:hint="eastAsia"/>
          <w:color w:val="000000"/>
          <w:sz w:val="32"/>
          <w:szCs w:val="32"/>
        </w:rPr>
        <w:t>来了较为明显的经济效益和社会效益，财政资金实际支出总体绩效情况良好。但是在预算编制、项目监督、财务管理、绩效目标设置等方面也存在一定不足，影响了部门整体资金使用效益。具体表现如下：</w:t>
      </w:r>
    </w:p>
    <w:p w14:paraId="2DF934B8" w14:textId="77777777" w:rsidR="00D350DD" w:rsidRDefault="00397749">
      <w:pPr>
        <w:adjustRightInd w:val="0"/>
        <w:snapToGrid w:val="0"/>
        <w:spacing w:line="360" w:lineRule="auto"/>
        <w:ind w:firstLineChars="200" w:firstLine="643"/>
        <w:rPr>
          <w:rFonts w:ascii="楷体" w:eastAsia="楷体"/>
          <w:b/>
          <w:bCs/>
          <w:color w:val="000000"/>
          <w:sz w:val="32"/>
          <w:szCs w:val="32"/>
        </w:rPr>
      </w:pPr>
      <w:r>
        <w:rPr>
          <w:rFonts w:ascii="楷体" w:eastAsia="楷体"/>
          <w:b/>
          <w:bCs/>
          <w:color w:val="000000"/>
          <w:sz w:val="32"/>
          <w:szCs w:val="32"/>
          <w:lang w:val="en"/>
        </w:rPr>
        <w:lastRenderedPageBreak/>
        <w:t>(</w:t>
      </w:r>
      <w:proofErr w:type="gramStart"/>
      <w:r>
        <w:rPr>
          <w:rFonts w:ascii="楷体" w:eastAsia="楷体" w:hint="eastAsia"/>
          <w:b/>
          <w:bCs/>
          <w:color w:val="000000"/>
          <w:sz w:val="32"/>
          <w:szCs w:val="32"/>
          <w:lang w:val="en"/>
        </w:rPr>
        <w:t>一</w:t>
      </w:r>
      <w:proofErr w:type="gramEnd"/>
      <w:r>
        <w:rPr>
          <w:rFonts w:ascii="楷体" w:eastAsia="楷体" w:hint="eastAsia"/>
          <w:b/>
          <w:bCs/>
          <w:color w:val="000000"/>
          <w:sz w:val="32"/>
          <w:szCs w:val="32"/>
        </w:rPr>
        <w:t>)</w:t>
      </w:r>
      <w:r>
        <w:rPr>
          <w:rFonts w:ascii="楷体" w:eastAsia="楷体" w:hint="eastAsia"/>
          <w:b/>
          <w:bCs/>
          <w:color w:val="000000"/>
          <w:sz w:val="32"/>
          <w:szCs w:val="32"/>
        </w:rPr>
        <w:t>预算编制准确性不足。</w:t>
      </w:r>
      <w:r>
        <w:rPr>
          <w:rFonts w:ascii="楷体" w:eastAsia="楷体" w:hint="eastAsia"/>
          <w:b/>
          <w:bCs/>
          <w:color w:val="000000"/>
          <w:sz w:val="32"/>
          <w:szCs w:val="32"/>
        </w:rPr>
        <w:t xml:space="preserve"> </w:t>
      </w:r>
    </w:p>
    <w:p w14:paraId="5C04397E" w14:textId="77777777" w:rsidR="00D350DD" w:rsidRDefault="00397749">
      <w:pPr>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部分项目预算编制准确性有待提高，主要体现为年初预算数与实际支出数有差异。</w:t>
      </w:r>
      <w:r>
        <w:rPr>
          <w:rFonts w:ascii="Times New Roman" w:eastAsia="仿宋" w:hAnsi="Times New Roman" w:hint="eastAsia"/>
          <w:color w:val="000000"/>
          <w:sz w:val="32"/>
          <w:szCs w:val="32"/>
        </w:rPr>
        <w:t>2023</w:t>
      </w:r>
      <w:r>
        <w:rPr>
          <w:rFonts w:ascii="Times New Roman" w:eastAsia="仿宋" w:hAnsi="Times New Roman" w:hint="eastAsia"/>
          <w:color w:val="000000"/>
          <w:sz w:val="32"/>
          <w:szCs w:val="32"/>
        </w:rPr>
        <w:t>年批复预算</w:t>
      </w:r>
      <w:r>
        <w:rPr>
          <w:rFonts w:ascii="Times New Roman" w:eastAsia="仿宋" w:hAnsi="Times New Roman" w:hint="eastAsia"/>
          <w:color w:val="000000"/>
          <w:sz w:val="32"/>
          <w:szCs w:val="32"/>
        </w:rPr>
        <w:t>73369.27</w:t>
      </w:r>
      <w:r>
        <w:rPr>
          <w:rFonts w:ascii="Times New Roman" w:eastAsia="仿宋" w:hAnsi="Times New Roman" w:hint="eastAsia"/>
          <w:color w:val="000000"/>
          <w:sz w:val="32"/>
          <w:szCs w:val="32"/>
        </w:rPr>
        <w:t>万元，当年实际收到</w:t>
      </w:r>
      <w:r>
        <w:rPr>
          <w:rFonts w:ascii="Times New Roman" w:eastAsia="仿宋" w:hAnsi="Times New Roman" w:hint="eastAsia"/>
          <w:color w:val="000000"/>
          <w:sz w:val="32"/>
          <w:szCs w:val="32"/>
        </w:rPr>
        <w:t>75626.30</w:t>
      </w:r>
      <w:r>
        <w:rPr>
          <w:rFonts w:ascii="Times New Roman" w:eastAsia="仿宋" w:hAnsi="Times New Roman" w:hint="eastAsia"/>
          <w:color w:val="000000"/>
          <w:sz w:val="32"/>
          <w:szCs w:val="32"/>
        </w:rPr>
        <w:t>万元，年中追加预算</w:t>
      </w:r>
      <w:r>
        <w:rPr>
          <w:rFonts w:ascii="Times New Roman" w:eastAsia="仿宋" w:hAnsi="Times New Roman" w:hint="eastAsia"/>
          <w:color w:val="000000"/>
          <w:sz w:val="32"/>
          <w:szCs w:val="32"/>
        </w:rPr>
        <w:t>2257.03</w:t>
      </w:r>
      <w:r>
        <w:rPr>
          <w:rFonts w:ascii="Times New Roman" w:eastAsia="仿宋" w:hAnsi="Times New Roman" w:hint="eastAsia"/>
          <w:color w:val="000000"/>
          <w:sz w:val="32"/>
          <w:szCs w:val="32"/>
        </w:rPr>
        <w:t>万元，预算编制准确性有待进一步提高。</w:t>
      </w:r>
      <w:r>
        <w:rPr>
          <w:rFonts w:ascii="Times New Roman" w:eastAsia="仿宋" w:hAnsi="Times New Roman" w:hint="eastAsia"/>
          <w:color w:val="000000"/>
          <w:sz w:val="32"/>
          <w:szCs w:val="32"/>
        </w:rPr>
        <w:t xml:space="preserve"> </w:t>
      </w:r>
    </w:p>
    <w:p w14:paraId="5D4EC851" w14:textId="77777777" w:rsidR="00D350DD" w:rsidRDefault="00397749">
      <w:pPr>
        <w:widowControl/>
        <w:numPr>
          <w:ilvl w:val="0"/>
          <w:numId w:val="3"/>
        </w:numPr>
        <w:adjustRightInd w:val="0"/>
        <w:snapToGrid w:val="0"/>
        <w:spacing w:line="360" w:lineRule="auto"/>
        <w:ind w:firstLineChars="200" w:firstLine="643"/>
        <w:rPr>
          <w:rFonts w:ascii="楷体" w:eastAsia="楷体"/>
          <w:b/>
          <w:bCs/>
          <w:color w:val="000000"/>
          <w:sz w:val="32"/>
          <w:szCs w:val="32"/>
        </w:rPr>
      </w:pPr>
      <w:r>
        <w:rPr>
          <w:rFonts w:ascii="楷体" w:eastAsia="楷体" w:hint="eastAsia"/>
          <w:b/>
          <w:bCs/>
          <w:color w:val="000000"/>
          <w:sz w:val="32"/>
          <w:szCs w:val="32"/>
        </w:rPr>
        <w:t>部分专项资金的延伸性监管不够到位，存在重分配、轻监管的现象。</w:t>
      </w:r>
    </w:p>
    <w:p w14:paraId="210C68B1" w14:textId="72FD4AD2" w:rsidR="00D350DD" w:rsidRDefault="00397749">
      <w:pPr>
        <w:widowControl/>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部门整体支出项目中大部分是包括有转移支付类型的经常性专项，如强</w:t>
      </w:r>
      <w:proofErr w:type="gramStart"/>
      <w:r>
        <w:rPr>
          <w:rFonts w:ascii="Times New Roman" w:eastAsia="仿宋" w:hAnsi="Times New Roman" w:hint="eastAsia"/>
          <w:color w:val="000000"/>
          <w:sz w:val="32"/>
          <w:szCs w:val="32"/>
        </w:rPr>
        <w:t>戒人员</w:t>
      </w:r>
      <w:proofErr w:type="gramEnd"/>
      <w:r>
        <w:rPr>
          <w:rFonts w:ascii="Times New Roman" w:eastAsia="仿宋" w:hAnsi="Times New Roman" w:hint="eastAsia"/>
          <w:color w:val="000000"/>
          <w:sz w:val="32"/>
          <w:szCs w:val="32"/>
        </w:rPr>
        <w:t>生理脱毒医疗费、强</w:t>
      </w:r>
      <w:proofErr w:type="gramStart"/>
      <w:r>
        <w:rPr>
          <w:rFonts w:ascii="Times New Roman" w:eastAsia="仿宋" w:hAnsi="Times New Roman" w:hint="eastAsia"/>
          <w:color w:val="000000"/>
          <w:sz w:val="32"/>
          <w:szCs w:val="32"/>
        </w:rPr>
        <w:t>戒人员</w:t>
      </w:r>
      <w:proofErr w:type="gramEnd"/>
      <w:r>
        <w:rPr>
          <w:rFonts w:ascii="Times New Roman" w:eastAsia="仿宋" w:hAnsi="Times New Roman" w:hint="eastAsia"/>
          <w:color w:val="000000"/>
          <w:sz w:val="32"/>
          <w:szCs w:val="32"/>
        </w:rPr>
        <w:t>生活补贴等。对于这类专项资金，市局主要负责专项资金年度总体计划安排，组织项目申报，确定专项资金分配方案等工作，局属单位具体使用，专项资金的使用绩效</w:t>
      </w:r>
      <w:r>
        <w:rPr>
          <w:rFonts w:ascii="Times New Roman" w:eastAsia="仿宋" w:hAnsi="Times New Roman" w:hint="eastAsia"/>
          <w:color w:val="000000"/>
          <w:sz w:val="32"/>
          <w:szCs w:val="32"/>
        </w:rPr>
        <w:t>开展监督、检查与评价，管理过程中一定程度上存在重分配轻监管的现象。</w:t>
      </w:r>
    </w:p>
    <w:p w14:paraId="06FB9B95" w14:textId="77777777" w:rsidR="00D350DD" w:rsidRDefault="00397749">
      <w:pPr>
        <w:adjustRightInd w:val="0"/>
        <w:snapToGrid w:val="0"/>
        <w:spacing w:line="360" w:lineRule="auto"/>
        <w:ind w:firstLineChars="200" w:firstLine="643"/>
        <w:rPr>
          <w:rFonts w:ascii="楷体" w:eastAsia="楷体"/>
          <w:b/>
          <w:bCs/>
          <w:color w:val="000000"/>
          <w:sz w:val="32"/>
          <w:szCs w:val="32"/>
        </w:rPr>
      </w:pPr>
      <w:r>
        <w:rPr>
          <w:rFonts w:ascii="楷体" w:eastAsia="楷体" w:hint="eastAsia"/>
          <w:b/>
          <w:bCs/>
          <w:color w:val="000000"/>
          <w:sz w:val="32"/>
          <w:szCs w:val="32"/>
        </w:rPr>
        <w:t>（三）</w:t>
      </w:r>
      <w:r>
        <w:rPr>
          <w:rFonts w:ascii="楷体" w:eastAsia="楷体" w:hint="eastAsia"/>
          <w:b/>
          <w:bCs/>
          <w:color w:val="000000"/>
          <w:sz w:val="32"/>
          <w:szCs w:val="32"/>
        </w:rPr>
        <w:t>绩效管理体系不够完善</w:t>
      </w:r>
      <w:r>
        <w:rPr>
          <w:rFonts w:ascii="楷体" w:eastAsia="楷体" w:hint="eastAsia"/>
          <w:b/>
          <w:bCs/>
          <w:color w:val="000000"/>
          <w:sz w:val="32"/>
          <w:szCs w:val="32"/>
        </w:rPr>
        <w:t>，</w:t>
      </w:r>
      <w:r>
        <w:rPr>
          <w:rFonts w:ascii="楷体" w:eastAsia="楷体" w:hint="eastAsia"/>
          <w:b/>
          <w:bCs/>
          <w:color w:val="000000"/>
          <w:sz w:val="32"/>
          <w:szCs w:val="32"/>
        </w:rPr>
        <w:t>预算与绩效管理一体化的程度有待提高。</w:t>
      </w:r>
      <w:r>
        <w:rPr>
          <w:rFonts w:ascii="楷体" w:eastAsia="楷体" w:hint="eastAsia"/>
          <w:b/>
          <w:bCs/>
          <w:color w:val="000000"/>
          <w:sz w:val="32"/>
          <w:szCs w:val="32"/>
        </w:rPr>
        <w:t xml:space="preserve"> </w:t>
      </w:r>
    </w:p>
    <w:p w14:paraId="2C0FF081" w14:textId="77777777" w:rsidR="00D350DD" w:rsidRDefault="00397749">
      <w:pPr>
        <w:adjustRightInd w:val="0"/>
        <w:snapToGrid w:val="0"/>
        <w:spacing w:line="360" w:lineRule="auto"/>
        <w:ind w:firstLineChars="200" w:firstLine="640"/>
        <w:rPr>
          <w:rFonts w:ascii="Times New Roman" w:eastAsia="黑体" w:hAnsi="Times New Roman"/>
          <w:sz w:val="32"/>
          <w:szCs w:val="32"/>
        </w:rPr>
      </w:pPr>
      <w:r>
        <w:rPr>
          <w:rFonts w:ascii="Times New Roman" w:eastAsia="仿宋" w:hAnsi="Times New Roman" w:hint="eastAsia"/>
          <w:color w:val="000000"/>
          <w:sz w:val="32"/>
          <w:szCs w:val="32"/>
        </w:rPr>
        <w:t>我局绩效指标填报不够规范、不够准确、不够全面，绩效指标没有紧紧围绕各项目标任务进行细化和量化，绩效指标的产出指标不能反映财政预算资金计划在一定期限内达到的产出。例如部门整体支出绩效目标中的产出数量指标“保障我局在职人员的正常办公、生活秩序，完成年度重点和中心工作”仅仅是为了完成既定的年度目标任务的组织中的一项保障措施，不能反应年度绩效目标任务的预计产出。</w:t>
      </w:r>
      <w:r>
        <w:rPr>
          <w:rFonts w:ascii="Times New Roman" w:eastAsia="仿宋" w:hAnsi="Times New Roman" w:hint="eastAsia"/>
          <w:color w:val="000000"/>
          <w:sz w:val="32"/>
          <w:szCs w:val="32"/>
        </w:rPr>
        <w:t xml:space="preserve"> </w:t>
      </w:r>
    </w:p>
    <w:p w14:paraId="3363B83A" w14:textId="77777777" w:rsidR="00D350DD" w:rsidRDefault="00397749">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lastRenderedPageBreak/>
        <w:t>八、下一步改进措</w:t>
      </w:r>
      <w:r>
        <w:rPr>
          <w:rFonts w:ascii="Times New Roman" w:eastAsia="黑体" w:hAnsi="Times New Roman" w:hint="eastAsia"/>
          <w:sz w:val="32"/>
          <w:szCs w:val="32"/>
        </w:rPr>
        <w:t>施</w:t>
      </w:r>
    </w:p>
    <w:p w14:paraId="6DF794B1" w14:textId="77777777" w:rsidR="00D350DD" w:rsidRDefault="00397749">
      <w:pPr>
        <w:pStyle w:val="20"/>
        <w:tabs>
          <w:tab w:val="left" w:pos="1840"/>
        </w:tabs>
        <w:adjustRightInd w:val="0"/>
        <w:snapToGrid w:val="0"/>
        <w:spacing w:line="360" w:lineRule="auto"/>
        <w:ind w:left="0" w:firstLineChars="200" w:firstLine="643"/>
        <w:rPr>
          <w:rFonts w:ascii="楷体" w:eastAsia="楷体"/>
          <w:color w:val="000000"/>
        </w:rPr>
      </w:pPr>
      <w:r>
        <w:rPr>
          <w:rFonts w:ascii="楷体" w:eastAsia="楷体" w:hint="eastAsia"/>
          <w:color w:val="000000"/>
        </w:rPr>
        <w:t>（一）</w:t>
      </w:r>
      <w:r>
        <w:rPr>
          <w:rFonts w:ascii="楷体" w:eastAsia="楷体" w:hint="eastAsia"/>
          <w:color w:val="000000"/>
        </w:rPr>
        <w:t>科学规划，立足全局，提高预算编制精确性。</w:t>
      </w:r>
    </w:p>
    <w:p w14:paraId="427349BB" w14:textId="77777777" w:rsidR="00D350DD" w:rsidRDefault="00397749">
      <w:pPr>
        <w:widowControl/>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一是根据近三年实际支出情况，合理测算各职能模块各类别项目支出的占比情况，依据我局中长期发展工作目标，结合部门年度工作方向，调整部门整体支出预算项目</w:t>
      </w:r>
      <w:proofErr w:type="gramStart"/>
      <w:r>
        <w:rPr>
          <w:rFonts w:ascii="Times New Roman" w:eastAsia="仿宋" w:hAnsi="Times New Roman" w:hint="eastAsia"/>
          <w:color w:val="000000"/>
          <w:sz w:val="32"/>
          <w:szCs w:val="32"/>
        </w:rPr>
        <w:t>分类占</w:t>
      </w:r>
      <w:proofErr w:type="gramEnd"/>
      <w:r>
        <w:rPr>
          <w:rFonts w:ascii="Times New Roman" w:eastAsia="仿宋" w:hAnsi="Times New Roman" w:hint="eastAsia"/>
          <w:color w:val="000000"/>
          <w:sz w:val="32"/>
          <w:szCs w:val="32"/>
        </w:rPr>
        <w:t>比，优化支出预算结构。</w:t>
      </w:r>
      <w:r>
        <w:rPr>
          <w:rFonts w:ascii="Times New Roman" w:eastAsia="仿宋" w:hAnsi="Times New Roman" w:hint="eastAsia"/>
          <w:color w:val="000000"/>
          <w:sz w:val="32"/>
          <w:szCs w:val="32"/>
        </w:rPr>
        <w:t xml:space="preserve"> </w:t>
      </w:r>
    </w:p>
    <w:p w14:paraId="3BAD0D0A" w14:textId="77777777" w:rsidR="00D350DD" w:rsidRDefault="00397749">
      <w:pPr>
        <w:widowControl/>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二是在进行预算资金分配前，进一步推进预算编制与资金分配的科学化、精细化管理。如：探索事前评价方式，与各职能处室充分沟通，选择重点项目实施事前评估，对项目实施的必要性、可行性以及经济性的科学论证，增强预算资金安排的科学性。</w:t>
      </w:r>
      <w:r>
        <w:rPr>
          <w:rFonts w:ascii="Times New Roman" w:eastAsia="仿宋" w:hAnsi="Times New Roman" w:hint="eastAsia"/>
          <w:color w:val="000000"/>
          <w:sz w:val="32"/>
          <w:szCs w:val="32"/>
        </w:rPr>
        <w:t xml:space="preserve"> </w:t>
      </w:r>
    </w:p>
    <w:p w14:paraId="1A9B5D19" w14:textId="77777777" w:rsidR="00D350DD" w:rsidRDefault="00397749">
      <w:pPr>
        <w:widowControl/>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三是梳理近三年预算支出项目，及时甄别无效支出项目与低效支出项目，对固化在部门整体支出预算中的无效项目及低效项目进行分类处理。一方面，对于多年结转且无支出计划或预算需求的项目（无效项目），整理无效项目清单，通过召集相关负责人召开座谈会的方式决定项目处理方式，制定整改方案，并提出相应的支出计划。另一方面，对于多年预算支出率偏低的项目（低效项目），落实资金支出主体责任。要坚持问题导向，逐项排查项目清单，认真分析解决执行问题，分解工作任务，切实提高部门预算支出进度。如：督促相关负责人及时分析项目支出率低的原因，重新</w:t>
      </w:r>
      <w:r>
        <w:rPr>
          <w:rFonts w:ascii="Times New Roman" w:eastAsia="仿宋" w:hAnsi="Times New Roman" w:hint="eastAsia"/>
          <w:color w:val="000000"/>
          <w:sz w:val="32"/>
          <w:szCs w:val="32"/>
        </w:rPr>
        <w:t>评估项目的合理性和必要性。在制定下一年度预算分配方案</w:t>
      </w:r>
      <w:proofErr w:type="gramStart"/>
      <w:r>
        <w:rPr>
          <w:rFonts w:ascii="Times New Roman" w:eastAsia="仿宋" w:hAnsi="Times New Roman" w:hint="eastAsia"/>
          <w:color w:val="000000"/>
          <w:sz w:val="32"/>
          <w:szCs w:val="32"/>
        </w:rPr>
        <w:t>时合理</w:t>
      </w:r>
      <w:proofErr w:type="gramEnd"/>
      <w:r>
        <w:rPr>
          <w:rFonts w:ascii="Times New Roman" w:eastAsia="仿宋" w:hAnsi="Times New Roman" w:hint="eastAsia"/>
          <w:color w:val="000000"/>
          <w:sz w:val="32"/>
          <w:szCs w:val="32"/>
        </w:rPr>
        <w:lastRenderedPageBreak/>
        <w:t>考虑项目往年支出情况测算项目支出预算合理规模，并严格控制低效项目在部门年度预算中的比例。</w:t>
      </w:r>
      <w:r>
        <w:rPr>
          <w:rFonts w:ascii="Times New Roman" w:eastAsia="仿宋" w:hAnsi="Times New Roman" w:hint="eastAsia"/>
          <w:color w:val="000000"/>
          <w:sz w:val="32"/>
          <w:szCs w:val="32"/>
        </w:rPr>
        <w:t xml:space="preserve"> </w:t>
      </w:r>
    </w:p>
    <w:p w14:paraId="459ADED4" w14:textId="77777777" w:rsidR="00D350DD" w:rsidRDefault="00397749">
      <w:pPr>
        <w:pStyle w:val="20"/>
        <w:tabs>
          <w:tab w:val="left" w:pos="1840"/>
        </w:tabs>
        <w:adjustRightInd w:val="0"/>
        <w:snapToGrid w:val="0"/>
        <w:spacing w:line="360" w:lineRule="auto"/>
        <w:ind w:left="0" w:firstLineChars="200" w:firstLine="643"/>
        <w:rPr>
          <w:rFonts w:ascii="楷体" w:eastAsia="楷体"/>
          <w:color w:val="000000"/>
        </w:rPr>
      </w:pPr>
      <w:r>
        <w:rPr>
          <w:rFonts w:ascii="楷体" w:eastAsia="楷体" w:hint="eastAsia"/>
          <w:color w:val="000000"/>
        </w:rPr>
        <w:t>（二）重视对项目和资金的过程化管理，落实管理责任。</w:t>
      </w:r>
      <w:r>
        <w:rPr>
          <w:rFonts w:ascii="楷体" w:eastAsia="楷体" w:hint="eastAsia"/>
          <w:color w:val="000000"/>
        </w:rPr>
        <w:t xml:space="preserve"> </w:t>
      </w:r>
    </w:p>
    <w:p w14:paraId="34067920" w14:textId="77777777" w:rsidR="00D350DD" w:rsidRDefault="00397749">
      <w:pPr>
        <w:widowControl/>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我局将加强项目和专项资金的事中监管，及时了解项目的实施具体情况和资金的具体流向和用途。建立重点项目实施过程的绩效反馈机制。首先可根据</w:t>
      </w:r>
      <w:proofErr w:type="gramStart"/>
      <w:r>
        <w:rPr>
          <w:rFonts w:ascii="Times New Roman" w:eastAsia="仿宋" w:hAnsi="Times New Roman" w:hint="eastAsia"/>
          <w:color w:val="000000"/>
          <w:sz w:val="32"/>
          <w:szCs w:val="32"/>
        </w:rPr>
        <w:t>月预算</w:t>
      </w:r>
      <w:proofErr w:type="gramEnd"/>
      <w:r>
        <w:rPr>
          <w:rFonts w:ascii="Times New Roman" w:eastAsia="仿宋" w:hAnsi="Times New Roman" w:hint="eastAsia"/>
          <w:color w:val="000000"/>
          <w:sz w:val="32"/>
          <w:szCs w:val="32"/>
        </w:rPr>
        <w:t>支出进度通报，建立动态分析机制，督促进度，强化督促检查；另一方面加大对重点部门、重点项目的监控力度，可建立对重点项目实施情况的月度或季度上报机制，及时了解项目实施情况，督</w:t>
      </w:r>
      <w:r>
        <w:rPr>
          <w:rFonts w:ascii="Times New Roman" w:eastAsia="仿宋" w:hAnsi="Times New Roman" w:hint="eastAsia"/>
          <w:color w:val="000000"/>
          <w:sz w:val="32"/>
          <w:szCs w:val="32"/>
        </w:rPr>
        <w:t>促局属单位对政策的落实执行，提高对重点项目的把控能力。</w:t>
      </w:r>
    </w:p>
    <w:p w14:paraId="1C184432" w14:textId="77777777" w:rsidR="00D350DD" w:rsidRDefault="00397749">
      <w:pPr>
        <w:pStyle w:val="20"/>
        <w:tabs>
          <w:tab w:val="left" w:pos="1840"/>
        </w:tabs>
        <w:adjustRightInd w:val="0"/>
        <w:snapToGrid w:val="0"/>
        <w:spacing w:line="360" w:lineRule="auto"/>
        <w:ind w:left="0" w:firstLineChars="200" w:firstLine="643"/>
        <w:rPr>
          <w:rFonts w:ascii="Times New Roman" w:eastAsia="仿宋" w:hAnsi="Times New Roman"/>
          <w:color w:val="000000"/>
        </w:rPr>
      </w:pPr>
      <w:r>
        <w:rPr>
          <w:rFonts w:ascii="楷体" w:eastAsia="楷体" w:hint="eastAsia"/>
          <w:color w:val="000000"/>
        </w:rPr>
        <w:t>（三）进一步加强财务规范化管理。</w:t>
      </w:r>
    </w:p>
    <w:p w14:paraId="5B65BFB6" w14:textId="77777777" w:rsidR="00D350DD" w:rsidRDefault="00397749">
      <w:pPr>
        <w:widowControl/>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一是建立并完善各部门内部资产管理制度、风险防控及处置制度等重要的内部控制体系。将发生的各项经济业务或者事项全部纳入会计核算，确保会计信息全面反映行政单位的财务状况和预算执行情况，堵上财务管理和固定资产管理的漏洞；二是对照法规进一步完善包括明确要求业务管理在内的项目经费管理办法，确保项目资金管理与业务工作管理相衔接，制定成本控制方案、专项资金监控方案、项目资金风险防范措施，并按照项目相关管理制度，及时验收、收集、报送相关材料。</w:t>
      </w:r>
      <w:r>
        <w:rPr>
          <w:rFonts w:ascii="Times New Roman" w:eastAsia="仿宋" w:hAnsi="Times New Roman" w:hint="eastAsia"/>
          <w:color w:val="000000"/>
          <w:sz w:val="32"/>
          <w:szCs w:val="32"/>
        </w:rPr>
        <w:t xml:space="preserve"> </w:t>
      </w:r>
      <w:r>
        <w:rPr>
          <w:rFonts w:ascii="Times New Roman" w:eastAsia="仿宋" w:hAnsi="Times New Roman" w:hint="eastAsia"/>
          <w:color w:val="000000"/>
          <w:sz w:val="32"/>
          <w:szCs w:val="32"/>
        </w:rPr>
        <w:t>三是定期对账目进行核查，及时对不合</w:t>
      </w:r>
      <w:proofErr w:type="gramStart"/>
      <w:r>
        <w:rPr>
          <w:rFonts w:ascii="Times New Roman" w:eastAsia="仿宋" w:hAnsi="Times New Roman" w:hint="eastAsia"/>
          <w:color w:val="000000"/>
          <w:sz w:val="32"/>
          <w:szCs w:val="32"/>
        </w:rPr>
        <w:t>规</w:t>
      </w:r>
      <w:proofErr w:type="gramEnd"/>
      <w:r>
        <w:rPr>
          <w:rFonts w:ascii="Times New Roman" w:eastAsia="仿宋" w:hAnsi="Times New Roman" w:hint="eastAsia"/>
          <w:color w:val="000000"/>
          <w:sz w:val="32"/>
          <w:szCs w:val="32"/>
        </w:rPr>
        <w:t>账目进行调整处理，注意数字严谨性和勾</w:t>
      </w:r>
      <w:proofErr w:type="gramStart"/>
      <w:r>
        <w:rPr>
          <w:rFonts w:ascii="Times New Roman" w:eastAsia="仿宋" w:hAnsi="Times New Roman" w:hint="eastAsia"/>
          <w:color w:val="000000"/>
          <w:sz w:val="32"/>
          <w:szCs w:val="32"/>
        </w:rPr>
        <w:t>稽</w:t>
      </w:r>
      <w:proofErr w:type="gramEnd"/>
      <w:r>
        <w:rPr>
          <w:rFonts w:ascii="Times New Roman" w:eastAsia="仿宋" w:hAnsi="Times New Roman" w:hint="eastAsia"/>
          <w:color w:val="000000"/>
          <w:sz w:val="32"/>
          <w:szCs w:val="32"/>
        </w:rPr>
        <w:t>关系。</w:t>
      </w:r>
      <w:r>
        <w:rPr>
          <w:rFonts w:ascii="Times New Roman" w:eastAsia="仿宋" w:hAnsi="Times New Roman" w:hint="eastAsia"/>
          <w:color w:val="000000"/>
          <w:sz w:val="32"/>
          <w:szCs w:val="32"/>
        </w:rPr>
        <w:t xml:space="preserve"> </w:t>
      </w:r>
    </w:p>
    <w:p w14:paraId="7B6469FF" w14:textId="77777777" w:rsidR="00D350DD" w:rsidRDefault="00397749">
      <w:pPr>
        <w:pStyle w:val="20"/>
        <w:tabs>
          <w:tab w:val="left" w:pos="1840"/>
        </w:tabs>
        <w:adjustRightInd w:val="0"/>
        <w:snapToGrid w:val="0"/>
        <w:spacing w:line="360" w:lineRule="auto"/>
        <w:ind w:left="0" w:firstLineChars="200" w:firstLine="643"/>
        <w:rPr>
          <w:rFonts w:ascii="Times New Roman" w:eastAsia="仿宋" w:hAnsi="Times New Roman"/>
          <w:color w:val="000000"/>
        </w:rPr>
      </w:pPr>
      <w:bookmarkStart w:id="2" w:name="_Toc5806"/>
      <w:r>
        <w:rPr>
          <w:rFonts w:ascii="Times New Roman" w:eastAsia="仿宋" w:hAnsi="Times New Roman" w:hint="eastAsia"/>
          <w:color w:val="000000"/>
        </w:rPr>
        <w:t>（四）强化部门绩效管理体系建设，及时设置部门绩效</w:t>
      </w:r>
      <w:r>
        <w:rPr>
          <w:rFonts w:ascii="Times New Roman" w:eastAsia="仿宋" w:hAnsi="Times New Roman" w:hint="eastAsia"/>
          <w:color w:val="000000"/>
        </w:rPr>
        <w:lastRenderedPageBreak/>
        <w:t>目标，细化、量化绩效目标，落实绩效管理，提高绩效考核水平。</w:t>
      </w:r>
      <w:r>
        <w:rPr>
          <w:rFonts w:ascii="Times New Roman" w:eastAsia="仿宋" w:hAnsi="Times New Roman" w:hint="eastAsia"/>
          <w:color w:val="000000"/>
        </w:rPr>
        <w:t xml:space="preserve"> </w:t>
      </w:r>
    </w:p>
    <w:bookmarkEnd w:id="2"/>
    <w:p w14:paraId="0074B788" w14:textId="77777777" w:rsidR="00D350DD" w:rsidRDefault="00397749">
      <w:pPr>
        <w:adjustRightInd w:val="0"/>
        <w:snapToGrid w:val="0"/>
        <w:spacing w:line="360" w:lineRule="auto"/>
        <w:ind w:firstLineChars="200" w:firstLine="640"/>
        <w:rPr>
          <w:rFonts w:ascii="Times New Roman" w:eastAsia="仿宋" w:hAnsi="Times New Roman"/>
          <w:color w:val="000000"/>
          <w:sz w:val="32"/>
          <w:szCs w:val="32"/>
        </w:rPr>
      </w:pPr>
      <w:r>
        <w:rPr>
          <w:rFonts w:ascii="Times New Roman" w:eastAsia="仿宋" w:hAnsi="Times New Roman" w:hint="eastAsia"/>
          <w:color w:val="000000"/>
          <w:sz w:val="32"/>
          <w:szCs w:val="32"/>
        </w:rPr>
        <w:t>我局将根据职能职责以及年度重点工作任务科学合理制定部门整体绩效目标体系，绩效目标设定要与年度工作任务紧密相关，与预算资金相匹配。从数量、质量、成本、时效以及经济效益、社会效益、生态效益、可持续影响、满意度等方面进行细化、尽量进行定量表述。不能以量化形式表述的，可采用定性表述，但应具有可衡量性。强化其在预算绩效管理中的龙头地位，提升预算绩效管理一体化水平。在科学决策、合理编制预算基础上明确专项资金实</w:t>
      </w:r>
      <w:r>
        <w:rPr>
          <w:rFonts w:ascii="Times New Roman" w:eastAsia="仿宋" w:hAnsi="Times New Roman" w:hint="eastAsia"/>
          <w:color w:val="000000"/>
          <w:sz w:val="32"/>
          <w:szCs w:val="32"/>
        </w:rPr>
        <w:t>施期内及年度整体工作任务目标，填报绩效目标，并对绩效目标进行合理细化和量化，便于监测项目实施进度，有利于项目目标的实现。充分发挥绩效目标在专项实施及预算执行过程中的管理和规范作用，按计划产出、质量要求、进度及预期效益，以绩效目标作为标尺，监控项目实施过程，及时调整纠偏。</w:t>
      </w:r>
    </w:p>
    <w:p w14:paraId="7520C370" w14:textId="77777777" w:rsidR="00D350DD" w:rsidRDefault="00397749">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九、其他需要说明的情况</w:t>
      </w:r>
    </w:p>
    <w:p w14:paraId="1CAE5428" w14:textId="77777777" w:rsidR="00D350DD" w:rsidRDefault="00397749">
      <w:pPr>
        <w:widowControl/>
        <w:ind w:firstLineChars="200" w:firstLine="640"/>
        <w:rPr>
          <w:rFonts w:ascii="Times New Roman" w:eastAsia="仿宋" w:hAnsi="Times New Roman"/>
          <w:sz w:val="32"/>
          <w:szCs w:val="32"/>
        </w:rPr>
      </w:pPr>
      <w:r>
        <w:rPr>
          <w:rFonts w:ascii="Times New Roman" w:hAnsi="Times New Roman" w:hint="eastAsia"/>
          <w:sz w:val="32"/>
          <w:szCs w:val="32"/>
        </w:rPr>
        <w:t>无</w:t>
      </w:r>
    </w:p>
    <w:p w14:paraId="002922B5" w14:textId="77777777" w:rsidR="00D350DD" w:rsidRDefault="00D350DD">
      <w:pPr>
        <w:spacing w:line="560" w:lineRule="exact"/>
        <w:rPr>
          <w:rFonts w:ascii="Times New Roman" w:eastAsia="仿宋" w:hAnsi="Times New Roman"/>
          <w:sz w:val="32"/>
          <w:szCs w:val="32"/>
        </w:rPr>
      </w:pPr>
    </w:p>
    <w:p w14:paraId="08BD402D" w14:textId="77777777" w:rsidR="00D350DD" w:rsidRDefault="00D350DD"/>
    <w:p w14:paraId="282B1721" w14:textId="77777777" w:rsidR="00D350DD" w:rsidRDefault="00D350DD"/>
    <w:sectPr w:rsidR="00D350D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2"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D661F6"/>
    <w:multiLevelType w:val="singleLevel"/>
    <w:tmpl w:val="EFD661F6"/>
    <w:lvl w:ilvl="0">
      <w:start w:val="1"/>
      <w:numFmt w:val="chineseCounting"/>
      <w:suff w:val="nothing"/>
      <w:lvlText w:val="（%1）"/>
      <w:lvlJc w:val="left"/>
      <w:rPr>
        <w:rFonts w:hint="eastAsia"/>
      </w:rPr>
    </w:lvl>
  </w:abstractNum>
  <w:abstractNum w:abstractNumId="1" w15:restartNumberingAfterBreak="0">
    <w:nsid w:val="FF8AE7B1"/>
    <w:multiLevelType w:val="singleLevel"/>
    <w:tmpl w:val="FF8AE7B1"/>
    <w:lvl w:ilvl="0">
      <w:start w:val="1"/>
      <w:numFmt w:val="chineseCounting"/>
      <w:suff w:val="nothing"/>
      <w:lvlText w:val="%1、"/>
      <w:lvlJc w:val="left"/>
      <w:rPr>
        <w:rFonts w:hint="eastAsia"/>
      </w:rPr>
    </w:lvl>
  </w:abstractNum>
  <w:abstractNum w:abstractNumId="2" w15:restartNumberingAfterBreak="0">
    <w:nsid w:val="FFC6A003"/>
    <w:multiLevelType w:val="singleLevel"/>
    <w:tmpl w:val="FFC6A003"/>
    <w:lvl w:ilvl="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yYTE0ZmZmMmM2OTQwYjE4NzczMTQ0NmExMzMyNzEifQ=="/>
  </w:docVars>
  <w:rsids>
    <w:rsidRoot w:val="00D350DD"/>
    <w:rsid w:val="00397749"/>
    <w:rsid w:val="00D350DD"/>
    <w:rsid w:val="18DF1F50"/>
    <w:rsid w:val="4220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E9D6C-7337-4AFE-A5C1-EDA7B28E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0">
    <w:name w:val="heading 2"/>
    <w:basedOn w:val="a"/>
    <w:next w:val="a"/>
    <w:uiPriority w:val="1"/>
    <w:qFormat/>
    <w:pPr>
      <w:ind w:left="831" w:firstLine="640"/>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TOC4"/>
    <w:qFormat/>
    <w:pPr>
      <w:spacing w:after="0"/>
      <w:ind w:leftChars="0" w:left="0" w:firstLineChars="200" w:firstLine="420"/>
    </w:pPr>
    <w:rPr>
      <w:rFonts w:eastAsia="Times New Roman"/>
      <w:sz w:val="20"/>
    </w:rPr>
  </w:style>
  <w:style w:type="paragraph" w:styleId="a3">
    <w:name w:val="Body Text Indent"/>
    <w:basedOn w:val="a"/>
    <w:next w:val="a4"/>
    <w:uiPriority w:val="99"/>
    <w:unhideWhenUsed/>
    <w:qFormat/>
    <w:pPr>
      <w:spacing w:after="120"/>
      <w:ind w:leftChars="200" w:left="420"/>
    </w:pPr>
  </w:style>
  <w:style w:type="paragraph" w:styleId="a4">
    <w:name w:val="Normal Indent"/>
    <w:basedOn w:val="a"/>
    <w:next w:val="a"/>
    <w:qFormat/>
    <w:pPr>
      <w:ind w:firstLineChars="200" w:firstLine="420"/>
    </w:pPr>
    <w:rPr>
      <w:rFonts w:eastAsia="仿宋"/>
      <w:sz w:val="32"/>
    </w:rPr>
  </w:style>
  <w:style w:type="paragraph" w:styleId="TOC4">
    <w:name w:val="toc 4"/>
    <w:basedOn w:val="a"/>
    <w:next w:val="a"/>
    <w:uiPriority w:val="39"/>
    <w:unhideWhenUsed/>
    <w:qFormat/>
    <w:pPr>
      <w:ind w:leftChars="600" w:left="1260"/>
    </w:pPr>
  </w:style>
  <w:style w:type="paragraph" w:styleId="a5">
    <w:name w:val="Body Text"/>
    <w:basedOn w:val="a"/>
    <w:uiPriority w:val="1"/>
    <w:qFormat/>
    <w:rPr>
      <w:sz w:val="32"/>
      <w:szCs w:val="32"/>
    </w:rPr>
  </w:style>
  <w:style w:type="paragraph" w:styleId="a6">
    <w:name w:val="List Paragraph"/>
    <w:uiPriority w:val="99"/>
    <w:qFormat/>
    <w:pPr>
      <w:widowControl w:val="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2024-09-26T03:01:00Z</dcterms:created>
  <dcterms:modified xsi:type="dcterms:W3CDTF">2024-10-08T01:32:00Z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885D27959ED649F7985E29F4666AEC72_13</vt:lpwstr>
  </property>
</Properties>
</file>