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Lines="100"/>
        <w:rPr>
          <w:rFonts w:hint="eastAsia" w:ascii="Times New Roman" w:hAnsi="Times New Roman" w:eastAsia="黑体"/>
          <w:kern w:val="0"/>
          <w:sz w:val="32"/>
          <w:szCs w:val="32"/>
          <w:lang w:val="en-US" w:eastAsia="zh-CN"/>
        </w:rPr>
      </w:pPr>
    </w:p>
    <w:p>
      <w:pPr>
        <w:shd w:val="clear"/>
        <w:spacing w:afterLines="100"/>
        <w:rPr>
          <w:rFonts w:ascii="Times New Roman" w:hAnsi="Times New Roman" w:eastAsia="仿宋_GB2312"/>
          <w:kern w:val="0"/>
          <w:sz w:val="32"/>
          <w:szCs w:val="32"/>
        </w:rPr>
      </w:pPr>
    </w:p>
    <w:p>
      <w:pPr>
        <w:shd w:val="clear"/>
        <w:spacing w:afterLines="100"/>
        <w:rPr>
          <w:rFonts w:ascii="Times New Roman" w:hAnsi="Times New Roman" w:eastAsia="仿宋_GB2312"/>
          <w:kern w:val="0"/>
          <w:sz w:val="32"/>
          <w:szCs w:val="32"/>
        </w:rPr>
      </w:pPr>
    </w:p>
    <w:p>
      <w:pPr>
        <w:shd w:val="clear"/>
        <w:rPr>
          <w:rFonts w:ascii="Times New Roman" w:hAnsi="Times New Roman" w:eastAsia="方正小标宋简体"/>
          <w:sz w:val="48"/>
          <w:szCs w:val="48"/>
        </w:rPr>
      </w:pPr>
    </w:p>
    <w:p>
      <w:pPr>
        <w:shd w:val="clear"/>
        <w:rPr>
          <w:rFonts w:ascii="Times New Roman" w:hAnsi="Times New Roman" w:eastAsia="方正小标宋简体"/>
          <w:sz w:val="48"/>
          <w:szCs w:val="48"/>
        </w:rPr>
      </w:pPr>
    </w:p>
    <w:p>
      <w:pPr>
        <w:shd w:val="clear"/>
        <w:jc w:val="center"/>
        <w:rPr>
          <w:rFonts w:ascii="Times New Roman" w:hAnsi="Times New Roman" w:eastAsia="方正小标宋简体"/>
          <w:sz w:val="48"/>
          <w:szCs w:val="48"/>
        </w:rPr>
      </w:pPr>
      <w:r>
        <w:rPr>
          <w:rFonts w:hint="eastAsia" w:ascii="Times New Roman" w:hAnsi="Times New Roman" w:eastAsia="方正小标宋简体"/>
          <w:sz w:val="48"/>
          <w:szCs w:val="48"/>
          <w:lang w:val="en-US" w:eastAsia="zh-CN"/>
        </w:rPr>
        <w:t>住建局</w:t>
      </w:r>
      <w:r>
        <w:rPr>
          <w:rFonts w:ascii="Times New Roman" w:hAnsi="Times New Roman" w:eastAsia="方正小标宋简体"/>
          <w:sz w:val="48"/>
          <w:szCs w:val="48"/>
        </w:rPr>
        <w:t>整体支出绩效自评报告</w:t>
      </w:r>
    </w:p>
    <w:p>
      <w:pPr>
        <w:shd w:val="clea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shd w:val="clear"/>
        <w:jc w:val="center"/>
        <w:rPr>
          <w:rFonts w:ascii="Times New Roman" w:hAnsi="Times New Roman" w:eastAsia="黑体"/>
          <w:sz w:val="32"/>
          <w:szCs w:val="32"/>
        </w:rPr>
      </w:pPr>
    </w:p>
    <w:p>
      <w:pPr>
        <w:shd w:val="clear"/>
        <w:jc w:val="center"/>
        <w:rPr>
          <w:rFonts w:ascii="Times New Roman" w:hAnsi="Times New Roman" w:eastAsia="黑体"/>
          <w:sz w:val="32"/>
          <w:szCs w:val="32"/>
        </w:rPr>
      </w:pPr>
    </w:p>
    <w:p>
      <w:pPr>
        <w:shd w:val="clear"/>
        <w:jc w:val="center"/>
        <w:rPr>
          <w:rFonts w:ascii="Times New Roman" w:hAnsi="Times New Roman" w:eastAsia="黑体"/>
          <w:sz w:val="32"/>
          <w:szCs w:val="32"/>
        </w:rPr>
      </w:pPr>
    </w:p>
    <w:p>
      <w:pPr>
        <w:shd w:val="clear"/>
        <w:jc w:val="center"/>
        <w:rPr>
          <w:rFonts w:ascii="Times New Roman" w:hAnsi="Times New Roman" w:eastAsia="黑体"/>
          <w:sz w:val="32"/>
          <w:szCs w:val="32"/>
        </w:rPr>
      </w:pPr>
    </w:p>
    <w:p>
      <w:pPr>
        <w:shd w:val="clear"/>
        <w:rPr>
          <w:rFonts w:ascii="Times New Roman" w:hAnsi="Times New Roman" w:eastAsia="黑体"/>
          <w:sz w:val="32"/>
          <w:szCs w:val="32"/>
        </w:rPr>
      </w:pPr>
    </w:p>
    <w:p>
      <w:pPr>
        <w:shd w:val="clear"/>
        <w:jc w:val="center"/>
        <w:rPr>
          <w:rFonts w:ascii="Times New Roman" w:hAnsi="Times New Roman"/>
          <w:sz w:val="36"/>
          <w:szCs w:val="36"/>
        </w:rPr>
      </w:pPr>
    </w:p>
    <w:p>
      <w:pPr>
        <w:shd w:val="clear"/>
        <w:jc w:val="center"/>
        <w:rPr>
          <w:rFonts w:ascii="Times New Roman" w:hAnsi="Times New Roman"/>
          <w:sz w:val="36"/>
          <w:szCs w:val="36"/>
        </w:rPr>
      </w:pPr>
    </w:p>
    <w:p>
      <w:pPr>
        <w:shd w:val="clear"/>
        <w:jc w:val="center"/>
        <w:rPr>
          <w:rFonts w:ascii="Times New Roman" w:hAnsi="Times New Roman"/>
          <w:sz w:val="36"/>
          <w:szCs w:val="36"/>
        </w:rPr>
      </w:pPr>
    </w:p>
    <w:p>
      <w:pPr>
        <w:shd w:val="clear"/>
        <w:ind w:left="2520" w:leftChars="0" w:firstLine="420" w:firstLineChars="0"/>
        <w:jc w:val="both"/>
        <w:rPr>
          <w:rFonts w:hint="eastAsia" w:ascii="仿宋" w:hAnsi="仿宋" w:eastAsia="仿宋" w:cs="仿宋"/>
          <w:b/>
          <w:bCs/>
          <w:sz w:val="32"/>
          <w:szCs w:val="32"/>
        </w:rPr>
      </w:pPr>
      <w:r>
        <w:rPr>
          <w:rFonts w:hint="eastAsia" w:ascii="仿宋" w:hAnsi="仿宋" w:eastAsia="仿宋" w:cs="仿宋"/>
          <w:b/>
          <w:bCs/>
          <w:sz w:val="32"/>
          <w:szCs w:val="32"/>
        </w:rPr>
        <w:t>单位名称：（盖章）</w:t>
      </w:r>
    </w:p>
    <w:p>
      <w:pPr>
        <w:shd w:val="clear"/>
        <w:ind w:left="2520" w:leftChars="0" w:firstLine="420" w:firstLineChars="0"/>
        <w:jc w:val="both"/>
        <w:rPr>
          <w:rFonts w:hint="eastAsia" w:ascii="仿宋" w:hAnsi="仿宋" w:eastAsia="仿宋" w:cs="仿宋"/>
          <w:b/>
          <w:bCs/>
          <w:sz w:val="32"/>
          <w:szCs w:val="32"/>
        </w:rPr>
      </w:pPr>
      <w:r>
        <w:rPr>
          <w:rFonts w:hint="eastAsia" w:ascii="仿宋" w:hAnsi="仿宋" w:eastAsia="仿宋" w:cs="仿宋"/>
          <w:b/>
          <w:bCs/>
          <w:sz w:val="32"/>
          <w:szCs w:val="32"/>
        </w:rPr>
        <w:t>主要负责人签字：</w:t>
      </w:r>
    </w:p>
    <w:p>
      <w:pPr>
        <w:shd w:val="clear"/>
        <w:jc w:val="center"/>
        <w:rPr>
          <w:rFonts w:hint="eastAsia" w:ascii="仿宋" w:hAnsi="仿宋" w:eastAsia="仿宋" w:cs="仿宋"/>
          <w:b/>
          <w:bCs/>
          <w:sz w:val="32"/>
          <w:szCs w:val="32"/>
        </w:rPr>
      </w:pPr>
    </w:p>
    <w:p>
      <w:pPr>
        <w:shd w:val="clear"/>
        <w:ind w:left="2520" w:leftChars="0" w:firstLine="420" w:firstLineChars="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2024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日</w:t>
      </w:r>
    </w:p>
    <w:p>
      <w:pPr>
        <w:shd w:val="clear"/>
        <w:jc w:val="center"/>
        <w:rPr>
          <w:rFonts w:hint="eastAsia" w:ascii="仿宋" w:hAnsi="仿宋" w:eastAsia="仿宋" w:cs="仿宋"/>
          <w:sz w:val="32"/>
          <w:szCs w:val="32"/>
        </w:rPr>
      </w:pPr>
    </w:p>
    <w:p>
      <w:pPr>
        <w:keepNext w:val="0"/>
        <w:keepLines w:val="0"/>
        <w:pageBreakBefore w:val="0"/>
        <w:shd w:val="clear"/>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住建局</w:t>
      </w:r>
      <w:r>
        <w:rPr>
          <w:rFonts w:ascii="Times New Roman" w:hAnsi="Times New Roman" w:eastAsia="方正小标宋简体"/>
          <w:sz w:val="44"/>
          <w:szCs w:val="44"/>
        </w:rPr>
        <w:t>整体支出绩效自评报告</w:t>
      </w:r>
    </w:p>
    <w:p>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ascii="Times New Roman" w:hAnsi="Times New Roman" w:eastAsia="楷体_GB2312"/>
          <w:sz w:val="32"/>
          <w:szCs w:val="32"/>
          <w:lang w:val="en-US" w:eastAsia="zh-CN"/>
        </w:rPr>
      </w:pPr>
      <w:r>
        <w:rPr>
          <w:rFonts w:hint="eastAsia" w:ascii="Times New Roman" w:hAnsi="Times New Roman" w:eastAsia="楷体_GB2312"/>
          <w:sz w:val="32"/>
          <w:szCs w:val="32"/>
          <w:lang w:val="en-US" w:eastAsia="zh-CN"/>
        </w:rPr>
        <w:t xml:space="preserve"> </w:t>
      </w:r>
    </w:p>
    <w:p>
      <w:pPr>
        <w:keepNext w:val="0"/>
        <w:keepLines w:val="0"/>
        <w:pageBreakBefore w:val="0"/>
        <w:shd w:val="clear"/>
        <w:kinsoku/>
        <w:wordWrap/>
        <w:overflowPunct/>
        <w:topLinePunct w:val="0"/>
        <w:autoSpaceDE/>
        <w:autoSpaceDN/>
        <w:bidi w:val="0"/>
        <w:adjustRightInd/>
        <w:snapToGrid/>
        <w:spacing w:line="540" w:lineRule="exact"/>
        <w:textAlignment w:val="auto"/>
        <w:rPr>
          <w:rFonts w:hint="eastAsia" w:ascii="Times New Roman" w:hAnsi="Times New Roman" w:eastAsia="楷体_GB2312"/>
          <w:sz w:val="32"/>
          <w:szCs w:val="32"/>
          <w:lang w:val="en-US" w:eastAsia="zh-CN"/>
        </w:rPr>
      </w:pPr>
    </w:p>
    <w:p>
      <w:pPr>
        <w:pStyle w:val="6"/>
        <w:keepNext w:val="0"/>
        <w:keepLines w:val="0"/>
        <w:pageBreakBefore w:val="0"/>
        <w:widowControl/>
        <w:numPr>
          <w:ilvl w:val="0"/>
          <w:numId w:val="1"/>
        </w:numPr>
        <w:shd w:val="clear"/>
        <w:kinsoku/>
        <w:wordWrap/>
        <w:overflowPunct/>
        <w:topLinePunct w:val="0"/>
        <w:autoSpaceDE/>
        <w:autoSpaceDN/>
        <w:bidi w:val="0"/>
        <w:adjustRightInd/>
        <w:snapToGrid/>
        <w:spacing w:line="540" w:lineRule="exact"/>
        <w:ind w:firstLine="640"/>
        <w:textAlignment w:val="auto"/>
        <w:rPr>
          <w:rFonts w:eastAsia="黑体"/>
          <w:sz w:val="32"/>
          <w:szCs w:val="32"/>
        </w:rPr>
      </w:pPr>
      <w:r>
        <w:rPr>
          <w:rFonts w:eastAsia="黑体"/>
          <w:sz w:val="32"/>
          <w:szCs w:val="32"/>
        </w:rPr>
        <w:t>部门、单位基本情况</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衡阳市住房和城乡建设局为</w:t>
      </w:r>
      <w:r>
        <w:rPr>
          <w:rFonts w:hint="eastAsia" w:ascii="仿宋" w:hAnsi="仿宋" w:eastAsia="仿宋" w:cs="仿宋"/>
          <w:b w:val="0"/>
          <w:bCs w:val="0"/>
          <w:i w:val="0"/>
          <w:caps w:val="0"/>
          <w:color w:val="auto"/>
          <w:spacing w:val="0"/>
          <w:kern w:val="0"/>
          <w:sz w:val="32"/>
          <w:szCs w:val="32"/>
          <w:shd w:val="clear" w:color="auto" w:fill="auto"/>
          <w:lang w:val="en-US" w:eastAsia="zh-CN" w:bidi="ar"/>
        </w:rPr>
        <w:t>正处级</w:t>
      </w:r>
      <w:r>
        <w:rPr>
          <w:rFonts w:hint="eastAsia" w:ascii="仿宋" w:hAnsi="仿宋" w:eastAsia="仿宋" w:cs="仿宋"/>
          <w:sz w:val="32"/>
          <w:szCs w:val="32"/>
        </w:rPr>
        <w:t>行政单位，执行行政单位会计制度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零基财政预算单位，实行财政国库集中支</w:t>
      </w:r>
      <w:r>
        <w:rPr>
          <w:rFonts w:hint="eastAsia" w:ascii="仿宋" w:hAnsi="仿宋" w:eastAsia="仿宋" w:cs="仿宋"/>
          <w:sz w:val="32"/>
          <w:szCs w:val="32"/>
          <w:lang w:val="en-US" w:eastAsia="zh-CN"/>
        </w:rPr>
        <w:t>付。截至2023年12月31日有在职职工87人，离退休人员149人。</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ascii="微软雅黑" w:hAnsi="微软雅黑" w:eastAsia="微软雅黑"/>
          <w:color w:val="auto"/>
          <w:sz w:val="32"/>
          <w:szCs w:val="32"/>
        </w:rPr>
      </w:pPr>
      <w:r>
        <w:rPr>
          <w:rFonts w:hint="eastAsia" w:ascii="仿宋" w:hAnsi="仿宋" w:eastAsia="仿宋"/>
          <w:color w:val="auto"/>
          <w:sz w:val="32"/>
          <w:szCs w:val="32"/>
        </w:rPr>
        <w:t>本部门主要职责是：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s="仿宋"/>
          <w:b w:val="0"/>
          <w:bCs w:val="0"/>
          <w:i w:val="0"/>
          <w:caps w:val="0"/>
          <w:color w:val="auto"/>
          <w:spacing w:val="0"/>
          <w:sz w:val="30"/>
          <w:szCs w:val="30"/>
          <w:shd w:val="clear" w:color="auto" w:fill="auto"/>
        </w:rPr>
      </w:pPr>
      <w:r>
        <w:rPr>
          <w:rFonts w:hint="eastAsia" w:ascii="仿宋" w:hAnsi="仿宋" w:eastAsia="仿宋"/>
          <w:color w:val="auto"/>
          <w:sz w:val="32"/>
          <w:szCs w:val="32"/>
        </w:rPr>
        <w:t>（一）</w:t>
      </w:r>
      <w:r>
        <w:rPr>
          <w:rFonts w:hint="eastAsia" w:ascii="仿宋" w:hAnsi="仿宋" w:eastAsia="仿宋" w:cs="仿宋"/>
          <w:b w:val="0"/>
          <w:bCs w:val="0"/>
          <w:i w:val="0"/>
          <w:caps w:val="0"/>
          <w:color w:val="auto"/>
          <w:spacing w:val="0"/>
          <w:kern w:val="0"/>
          <w:sz w:val="32"/>
          <w:szCs w:val="32"/>
          <w:shd w:val="clear" w:color="auto" w:fill="auto"/>
          <w:lang w:val="en-US" w:eastAsia="zh-CN" w:bidi="ar"/>
        </w:rPr>
        <w:t>承担牵头推进新型城市化战略的工作；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ascii="仿宋" w:hAnsi="仿宋" w:eastAsia="仿宋"/>
          <w:color w:val="auto"/>
          <w:sz w:val="32"/>
          <w:szCs w:val="32"/>
        </w:rPr>
      </w:pPr>
      <w:r>
        <w:rPr>
          <w:rFonts w:hint="eastAsia" w:ascii="仿宋" w:hAnsi="仿宋" w:eastAsia="仿宋"/>
          <w:color w:val="auto"/>
          <w:sz w:val="32"/>
          <w:szCs w:val="32"/>
        </w:rPr>
        <w:t>（二）</w:t>
      </w:r>
      <w:r>
        <w:rPr>
          <w:rFonts w:hint="eastAsia" w:ascii="仿宋" w:hAnsi="仿宋" w:eastAsia="仿宋" w:cs="仿宋"/>
          <w:b w:val="0"/>
          <w:bCs w:val="0"/>
          <w:i w:val="0"/>
          <w:caps w:val="0"/>
          <w:color w:val="auto"/>
          <w:spacing w:val="0"/>
          <w:kern w:val="0"/>
          <w:sz w:val="32"/>
          <w:szCs w:val="32"/>
          <w:shd w:val="clear" w:color="auto" w:fill="auto"/>
          <w:lang w:val="en-US" w:eastAsia="zh-CN" w:bidi="ar"/>
        </w:rPr>
        <w:t>承担全市住房保障的宏观指导责任，会同有关部门拟订全市住房保障相关政策，参与编制城镇保障性住房发展规划和年度计划并监督实施；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ascii="仿宋" w:hAnsi="仿宋" w:eastAsia="仿宋"/>
          <w:color w:val="auto"/>
          <w:sz w:val="32"/>
          <w:szCs w:val="32"/>
        </w:rPr>
      </w:pPr>
      <w:r>
        <w:rPr>
          <w:rFonts w:hint="eastAsia" w:ascii="仿宋" w:hAnsi="仿宋" w:eastAsia="仿宋"/>
          <w:color w:val="auto"/>
          <w:sz w:val="32"/>
          <w:szCs w:val="32"/>
        </w:rPr>
        <w:t>（三）</w:t>
      </w:r>
      <w:r>
        <w:rPr>
          <w:rFonts w:hint="eastAsia" w:ascii="仿宋" w:hAnsi="仿宋" w:eastAsia="仿宋" w:cs="仿宋"/>
          <w:b w:val="0"/>
          <w:bCs w:val="0"/>
          <w:i w:val="0"/>
          <w:caps w:val="0"/>
          <w:color w:val="auto"/>
          <w:spacing w:val="0"/>
          <w:kern w:val="0"/>
          <w:sz w:val="32"/>
          <w:szCs w:val="32"/>
          <w:shd w:val="clear" w:color="auto" w:fill="auto"/>
          <w:lang w:val="en-US" w:eastAsia="zh-CN" w:bidi="ar"/>
        </w:rPr>
        <w:t>组织贯彻执行工程建设实施阶段的国家标准、全国统一定额和省级行业标准以及相关的管理制度，指导监督各类工程建设标准定额的实施和工程造价计价，组织发布工程造价信息；</w:t>
      </w:r>
    </w:p>
    <w:p>
      <w:pPr>
        <w:pStyle w:val="2"/>
        <w:keepNext w:val="0"/>
        <w:keepLines w:val="0"/>
        <w:pageBreakBefore w:val="0"/>
        <w:shd w:val="clear"/>
        <w:kinsoku/>
        <w:wordWrap/>
        <w:overflowPunct/>
        <w:topLinePunct w:val="0"/>
        <w:autoSpaceDE/>
        <w:autoSpaceDN/>
        <w:bidi w:val="0"/>
        <w:adjustRightInd/>
        <w:spacing w:before="0" w:beforeAutospacing="0" w:after="0" w:afterAutospacing="0" w:line="540" w:lineRule="exact"/>
        <w:ind w:firstLine="645"/>
        <w:textAlignment w:val="auto"/>
        <w:rPr>
          <w:rFonts w:hint="eastAsia" w:ascii="仿宋" w:hAnsi="仿宋" w:eastAsia="仿宋" w:cs="仿宋"/>
          <w:b w:val="0"/>
          <w:bCs w:val="0"/>
          <w:i w:val="0"/>
          <w:caps w:val="0"/>
          <w:color w:val="auto"/>
          <w:spacing w:val="0"/>
          <w:kern w:val="0"/>
          <w:sz w:val="32"/>
          <w:szCs w:val="32"/>
          <w:shd w:val="clear" w:color="auto" w:fill="auto"/>
          <w:lang w:val="en-US" w:eastAsia="zh-CN" w:bidi="ar"/>
        </w:rPr>
      </w:pPr>
      <w:r>
        <w:rPr>
          <w:rFonts w:hint="eastAsia" w:ascii="仿宋" w:hAnsi="仿宋" w:eastAsia="仿宋"/>
          <w:color w:val="auto"/>
          <w:sz w:val="32"/>
          <w:szCs w:val="32"/>
        </w:rPr>
        <w:t>（四）</w:t>
      </w:r>
      <w:r>
        <w:rPr>
          <w:rFonts w:hint="eastAsia" w:ascii="仿宋" w:hAnsi="仿宋" w:eastAsia="仿宋" w:cs="仿宋"/>
          <w:b w:val="0"/>
          <w:bCs w:val="0"/>
          <w:i w:val="0"/>
          <w:caps w:val="0"/>
          <w:color w:val="auto"/>
          <w:spacing w:val="0"/>
          <w:kern w:val="0"/>
          <w:sz w:val="32"/>
          <w:szCs w:val="32"/>
          <w:shd w:val="clear" w:color="auto" w:fill="auto"/>
          <w:lang w:val="en-US" w:eastAsia="zh-CN" w:bidi="ar"/>
        </w:rPr>
        <w:t>承担全市勘察设计市场监管的责任；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五</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承担全市建设市场监督管理的责任；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六</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承担全市房屋建筑、市政工程和相关公用事业设施质量、安全监管的责任；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承担推进全市建筑节能与建设科技进步的责任；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八</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承担指导村镇建设和风景名胜区建设管理的责任；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参与市本级城建资金计划的编制和管理；负责城市建设工程项目概（预）算的审查和项目竣工结算的初审；负责城市基础设施配套费和工程建设各项规费的征收；负责建设行业劳保基金的征收和管理；指导、监督局属企事业单位国有资产的管理；负责局管各行业综合统计报表的汇总和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40" w:lineRule="exact"/>
        <w:ind w:left="0" w:right="0" w:firstLine="640"/>
        <w:jc w:val="both"/>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十</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拟订行业人才的发展规划，指导建设行业人才队伍建设；</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 w:eastAsia="仿宋_GB2312"/>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十一</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承办市人民政府交办的其他事项。</w:t>
      </w:r>
    </w:p>
    <w:p>
      <w:pPr>
        <w:pStyle w:val="6"/>
        <w:keepNext w:val="0"/>
        <w:keepLines w:val="0"/>
        <w:pageBreakBefore w:val="0"/>
        <w:widowControl/>
        <w:shd w:val="clear"/>
        <w:kinsoku/>
        <w:wordWrap/>
        <w:overflowPunct/>
        <w:topLinePunct w:val="0"/>
        <w:autoSpaceDE/>
        <w:autoSpaceDN/>
        <w:bidi w:val="0"/>
        <w:adjustRightInd/>
        <w:snapToGrid/>
        <w:spacing w:line="540" w:lineRule="exact"/>
        <w:ind w:firstLine="640"/>
        <w:textAlignment w:val="auto"/>
        <w:rPr>
          <w:rFonts w:eastAsia="黑体"/>
          <w:sz w:val="32"/>
          <w:szCs w:val="32"/>
        </w:rPr>
      </w:pPr>
      <w:r>
        <w:rPr>
          <w:rFonts w:eastAsia="黑体"/>
          <w:sz w:val="32"/>
          <w:szCs w:val="32"/>
        </w:rPr>
        <w:t>二、一般公共预算支出情况</w:t>
      </w:r>
    </w:p>
    <w:p>
      <w:pPr>
        <w:pStyle w:val="6"/>
        <w:keepNext w:val="0"/>
        <w:keepLines w:val="0"/>
        <w:pageBreakBefore w:val="0"/>
        <w:widowControl/>
        <w:shd w:val="clear"/>
        <w:kinsoku/>
        <w:wordWrap/>
        <w:overflowPunct/>
        <w:topLinePunct w:val="0"/>
        <w:autoSpaceDE/>
        <w:autoSpaceDN/>
        <w:bidi w:val="0"/>
        <w:adjustRightInd/>
        <w:snapToGrid/>
        <w:spacing w:line="540" w:lineRule="exact"/>
        <w:ind w:firstLine="643"/>
        <w:textAlignment w:val="auto"/>
        <w:rPr>
          <w:rFonts w:eastAsia="楷体"/>
          <w:b/>
          <w:sz w:val="32"/>
          <w:szCs w:val="32"/>
        </w:rPr>
      </w:pPr>
      <w:r>
        <w:rPr>
          <w:rFonts w:eastAsia="楷体"/>
          <w:b/>
          <w:sz w:val="32"/>
          <w:szCs w:val="32"/>
        </w:rPr>
        <w:t>（一）基本支出情况</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基本支出系保障我局机构正常运转、完成日常工作任务而发生的各项支出，用于在职和离休人员基本工资、津贴补贴等人员经费以及办公费、印刷费、水电费、办公设备购置</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等日常公用经费。202</w:t>
      </w:r>
      <w:r>
        <w:rPr>
          <w:rFonts w:hint="eastAsia" w:ascii="仿宋" w:hAnsi="仿宋" w:eastAsia="仿宋" w:cs="仿宋"/>
          <w:sz w:val="32"/>
          <w:szCs w:val="32"/>
          <w:lang w:val="en-US" w:eastAsia="zh-CN"/>
        </w:rPr>
        <w:t>3</w:t>
      </w:r>
      <w:r>
        <w:rPr>
          <w:rFonts w:hint="eastAsia" w:ascii="仿宋" w:hAnsi="仿宋" w:eastAsia="仿宋" w:cs="仿宋"/>
          <w:sz w:val="32"/>
          <w:szCs w:val="32"/>
        </w:rPr>
        <w:t>年我局基本支出</w:t>
      </w:r>
      <w:r>
        <w:rPr>
          <w:rFonts w:hint="eastAsia" w:ascii="仿宋" w:hAnsi="仿宋" w:eastAsia="仿宋" w:cs="仿宋"/>
          <w:sz w:val="32"/>
          <w:szCs w:val="32"/>
          <w:lang w:val="en-US" w:eastAsia="zh-CN"/>
        </w:rPr>
        <w:t>2387.75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230.62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8.81</w:t>
      </w:r>
      <w:r>
        <w:rPr>
          <w:rFonts w:hint="eastAsia" w:ascii="仿宋" w:hAnsi="仿宋" w:eastAsia="仿宋" w:cs="仿宋"/>
          <w:sz w:val="32"/>
          <w:szCs w:val="32"/>
        </w:rPr>
        <w:t>%。</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年初财政对我局预算批复的总支出为</w:t>
      </w:r>
      <w:r>
        <w:rPr>
          <w:rFonts w:hint="eastAsia" w:ascii="仿宋" w:hAnsi="仿宋" w:eastAsia="仿宋" w:cs="仿宋"/>
          <w:sz w:val="32"/>
          <w:szCs w:val="32"/>
          <w:lang w:val="en-US" w:eastAsia="zh-CN"/>
        </w:rPr>
        <w:t>3150.92</w:t>
      </w:r>
      <w:r>
        <w:rPr>
          <w:rFonts w:hint="eastAsia" w:ascii="仿宋" w:hAnsi="仿宋" w:eastAsia="仿宋" w:cs="仿宋"/>
          <w:sz w:val="32"/>
          <w:szCs w:val="32"/>
        </w:rPr>
        <w:t>万元，预算批复基本支出为</w:t>
      </w:r>
      <w:r>
        <w:rPr>
          <w:rFonts w:hint="eastAsia" w:ascii="仿宋" w:hAnsi="仿宋" w:eastAsia="仿宋" w:cs="仿宋"/>
          <w:sz w:val="32"/>
          <w:szCs w:val="32"/>
          <w:lang w:val="en-US" w:eastAsia="zh-CN"/>
        </w:rPr>
        <w:t>2105.92</w:t>
      </w:r>
      <w:r>
        <w:rPr>
          <w:rFonts w:hint="eastAsia" w:ascii="仿宋" w:hAnsi="仿宋" w:eastAsia="仿宋" w:cs="仿宋"/>
          <w:sz w:val="32"/>
          <w:szCs w:val="32"/>
        </w:rPr>
        <w:t>万元，其中工资福利性支出</w:t>
      </w:r>
      <w:r>
        <w:rPr>
          <w:rFonts w:hint="eastAsia" w:ascii="仿宋" w:hAnsi="仿宋" w:eastAsia="仿宋" w:cs="仿宋"/>
          <w:sz w:val="32"/>
          <w:szCs w:val="32"/>
          <w:lang w:val="en-US" w:eastAsia="zh-CN"/>
        </w:rPr>
        <w:t>1442.09</w:t>
      </w:r>
      <w:r>
        <w:rPr>
          <w:rFonts w:hint="eastAsia" w:ascii="仿宋" w:hAnsi="仿宋" w:eastAsia="仿宋" w:cs="仿宋"/>
          <w:sz w:val="32"/>
          <w:szCs w:val="32"/>
        </w:rPr>
        <w:t>万元、</w:t>
      </w:r>
      <w:r>
        <w:rPr>
          <w:rFonts w:hint="eastAsia" w:ascii="仿宋" w:hAnsi="仿宋" w:eastAsia="仿宋" w:cs="仿宋"/>
          <w:sz w:val="32"/>
          <w:szCs w:val="32"/>
          <w:lang w:val="en-US" w:eastAsia="zh-CN"/>
        </w:rPr>
        <w:t>一般</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350.78</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313.05</w:t>
      </w:r>
      <w:r>
        <w:rPr>
          <w:rFonts w:hint="eastAsia" w:ascii="仿宋" w:hAnsi="仿宋" w:eastAsia="仿宋" w:cs="仿宋"/>
          <w:sz w:val="32"/>
          <w:szCs w:val="32"/>
        </w:rPr>
        <w:t>万元。</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eastAsia="楷体"/>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年局机关总支出决算数为</w:t>
      </w:r>
      <w:r>
        <w:rPr>
          <w:rFonts w:hint="eastAsia" w:ascii="仿宋" w:hAnsi="仿宋" w:eastAsia="仿宋" w:cs="仿宋"/>
          <w:sz w:val="32"/>
          <w:szCs w:val="32"/>
          <w:lang w:val="en-US" w:eastAsia="zh-CN"/>
        </w:rPr>
        <w:t>9841.46</w:t>
      </w:r>
      <w:r>
        <w:rPr>
          <w:rFonts w:hint="eastAsia" w:ascii="仿宋" w:hAnsi="仿宋" w:eastAsia="仿宋" w:cs="仿宋"/>
          <w:sz w:val="32"/>
          <w:szCs w:val="32"/>
        </w:rPr>
        <w:t>万元，其中基本支出决算数为</w:t>
      </w:r>
      <w:r>
        <w:rPr>
          <w:rFonts w:hint="eastAsia" w:ascii="仿宋" w:hAnsi="仿宋" w:eastAsia="仿宋" w:cs="仿宋"/>
          <w:sz w:val="32"/>
          <w:szCs w:val="32"/>
          <w:lang w:val="en-US" w:eastAsia="zh-CN"/>
        </w:rPr>
        <w:t>2387.75</w:t>
      </w:r>
      <w:r>
        <w:rPr>
          <w:rFonts w:hint="eastAsia" w:ascii="仿宋" w:hAnsi="仿宋" w:eastAsia="仿宋" w:cs="仿宋"/>
          <w:sz w:val="32"/>
          <w:szCs w:val="32"/>
        </w:rPr>
        <w:t>万元，包含工资福利支出</w:t>
      </w:r>
      <w:r>
        <w:rPr>
          <w:rFonts w:hint="eastAsia" w:ascii="仿宋" w:hAnsi="仿宋" w:eastAsia="仿宋" w:cs="仿宋"/>
          <w:sz w:val="32"/>
          <w:szCs w:val="32"/>
          <w:lang w:val="en-US" w:eastAsia="zh-CN"/>
        </w:rPr>
        <w:t>1480.55</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293.40</w:t>
      </w:r>
      <w:r>
        <w:rPr>
          <w:rFonts w:hint="eastAsia" w:ascii="仿宋" w:hAnsi="仿宋" w:eastAsia="仿宋" w:cs="仿宋"/>
          <w:sz w:val="32"/>
          <w:szCs w:val="32"/>
        </w:rPr>
        <w:t>万元;对家庭和个人的补助</w:t>
      </w:r>
      <w:r>
        <w:rPr>
          <w:rFonts w:hint="eastAsia" w:ascii="仿宋" w:hAnsi="仿宋" w:eastAsia="仿宋" w:cs="仿宋"/>
          <w:sz w:val="32"/>
          <w:szCs w:val="32"/>
          <w:lang w:val="en-US" w:eastAsia="zh-CN"/>
        </w:rPr>
        <w:t>610.80</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3</w:t>
      </w:r>
      <w:r>
        <w:rPr>
          <w:rFonts w:hint="eastAsia" w:ascii="仿宋" w:hAnsi="仿宋" w:eastAsia="仿宋" w:cs="仿宋"/>
          <w:sz w:val="32"/>
          <w:szCs w:val="32"/>
        </w:rPr>
        <w:t>万元。年度决算</w:t>
      </w:r>
      <w:r>
        <w:rPr>
          <w:rFonts w:hint="eastAsia" w:ascii="仿宋" w:hAnsi="仿宋" w:eastAsia="仿宋" w:cs="仿宋"/>
          <w:sz w:val="32"/>
          <w:szCs w:val="32"/>
          <w:lang w:val="en-US" w:eastAsia="zh-CN"/>
        </w:rPr>
        <w:t>基本支出</w:t>
      </w:r>
      <w:r>
        <w:rPr>
          <w:rFonts w:hint="eastAsia" w:ascii="仿宋" w:hAnsi="仿宋" w:eastAsia="仿宋" w:cs="仿宋"/>
          <w:sz w:val="32"/>
          <w:szCs w:val="32"/>
        </w:rPr>
        <w:t>总额超年初预算批复基本支出</w:t>
      </w:r>
      <w:r>
        <w:rPr>
          <w:rFonts w:hint="eastAsia" w:ascii="仿宋" w:hAnsi="仿宋" w:eastAsia="仿宋" w:cs="仿宋"/>
          <w:sz w:val="32"/>
          <w:szCs w:val="32"/>
          <w:lang w:val="en-US" w:eastAsia="zh-CN"/>
        </w:rPr>
        <w:t>281.83</w:t>
      </w:r>
      <w:r>
        <w:rPr>
          <w:rFonts w:hint="eastAsia" w:ascii="仿宋" w:hAnsi="仿宋" w:eastAsia="仿宋" w:cs="仿宋"/>
          <w:sz w:val="32"/>
          <w:szCs w:val="32"/>
        </w:rPr>
        <w:t>万元。</w:t>
      </w:r>
    </w:p>
    <w:p>
      <w:pPr>
        <w:pStyle w:val="6"/>
        <w:keepNext w:val="0"/>
        <w:keepLines w:val="0"/>
        <w:pageBreakBefore w:val="0"/>
        <w:widowControl/>
        <w:numPr>
          <w:ilvl w:val="0"/>
          <w:numId w:val="2"/>
        </w:numPr>
        <w:shd w:val="clear"/>
        <w:kinsoku/>
        <w:wordWrap/>
        <w:overflowPunct/>
        <w:topLinePunct w:val="0"/>
        <w:autoSpaceDE/>
        <w:autoSpaceDN/>
        <w:bidi w:val="0"/>
        <w:adjustRightInd/>
        <w:snapToGrid/>
        <w:spacing w:line="540" w:lineRule="exact"/>
        <w:ind w:firstLine="643"/>
        <w:textAlignment w:val="auto"/>
        <w:rPr>
          <w:rFonts w:eastAsia="楷体"/>
          <w:b/>
          <w:sz w:val="32"/>
          <w:szCs w:val="32"/>
        </w:rPr>
      </w:pPr>
      <w:r>
        <w:rPr>
          <w:rFonts w:eastAsia="楷体"/>
          <w:b/>
          <w:sz w:val="32"/>
          <w:szCs w:val="32"/>
        </w:rPr>
        <w:t>项目支出情况</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default" w:eastAsia="仿宋"/>
          <w:b/>
          <w:color w:val="auto"/>
          <w:sz w:val="32"/>
          <w:szCs w:val="32"/>
          <w:lang w:val="en-US" w:eastAsia="zh-CN"/>
        </w:rPr>
      </w:pPr>
      <w:r>
        <w:rPr>
          <w:rFonts w:hint="eastAsia" w:ascii="Times New Roman" w:hAnsi="Times New Roman" w:eastAsia="仿宋"/>
          <w:color w:val="auto"/>
          <w:sz w:val="32"/>
          <w:szCs w:val="32"/>
        </w:rPr>
        <w:t>202</w:t>
      </w:r>
      <w:r>
        <w:rPr>
          <w:rFonts w:hint="eastAsia" w:ascii="Times New Roman" w:hAnsi="Times New Roman" w:eastAsia="仿宋"/>
          <w:color w:val="auto"/>
          <w:sz w:val="32"/>
          <w:szCs w:val="32"/>
          <w:lang w:val="en-US" w:eastAsia="zh-CN"/>
        </w:rPr>
        <w:t>3</w:t>
      </w:r>
      <w:r>
        <w:rPr>
          <w:rFonts w:hint="eastAsia" w:ascii="Times New Roman" w:hAnsi="Times New Roman" w:eastAsia="仿宋"/>
          <w:color w:val="auto"/>
          <w:sz w:val="32"/>
          <w:szCs w:val="32"/>
        </w:rPr>
        <w:t xml:space="preserve"> 年度局机关项目支出</w:t>
      </w:r>
      <w:r>
        <w:rPr>
          <w:rFonts w:hint="eastAsia" w:ascii="Times New Roman" w:hAnsi="Times New Roman" w:eastAsia="仿宋"/>
          <w:color w:val="auto"/>
          <w:sz w:val="32"/>
          <w:szCs w:val="32"/>
          <w:lang w:val="en-US" w:eastAsia="zh-CN"/>
        </w:rPr>
        <w:t>7453.71</w:t>
      </w:r>
      <w:r>
        <w:rPr>
          <w:rFonts w:hint="eastAsia" w:ascii="Times New Roman" w:hAnsi="Times New Roman" w:eastAsia="仿宋"/>
          <w:color w:val="auto"/>
          <w:sz w:val="32"/>
          <w:szCs w:val="32"/>
        </w:rPr>
        <w:t>万元，</w:t>
      </w:r>
      <w:r>
        <w:rPr>
          <w:rFonts w:hint="eastAsia" w:eastAsia="仿宋"/>
          <w:color w:val="auto"/>
          <w:sz w:val="32"/>
          <w:szCs w:val="32"/>
          <w:lang w:val="en-US" w:eastAsia="zh-CN"/>
        </w:rPr>
        <w:t>专项资金三项共计298.59万元。其中</w:t>
      </w:r>
      <w:r>
        <w:rPr>
          <w:rFonts w:hint="eastAsia" w:ascii="Times New Roman" w:hAnsi="Times New Roman" w:eastAsia="仿宋"/>
          <w:color w:val="auto"/>
          <w:sz w:val="32"/>
          <w:szCs w:val="32"/>
          <w:lang w:eastAsia="zh-CN"/>
        </w:rPr>
        <w:t>施工图审查服务费用(城建）</w:t>
      </w:r>
      <w:r>
        <w:rPr>
          <w:rFonts w:hint="eastAsia" w:ascii="Times New Roman" w:hAnsi="Times New Roman" w:eastAsia="仿宋"/>
          <w:color w:val="auto"/>
          <w:sz w:val="32"/>
          <w:szCs w:val="32"/>
          <w:lang w:val="en-US" w:eastAsia="zh-CN"/>
        </w:rPr>
        <w:t>295.31万元</w:t>
      </w:r>
      <w:r>
        <w:rPr>
          <w:rFonts w:hint="eastAsia" w:eastAsia="仿宋"/>
          <w:color w:val="auto"/>
          <w:sz w:val="32"/>
          <w:szCs w:val="32"/>
          <w:lang w:val="en-US" w:eastAsia="zh-CN"/>
        </w:rPr>
        <w:t>，新增发布建筑工程人工费用预算价格（城建）</w:t>
      </w:r>
      <w:r>
        <w:rPr>
          <w:rFonts w:hint="eastAsia" w:ascii="Times New Roman" w:hAnsi="Times New Roman" w:eastAsia="仿宋"/>
          <w:color w:val="auto"/>
          <w:sz w:val="32"/>
          <w:szCs w:val="32"/>
          <w:lang w:val="en-US" w:eastAsia="zh-CN"/>
        </w:rPr>
        <w:t>3.28万元</w:t>
      </w:r>
      <w:r>
        <w:rPr>
          <w:rFonts w:hint="eastAsia" w:eastAsia="仿宋"/>
          <w:color w:val="auto"/>
          <w:sz w:val="32"/>
          <w:szCs w:val="32"/>
          <w:lang w:val="en-US" w:eastAsia="zh-CN"/>
        </w:rPr>
        <w:t>，</w:t>
      </w:r>
      <w:r>
        <w:rPr>
          <w:rFonts w:hint="eastAsia" w:ascii="仿宋" w:hAnsi="仿宋" w:eastAsia="仿宋" w:cs="仿宋"/>
          <w:color w:val="auto"/>
          <w:sz w:val="32"/>
          <w:szCs w:val="32"/>
          <w:lang w:val="en-US" w:eastAsia="zh-CN"/>
        </w:rPr>
        <w:t>市政设施维护奖补资金200万元财政尚未拨付到位。其他</w:t>
      </w:r>
      <w:r>
        <w:rPr>
          <w:rFonts w:hint="eastAsia" w:ascii="Times New Roman" w:hAnsi="Times New Roman" w:eastAsia="仿宋"/>
          <w:color w:val="auto"/>
          <w:sz w:val="32"/>
          <w:szCs w:val="32"/>
        </w:rPr>
        <w:t>其他项目支出</w:t>
      </w:r>
      <w:r>
        <w:rPr>
          <w:rFonts w:hint="eastAsia" w:eastAsia="仿宋"/>
          <w:color w:val="auto"/>
          <w:sz w:val="32"/>
          <w:szCs w:val="32"/>
          <w:lang w:val="en-US" w:eastAsia="zh-CN"/>
        </w:rPr>
        <w:t>共计7155.12万元。</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val="en-US" w:eastAsia="zh-CN"/>
        </w:rPr>
        <w:t>1、</w:t>
      </w:r>
      <w:r>
        <w:rPr>
          <w:rFonts w:ascii="Times New Roman" w:hAnsi="Times New Roman" w:eastAsia="仿宋"/>
          <w:color w:val="auto"/>
          <w:sz w:val="32"/>
          <w:szCs w:val="32"/>
        </w:rPr>
        <w:t>202</w:t>
      </w:r>
      <w:r>
        <w:rPr>
          <w:rFonts w:hint="eastAsia" w:ascii="Times New Roman" w:hAnsi="Times New Roman" w:eastAsia="仿宋"/>
          <w:color w:val="auto"/>
          <w:sz w:val="32"/>
          <w:szCs w:val="32"/>
          <w:lang w:val="en-US" w:eastAsia="zh-CN"/>
        </w:rPr>
        <w:t>3</w:t>
      </w:r>
      <w:r>
        <w:rPr>
          <w:rFonts w:ascii="Times New Roman" w:hAnsi="Times New Roman" w:eastAsia="仿宋"/>
          <w:color w:val="auto"/>
          <w:sz w:val="32"/>
          <w:szCs w:val="32"/>
        </w:rPr>
        <w:t>年度专项资金安排和使用管理情况</w:t>
      </w:r>
      <w:r>
        <w:rPr>
          <w:rFonts w:hint="eastAsia" w:ascii="Times New Roman" w:hAnsi="Times New Roman" w:eastAsia="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40"/>
          <w:lang w:val="en-US" w:eastAsia="zh-CN"/>
        </w:rPr>
      </w:pP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lang w:eastAsia="zh-CN"/>
        </w:rPr>
        <w:t>）</w:t>
      </w:r>
      <w:r>
        <w:rPr>
          <w:rFonts w:hint="eastAsia" w:ascii="仿宋" w:hAnsi="仿宋" w:eastAsia="仿宋" w:cs="仿宋"/>
          <w:sz w:val="32"/>
          <w:szCs w:val="40"/>
          <w:lang w:val="en-US" w:eastAsia="zh-CN"/>
        </w:rPr>
        <w:t>2023年</w:t>
      </w:r>
      <w:r>
        <w:rPr>
          <w:rFonts w:hint="eastAsia" w:ascii="仿宋" w:hAnsi="仿宋" w:eastAsia="仿宋" w:cs="仿宋"/>
          <w:sz w:val="32"/>
          <w:szCs w:val="32"/>
          <w:lang w:val="en-US" w:eastAsia="zh-CN"/>
        </w:rPr>
        <w:t>政府购买施工图审查服务</w:t>
      </w:r>
      <w:r>
        <w:rPr>
          <w:rFonts w:hint="eastAsia" w:ascii="仿宋" w:hAnsi="仿宋" w:eastAsia="仿宋" w:cs="仿宋"/>
          <w:sz w:val="32"/>
          <w:szCs w:val="40"/>
          <w:lang w:val="en-US" w:eastAsia="zh-CN"/>
        </w:rPr>
        <w:t>安排专项经费(城建)下达指标</w:t>
      </w:r>
      <w:r>
        <w:rPr>
          <w:rFonts w:hint="eastAsia" w:ascii="仿宋" w:hAnsi="仿宋" w:eastAsia="仿宋" w:cs="仿宋"/>
          <w:color w:val="auto"/>
          <w:sz w:val="32"/>
          <w:szCs w:val="40"/>
          <w:highlight w:val="none"/>
          <w:lang w:val="en-US" w:eastAsia="zh-CN"/>
        </w:rPr>
        <w:t>数500万元，</w:t>
      </w:r>
      <w:r>
        <w:rPr>
          <w:rFonts w:hint="eastAsia" w:ascii="仿宋" w:hAnsi="仿宋" w:eastAsia="仿宋" w:cs="仿宋"/>
          <w:sz w:val="32"/>
          <w:szCs w:val="40"/>
          <w:lang w:val="en-US" w:eastAsia="zh-CN"/>
        </w:rPr>
        <w:t>截止2023年12月31日，已支付发布建筑工程人工费指数专项经费预付款295.31万元。资金主要用于</w:t>
      </w:r>
      <w:r>
        <w:rPr>
          <w:rFonts w:hint="eastAsia" w:ascii="仿宋" w:hAnsi="仿宋" w:eastAsia="仿宋" w:cs="仿宋"/>
          <w:sz w:val="32"/>
          <w:szCs w:val="32"/>
          <w:lang w:val="en-US" w:eastAsia="zh-CN"/>
        </w:rPr>
        <w:t>政府购买施工图审查服务</w:t>
      </w:r>
      <w:r>
        <w:rPr>
          <w:rFonts w:hint="eastAsia" w:ascii="仿宋" w:hAnsi="仿宋" w:eastAsia="仿宋" w:cs="仿宋"/>
          <w:sz w:val="32"/>
          <w:szCs w:val="40"/>
          <w:lang w:val="en-US" w:eastAsia="zh-CN"/>
        </w:rPr>
        <w:t>等相关工作。</w:t>
      </w:r>
      <w:r>
        <w:rPr>
          <w:rFonts w:hint="eastAsia" w:ascii="Times New Roman" w:hAnsi="Times New Roman" w:eastAsia="仿宋"/>
          <w:color w:val="auto"/>
          <w:sz w:val="32"/>
          <w:szCs w:val="32"/>
          <w:lang w:val="en-US" w:eastAsia="zh-CN"/>
        </w:rPr>
        <w:t>全年共受理</w:t>
      </w:r>
      <w:r>
        <w:rPr>
          <w:rFonts w:hint="eastAsia" w:ascii="仿宋" w:hAnsi="仿宋" w:eastAsia="仿宋" w:cs="仿宋"/>
          <w:sz w:val="32"/>
          <w:szCs w:val="40"/>
          <w:lang w:val="en-US" w:eastAsia="zh-CN"/>
        </w:rPr>
        <w:t>施工图审查的项目有88个。</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（2）2023年建筑工程人工费指数测算安排专项经费(城建)下达指标数 45 万元，截止 2023年12月31 日，已支付发布建筑工程人工费指数专项经费预付款 3.28万元。资金主要用于做好建设工程项目实地调研和收集测算资料;对工程量进行编制、审核确定，计算各专业工程的分部分项市场人工费以及人工费总额，将市场人工费总额与计价标准的市场人工费进行对比得出单位工程人工费指数;会同财政、审计、建设单位、施工单位、造价咨询单位等部门及单位具有工程造价高级职称或同等水平的专家对人工费指数测算工作成果召开专家评审会，征求意见后修改审定等相关工作。</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
          <w:color w:val="auto"/>
          <w:sz w:val="32"/>
          <w:szCs w:val="32"/>
          <w:lang w:val="en-US" w:eastAsia="zh-CN"/>
        </w:rPr>
        <w:t>（3）</w:t>
      </w:r>
      <w:r>
        <w:rPr>
          <w:rFonts w:hint="eastAsia" w:ascii="仿宋" w:hAnsi="仿宋" w:eastAsia="仿宋" w:cs="仿宋"/>
          <w:color w:val="auto"/>
          <w:sz w:val="32"/>
          <w:szCs w:val="32"/>
          <w:lang w:val="en-US" w:eastAsia="zh-CN"/>
        </w:rPr>
        <w:t>市政设施维护奖补资金计划200万元财政尚未拨付到位。</w:t>
      </w:r>
      <w:r>
        <w:rPr>
          <w:rFonts w:hint="eastAsia" w:ascii="仿宋" w:hAnsi="仿宋" w:eastAsia="仿宋" w:cs="仿宋"/>
          <w:sz w:val="32"/>
          <w:szCs w:val="32"/>
          <w:lang w:val="en-US" w:eastAsia="zh-CN"/>
        </w:rPr>
        <w:t>待200万资金到位后，我局将严格按照项目计划使用，确保资金的有效性和合规性。</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我局为提高项目资金使用效率，建立健全项目资金使用制度，加强项目资金监督管理，严格按合同约定执行。资金使用做到了专款专用。</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其他项目支出情况:</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
          <w:color w:val="auto"/>
          <w:sz w:val="32"/>
          <w:szCs w:val="32"/>
        </w:rPr>
      </w:pPr>
      <w:r>
        <w:rPr>
          <w:rFonts w:hint="eastAsia" w:ascii="Times New Roman" w:hAnsi="Times New Roman" w:eastAsia="仿宋"/>
          <w:color w:val="auto"/>
          <w:sz w:val="32"/>
          <w:szCs w:val="32"/>
        </w:rPr>
        <w:t>其他项目支出</w:t>
      </w:r>
      <w:r>
        <w:rPr>
          <w:rFonts w:hint="eastAsia" w:eastAsia="仿宋"/>
          <w:color w:val="auto"/>
          <w:sz w:val="32"/>
          <w:szCs w:val="32"/>
          <w:lang w:val="en-US" w:eastAsia="zh-CN"/>
        </w:rPr>
        <w:t>7155.12</w:t>
      </w:r>
      <w:r>
        <w:rPr>
          <w:rFonts w:hint="eastAsia" w:ascii="Times New Roman" w:hAnsi="Times New Roman" w:eastAsia="仿宋"/>
          <w:color w:val="auto"/>
          <w:sz w:val="32"/>
          <w:szCs w:val="32"/>
        </w:rPr>
        <w:t>万元，其中</w:t>
      </w:r>
      <w:r>
        <w:rPr>
          <w:rFonts w:hint="eastAsia" w:ascii="Times New Roman" w:hAnsi="Times New Roman" w:eastAsia="仿宋"/>
          <w:color w:val="auto"/>
          <w:sz w:val="32"/>
          <w:szCs w:val="32"/>
          <w:lang w:val="en-US" w:eastAsia="zh-CN"/>
        </w:rPr>
        <w:t>驻市住建局纪检组工作经费5万元，</w:t>
      </w:r>
      <w:r>
        <w:rPr>
          <w:rFonts w:hint="eastAsia" w:ascii="Times New Roman" w:hAnsi="Times New Roman" w:eastAsia="仿宋"/>
          <w:color w:val="auto"/>
          <w:sz w:val="32"/>
          <w:szCs w:val="32"/>
        </w:rPr>
        <w:t>常运路前期费用</w:t>
      </w:r>
      <w:r>
        <w:rPr>
          <w:rFonts w:hint="eastAsia" w:ascii="Times New Roman" w:hAnsi="Times New Roman" w:eastAsia="仿宋"/>
          <w:color w:val="auto"/>
          <w:sz w:val="32"/>
          <w:szCs w:val="32"/>
          <w:lang w:val="en-US" w:eastAsia="zh-CN"/>
        </w:rPr>
        <w:t>30.45万元，农村房屋安全隐患整治工作经费20万元，市政桥梁检测经费124万元，蒸水南堤综合改造项目遗留问题627.91万元，历史文化名城启动资金10.98万元，酃湖大道前期费用40万元，立新大道西延工程500万元，公益性岗位军退人员工资26.30万元，常运路工程项目前期费用500万元，光明立交桥、华新立交桥、青草桥桥梁检测费95.6万元，城区内涝治理系统设施方案编制费用57.1万元，自建房安全专项整治省级补助资金40.89万元，酃湖大道工程款926.48万元，常运路工程款700万元，鑫诚路项目资金1900万元，城管考核奖5万元，抚恤金支出56.38万元，公用经费222.62万元，2023年度医保铺底费用69.28万元，公用经费项目印刷费0.26万元，蒸阳路跨杏花村桥维修加固工程79.62万元，地下综合管线普查及信息化工程项目33.82万元，军转干部工资及双一流全日制一次性购房补贴69.94万元，蒸阳北路工程款716.48万元，公用经费项目印刷费劳务费支出4.46万元，奖励办税人员0.13万元，</w:t>
      </w:r>
      <w:r>
        <w:rPr>
          <w:rFonts w:hint="eastAsia" w:ascii="Times New Roman" w:hAnsi="Times New Roman" w:eastAsia="仿宋"/>
          <w:color w:val="auto"/>
          <w:sz w:val="32"/>
          <w:szCs w:val="32"/>
        </w:rPr>
        <w:t>2022 年资金缺口</w:t>
      </w:r>
      <w:r>
        <w:rPr>
          <w:rFonts w:hint="eastAsia" w:ascii="Times New Roman" w:hAnsi="Times New Roman" w:eastAsia="仿宋"/>
          <w:color w:val="auto"/>
          <w:sz w:val="32"/>
          <w:szCs w:val="32"/>
          <w:lang w:val="en-US" w:eastAsia="zh-CN"/>
        </w:rPr>
        <w:t>292.42</w:t>
      </w:r>
      <w:r>
        <w:rPr>
          <w:rFonts w:hint="eastAsia" w:ascii="Times New Roman" w:hAnsi="Times New Roman" w:eastAsia="仿宋"/>
          <w:color w:val="auto"/>
          <w:sz w:val="32"/>
          <w:szCs w:val="32"/>
        </w:rPr>
        <w:t>万元。</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eastAsia="黑体"/>
          <w:sz w:val="32"/>
          <w:szCs w:val="32"/>
          <w:lang w:val="en-US" w:eastAsia="zh-CN"/>
        </w:rPr>
        <w:t>三、</w:t>
      </w:r>
      <w:r>
        <w:rPr>
          <w:rFonts w:eastAsia="黑体"/>
          <w:sz w:val="32"/>
          <w:szCs w:val="32"/>
        </w:rPr>
        <w:t>政府性基金预算支出情况</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无。</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eastAsia="黑体"/>
          <w:sz w:val="32"/>
          <w:szCs w:val="32"/>
          <w:lang w:val="en-US" w:eastAsia="zh-CN"/>
        </w:rPr>
        <w:t>四、</w:t>
      </w:r>
      <w:r>
        <w:rPr>
          <w:rFonts w:eastAsia="黑体"/>
          <w:sz w:val="32"/>
          <w:szCs w:val="32"/>
        </w:rPr>
        <w:t>国有资本经营预算支出情况</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ascii="Times New Roman" w:hAnsi="Times New Roman" w:eastAsia="仿宋"/>
          <w:color w:val="auto"/>
          <w:sz w:val="32"/>
          <w:szCs w:val="32"/>
          <w:lang w:val="en-US" w:eastAsia="zh-CN"/>
        </w:rPr>
        <w:t>无。</w:t>
      </w:r>
    </w:p>
    <w:p>
      <w:pPr>
        <w:pStyle w:val="6"/>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eastAsia="黑体"/>
          <w:sz w:val="32"/>
          <w:szCs w:val="32"/>
          <w:lang w:val="en-US" w:eastAsia="zh-CN"/>
        </w:rPr>
        <w:t>五、</w:t>
      </w:r>
      <w:r>
        <w:rPr>
          <w:rFonts w:eastAsia="黑体"/>
          <w:sz w:val="32"/>
          <w:szCs w:val="32"/>
        </w:rPr>
        <w:t>社会保险基金预算支出情况</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无。</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202</w:t>
      </w:r>
      <w:r>
        <w:rPr>
          <w:rFonts w:hint="eastAsia" w:ascii="Times New Roman" w:hAnsi="Times New Roman" w:eastAsia="仿宋"/>
          <w:color w:val="000000" w:themeColor="text1"/>
          <w:sz w:val="32"/>
          <w:szCs w:val="32"/>
          <w:lang w:val="en-US" w:eastAsia="zh-CN"/>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年，各部门根据</w:t>
      </w:r>
      <w:r>
        <w:rPr>
          <w:rFonts w:hint="default" w:ascii="Times New Roman" w:hAnsi="Times New Roman" w:eastAsia="仿宋_GB2312" w:cs="Times New Roman"/>
          <w:sz w:val="32"/>
          <w:szCs w:val="32"/>
        </w:rPr>
        <w:t>市委市政府工作部署和省厅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守安全、防风险、保民生、促发展、强队伍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工作要求，咬定目标不放松，狠抓落实不懈怠，</w:t>
      </w:r>
      <w:r>
        <w:rPr>
          <w:rFonts w:hint="default" w:ascii="Times New Roman" w:hAnsi="Times New Roman" w:eastAsia="仿宋_GB2312" w:cs="Times New Roman"/>
          <w:sz w:val="32"/>
          <w:szCs w:val="32"/>
          <w:lang w:eastAsia="zh-CN"/>
        </w:rPr>
        <w:t>较好完成了各项目标任务</w:t>
      </w:r>
      <w:r>
        <w:rPr>
          <w:rFonts w:hint="default" w:ascii="Times New Roman" w:hAnsi="Times New Roman" w:eastAsia="仿宋_GB2312" w:cs="Times New Roman"/>
          <w:sz w:val="32"/>
          <w:szCs w:val="32"/>
        </w:rPr>
        <w:t>。</w:t>
      </w:r>
      <w:r>
        <w:rPr>
          <w:rFonts w:hint="eastAsia" w:ascii="Times New Roman" w:hAnsi="Times New Roman" w:eastAsia="仿宋"/>
          <w:color w:val="000000" w:themeColor="text1"/>
          <w:sz w:val="32"/>
          <w:szCs w:val="32"/>
          <w14:textFill>
            <w14:solidFill>
              <w14:schemeClr w14:val="tx1"/>
            </w14:solidFill>
          </w14:textFill>
        </w:rPr>
        <w:t>推进住房及城镇建设事业各项工作进展，取得了较好的成绩，为全市经济社会发展作出了积极贡献。根据《部门整体支出绩效评价指标》自评分</w:t>
      </w:r>
      <w:r>
        <w:rPr>
          <w:rFonts w:hint="eastAsia" w:ascii="Times New Roman" w:hAnsi="Times New Roman" w:eastAsia="仿宋"/>
          <w:color w:val="000000" w:themeColor="text1"/>
          <w:sz w:val="32"/>
          <w:szCs w:val="32"/>
          <w:lang w:val="en-US" w:eastAsia="zh-CN"/>
          <w14:textFill>
            <w14:solidFill>
              <w14:schemeClr w14:val="tx1"/>
            </w14:solidFill>
          </w14:textFill>
        </w:rPr>
        <w:t>100</w:t>
      </w:r>
      <w:r>
        <w:rPr>
          <w:rFonts w:hint="eastAsia" w:ascii="Times New Roman" w:hAnsi="Times New Roman" w:eastAsia="仿宋"/>
          <w:color w:val="000000" w:themeColor="text1"/>
          <w:sz w:val="32"/>
          <w:szCs w:val="32"/>
          <w14:textFill>
            <w14:solidFill>
              <w14:schemeClr w14:val="tx1"/>
            </w14:solidFill>
          </w14:textFill>
        </w:rPr>
        <w:t>分(详见附件3)。主要绩效如下:</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绩效目标完成情况:通过预算执行，保障局机关在职人员8</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 w:cs="Times New Roman"/>
          <w:color w:val="000000" w:themeColor="text1"/>
          <w:sz w:val="32"/>
          <w:szCs w:val="32"/>
          <w14:textFill>
            <w14:solidFill>
              <w14:schemeClr w14:val="tx1"/>
            </w14:solidFill>
          </w14:textFill>
        </w:rPr>
        <w:t>人、离退休人员149人正常办公、生活秩序。重点围绕全市城乡建设、工程建设、建筑业、市政设施建设、维护运营安全和应急管理开展各项工作，为衡阳市城市建设保驾护航。</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s="Times New Roman"/>
          <w:color w:val="000000" w:themeColor="text1"/>
          <w:sz w:val="32"/>
          <w:szCs w:val="32"/>
          <w14:textFill>
            <w14:solidFill>
              <w14:schemeClr w14:val="tx1"/>
            </w14:solidFill>
          </w14:textFill>
        </w:rPr>
        <w:t>产出情况:保障住建局局机关在职人员8</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 w:cs="Times New Roman"/>
          <w:color w:val="000000" w:themeColor="text1"/>
          <w:sz w:val="32"/>
          <w:szCs w:val="32"/>
          <w14:textFill>
            <w14:solidFill>
              <w14:schemeClr w14:val="tx1"/>
            </w14:solidFill>
          </w14:textFill>
        </w:rPr>
        <w:t>人、离退休人员 149 人正常办公、生活秩序。基本满足在职人员和离退休的</w:t>
      </w:r>
      <w:r>
        <w:rPr>
          <w:rFonts w:hint="eastAsia" w:ascii="Times New Roman" w:hAnsi="Times New Roman" w:eastAsia="仿宋" w:cs="Times New Roman"/>
          <w:color w:val="auto"/>
          <w:sz w:val="32"/>
          <w:szCs w:val="32"/>
        </w:rPr>
        <w:t>正常办公、生活要求。在202</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rPr>
        <w:t>年度完成各项资金支出进度要求，保障住建局各项工作顺利开展，工资薪金按时发放。总成本控制在</w:t>
      </w:r>
      <w:r>
        <w:rPr>
          <w:rFonts w:hint="eastAsia" w:ascii="Times New Roman" w:hAnsi="Times New Roman" w:eastAsia="仿宋" w:cs="Times New Roman"/>
          <w:color w:val="auto"/>
          <w:sz w:val="32"/>
          <w:szCs w:val="32"/>
          <w:lang w:val="en-US" w:eastAsia="zh-CN"/>
        </w:rPr>
        <w:t>9841.46</w:t>
      </w:r>
      <w:r>
        <w:rPr>
          <w:rFonts w:hint="eastAsia" w:ascii="Times New Roman" w:hAnsi="Times New Roman" w:eastAsia="仿宋" w:cs="Times New Roman"/>
          <w:color w:val="auto"/>
          <w:sz w:val="32"/>
          <w:szCs w:val="32"/>
        </w:rPr>
        <w:t>万元，其中工资福利支出</w:t>
      </w:r>
      <w:r>
        <w:rPr>
          <w:rFonts w:hint="eastAsia" w:ascii="Times New Roman" w:hAnsi="Times New Roman" w:eastAsia="仿宋" w:cs="Times New Roman"/>
          <w:color w:val="auto"/>
          <w:sz w:val="32"/>
          <w:szCs w:val="32"/>
          <w:lang w:val="en-US" w:eastAsia="zh-CN"/>
        </w:rPr>
        <w:t>1480.55</w:t>
      </w:r>
      <w:r>
        <w:rPr>
          <w:rFonts w:hint="eastAsia" w:ascii="Times New Roman" w:hAnsi="Times New Roman" w:eastAsia="仿宋" w:cs="Times New Roman"/>
          <w:color w:val="auto"/>
          <w:sz w:val="32"/>
          <w:szCs w:val="32"/>
        </w:rPr>
        <w:t>万元:商品和服务支出</w:t>
      </w:r>
      <w:r>
        <w:rPr>
          <w:rFonts w:hint="eastAsia" w:ascii="Times New Roman" w:hAnsi="Times New Roman" w:eastAsia="仿宋" w:cs="Times New Roman"/>
          <w:color w:val="auto"/>
          <w:sz w:val="32"/>
          <w:szCs w:val="32"/>
          <w:lang w:val="en-US" w:eastAsia="zh-CN"/>
        </w:rPr>
        <w:t>293.40</w:t>
      </w:r>
      <w:r>
        <w:rPr>
          <w:rFonts w:hint="eastAsia" w:ascii="Times New Roman" w:hAnsi="Times New Roman" w:eastAsia="仿宋" w:cs="Times New Roman"/>
          <w:color w:val="auto"/>
          <w:sz w:val="32"/>
          <w:szCs w:val="32"/>
        </w:rPr>
        <w:t>万元;对家庭和个人的补助</w:t>
      </w:r>
      <w:r>
        <w:rPr>
          <w:rFonts w:hint="eastAsia" w:ascii="Times New Roman" w:hAnsi="Times New Roman" w:eastAsia="仿宋" w:cs="Times New Roman"/>
          <w:color w:val="auto"/>
          <w:sz w:val="32"/>
          <w:szCs w:val="32"/>
          <w:lang w:val="en-US" w:eastAsia="zh-CN"/>
        </w:rPr>
        <w:t>610.80</w:t>
      </w:r>
      <w:r>
        <w:rPr>
          <w:rFonts w:hint="eastAsia" w:ascii="Times New Roman" w:hAnsi="Times New Roman" w:eastAsia="仿宋" w:cs="Times New Roman"/>
          <w:color w:val="auto"/>
          <w:sz w:val="32"/>
          <w:szCs w:val="32"/>
        </w:rPr>
        <w:t>万元:资本性支出</w:t>
      </w:r>
      <w:r>
        <w:rPr>
          <w:rFonts w:hint="eastAsia"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7453.71</w:t>
      </w:r>
      <w:r>
        <w:rPr>
          <w:rFonts w:hint="eastAsia" w:ascii="Times New Roman" w:hAnsi="Times New Roman" w:eastAsia="仿宋" w:cs="Times New Roman"/>
          <w:color w:val="auto"/>
          <w:sz w:val="32"/>
          <w:szCs w:val="32"/>
        </w:rPr>
        <w:t>万元。</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rPr>
        <w:t>效益情况:</w:t>
      </w:r>
    </w:p>
    <w:p>
      <w:pPr>
        <w:keepNext w:val="0"/>
        <w:keepLines w:val="0"/>
        <w:pageBreakBefore w:val="0"/>
        <w:widowControl/>
        <w:numPr>
          <w:ilvl w:val="0"/>
          <w:numId w:val="3"/>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rPr>
        <w:t>经济效益:</w:t>
      </w:r>
      <w:r>
        <w:rPr>
          <w:rFonts w:hint="eastAsia" w:ascii="Times New Roman" w:hAnsi="Times New Roman" w:eastAsia="仿宋"/>
          <w:color w:val="auto"/>
          <w:sz w:val="32"/>
          <w:szCs w:val="32"/>
          <w:lang w:val="en-US" w:eastAsia="zh-CN"/>
        </w:rPr>
        <w:t>持续“聚力中心化攻坚年”行动。2023年我市净增资质以上建筑业企业42家，全省排名第2；新增房地产开发企业20家，净增10家，全省排名第一。</w:t>
      </w:r>
    </w:p>
    <w:p>
      <w:pPr>
        <w:keepNext w:val="0"/>
        <w:keepLines w:val="0"/>
        <w:pageBreakBefore w:val="0"/>
        <w:widowControl/>
        <w:numPr>
          <w:ilvl w:val="0"/>
          <w:numId w:val="0"/>
        </w:numPr>
        <w:shd w:val="clear"/>
        <w:kinsoku/>
        <w:wordWrap/>
        <w:overflowPunct/>
        <w:topLinePunct w:val="0"/>
        <w:autoSpaceDE/>
        <w:autoSpaceDN/>
        <w:bidi w:val="0"/>
        <w:adjustRightInd/>
        <w:snapToGrid/>
        <w:spacing w:line="540" w:lineRule="exact"/>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 xml:space="preserve">    2、社会效益:通过项目实施，打通了奇峰路、前进路、红湘北路延伸等城市“断头路”，构建了城市大循环、城区小循环、片区微循环的路网格局。</w:t>
      </w:r>
    </w:p>
    <w:p>
      <w:pPr>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3、环境效益:通过项目实施，完成新建和改造排水管网156.03公里；全市开工建设的装配式建筑项目19个，共计63.81万平方米；全市147个乡镇中116个建制镇实现污水处理设施全覆盖。</w:t>
      </w:r>
    </w:p>
    <w:p>
      <w:pPr>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4、可持续影响:体现政策导向，发挥住建局专业优势带动住建局各项工作的可持续发展。</w:t>
      </w:r>
    </w:p>
    <w:p>
      <w:pPr>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5、服务对象满意度:通过项目实施，衡阳市人民对住建局实施的项目满意度达到90%以上。</w:t>
      </w:r>
    </w:p>
    <w:p>
      <w:pPr>
        <w:pStyle w:val="6"/>
        <w:keepNext w:val="0"/>
        <w:keepLines w:val="0"/>
        <w:pageBreakBefore w:val="0"/>
        <w:widowControl/>
        <w:shd w:val="clear"/>
        <w:kinsoku/>
        <w:wordWrap/>
        <w:overflowPunct/>
        <w:topLinePunct w:val="0"/>
        <w:autoSpaceDE/>
        <w:autoSpaceDN/>
        <w:bidi w:val="0"/>
        <w:adjustRightInd/>
        <w:snapToGrid/>
        <w:spacing w:line="540" w:lineRule="exact"/>
        <w:ind w:firstLine="640"/>
        <w:textAlignment w:val="auto"/>
        <w:rPr>
          <w:rFonts w:eastAsia="黑体"/>
          <w:color w:val="auto"/>
          <w:sz w:val="32"/>
          <w:szCs w:val="32"/>
        </w:rPr>
      </w:pPr>
      <w:r>
        <w:rPr>
          <w:rFonts w:eastAsia="黑体"/>
          <w:color w:val="auto"/>
          <w:sz w:val="32"/>
          <w:szCs w:val="32"/>
        </w:rPr>
        <w:t>七、存在的问题及原因分析</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eastAsia="仿宋"/>
          <w:color w:val="auto"/>
          <w:sz w:val="32"/>
          <w:szCs w:val="32"/>
        </w:rPr>
      </w:pPr>
      <w:r>
        <w:rPr>
          <w:rFonts w:hint="eastAsia" w:eastAsia="仿宋"/>
          <w:color w:val="auto"/>
          <w:sz w:val="32"/>
          <w:szCs w:val="32"/>
        </w:rPr>
        <w:t>基本支出财政经费保障水平偏低。</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hint="eastAsia" w:eastAsia="仿宋"/>
          <w:color w:val="auto"/>
          <w:sz w:val="32"/>
          <w:szCs w:val="32"/>
        </w:rPr>
      </w:pPr>
      <w:r>
        <w:rPr>
          <w:rFonts w:hint="eastAsia" w:eastAsia="仿宋"/>
          <w:color w:val="auto"/>
          <w:sz w:val="32"/>
          <w:szCs w:val="32"/>
        </w:rPr>
        <w:t>我局属财政零基预算单位，经费来源全部依靠财政全额拨款，</w:t>
      </w:r>
      <w:r>
        <w:rPr>
          <w:rFonts w:hint="eastAsia" w:eastAsia="仿宋"/>
          <w:color w:val="auto"/>
          <w:sz w:val="32"/>
          <w:szCs w:val="32"/>
          <w:lang w:val="en-US" w:eastAsia="zh-CN"/>
        </w:rPr>
        <w:t>从2023年</w:t>
      </w:r>
      <w:r>
        <w:rPr>
          <w:rFonts w:hint="eastAsia" w:eastAsia="仿宋"/>
          <w:color w:val="auto"/>
          <w:sz w:val="32"/>
          <w:szCs w:val="32"/>
        </w:rPr>
        <w:t>预算批复看，财政安排的基本支出只有</w:t>
      </w:r>
      <w:r>
        <w:rPr>
          <w:rFonts w:hint="eastAsia" w:ascii="仿宋" w:hAnsi="仿宋" w:eastAsia="仿宋" w:cs="仿宋"/>
          <w:color w:val="auto"/>
          <w:sz w:val="32"/>
          <w:szCs w:val="32"/>
          <w:lang w:val="en-US" w:eastAsia="zh-CN"/>
        </w:rPr>
        <w:t>2105.92</w:t>
      </w:r>
      <w:r>
        <w:rPr>
          <w:rFonts w:hint="eastAsia" w:eastAsia="仿宋"/>
          <w:color w:val="auto"/>
          <w:sz w:val="32"/>
          <w:szCs w:val="32"/>
        </w:rPr>
        <w:t>万，而202</w:t>
      </w:r>
      <w:r>
        <w:rPr>
          <w:rFonts w:hint="eastAsia" w:eastAsia="仿宋"/>
          <w:color w:val="auto"/>
          <w:sz w:val="32"/>
          <w:szCs w:val="32"/>
          <w:lang w:val="en-US" w:eastAsia="zh-CN"/>
        </w:rPr>
        <w:t>3</w:t>
      </w:r>
      <w:r>
        <w:rPr>
          <w:rFonts w:hint="eastAsia" w:eastAsia="仿宋"/>
          <w:color w:val="auto"/>
          <w:sz w:val="32"/>
          <w:szCs w:val="32"/>
        </w:rPr>
        <w:t>年实际发生了</w:t>
      </w:r>
      <w:r>
        <w:rPr>
          <w:rFonts w:hint="eastAsia" w:ascii="仿宋" w:hAnsi="仿宋" w:eastAsia="仿宋" w:cs="仿宋"/>
          <w:sz w:val="32"/>
          <w:szCs w:val="32"/>
          <w:lang w:val="en-US" w:eastAsia="zh-CN"/>
        </w:rPr>
        <w:t>2387.75</w:t>
      </w:r>
      <w:r>
        <w:rPr>
          <w:rFonts w:hint="eastAsia" w:eastAsia="仿宋"/>
          <w:color w:val="auto"/>
          <w:sz w:val="32"/>
          <w:szCs w:val="32"/>
        </w:rPr>
        <w:t>万元，往年财政从我局收取的城市基础设施配套费中安排一部分经费弥补我局工作经费不足，而2016</w:t>
      </w:r>
      <w:r>
        <w:rPr>
          <w:rFonts w:hint="eastAsia" w:eastAsia="仿宋"/>
          <w:color w:val="auto"/>
          <w:sz w:val="32"/>
          <w:szCs w:val="32"/>
          <w:lang w:val="en-US" w:eastAsia="zh-CN"/>
        </w:rPr>
        <w:t>-2023</w:t>
      </w:r>
      <w:r>
        <w:rPr>
          <w:rFonts w:hint="eastAsia" w:eastAsia="仿宋"/>
          <w:color w:val="auto"/>
          <w:sz w:val="32"/>
          <w:szCs w:val="32"/>
        </w:rPr>
        <w:t>年财政未予安排，以致于我局工作开展较为困难。</w:t>
      </w:r>
      <w:bookmarkStart w:id="0" w:name="_GoBack"/>
      <w:bookmarkEnd w:id="0"/>
    </w:p>
    <w:p>
      <w:pPr>
        <w:keepNext w:val="0"/>
        <w:keepLines w:val="0"/>
        <w:pageBreakBefore w:val="0"/>
        <w:widowControl/>
        <w:numPr>
          <w:ilvl w:val="0"/>
          <w:numId w:val="4"/>
        </w:numPr>
        <w:shd w:val="clea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i w:val="0"/>
          <w:iCs w:val="0"/>
          <w:color w:val="auto"/>
          <w:sz w:val="32"/>
          <w:szCs w:val="32"/>
          <w:lang w:eastAsia="zh-CN"/>
        </w:rPr>
      </w:pPr>
      <w:r>
        <w:rPr>
          <w:rFonts w:hint="eastAsia" w:ascii="楷体" w:hAnsi="楷体" w:eastAsia="楷体" w:cs="楷体"/>
          <w:b/>
          <w:bCs/>
          <w:i w:val="0"/>
          <w:iCs w:val="0"/>
          <w:color w:val="auto"/>
          <w:sz w:val="32"/>
          <w:szCs w:val="32"/>
          <w:lang w:eastAsia="zh-CN"/>
        </w:rPr>
        <w:t>（一）做好年度预算编审和执行工作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加强预算支出的审核，落实预算</w:t>
      </w:r>
      <w:r>
        <w:rPr>
          <w:rFonts w:hint="eastAsia" w:ascii="仿宋_GB2312" w:hAnsi="仿宋_GB2312" w:eastAsia="仿宋_GB2312" w:cs="仿宋_GB2312"/>
          <w:b w:val="0"/>
          <w:bCs w:val="0"/>
          <w:i w:val="0"/>
          <w:iCs w:val="0"/>
          <w:sz w:val="32"/>
          <w:szCs w:val="32"/>
          <w:lang w:val="en-US" w:eastAsia="zh-CN"/>
        </w:rPr>
        <w:t>执行分析，及时通报预算执行进度，促使业务部门合理安排工作，有效保障预算资金的透明度。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i w:val="0"/>
          <w:iCs w:val="0"/>
          <w:sz w:val="32"/>
          <w:szCs w:val="32"/>
          <w:lang w:eastAsia="zh-CN"/>
        </w:rPr>
      </w:pPr>
      <w:r>
        <w:rPr>
          <w:rFonts w:hint="eastAsia" w:ascii="楷体" w:hAnsi="楷体" w:eastAsia="楷体" w:cs="楷体"/>
          <w:b/>
          <w:bCs/>
          <w:i w:val="0"/>
          <w:iCs w:val="0"/>
          <w:sz w:val="32"/>
          <w:szCs w:val="32"/>
          <w:lang w:eastAsia="zh-CN"/>
        </w:rPr>
        <w:t>（二）加强财务管理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进一步建立、健全各项会计核算和内控制度，强化会计监督职能和审核责任;加强对财务人员的业务培训和继续教育工作，提高财会人员的整体执业水平。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i w:val="0"/>
          <w:iCs w:val="0"/>
          <w:sz w:val="32"/>
          <w:szCs w:val="32"/>
          <w:lang w:eastAsia="zh-CN"/>
        </w:rPr>
      </w:pPr>
      <w:r>
        <w:rPr>
          <w:rFonts w:hint="eastAsia" w:ascii="楷体" w:hAnsi="楷体" w:eastAsia="楷体" w:cs="楷体"/>
          <w:b/>
          <w:bCs/>
          <w:i w:val="0"/>
          <w:iCs w:val="0"/>
          <w:sz w:val="32"/>
          <w:szCs w:val="32"/>
          <w:lang w:eastAsia="zh-CN"/>
        </w:rPr>
        <w:t>（三）强化资产管理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1.及时核实资产。目前我局正在对资产进行统一盘点，对账实不符资产按照规定进行处理，对固定资产进行二维码管理，一码一资产。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2.制定固定资产管理制度。健全资产管理办法，让资产在预算编制、购买、管理、处置全流程都有章可循，有制度可依。</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auto"/>
          <w:kern w:val="0"/>
          <w:sz w:val="32"/>
          <w:szCs w:val="32"/>
        </w:rPr>
      </w:pPr>
      <w:r>
        <w:rPr>
          <w:rFonts w:ascii="Times New Roman" w:hAnsi="Times New Roman" w:eastAsia="黑体"/>
          <w:color w:val="auto"/>
          <w:sz w:val="32"/>
          <w:szCs w:val="32"/>
        </w:rPr>
        <w:t>九、其他需要说明的情况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3.部门整体支出绩效评价基础数据表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4.部门整体支出绩效自评表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5.项目支出绩效自评表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7.项目支出绩效自评汇总报告</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4A998"/>
    <w:multiLevelType w:val="singleLevel"/>
    <w:tmpl w:val="0344A998"/>
    <w:lvl w:ilvl="0" w:tentative="0">
      <w:start w:val="1"/>
      <w:numFmt w:val="chineseCounting"/>
      <w:suff w:val="nothing"/>
      <w:lvlText w:val="%1、"/>
      <w:lvlJc w:val="left"/>
      <w:rPr>
        <w:rFonts w:hint="eastAsia"/>
      </w:rPr>
    </w:lvl>
  </w:abstractNum>
  <w:abstractNum w:abstractNumId="1">
    <w:nsid w:val="1B78DBDF"/>
    <w:multiLevelType w:val="singleLevel"/>
    <w:tmpl w:val="1B78DBDF"/>
    <w:lvl w:ilvl="0" w:tentative="0">
      <w:start w:val="2"/>
      <w:numFmt w:val="chineseCounting"/>
      <w:suff w:val="nothing"/>
      <w:lvlText w:val="（%1）"/>
      <w:lvlJc w:val="left"/>
      <w:rPr>
        <w:rFonts w:hint="eastAsia"/>
      </w:rPr>
    </w:lvl>
  </w:abstractNum>
  <w:abstractNum w:abstractNumId="2">
    <w:nsid w:val="304B1009"/>
    <w:multiLevelType w:val="singleLevel"/>
    <w:tmpl w:val="304B1009"/>
    <w:lvl w:ilvl="0" w:tentative="0">
      <w:start w:val="8"/>
      <w:numFmt w:val="chineseCounting"/>
      <w:suff w:val="nothing"/>
      <w:lvlText w:val="%1、"/>
      <w:lvlJc w:val="left"/>
      <w:rPr>
        <w:rFonts w:hint="eastAsia"/>
      </w:rPr>
    </w:lvl>
  </w:abstractNum>
  <w:abstractNum w:abstractNumId="3">
    <w:nsid w:val="7EA0CE91"/>
    <w:multiLevelType w:val="singleLevel"/>
    <w:tmpl w:val="7EA0CE9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jZkYWJjN2Y2ZjQwMmE2Y2JkNjA0NWI4YjlkNWUifQ=="/>
  </w:docVars>
  <w:rsids>
    <w:rsidRoot w:val="570713E8"/>
    <w:rsid w:val="02FF1055"/>
    <w:rsid w:val="2A1D2A47"/>
    <w:rsid w:val="31C9692A"/>
    <w:rsid w:val="37271103"/>
    <w:rsid w:val="3C350056"/>
    <w:rsid w:val="3E6B3DA6"/>
    <w:rsid w:val="41EF2605"/>
    <w:rsid w:val="45937340"/>
    <w:rsid w:val="4965788C"/>
    <w:rsid w:val="4EDE1501"/>
    <w:rsid w:val="570713E8"/>
    <w:rsid w:val="59EF29C4"/>
    <w:rsid w:val="5A020223"/>
    <w:rsid w:val="5DF15CF0"/>
    <w:rsid w:val="5F077017"/>
    <w:rsid w:val="6F311580"/>
    <w:rsid w:val="7AC8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 w:type="paragraph" w:styleId="6">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2024-04-09T01:24:00Z</dcterms:created>
  <dc:creator></dc:creator>
  <cp:lastModifiedBy></cp:lastModifiedBy>
  <cp:lastPrinted>2024-04-16T03:15:55Z</cp:lastPrinted>
  <dcterms:modified xsi:type="dcterms:W3CDTF">2024-04-16T03:16:52Z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4FCBB2289E7F4EF6949190B81C1C858D_11</vt:lpwstr>
  </property>
</Properties>
</file>