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CFC87">
      <w:pPr>
        <w:jc w:val="center"/>
        <w:rPr>
          <w:rFonts w:ascii="Times New Roman" w:hAnsi="Times New Roman" w:eastAsia="方正小标宋简体"/>
          <w:sz w:val="48"/>
          <w:szCs w:val="48"/>
        </w:rPr>
      </w:pPr>
      <w:bookmarkStart w:id="0" w:name="_GoBack"/>
      <w:bookmarkEnd w:id="0"/>
    </w:p>
    <w:p w14:paraId="4EB2F076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092F0AE0">
      <w:pPr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3E7F549D">
      <w:pPr>
        <w:rPr>
          <w:rFonts w:ascii="Times New Roman" w:hAnsi="Times New Roman" w:eastAsia="方正小标宋简体"/>
          <w:sz w:val="48"/>
          <w:szCs w:val="48"/>
        </w:rPr>
      </w:pPr>
    </w:p>
    <w:p w14:paraId="5E751C64">
      <w:pPr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部门整体支出绩效自评报告</w:t>
      </w:r>
    </w:p>
    <w:p w14:paraId="6EAFDC2E"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（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p w14:paraId="29C928C2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7730E654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57F62525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AFF6480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140FB0F5">
      <w:pPr>
        <w:rPr>
          <w:rFonts w:ascii="Times New Roman" w:hAnsi="Times New Roman" w:eastAsia="黑体"/>
          <w:sz w:val="32"/>
          <w:szCs w:val="32"/>
        </w:rPr>
      </w:pPr>
    </w:p>
    <w:p w14:paraId="0A075583">
      <w:pPr>
        <w:jc w:val="center"/>
        <w:rPr>
          <w:rFonts w:ascii="Times New Roman" w:hAnsi="Times New Roman"/>
          <w:sz w:val="36"/>
          <w:szCs w:val="36"/>
        </w:rPr>
      </w:pPr>
    </w:p>
    <w:p w14:paraId="44818244">
      <w:pPr>
        <w:jc w:val="center"/>
        <w:rPr>
          <w:rFonts w:ascii="Times New Roman" w:hAnsi="Times New Roman"/>
          <w:sz w:val="36"/>
          <w:szCs w:val="36"/>
        </w:rPr>
      </w:pPr>
    </w:p>
    <w:p w14:paraId="2A592139">
      <w:pPr>
        <w:jc w:val="center"/>
        <w:rPr>
          <w:rFonts w:ascii="Times New Roman" w:hAnsi="Times New Roman"/>
          <w:sz w:val="36"/>
          <w:szCs w:val="36"/>
        </w:rPr>
      </w:pPr>
    </w:p>
    <w:p w14:paraId="4EB3E8C8">
      <w:pPr>
        <w:ind w:firstLine="1080" w:firstLineChars="300"/>
        <w:rPr>
          <w:rFonts w:hint="eastAsia"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hint="eastAsia" w:ascii="Times New Roman" w:hAnsi="Times New Roman"/>
          <w:sz w:val="36"/>
          <w:szCs w:val="36"/>
        </w:rPr>
        <w:t>：（盖章）衡阳市住房和城乡建设信息中心</w:t>
      </w:r>
    </w:p>
    <w:p w14:paraId="6D49729F">
      <w:pPr>
        <w:ind w:firstLine="1080" w:firstLineChars="300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14:paraId="61B33360">
      <w:pPr>
        <w:jc w:val="center"/>
        <w:rPr>
          <w:rFonts w:ascii="Times New Roman" w:hAnsi="Times New Roman" w:eastAsia="黑体"/>
          <w:sz w:val="36"/>
          <w:szCs w:val="36"/>
        </w:rPr>
      </w:pPr>
    </w:p>
    <w:p w14:paraId="2FF63F44"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sz w:val="32"/>
          <w:szCs w:val="32"/>
        </w:rPr>
        <w:t xml:space="preserve">年  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/>
          <w:sz w:val="32"/>
          <w:szCs w:val="32"/>
        </w:rPr>
        <w:t xml:space="preserve"> 月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黑体"/>
          <w:sz w:val="32"/>
          <w:szCs w:val="32"/>
        </w:rPr>
        <w:t xml:space="preserve"> 日</w:t>
      </w:r>
    </w:p>
    <w:p w14:paraId="2A7642B3">
      <w:pPr>
        <w:jc w:val="center"/>
        <w:rPr>
          <w:rFonts w:ascii="Times New Roman" w:hAnsi="Times New Roman" w:eastAsia="黑体"/>
          <w:sz w:val="32"/>
          <w:szCs w:val="32"/>
        </w:rPr>
      </w:pPr>
    </w:p>
    <w:p w14:paraId="2DDF4A83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 w14:paraId="48F4A805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B3BC7F4"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部门整体支出绩效自评报告</w:t>
      </w:r>
    </w:p>
    <w:p w14:paraId="653944B4">
      <w:pPr>
        <w:spacing w:line="600" w:lineRule="exact"/>
        <w:rPr>
          <w:rFonts w:ascii="Times New Roman" w:hAnsi="Times New Roman" w:eastAsia="楷体_GB2312"/>
          <w:sz w:val="32"/>
          <w:szCs w:val="32"/>
        </w:rPr>
      </w:pPr>
    </w:p>
    <w:p w14:paraId="2053F249">
      <w:pPr>
        <w:rPr>
          <w:rFonts w:ascii="Times New Roman" w:hAnsi="Times New Roman" w:eastAsia="方正小标宋_GBK"/>
          <w:sz w:val="32"/>
          <w:szCs w:val="32"/>
        </w:rPr>
      </w:pPr>
    </w:p>
    <w:p w14:paraId="6ED24273">
      <w:pPr>
        <w:pStyle w:val="19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部门、单位基本情况</w:t>
      </w:r>
    </w:p>
    <w:p w14:paraId="2381215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住房和城乡建设局信息中心</w:t>
      </w:r>
      <w:r>
        <w:rPr>
          <w:rFonts w:hint="eastAsia" w:ascii="仿宋" w:hAnsi="仿宋" w:eastAsia="仿宋" w:cs="仿宋"/>
          <w:sz w:val="32"/>
          <w:szCs w:val="32"/>
        </w:rPr>
        <w:t>隶属市住房和城乡建设局为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自收自支</w:t>
      </w:r>
      <w:r>
        <w:rPr>
          <w:rFonts w:hint="eastAsia" w:ascii="仿宋" w:hAnsi="仿宋" w:eastAsia="仿宋" w:cs="仿宋"/>
          <w:sz w:val="32"/>
          <w:szCs w:val="32"/>
        </w:rPr>
        <w:t>事业单位，主要负责拟订市住房和城乡建设信息化工作中长期规划和年度计划，并组织实施；负责局机关网站、业务管理系统、办公自动化系统、全市城镇个人住房信息系统、市住房和城乡建设基础数据资源中心的建设、维护和管理；负责全市房产市场分析、预警预报、政策研究的信息和技术服务工作。</w:t>
      </w:r>
    </w:p>
    <w:p w14:paraId="3AEF047B">
      <w:pPr>
        <w:autoSpaceDE w:val="0"/>
        <w:autoSpaceDN w:val="0"/>
        <w:adjustRightInd w:val="0"/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2．机构情况，202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年末本单位设综合科、技术科、信息科。</w:t>
      </w:r>
    </w:p>
    <w:p w14:paraId="05DCC72C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14:paraId="1DA815AC">
      <w:pPr>
        <w:pStyle w:val="19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/>
          <w:b/>
          <w:sz w:val="32"/>
          <w:szCs w:val="32"/>
        </w:rPr>
        <w:t>（一）支出情况</w:t>
      </w:r>
    </w:p>
    <w:p w14:paraId="7B888F12">
      <w:pPr>
        <w:pStyle w:val="9"/>
        <w:spacing w:before="0" w:beforeAutospacing="0" w:after="0" w:afterAutospacing="0" w:line="675" w:lineRule="atLeast"/>
        <w:ind w:firstLine="320" w:firstLineChars="100"/>
        <w:rPr>
          <w:rFonts w:ascii="Helvetica" w:hAnsi="Helvetica" w:cs="Helvetica"/>
          <w:color w:val="000000"/>
          <w:sz w:val="32"/>
          <w:szCs w:val="32"/>
          <w:highlight w:val="none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</w:t>
      </w:r>
      <w:r>
        <w:rPr>
          <w:rFonts w:hint="eastAsia" w:ascii="Helvetica" w:hAnsi="Helvetica" w:cs="Helvetica"/>
          <w:color w:val="000000"/>
          <w:sz w:val="32"/>
          <w:szCs w:val="32"/>
        </w:rPr>
        <w:t>1-12月份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239.61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 xml:space="preserve">万元，占本年支出合计的 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64.85</w:t>
      </w:r>
      <w:r>
        <w:rPr>
          <w:rFonts w:hint="eastAsia" w:ascii="Helvetica" w:hAnsi="Helvetica" w:cs="Helvetica"/>
          <w:color w:val="000000"/>
          <w:sz w:val="32"/>
          <w:szCs w:val="32"/>
        </w:rPr>
        <w:t>%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年项目支出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127.86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万元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占本年支出合计35.15%，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基本支出预算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327.86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万元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项目支出预算127.86万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</w:rPr>
        <w:t>。</w:t>
      </w:r>
    </w:p>
    <w:p w14:paraId="0544DDA7">
      <w:pPr>
        <w:pStyle w:val="9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（二）财政拨款支出决算结构情况</w:t>
      </w:r>
    </w:p>
    <w:p w14:paraId="6F0D7B32">
      <w:pPr>
        <w:pStyle w:val="9"/>
        <w:spacing w:before="0" w:beforeAutospacing="0" w:after="0" w:afterAutospacing="0" w:line="675" w:lineRule="atLeast"/>
        <w:ind w:firstLine="640" w:firstLineChars="200"/>
        <w:rPr>
          <w:rFonts w:hint="default" w:ascii="Helvetica" w:hAnsi="Helvetica" w:eastAsia="宋体" w:cs="Helvetica"/>
          <w:color w:val="000000"/>
          <w:sz w:val="32"/>
          <w:szCs w:val="32"/>
          <w:lang w:val="en-US" w:eastAsia="zh-CN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369.47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万元，主要用于以下方面：</w:t>
      </w:r>
      <w:r>
        <w:rPr>
          <w:rFonts w:hint="eastAsia" w:ascii="Helvetica" w:hAnsi="Helvetica" w:cs="Helvetica"/>
          <w:color w:val="000000"/>
          <w:sz w:val="32"/>
          <w:szCs w:val="32"/>
        </w:rPr>
        <w:t>基本支出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239.61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万元，占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64.85</w:t>
      </w:r>
      <w:r>
        <w:rPr>
          <w:rFonts w:hint="eastAsia" w:ascii="Helvetica" w:hAnsi="Helvetica" w:cs="Helvetica"/>
          <w:color w:val="000000"/>
          <w:sz w:val="32"/>
          <w:szCs w:val="32"/>
        </w:rPr>
        <w:t>%</w:t>
      </w:r>
      <w:r>
        <w:rPr>
          <w:rFonts w:hint="eastAsia" w:ascii="Helvetica" w:hAnsi="Helvetica" w:cs="Helvetica"/>
          <w:color w:val="000000"/>
          <w:sz w:val="32"/>
          <w:szCs w:val="32"/>
          <w:lang w:eastAsia="zh-CN"/>
        </w:rPr>
        <w:t>，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Helvetica" w:hAnsi="Helvetica" w:cs="Helvetica"/>
          <w:color w:val="000000"/>
          <w:sz w:val="32"/>
          <w:szCs w:val="32"/>
        </w:rPr>
        <w:t>支出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127.86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万元，占35.15%。</w:t>
      </w:r>
    </w:p>
    <w:p w14:paraId="772B8709">
      <w:pPr>
        <w:pStyle w:val="9"/>
        <w:spacing w:before="0" w:beforeAutospacing="0" w:after="0" w:afterAutospacing="0" w:line="675" w:lineRule="atLeast"/>
        <w:ind w:firstLine="640" w:firstLineChars="200"/>
        <w:rPr>
          <w:rFonts w:ascii="Helvetica" w:hAnsi="Helvetica" w:eastAsia="Helvetica" w:cs="Helvetica"/>
          <w:b/>
          <w:bCs/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b/>
          <w:bCs/>
          <w:color w:val="000000"/>
          <w:sz w:val="32"/>
          <w:szCs w:val="32"/>
        </w:rPr>
        <w:t>（三）财政拨款支出决算具体情况</w:t>
      </w:r>
    </w:p>
    <w:p w14:paraId="269ACFFB">
      <w:pPr>
        <w:pStyle w:val="9"/>
        <w:spacing w:before="0" w:beforeAutospacing="0" w:after="0" w:afterAutospacing="0" w:line="675" w:lineRule="atLeast"/>
        <w:ind w:firstLine="640" w:firstLineChars="200"/>
        <w:rPr>
          <w:color w:val="000000"/>
          <w:sz w:val="32"/>
          <w:szCs w:val="32"/>
        </w:rPr>
      </w:pPr>
      <w:r>
        <w:rPr>
          <w:rFonts w:hint="eastAsia" w:ascii="Helvetica" w:hAnsi="Helvetica" w:eastAsia="Helvetica" w:cs="Helvetica"/>
          <w:color w:val="000000"/>
          <w:sz w:val="32"/>
          <w:szCs w:val="32"/>
        </w:rPr>
        <w:t>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hint="eastAsia" w:ascii="Helvetica" w:hAnsi="Helvetica" w:cs="Helvetica"/>
          <w:color w:val="000000"/>
          <w:sz w:val="32"/>
          <w:szCs w:val="32"/>
        </w:rPr>
        <w:t>年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年度财政拨款</w:t>
      </w:r>
      <w:r>
        <w:rPr>
          <w:rFonts w:hint="eastAsia" w:ascii="Helvetica" w:hAnsi="Helvetica" w:cs="Helvetica"/>
          <w:color w:val="000000"/>
          <w:sz w:val="32"/>
          <w:szCs w:val="32"/>
        </w:rPr>
        <w:t>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 xml:space="preserve">支出年初预算数为 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369.47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127.86</w:t>
      </w:r>
      <w:r>
        <w:rPr>
          <w:rFonts w:hint="eastAsia" w:ascii="Helvetica" w:hAnsi="Helvetica" w:cs="Helvetica"/>
          <w:color w:val="000000"/>
          <w:sz w:val="32"/>
          <w:szCs w:val="32"/>
        </w:rPr>
        <w:t>万元。1-12月份基本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支出为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239.61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万元，完成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全年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预算的</w:t>
      </w:r>
      <w:r>
        <w:rPr>
          <w:rFonts w:hint="eastAsia" w:ascii="Helvetica" w:hAnsi="Helvetica" w:cs="Helvetica"/>
          <w:color w:val="000000"/>
          <w:sz w:val="32"/>
          <w:szCs w:val="32"/>
        </w:rPr>
        <w:t>100</w:t>
      </w:r>
      <w:r>
        <w:rPr>
          <w:rFonts w:hint="eastAsia"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项目支出为</w:t>
      </w:r>
      <w:r>
        <w:rPr>
          <w:rFonts w:hint="eastAsia" w:ascii="Helvetica" w:hAnsi="Helvetica" w:cs="Helvetica"/>
          <w:color w:val="000000"/>
          <w:sz w:val="32"/>
          <w:szCs w:val="32"/>
          <w:highlight w:val="none"/>
          <w:lang w:val="en-US" w:eastAsia="zh-CN"/>
        </w:rPr>
        <w:t>127.86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，完成全年预算的100%</w:t>
      </w:r>
      <w:r>
        <w:rPr>
          <w:rFonts w:hint="eastAsia" w:ascii="Helvetica" w:hAnsi="Helvetica" w:cs="Helvetica"/>
          <w:color w:val="000000"/>
          <w:sz w:val="32"/>
          <w:szCs w:val="32"/>
        </w:rPr>
        <w:t>。</w:t>
      </w:r>
    </w:p>
    <w:p w14:paraId="5B1E1333">
      <w:pPr>
        <w:widowControl/>
        <w:jc w:val="left"/>
        <w:rPr>
          <w:rFonts w:ascii="Helvetica" w:hAnsi="Helvetica" w:eastAsia="Helvetica" w:cs="Helvetica"/>
          <w:color w:val="000000"/>
          <w:szCs w:val="21"/>
        </w:rPr>
      </w:pPr>
    </w:p>
    <w:p w14:paraId="73427DC7">
      <w:pPr>
        <w:widowControl/>
        <w:jc w:val="left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eastAsia="Helvetica" w:cs="Helvetica"/>
          <w:color w:val="000000"/>
          <w:sz w:val="24"/>
          <w:szCs w:val="24"/>
        </w:rPr>
        <w:t>     </w:t>
      </w:r>
      <w:r>
        <w:rPr>
          <w:rFonts w:ascii="Helvetica" w:hAnsi="Helvetica" w:eastAsia="Helvetica" w:cs="Helvetica"/>
          <w:color w:val="000000"/>
          <w:sz w:val="32"/>
          <w:szCs w:val="32"/>
        </w:rPr>
        <w:t> 202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</w:t>
      </w:r>
      <w:r>
        <w:rPr>
          <w:rFonts w:ascii="Helvetica" w:hAnsi="Helvetica" w:eastAsia="Helvetica" w:cs="Helvetica"/>
          <w:color w:val="000000"/>
          <w:sz w:val="32"/>
          <w:szCs w:val="32"/>
        </w:rPr>
        <w:t>年度财政拨款支出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369.47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万元，其中：</w:t>
      </w:r>
      <w:r>
        <w:rPr>
          <w:rFonts w:hint="eastAsia" w:ascii="Helvetica" w:hAnsi="Helvetica" w:cs="Helvetica"/>
          <w:color w:val="000000"/>
          <w:sz w:val="32"/>
          <w:szCs w:val="32"/>
        </w:rPr>
        <w:t>工资福利支出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215.55</w:t>
      </w:r>
      <w:r>
        <w:rPr>
          <w:rFonts w:ascii="Helvetica" w:hAnsi="Helvetica" w:eastAsia="Helvetica" w:cs="Helvetica"/>
          <w:color w:val="000000"/>
          <w:sz w:val="32"/>
          <w:szCs w:val="32"/>
        </w:rPr>
        <w:t>万元，占支出的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58.34</w:t>
      </w:r>
      <w:r>
        <w:rPr>
          <w:rFonts w:ascii="Helvetica" w:hAnsi="Helvetica" w:eastAsia="Helvetica" w:cs="Helvetica"/>
          <w:color w:val="000000"/>
          <w:sz w:val="32"/>
          <w:szCs w:val="32"/>
        </w:rPr>
        <w:t>%，</w:t>
      </w:r>
      <w:r>
        <w:rPr>
          <w:rFonts w:hint="eastAsia" w:ascii="Helvetica" w:hAnsi="Helvetica" w:cs="Helvetica"/>
          <w:color w:val="000000"/>
          <w:sz w:val="32"/>
          <w:szCs w:val="32"/>
        </w:rPr>
        <w:t>商品和服务支出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143.16</w:t>
      </w:r>
      <w:r>
        <w:rPr>
          <w:rFonts w:hint="eastAsia" w:ascii="Helvetica" w:hAnsi="Helvetica" w:cs="Helvetica"/>
          <w:color w:val="000000"/>
          <w:sz w:val="32"/>
          <w:szCs w:val="32"/>
        </w:rPr>
        <w:t>万元占支出的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38.75</w:t>
      </w:r>
      <w:r>
        <w:rPr>
          <w:rFonts w:hint="eastAsia" w:ascii="Helvetica" w:hAnsi="Helvetica" w:cs="Helvetica"/>
          <w:color w:val="000000"/>
          <w:sz w:val="32"/>
          <w:szCs w:val="32"/>
        </w:rPr>
        <w:t>%，对个人和家庭补助支出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3.5</w:t>
      </w:r>
      <w:r>
        <w:rPr>
          <w:rFonts w:hint="eastAsia" w:ascii="Helvetica" w:hAnsi="Helvetica" w:cs="Helvetica"/>
          <w:color w:val="000000"/>
          <w:sz w:val="32"/>
          <w:szCs w:val="32"/>
        </w:rPr>
        <w:t>万元，占支出的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0.95</w:t>
      </w:r>
      <w:r>
        <w:rPr>
          <w:rFonts w:hint="eastAsia" w:ascii="Helvetica" w:hAnsi="Helvetica" w:cs="Helvetica"/>
          <w:color w:val="000000"/>
          <w:sz w:val="32"/>
          <w:szCs w:val="32"/>
        </w:rPr>
        <w:t>%。资本性支出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7.2</w:t>
      </w:r>
      <w:r>
        <w:rPr>
          <w:rFonts w:hint="eastAsia" w:ascii="Helvetica" w:hAnsi="Helvetica" w:cs="Helvetica"/>
          <w:color w:val="000000"/>
          <w:sz w:val="32"/>
          <w:szCs w:val="32"/>
        </w:rPr>
        <w:t>万元占支出的</w:t>
      </w:r>
      <w:r>
        <w:rPr>
          <w:rFonts w:hint="eastAsia" w:ascii="Helvetica" w:hAnsi="Helvetica" w:cs="Helvetica"/>
          <w:color w:val="000000"/>
          <w:sz w:val="32"/>
          <w:szCs w:val="32"/>
          <w:lang w:val="en-US" w:eastAsia="zh-CN"/>
        </w:rPr>
        <w:t>1.96</w:t>
      </w:r>
      <w:r>
        <w:rPr>
          <w:rFonts w:hint="eastAsia" w:ascii="Helvetica" w:hAnsi="Helvetica" w:cs="Helvetica"/>
          <w:color w:val="000000"/>
          <w:sz w:val="32"/>
          <w:szCs w:val="32"/>
        </w:rPr>
        <w:t>%。</w:t>
      </w:r>
    </w:p>
    <w:p w14:paraId="1E8CABE1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  <w:r>
        <w:rPr>
          <w:rFonts w:hint="eastAsia" w:eastAsia="黑体"/>
          <w:sz w:val="32"/>
          <w:szCs w:val="32"/>
        </w:rPr>
        <w:t>（无）</w:t>
      </w:r>
    </w:p>
    <w:p w14:paraId="2BC9511B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四、国有资本经营预算支出情况</w:t>
      </w:r>
      <w:r>
        <w:rPr>
          <w:rFonts w:hint="eastAsia" w:eastAsia="黑体"/>
          <w:sz w:val="32"/>
          <w:szCs w:val="32"/>
        </w:rPr>
        <w:t>(无)</w:t>
      </w:r>
    </w:p>
    <w:p w14:paraId="5948FAA4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五、社会保险基金预算支出情况</w:t>
      </w:r>
      <w:r>
        <w:rPr>
          <w:rFonts w:hint="eastAsia" w:eastAsia="黑体"/>
          <w:sz w:val="32"/>
          <w:szCs w:val="32"/>
        </w:rPr>
        <w:t>（无）</w:t>
      </w:r>
    </w:p>
    <w:p w14:paraId="48DB3F75">
      <w:pPr>
        <w:widowControl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 w14:paraId="2DB570EC">
      <w:pPr>
        <w:pStyle w:val="2"/>
        <w:numPr>
          <w:ilvl w:val="0"/>
          <w:numId w:val="0"/>
        </w:numPr>
        <w:ind w:firstLine="620" w:firstLineChars="200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根据工作需要，信息中心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年推进了三维数字城市、办公OA升级项目建设，合作研发了“智慧工地”监管平台，本年度信息化建设项目总投资为198.3万元。具体项目建设情况如下：</w:t>
      </w:r>
    </w:p>
    <w:p w14:paraId="07A542C9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1、办公OA升级已全面完成。实现了省、市、县三级公文系统的互联互通，完成信创环境的适配工作，目前已投入运行。</w:t>
      </w:r>
    </w:p>
    <w:p w14:paraId="4862B922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2、住建电子证照系统已完成了部署。通过电子证照系统与不同业务系统对接的方式，以成本最低的方式实现衡阳住建部门各类信息系统管理的证照、证明的电子化，现正在进行系统数据对接工作，计划年底前签发第一批电子证照。</w:t>
      </w:r>
    </w:p>
    <w:p w14:paraId="7261E103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3、三维数字城市建设项目已全面启动。作为省厅智慧住建试点，局领导高度重视，我中心严格按照项目建设程序，完成了发改立项、专家方案论证、财政评审、项目招标工作，计划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年上半年全面完成项目建设。</w:t>
      </w:r>
    </w:p>
    <w:p w14:paraId="29934F25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（二）现有信息系统稳定运行。通过一年多的试运行，衡阳市房地产综合管理平台已完成验收，正式投入使用，系统实现了房屋测绘、房屋面积管理、预售资金监管、商品房预售许可、现售备案、房屋网签备案等业务的线上办理。</w:t>
      </w:r>
    </w:p>
    <w:p w14:paraId="0157F8B8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（三）定期发布《衡阳市房地产市场形势分析报告》。我中心加强了房地产市场分析工作，为我市房地产调控工作提供了可靠的数据支持和技术手段。同时根据住建部和省住建厅的要求，做好了衡阳地区房地产市场信息的汇总和日报、月报工作。</w:t>
      </w:r>
    </w:p>
    <w:p w14:paraId="1D6CBA0D">
      <w:pPr>
        <w:pStyle w:val="2"/>
        <w:numPr>
          <w:ilvl w:val="0"/>
          <w:numId w:val="0"/>
        </w:numP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color="auto" w:fill="FFFFFF"/>
          <w:lang w:val="en-US" w:eastAsia="zh-CN" w:bidi="ar-SA"/>
        </w:rPr>
        <w:t>（四）网络安全工作有成效。网络安全关系着“智慧住建”系统的运行稳定和数据库安全，我中心高度重视网络安全，在现有条件下尽力完善网络安全措施。</w:t>
      </w:r>
    </w:p>
    <w:p w14:paraId="29F0FD9F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七、存在的问题及原因分析</w:t>
      </w:r>
    </w:p>
    <w:p w14:paraId="75E3318A">
      <w:pPr>
        <w:pStyle w:val="19"/>
        <w:widowControl/>
        <w:ind w:firstLine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目前所存在的问题：预算的各项目经费严重不足。</w:t>
      </w:r>
    </w:p>
    <w:p w14:paraId="0CC52199">
      <w:pPr>
        <w:widowControl/>
        <w:numPr>
          <w:ilvl w:val="0"/>
          <w:numId w:val="2"/>
        </w:num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下一步改进措施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p w14:paraId="0C897154">
      <w:pPr>
        <w:widowControl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九、其他需要说明的情况</w:t>
      </w:r>
      <w:r>
        <w:rPr>
          <w:rFonts w:hint="eastAsia" w:ascii="Times New Roman" w:hAnsi="Times New Roman" w:eastAsia="黑体"/>
          <w:sz w:val="32"/>
          <w:szCs w:val="32"/>
        </w:rPr>
        <w:t>（无）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5F253">
    <w:pPr>
      <w:pStyle w:val="7"/>
      <w:framePr w:wrap="around" w:vAnchor="text" w:hAnchor="margin" w:xAlign="outside" w:y="1"/>
      <w:rPr>
        <w:rStyle w:val="12"/>
        <w:rFonts w:ascii="Times New Roman" w:hAnsi="Times New Roman"/>
        <w:sz w:val="28"/>
        <w:szCs w:val="28"/>
      </w:rPr>
    </w:pP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- 7 -</w:t>
    </w:r>
    <w:r>
      <w:rPr>
        <w:rStyle w:val="12"/>
        <w:rFonts w:ascii="Times New Roman" w:hAnsi="Times New Roman"/>
        <w:sz w:val="28"/>
        <w:szCs w:val="28"/>
      </w:rPr>
      <w:fldChar w:fldCharType="end"/>
    </w:r>
  </w:p>
  <w:p w14:paraId="6317DC81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C7E0"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2D914689"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3810"/>
    <w:multiLevelType w:val="singleLevel"/>
    <w:tmpl w:val="9541381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03DEF"/>
    <w:multiLevelType w:val="singleLevel"/>
    <w:tmpl w:val="3EB03D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WM4ZjAwYzYwOTczYTdkNjYwMDNiZDQ1MWM2MTYifQ=="/>
  </w:docVars>
  <w:rsids>
    <w:rsidRoot w:val="00C553EF"/>
    <w:rsid w:val="00012C93"/>
    <w:rsid w:val="000734E3"/>
    <w:rsid w:val="000773D5"/>
    <w:rsid w:val="00080625"/>
    <w:rsid w:val="00093B9D"/>
    <w:rsid w:val="00094646"/>
    <w:rsid w:val="000A561A"/>
    <w:rsid w:val="000D4A56"/>
    <w:rsid w:val="000D5E7F"/>
    <w:rsid w:val="000E2B59"/>
    <w:rsid w:val="000F775C"/>
    <w:rsid w:val="00135131"/>
    <w:rsid w:val="00135395"/>
    <w:rsid w:val="0013700F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4100"/>
    <w:rsid w:val="002A03D6"/>
    <w:rsid w:val="002D01D7"/>
    <w:rsid w:val="002F05A3"/>
    <w:rsid w:val="003056F3"/>
    <w:rsid w:val="003126FC"/>
    <w:rsid w:val="00323CF3"/>
    <w:rsid w:val="0032533F"/>
    <w:rsid w:val="0036719D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43B4"/>
    <w:rsid w:val="00575C40"/>
    <w:rsid w:val="00581EEE"/>
    <w:rsid w:val="005851E9"/>
    <w:rsid w:val="00591495"/>
    <w:rsid w:val="00594AEE"/>
    <w:rsid w:val="005D3049"/>
    <w:rsid w:val="006264B7"/>
    <w:rsid w:val="006964D9"/>
    <w:rsid w:val="006F37DA"/>
    <w:rsid w:val="007123D7"/>
    <w:rsid w:val="00713B58"/>
    <w:rsid w:val="00751BF0"/>
    <w:rsid w:val="00764972"/>
    <w:rsid w:val="00771B0E"/>
    <w:rsid w:val="00794C19"/>
    <w:rsid w:val="007A6F2C"/>
    <w:rsid w:val="007B3731"/>
    <w:rsid w:val="007C3C5A"/>
    <w:rsid w:val="007C3F2D"/>
    <w:rsid w:val="007E2D1B"/>
    <w:rsid w:val="007E3E71"/>
    <w:rsid w:val="008241E1"/>
    <w:rsid w:val="008429A7"/>
    <w:rsid w:val="00847A3C"/>
    <w:rsid w:val="00893AEC"/>
    <w:rsid w:val="008C1A1B"/>
    <w:rsid w:val="00915B37"/>
    <w:rsid w:val="00935689"/>
    <w:rsid w:val="00940D4A"/>
    <w:rsid w:val="00970BB5"/>
    <w:rsid w:val="00971DB4"/>
    <w:rsid w:val="0097394E"/>
    <w:rsid w:val="00995EF0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4955"/>
    <w:rsid w:val="00C23636"/>
    <w:rsid w:val="00C553EF"/>
    <w:rsid w:val="00C641BD"/>
    <w:rsid w:val="00C91F4C"/>
    <w:rsid w:val="00C9428C"/>
    <w:rsid w:val="00CB76C0"/>
    <w:rsid w:val="00CC6012"/>
    <w:rsid w:val="00CD032C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096D"/>
    <w:rsid w:val="00E01819"/>
    <w:rsid w:val="00E039BF"/>
    <w:rsid w:val="00E323CD"/>
    <w:rsid w:val="00E50CF2"/>
    <w:rsid w:val="00E8571A"/>
    <w:rsid w:val="00E94B12"/>
    <w:rsid w:val="00EE1946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1170C55"/>
    <w:rsid w:val="028D58A7"/>
    <w:rsid w:val="03043E77"/>
    <w:rsid w:val="07A116BA"/>
    <w:rsid w:val="09FF4474"/>
    <w:rsid w:val="0C292492"/>
    <w:rsid w:val="0F262ACD"/>
    <w:rsid w:val="13EC7D20"/>
    <w:rsid w:val="14DA0D1E"/>
    <w:rsid w:val="15DA6FC6"/>
    <w:rsid w:val="166F2EBE"/>
    <w:rsid w:val="18934E7A"/>
    <w:rsid w:val="1C193BC1"/>
    <w:rsid w:val="1DB90C80"/>
    <w:rsid w:val="217D46AD"/>
    <w:rsid w:val="27AF3FDF"/>
    <w:rsid w:val="2CA61530"/>
    <w:rsid w:val="2E660FDE"/>
    <w:rsid w:val="2F9E2800"/>
    <w:rsid w:val="30C916BD"/>
    <w:rsid w:val="31221B4D"/>
    <w:rsid w:val="31556AAC"/>
    <w:rsid w:val="3390674C"/>
    <w:rsid w:val="371D6FD1"/>
    <w:rsid w:val="388D493A"/>
    <w:rsid w:val="398B5761"/>
    <w:rsid w:val="3A9A3BB2"/>
    <w:rsid w:val="3BE01C93"/>
    <w:rsid w:val="3C667DC0"/>
    <w:rsid w:val="3CE867A4"/>
    <w:rsid w:val="3F33282F"/>
    <w:rsid w:val="3F52287D"/>
    <w:rsid w:val="416B7C26"/>
    <w:rsid w:val="41C61B6B"/>
    <w:rsid w:val="4278084D"/>
    <w:rsid w:val="43495316"/>
    <w:rsid w:val="44A75419"/>
    <w:rsid w:val="46164E3B"/>
    <w:rsid w:val="46234347"/>
    <w:rsid w:val="4C067692"/>
    <w:rsid w:val="538C128A"/>
    <w:rsid w:val="561346BC"/>
    <w:rsid w:val="568A3CC6"/>
    <w:rsid w:val="5C2F64BB"/>
    <w:rsid w:val="5D861D35"/>
    <w:rsid w:val="609A4BD3"/>
    <w:rsid w:val="60F6607C"/>
    <w:rsid w:val="62D53F01"/>
    <w:rsid w:val="62F62474"/>
    <w:rsid w:val="640815D9"/>
    <w:rsid w:val="66B91727"/>
    <w:rsid w:val="68867BDE"/>
    <w:rsid w:val="6AF80B9B"/>
    <w:rsid w:val="6BAD2A66"/>
    <w:rsid w:val="6CDE3E9F"/>
    <w:rsid w:val="6F00699E"/>
    <w:rsid w:val="71125845"/>
    <w:rsid w:val="773A3B3B"/>
    <w:rsid w:val="77A24B7F"/>
    <w:rsid w:val="78660559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600" w:lineRule="exact"/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styleId="3">
    <w:name w:val="Body Text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正文首行缩进1"/>
    <w:basedOn w:val="1"/>
    <w:qFormat/>
    <w:uiPriority w:val="0"/>
    <w:pPr>
      <w:spacing w:after="120"/>
      <w:ind w:firstLine="420" w:firstLineChars="100"/>
    </w:pPr>
    <w:rPr>
      <w:szCs w:val="22"/>
    </w:rPr>
  </w:style>
  <w:style w:type="paragraph" w:styleId="5">
    <w:name w:val="annotation text"/>
    <w:basedOn w:val="1"/>
    <w:link w:val="14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6">
    <w:name w:val="Balloon Text"/>
    <w:basedOn w:val="1"/>
    <w:link w:val="15"/>
    <w:qFormat/>
    <w:uiPriority w:val="99"/>
    <w:rPr>
      <w:rFonts w:ascii="Times New Roman" w:hAnsi="Times New Roman"/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annotation reference"/>
    <w:basedOn w:val="11"/>
    <w:autoRedefine/>
    <w:qFormat/>
    <w:uiPriority w:val="99"/>
    <w:rPr>
      <w:rFonts w:cs="Times New Roman"/>
      <w:sz w:val="21"/>
      <w:szCs w:val="21"/>
    </w:rPr>
  </w:style>
  <w:style w:type="character" w:customStyle="1" w:styleId="14">
    <w:name w:val="批注文字 Char"/>
    <w:basedOn w:val="11"/>
    <w:link w:val="5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批注框文本 Char"/>
    <w:basedOn w:val="11"/>
    <w:link w:val="6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7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眉 Char"/>
    <w:basedOn w:val="11"/>
    <w:link w:val="8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0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1295</Words>
  <Characters>1456</Characters>
  <Lines>29</Lines>
  <Paragraphs>8</Paragraphs>
  <TotalTime>6</TotalTime>
  <ScaleCrop>false</ScaleCrop>
  <LinksUpToDate>false</LinksUpToDate>
  <CharactersWithSpaces>1468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Administrator</cp:lastModifiedBy>
  <cp:lastPrinted>2024-04-09T09:18:00Z</cp:lastPrinted>
  <dcterms:modified xsi:type="dcterms:W3CDTF">2024-09-27T07:45:11Z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6288B799B8D344369162DC5D77E233D1_13</vt:lpwstr>
  </property>
</Properties>
</file>