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80FAF">
      <w:pPr>
        <w:spacing w:afterLines="100"/>
        <w:rPr>
          <w:rFonts w:hint="eastAsia" w:ascii="Times New Roman" w:hAnsi="Times New Roman" w:eastAsia="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2</w:t>
      </w:r>
    </w:p>
    <w:p w14:paraId="4BF26F0A">
      <w:pPr>
        <w:spacing w:afterLines="100"/>
        <w:rPr>
          <w:rFonts w:ascii="Times New Roman" w:hAnsi="Times New Roman" w:eastAsia="仿宋_GB2312"/>
          <w:kern w:val="0"/>
          <w:sz w:val="32"/>
          <w:szCs w:val="32"/>
        </w:rPr>
      </w:pPr>
    </w:p>
    <w:p w14:paraId="5BEBB961">
      <w:pPr>
        <w:spacing w:afterLines="100"/>
        <w:rPr>
          <w:rFonts w:ascii="Times New Roman" w:hAnsi="Times New Roman" w:eastAsia="仿宋_GB2312"/>
          <w:kern w:val="0"/>
          <w:sz w:val="32"/>
          <w:szCs w:val="32"/>
        </w:rPr>
      </w:pPr>
    </w:p>
    <w:p w14:paraId="7CA5E1AE">
      <w:pPr>
        <w:rPr>
          <w:rFonts w:ascii="Times New Roman" w:hAnsi="Times New Roman" w:eastAsia="方正小标宋简体"/>
          <w:sz w:val="48"/>
          <w:szCs w:val="48"/>
        </w:rPr>
      </w:pPr>
    </w:p>
    <w:p w14:paraId="223003DA">
      <w:pPr>
        <w:rPr>
          <w:rFonts w:ascii="Times New Roman" w:hAnsi="Times New Roman" w:eastAsia="方正小标宋简体"/>
          <w:sz w:val="48"/>
          <w:szCs w:val="48"/>
        </w:rPr>
      </w:pPr>
    </w:p>
    <w:p w14:paraId="64DCAF79">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w:t>
      </w:r>
      <w:bookmarkStart w:id="0" w:name="_GoBack"/>
      <w:bookmarkEnd w:id="0"/>
      <w:r>
        <w:rPr>
          <w:rFonts w:ascii="Times New Roman" w:hAnsi="Times New Roman" w:eastAsia="方正小标宋简体"/>
          <w:sz w:val="48"/>
          <w:szCs w:val="48"/>
        </w:rPr>
        <w:t>报告</w:t>
      </w:r>
    </w:p>
    <w:p w14:paraId="71E7197D">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w:t>
      </w:r>
      <w:r>
        <w:rPr>
          <w:rFonts w:hint="eastAsia" w:ascii="Times New Roman" w:hAnsi="Times New Roman" w:eastAsia="方正小标宋简体"/>
          <w:sz w:val="36"/>
          <w:szCs w:val="36"/>
          <w:lang w:val="en-US" w:eastAsia="zh-CN"/>
        </w:rPr>
        <w:t>3</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p>
    <w:p w14:paraId="634E593E">
      <w:pPr>
        <w:jc w:val="center"/>
        <w:rPr>
          <w:rFonts w:ascii="Times New Roman" w:hAnsi="Times New Roman" w:eastAsia="黑体"/>
          <w:sz w:val="32"/>
          <w:szCs w:val="32"/>
        </w:rPr>
      </w:pPr>
    </w:p>
    <w:p w14:paraId="69637E49">
      <w:pPr>
        <w:jc w:val="center"/>
        <w:rPr>
          <w:rFonts w:ascii="Times New Roman" w:hAnsi="Times New Roman" w:eastAsia="黑体"/>
          <w:sz w:val="32"/>
          <w:szCs w:val="32"/>
        </w:rPr>
      </w:pPr>
    </w:p>
    <w:p w14:paraId="2E7080DA">
      <w:pPr>
        <w:jc w:val="center"/>
        <w:rPr>
          <w:rFonts w:ascii="Times New Roman" w:hAnsi="Times New Roman" w:eastAsia="黑体"/>
          <w:sz w:val="32"/>
          <w:szCs w:val="32"/>
        </w:rPr>
      </w:pPr>
    </w:p>
    <w:p w14:paraId="0C3267E7">
      <w:pPr>
        <w:jc w:val="center"/>
        <w:rPr>
          <w:rFonts w:ascii="Times New Roman" w:hAnsi="Times New Roman" w:eastAsia="黑体"/>
          <w:sz w:val="32"/>
          <w:szCs w:val="32"/>
        </w:rPr>
      </w:pPr>
    </w:p>
    <w:p w14:paraId="40E67A88">
      <w:pPr>
        <w:rPr>
          <w:rFonts w:ascii="Times New Roman" w:hAnsi="Times New Roman" w:eastAsia="黑体"/>
          <w:sz w:val="32"/>
          <w:szCs w:val="32"/>
        </w:rPr>
      </w:pPr>
    </w:p>
    <w:p w14:paraId="543431DE">
      <w:pPr>
        <w:jc w:val="center"/>
        <w:rPr>
          <w:rFonts w:ascii="Times New Roman" w:hAnsi="Times New Roman"/>
          <w:sz w:val="36"/>
          <w:szCs w:val="36"/>
        </w:rPr>
      </w:pPr>
    </w:p>
    <w:p w14:paraId="31FEB47D">
      <w:pPr>
        <w:jc w:val="center"/>
        <w:rPr>
          <w:rFonts w:ascii="Times New Roman" w:hAnsi="Times New Roman"/>
          <w:sz w:val="36"/>
          <w:szCs w:val="36"/>
        </w:rPr>
      </w:pPr>
    </w:p>
    <w:p w14:paraId="33F299B4">
      <w:pPr>
        <w:jc w:val="center"/>
        <w:rPr>
          <w:rFonts w:ascii="Times New Roman" w:hAnsi="Times New Roman"/>
          <w:sz w:val="36"/>
          <w:szCs w:val="36"/>
        </w:rPr>
      </w:pPr>
    </w:p>
    <w:p w14:paraId="2CE82F82">
      <w:pPr>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rPr>
        <w:t>：</w:t>
      </w:r>
      <w:r>
        <w:rPr>
          <w:rFonts w:hint="eastAsia" w:ascii="Times New Roman" w:hAnsi="Times New Roman"/>
          <w:sz w:val="36"/>
          <w:szCs w:val="36"/>
          <w:lang w:eastAsia="zh-CN"/>
        </w:rPr>
        <w:t>衡阳市公路建设养护中心</w:t>
      </w:r>
    </w:p>
    <w:p w14:paraId="75A14449">
      <w:pPr>
        <w:spacing w:line="600" w:lineRule="exact"/>
        <w:jc w:val="both"/>
        <w:rPr>
          <w:rFonts w:ascii="Times New Roman" w:hAnsi="Times New Roman" w:eastAsia="方正小标宋简体"/>
          <w:sz w:val="44"/>
          <w:szCs w:val="44"/>
        </w:rPr>
      </w:pPr>
    </w:p>
    <w:p w14:paraId="60A8E838">
      <w:pPr>
        <w:spacing w:line="600" w:lineRule="exact"/>
        <w:jc w:val="both"/>
        <w:rPr>
          <w:rFonts w:ascii="Times New Roman" w:hAnsi="Times New Roman" w:eastAsia="方正小标宋简体"/>
          <w:sz w:val="44"/>
          <w:szCs w:val="44"/>
        </w:rPr>
      </w:pPr>
    </w:p>
    <w:p w14:paraId="05F177B1">
      <w:pPr>
        <w:spacing w:line="600" w:lineRule="exact"/>
        <w:jc w:val="both"/>
        <w:rPr>
          <w:rFonts w:ascii="Times New Roman" w:hAnsi="Times New Roman" w:eastAsia="方正小标宋简体"/>
          <w:sz w:val="44"/>
          <w:szCs w:val="44"/>
        </w:rPr>
      </w:pPr>
    </w:p>
    <w:p w14:paraId="5B33012E">
      <w:pPr>
        <w:spacing w:line="600" w:lineRule="exact"/>
        <w:jc w:val="both"/>
        <w:rPr>
          <w:rFonts w:ascii="Times New Roman" w:hAnsi="Times New Roman" w:eastAsia="方正小标宋简体"/>
          <w:sz w:val="44"/>
          <w:szCs w:val="44"/>
        </w:rPr>
      </w:pPr>
    </w:p>
    <w:p w14:paraId="3E28ADE1">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部门整体支出绩效自评报告</w:t>
      </w:r>
    </w:p>
    <w:p w14:paraId="7104488F">
      <w:pPr>
        <w:rPr>
          <w:rFonts w:ascii="Times New Roman" w:hAnsi="Times New Roman" w:eastAsia="方正小标宋_GBK"/>
          <w:sz w:val="32"/>
          <w:szCs w:val="32"/>
        </w:rPr>
      </w:pPr>
    </w:p>
    <w:p w14:paraId="6BB2ABD1">
      <w:pPr>
        <w:pStyle w:val="4"/>
        <w:widowControl/>
        <w:spacing w:line="600" w:lineRule="exact"/>
        <w:rPr>
          <w:rFonts w:ascii="Times New Roman" w:hAnsi="Times New Roman" w:eastAsia="方正小标宋_GBK"/>
          <w:sz w:val="32"/>
          <w:szCs w:val="32"/>
        </w:rPr>
      </w:pPr>
      <w:r>
        <w:rPr>
          <w:rFonts w:eastAsia="仿宋_GB2312"/>
          <w:color w:val="000000"/>
          <w:sz w:val="32"/>
          <w:szCs w:val="32"/>
        </w:rPr>
        <w:t>根据《</w:t>
      </w:r>
      <w:r>
        <w:rPr>
          <w:rFonts w:hint="eastAsia" w:eastAsia="仿宋_GB2312"/>
          <w:color w:val="000000"/>
          <w:sz w:val="32"/>
          <w:szCs w:val="32"/>
        </w:rPr>
        <w:t>衡阳市财政局关于开展202</w:t>
      </w:r>
      <w:r>
        <w:rPr>
          <w:rFonts w:hint="eastAsia" w:eastAsia="仿宋_GB2312"/>
          <w:color w:val="000000"/>
          <w:sz w:val="32"/>
          <w:szCs w:val="32"/>
          <w:lang w:val="en-US" w:eastAsia="zh-CN"/>
        </w:rPr>
        <w:t>3</w:t>
      </w:r>
      <w:r>
        <w:rPr>
          <w:rFonts w:hint="eastAsia" w:eastAsia="仿宋_GB2312"/>
          <w:color w:val="000000"/>
          <w:sz w:val="32"/>
          <w:szCs w:val="32"/>
        </w:rPr>
        <w:t>年度预算支出绩效自评工作的通知</w:t>
      </w:r>
      <w:r>
        <w:rPr>
          <w:rFonts w:eastAsia="仿宋_GB2312"/>
          <w:color w:val="000000"/>
          <w:sz w:val="32"/>
          <w:szCs w:val="32"/>
        </w:rPr>
        <w:t>》文件精神，</w:t>
      </w:r>
      <w:r>
        <w:rPr>
          <w:rFonts w:hint="eastAsia" w:eastAsia="仿宋_GB2312"/>
          <w:color w:val="000000"/>
          <w:sz w:val="32"/>
          <w:szCs w:val="32"/>
        </w:rPr>
        <w:t>衡阳市公路建设养护中心</w:t>
      </w:r>
      <w:r>
        <w:rPr>
          <w:rFonts w:eastAsia="仿宋_GB2312"/>
          <w:color w:val="000000"/>
          <w:sz w:val="32"/>
          <w:szCs w:val="32"/>
        </w:rPr>
        <w:t>对</w:t>
      </w:r>
      <w:r>
        <w:rPr>
          <w:rFonts w:hint="eastAsia" w:eastAsia="仿宋_GB2312"/>
          <w:color w:val="000000"/>
          <w:sz w:val="32"/>
          <w:szCs w:val="32"/>
        </w:rPr>
        <w:t>202</w:t>
      </w:r>
      <w:r>
        <w:rPr>
          <w:rFonts w:hint="eastAsia" w:eastAsia="仿宋_GB2312"/>
          <w:color w:val="000000"/>
          <w:sz w:val="32"/>
          <w:szCs w:val="32"/>
          <w:lang w:val="en-US" w:eastAsia="zh-CN"/>
        </w:rPr>
        <w:t>3</w:t>
      </w:r>
      <w:r>
        <w:rPr>
          <w:rFonts w:eastAsia="仿宋_GB2312"/>
          <w:color w:val="000000"/>
          <w:sz w:val="32"/>
          <w:szCs w:val="32"/>
        </w:rPr>
        <w:t>年度部门整体支出绩效进行了全面综合评价。现将有关情况报告如下：</w:t>
      </w:r>
    </w:p>
    <w:p w14:paraId="1F90DE13">
      <w:pPr>
        <w:pStyle w:val="4"/>
        <w:widowControl/>
        <w:numPr>
          <w:ilvl w:val="0"/>
          <w:numId w:val="0"/>
        </w:numPr>
        <w:ind w:firstLine="640" w:firstLineChars="200"/>
        <w:rPr>
          <w:rFonts w:hint="eastAsia" w:eastAsia="仿宋_GB2312"/>
          <w:sz w:val="32"/>
          <w:szCs w:val="32"/>
        </w:rPr>
      </w:pPr>
      <w:r>
        <w:rPr>
          <w:rFonts w:hint="eastAsia" w:ascii="Times New Roman" w:hAnsi="Times New Roman" w:eastAsia="仿宋_GB2312" w:cs="Times New Roman"/>
          <w:kern w:val="2"/>
          <w:sz w:val="32"/>
          <w:szCs w:val="32"/>
          <w:lang w:val="en-US" w:eastAsia="zh-CN" w:bidi="ar-SA"/>
        </w:rPr>
        <w:t>一、</w:t>
      </w:r>
      <w:r>
        <w:rPr>
          <w:rFonts w:eastAsia="黑体"/>
          <w:sz w:val="32"/>
          <w:szCs w:val="32"/>
        </w:rPr>
        <w:t>部门、单位基本情况</w:t>
      </w:r>
    </w:p>
    <w:p w14:paraId="6E91FA3D">
      <w:pPr>
        <w:pStyle w:val="4"/>
        <w:widowControl/>
        <w:numPr>
          <w:ilvl w:val="0"/>
          <w:numId w:val="0"/>
        </w:numPr>
        <w:ind w:firstLine="640" w:firstLineChars="200"/>
        <w:rPr>
          <w:rFonts w:hint="eastAsia" w:eastAsia="仿宋_GB2312"/>
          <w:sz w:val="32"/>
          <w:szCs w:val="32"/>
        </w:rPr>
      </w:pPr>
      <w:r>
        <w:rPr>
          <w:rFonts w:hint="eastAsia" w:eastAsia="仿宋_GB2312"/>
          <w:sz w:val="32"/>
          <w:szCs w:val="32"/>
        </w:rPr>
        <w:t>（一）部门职能概述</w:t>
      </w:r>
    </w:p>
    <w:p w14:paraId="489A41CD">
      <w:pPr>
        <w:widowControl/>
        <w:spacing w:line="600" w:lineRule="exact"/>
        <w:ind w:firstLine="640" w:firstLineChars="200"/>
        <w:jc w:val="left"/>
        <w:rPr>
          <w:rFonts w:hint="eastAsia" w:eastAsia="仿宋_GB2312"/>
          <w:sz w:val="32"/>
          <w:szCs w:val="32"/>
        </w:rPr>
      </w:pPr>
      <w:r>
        <w:rPr>
          <w:rFonts w:hint="eastAsia" w:eastAsia="仿宋_GB2312"/>
          <w:sz w:val="32"/>
          <w:szCs w:val="32"/>
        </w:rPr>
        <w:t>市公路建设养护中心为正处级公益一类事业单位，主要负责国省干线公路和农村公路建设、养护、管理工作。主要工作任务：</w:t>
      </w:r>
    </w:p>
    <w:p w14:paraId="1B4F3B41">
      <w:pPr>
        <w:widowControl/>
        <w:spacing w:line="600" w:lineRule="exact"/>
        <w:ind w:firstLine="640" w:firstLineChars="200"/>
        <w:jc w:val="left"/>
        <w:rPr>
          <w:rFonts w:hint="eastAsia" w:eastAsia="仿宋_GB2312"/>
          <w:sz w:val="32"/>
          <w:szCs w:val="32"/>
        </w:rPr>
      </w:pPr>
      <w:r>
        <w:rPr>
          <w:rFonts w:hint="eastAsia" w:eastAsia="仿宋_GB2312"/>
          <w:sz w:val="32"/>
          <w:szCs w:val="32"/>
        </w:rPr>
        <w:t>1、贯彻执行国家和省、市关于公路建设、养护、管理工作的方针、政策、法律、法规和技术规范，参与有关政策规章的制定和调整工作。</w:t>
      </w:r>
    </w:p>
    <w:p w14:paraId="62996658">
      <w:pPr>
        <w:widowControl/>
        <w:spacing w:line="600" w:lineRule="exact"/>
        <w:ind w:firstLine="640" w:firstLineChars="200"/>
        <w:jc w:val="left"/>
        <w:rPr>
          <w:rFonts w:hint="eastAsia" w:eastAsia="仿宋_GB2312"/>
          <w:sz w:val="32"/>
          <w:szCs w:val="32"/>
        </w:rPr>
      </w:pPr>
      <w:r>
        <w:rPr>
          <w:rFonts w:hint="eastAsia" w:eastAsia="仿宋_GB2312"/>
          <w:sz w:val="32"/>
          <w:szCs w:val="32"/>
        </w:rPr>
        <w:t>2、按照交通部门拟定的整体规划，负责组织拟订全市国省干线公路和农村公路发展规划和年度计划，并对实施情况进行监督检查和考核评估；负责组织实施全市国省干线公路建设，担负项目业主工作；负责编制全市国省干线公路和农村公路大中修工程计划并担负业主工作；负责全市国省干线公路和农村公路日常养护监督、检查与考核；负责全市国省干线公路和农村公路危桥加固与改造、安全保障工程的监督检查、技术指导和考核；负责城区国省干线公路和农村公路养护、危桥改造和安全保障工程建设和管理。</w:t>
      </w:r>
    </w:p>
    <w:p w14:paraId="3AF27604">
      <w:pPr>
        <w:widowControl/>
        <w:spacing w:line="600" w:lineRule="exact"/>
        <w:ind w:firstLine="640" w:firstLineChars="200"/>
        <w:jc w:val="left"/>
        <w:rPr>
          <w:rFonts w:hint="eastAsia" w:eastAsia="仿宋_GB2312"/>
          <w:sz w:val="32"/>
          <w:szCs w:val="32"/>
        </w:rPr>
      </w:pPr>
      <w:r>
        <w:rPr>
          <w:rFonts w:hint="eastAsia" w:eastAsia="仿宋_GB2312"/>
          <w:sz w:val="32"/>
          <w:szCs w:val="32"/>
        </w:rPr>
        <w:t>3、负责公路建设、养护、管理新技术、新设备、新工艺、新材料的开发、推广、应用工作。</w:t>
      </w:r>
    </w:p>
    <w:p w14:paraId="5A13FC58">
      <w:pPr>
        <w:widowControl/>
        <w:spacing w:line="600" w:lineRule="exact"/>
        <w:ind w:firstLine="640" w:firstLineChars="200"/>
        <w:jc w:val="left"/>
        <w:rPr>
          <w:rFonts w:hint="eastAsia" w:eastAsia="仿宋_GB2312"/>
          <w:sz w:val="32"/>
          <w:szCs w:val="32"/>
        </w:rPr>
      </w:pPr>
      <w:r>
        <w:rPr>
          <w:rFonts w:hint="eastAsia" w:eastAsia="仿宋_GB2312"/>
          <w:sz w:val="32"/>
          <w:szCs w:val="32"/>
        </w:rPr>
        <w:t>4、负责全市国省干线公路和农村公路两旁绿化业务指导工作。</w:t>
      </w:r>
    </w:p>
    <w:p w14:paraId="453BDDCF">
      <w:pPr>
        <w:widowControl/>
        <w:spacing w:line="600" w:lineRule="exact"/>
        <w:ind w:firstLine="640" w:firstLineChars="200"/>
        <w:jc w:val="left"/>
        <w:rPr>
          <w:rFonts w:hint="eastAsia" w:eastAsia="仿宋_GB2312"/>
          <w:sz w:val="32"/>
          <w:szCs w:val="32"/>
        </w:rPr>
      </w:pPr>
      <w:r>
        <w:rPr>
          <w:rFonts w:hint="eastAsia" w:eastAsia="仿宋_GB2312"/>
          <w:sz w:val="32"/>
          <w:szCs w:val="32"/>
        </w:rPr>
        <w:t>5、负责全市农村公路新（改）建工程的立项、报批、报验和招投标管理；组织全市农村公路新（改）建工程的勘测、设计方案审定、工程试验检测和（交）竣工验收。</w:t>
      </w:r>
    </w:p>
    <w:p w14:paraId="6090E642">
      <w:pPr>
        <w:widowControl/>
        <w:spacing w:line="600" w:lineRule="exact"/>
        <w:ind w:firstLine="640" w:firstLineChars="200"/>
        <w:jc w:val="left"/>
        <w:rPr>
          <w:rFonts w:hint="eastAsia" w:eastAsia="仿宋_GB2312"/>
          <w:sz w:val="32"/>
          <w:szCs w:val="32"/>
        </w:rPr>
      </w:pPr>
      <w:r>
        <w:rPr>
          <w:rFonts w:hint="eastAsia" w:eastAsia="仿宋_GB2312"/>
          <w:sz w:val="32"/>
          <w:szCs w:val="32"/>
        </w:rPr>
        <w:t>7、负责全市公路管理业务培训和信息统计工作。</w:t>
      </w:r>
    </w:p>
    <w:p w14:paraId="5E5361CA">
      <w:pPr>
        <w:widowControl/>
        <w:spacing w:line="600" w:lineRule="exact"/>
        <w:ind w:firstLine="640" w:firstLineChars="200"/>
        <w:jc w:val="left"/>
        <w:rPr>
          <w:rFonts w:hint="eastAsia" w:eastAsia="仿宋_GB2312"/>
          <w:sz w:val="32"/>
          <w:szCs w:val="32"/>
        </w:rPr>
      </w:pPr>
      <w:r>
        <w:rPr>
          <w:rFonts w:hint="eastAsia" w:eastAsia="仿宋_GB2312"/>
          <w:sz w:val="32"/>
          <w:szCs w:val="32"/>
        </w:rPr>
        <w:t>8、负责开展安全生产教育培训、应急救援和演练工作，落实好安全例会及特护期安全生产工作部署。</w:t>
      </w:r>
    </w:p>
    <w:p w14:paraId="6517975C">
      <w:pPr>
        <w:widowControl/>
        <w:spacing w:line="600" w:lineRule="exact"/>
        <w:ind w:firstLine="640" w:firstLineChars="200"/>
        <w:jc w:val="left"/>
        <w:rPr>
          <w:rFonts w:hint="eastAsia" w:eastAsia="仿宋_GB2312"/>
          <w:sz w:val="32"/>
          <w:szCs w:val="32"/>
        </w:rPr>
      </w:pPr>
      <w:r>
        <w:rPr>
          <w:rFonts w:hint="eastAsia" w:eastAsia="仿宋_GB2312"/>
          <w:sz w:val="32"/>
          <w:szCs w:val="32"/>
        </w:rPr>
        <w:t>（二）部门组织机构及人员情况</w:t>
      </w:r>
    </w:p>
    <w:p w14:paraId="0309ED67">
      <w:pPr>
        <w:widowControl/>
        <w:spacing w:line="600" w:lineRule="exact"/>
        <w:ind w:firstLine="640" w:firstLineChars="200"/>
        <w:jc w:val="left"/>
        <w:rPr>
          <w:rFonts w:hint="eastAsia" w:eastAsia="仿宋_GB2312"/>
          <w:sz w:val="32"/>
          <w:szCs w:val="32"/>
        </w:rPr>
      </w:pPr>
      <w:r>
        <w:rPr>
          <w:rFonts w:hint="eastAsia" w:eastAsia="仿宋_GB2312"/>
          <w:sz w:val="32"/>
          <w:szCs w:val="32"/>
        </w:rPr>
        <w:t>机关设16个职能科室，定编86人</w:t>
      </w:r>
      <w:r>
        <w:rPr>
          <w:rFonts w:hint="eastAsia" w:eastAsia="仿宋_GB2312"/>
          <w:sz w:val="32"/>
          <w:szCs w:val="32"/>
          <w:lang w:eastAsia="zh-CN"/>
        </w:rPr>
        <w:t>，截至</w:t>
      </w:r>
      <w:r>
        <w:rPr>
          <w:rFonts w:hint="eastAsia" w:eastAsia="仿宋_GB2312"/>
          <w:sz w:val="32"/>
          <w:szCs w:val="32"/>
          <w:lang w:val="en-US" w:eastAsia="zh-CN"/>
        </w:rPr>
        <w:t>2023年底</w:t>
      </w:r>
      <w:r>
        <w:rPr>
          <w:rFonts w:hint="eastAsia" w:eastAsia="仿宋_GB2312"/>
          <w:sz w:val="32"/>
          <w:szCs w:val="32"/>
        </w:rPr>
        <w:t>有在职干部职工71人。直属单位6个，其中石鼓、蒸湘、雁峰、珠晖四个分中心为正科级全额拨款事业单位。另衡阳市公路桥梁建设中心和衡阳市公路工程试验检测中心为财政定额拨款事业单位。</w:t>
      </w:r>
    </w:p>
    <w:p w14:paraId="084BB310">
      <w:pPr>
        <w:widowControl/>
        <w:spacing w:line="600" w:lineRule="exact"/>
        <w:ind w:firstLine="640" w:firstLineChars="200"/>
        <w:jc w:val="left"/>
        <w:rPr>
          <w:rFonts w:hint="eastAsia" w:eastAsia="仿宋_GB2312"/>
          <w:sz w:val="32"/>
          <w:szCs w:val="32"/>
        </w:rPr>
      </w:pPr>
      <w:r>
        <w:rPr>
          <w:rFonts w:hint="eastAsia" w:eastAsia="仿宋_GB2312"/>
          <w:sz w:val="32"/>
          <w:szCs w:val="32"/>
        </w:rPr>
        <w:t>（三）202</w:t>
      </w:r>
      <w:r>
        <w:rPr>
          <w:rFonts w:hint="eastAsia" w:eastAsia="仿宋_GB2312"/>
          <w:sz w:val="32"/>
          <w:szCs w:val="32"/>
          <w:lang w:val="en-US" w:eastAsia="zh-CN"/>
        </w:rPr>
        <w:t>3</w:t>
      </w:r>
      <w:r>
        <w:rPr>
          <w:rFonts w:hint="eastAsia" w:eastAsia="仿宋_GB2312"/>
          <w:sz w:val="32"/>
          <w:szCs w:val="32"/>
        </w:rPr>
        <w:t>年重点工作成效</w:t>
      </w:r>
    </w:p>
    <w:p w14:paraId="4F8D809D">
      <w:pPr>
        <w:widowControl/>
        <w:spacing w:line="600" w:lineRule="exact"/>
        <w:ind w:firstLine="640" w:firstLineChars="200"/>
        <w:jc w:val="left"/>
        <w:rPr>
          <w:rFonts w:hint="default" w:eastAsia="黑体"/>
          <w:sz w:val="32"/>
          <w:szCs w:val="32"/>
          <w:lang w:val="en-US" w:eastAsia="zh-CN"/>
        </w:rPr>
      </w:pPr>
      <w:r>
        <w:rPr>
          <w:rFonts w:hint="eastAsia" w:eastAsia="仿宋_GB2312"/>
          <w:sz w:val="32"/>
          <w:szCs w:val="32"/>
        </w:rPr>
        <w:t>202</w:t>
      </w:r>
      <w:r>
        <w:rPr>
          <w:rFonts w:hint="eastAsia" w:eastAsia="仿宋_GB2312"/>
          <w:sz w:val="32"/>
          <w:szCs w:val="32"/>
          <w:lang w:val="en-US" w:eastAsia="zh-CN"/>
        </w:rPr>
        <w:t>3</w:t>
      </w:r>
      <w:r>
        <w:rPr>
          <w:rFonts w:hint="eastAsia" w:eastAsia="仿宋_GB2312"/>
          <w:sz w:val="32"/>
          <w:szCs w:val="32"/>
        </w:rPr>
        <w:t>年，在市委、市政府的正确领导下，全市公路系统上下认真贯彻习近平总书记关于“四好农村路”重要指示精神，衡阳市的普通公路路网结构不断优化，公路养护水平不断提高，路况质量不断改善，服务意识不断增强，科技投入不断加大，应急能力不断提升，路容路貌发生巨大变化，构建畅、安、舒、美的和谐公路取得了显着成效，行业文明建设结出了累累硕果。党建和文明创建不断深化，基层党建全面加强，对口帮扶工作做实落细，文明创建成果丰硕。</w:t>
      </w:r>
    </w:p>
    <w:p w14:paraId="2FBC244F">
      <w:pPr>
        <w:pStyle w:val="4"/>
        <w:widowControl/>
        <w:ind w:firstLine="640"/>
        <w:rPr>
          <w:rFonts w:eastAsia="黑体"/>
          <w:sz w:val="32"/>
          <w:szCs w:val="32"/>
        </w:rPr>
      </w:pPr>
      <w:r>
        <w:rPr>
          <w:rFonts w:eastAsia="黑体"/>
          <w:sz w:val="32"/>
          <w:szCs w:val="32"/>
        </w:rPr>
        <w:t>二、一般公共预算支出情况</w:t>
      </w:r>
    </w:p>
    <w:p w14:paraId="64B3F6DD">
      <w:pPr>
        <w:pStyle w:val="4"/>
        <w:widowControl/>
        <w:ind w:firstLine="643"/>
        <w:rPr>
          <w:rFonts w:eastAsia="楷体"/>
          <w:b/>
          <w:sz w:val="32"/>
          <w:szCs w:val="32"/>
        </w:rPr>
      </w:pPr>
      <w:r>
        <w:rPr>
          <w:rFonts w:eastAsia="楷体"/>
          <w:b/>
          <w:sz w:val="32"/>
          <w:szCs w:val="32"/>
        </w:rPr>
        <w:t>（一）基本支出情况</w:t>
      </w:r>
    </w:p>
    <w:p w14:paraId="0AC95EA0">
      <w:pPr>
        <w:pStyle w:val="4"/>
        <w:widowControl/>
        <w:spacing w:line="600" w:lineRule="exact"/>
        <w:ind w:firstLine="800" w:firstLineChars="250"/>
        <w:rPr>
          <w:rFonts w:hint="eastAsia" w:eastAsia="仿宋_GB2312"/>
          <w:color w:val="000000"/>
          <w:sz w:val="32"/>
          <w:szCs w:val="32"/>
          <w:lang w:eastAsia="zh-CN"/>
        </w:rPr>
      </w:pPr>
      <w:r>
        <w:rPr>
          <w:rFonts w:hint="eastAsia" w:ascii="Times New Roman" w:hAnsi="Times New Roman" w:eastAsia="仿宋_GB2312" w:cs="Times New Roman"/>
          <w:kern w:val="2"/>
          <w:sz w:val="32"/>
          <w:szCs w:val="32"/>
          <w:lang w:val="en-US" w:eastAsia="zh-CN" w:bidi="ar-SA"/>
        </w:rPr>
        <w:t>2023</w:t>
      </w:r>
      <w:r>
        <w:rPr>
          <w:rFonts w:eastAsia="仿宋_GB2312"/>
          <w:color w:val="000000"/>
          <w:sz w:val="32"/>
          <w:szCs w:val="32"/>
        </w:rPr>
        <w:t>年我</w:t>
      </w:r>
      <w:r>
        <w:rPr>
          <w:rFonts w:hint="eastAsia" w:eastAsia="仿宋_GB2312"/>
          <w:color w:val="000000"/>
          <w:sz w:val="32"/>
          <w:szCs w:val="32"/>
        </w:rPr>
        <w:t>中心</w:t>
      </w:r>
      <w:r>
        <w:rPr>
          <w:rFonts w:eastAsia="仿宋_GB2312"/>
          <w:color w:val="000000"/>
          <w:sz w:val="32"/>
          <w:szCs w:val="32"/>
        </w:rPr>
        <w:t>实际完成收入</w:t>
      </w:r>
      <w:r>
        <w:rPr>
          <w:rFonts w:hint="eastAsia" w:eastAsia="仿宋_GB2312"/>
          <w:color w:val="000000"/>
          <w:sz w:val="32"/>
          <w:szCs w:val="32"/>
        </w:rPr>
        <w:t>24345.08</w:t>
      </w:r>
      <w:r>
        <w:rPr>
          <w:rFonts w:eastAsia="仿宋_GB2312"/>
          <w:color w:val="000000"/>
          <w:sz w:val="32"/>
          <w:szCs w:val="32"/>
        </w:rPr>
        <w:t>万元</w:t>
      </w:r>
      <w:r>
        <w:rPr>
          <w:rFonts w:hint="eastAsia" w:eastAsia="仿宋_GB2312"/>
          <w:color w:val="000000"/>
          <w:sz w:val="32"/>
          <w:szCs w:val="32"/>
        </w:rPr>
        <w:t>，</w:t>
      </w:r>
      <w:r>
        <w:rPr>
          <w:rFonts w:eastAsia="仿宋_GB2312"/>
          <w:color w:val="000000"/>
          <w:sz w:val="32"/>
          <w:szCs w:val="32"/>
        </w:rPr>
        <w:t>实际发生支出</w:t>
      </w:r>
      <w:r>
        <w:rPr>
          <w:rFonts w:hint="eastAsia" w:eastAsia="仿宋_GB2312"/>
          <w:color w:val="000000"/>
          <w:sz w:val="32"/>
          <w:szCs w:val="32"/>
        </w:rPr>
        <w:t>24345.08</w:t>
      </w:r>
      <w:r>
        <w:rPr>
          <w:rFonts w:eastAsia="仿宋_GB2312"/>
          <w:color w:val="000000"/>
          <w:sz w:val="32"/>
          <w:szCs w:val="32"/>
        </w:rPr>
        <w:t>万元</w:t>
      </w:r>
      <w:r>
        <w:rPr>
          <w:rFonts w:hint="eastAsia" w:eastAsia="仿宋_GB2312"/>
          <w:color w:val="000000"/>
          <w:sz w:val="32"/>
          <w:szCs w:val="32"/>
          <w:lang w:eastAsia="zh-CN"/>
        </w:rPr>
        <w:t>。其中：基本支出5151.09万元，占</w:t>
      </w:r>
      <w:r>
        <w:rPr>
          <w:rFonts w:hint="eastAsia" w:eastAsia="仿宋_GB2312"/>
          <w:color w:val="000000"/>
          <w:sz w:val="32"/>
          <w:szCs w:val="32"/>
          <w:lang w:val="en-US" w:eastAsia="zh-CN"/>
        </w:rPr>
        <w:t>21.16</w:t>
      </w:r>
      <w:r>
        <w:rPr>
          <w:rFonts w:hint="eastAsia" w:eastAsia="仿宋_GB2312"/>
          <w:color w:val="000000"/>
          <w:sz w:val="32"/>
          <w:szCs w:val="32"/>
          <w:lang w:eastAsia="zh-CN"/>
        </w:rPr>
        <w:t>%；项目支出19193.99万元，占</w:t>
      </w:r>
      <w:r>
        <w:rPr>
          <w:rFonts w:hint="eastAsia" w:eastAsia="仿宋_GB2312"/>
          <w:color w:val="000000"/>
          <w:sz w:val="32"/>
          <w:szCs w:val="32"/>
          <w:lang w:val="en-US" w:eastAsia="zh-CN"/>
        </w:rPr>
        <w:t>78.84</w:t>
      </w:r>
      <w:r>
        <w:rPr>
          <w:rFonts w:hint="eastAsia" w:eastAsia="仿宋_GB2312"/>
          <w:color w:val="000000"/>
          <w:sz w:val="32"/>
          <w:szCs w:val="32"/>
          <w:lang w:eastAsia="zh-CN"/>
        </w:rPr>
        <w:t>%</w:t>
      </w:r>
    </w:p>
    <w:p w14:paraId="4137B817">
      <w:pPr>
        <w:pStyle w:val="4"/>
        <w:widowControl/>
        <w:spacing w:line="600" w:lineRule="exact"/>
        <w:ind w:firstLine="800" w:firstLineChars="250"/>
        <w:rPr>
          <w:rFonts w:eastAsia="楷体"/>
          <w:b/>
          <w:sz w:val="32"/>
          <w:szCs w:val="32"/>
        </w:rPr>
      </w:pPr>
      <w:r>
        <w:rPr>
          <w:rFonts w:eastAsia="仿宋_GB2312"/>
          <w:color w:val="000000"/>
          <w:sz w:val="32"/>
          <w:szCs w:val="32"/>
        </w:rPr>
        <w:t>“三公”经费支出</w:t>
      </w:r>
      <w:r>
        <w:rPr>
          <w:rFonts w:hint="eastAsia" w:eastAsia="仿宋_GB2312"/>
          <w:color w:val="000000"/>
          <w:sz w:val="32"/>
          <w:szCs w:val="32"/>
          <w:lang w:val="en-US" w:eastAsia="zh-CN"/>
        </w:rPr>
        <w:t>11.64</w:t>
      </w:r>
      <w:r>
        <w:rPr>
          <w:rFonts w:eastAsia="仿宋_GB2312"/>
          <w:color w:val="000000"/>
          <w:sz w:val="32"/>
          <w:szCs w:val="32"/>
        </w:rPr>
        <w:t>万元，其中：公务用车维护经费</w:t>
      </w:r>
      <w:r>
        <w:rPr>
          <w:rFonts w:hint="eastAsia" w:eastAsia="仿宋_GB2312"/>
          <w:color w:val="000000"/>
          <w:sz w:val="32"/>
          <w:szCs w:val="32"/>
          <w:lang w:val="en-US" w:eastAsia="zh-CN"/>
        </w:rPr>
        <w:t>7.8</w:t>
      </w:r>
      <w:r>
        <w:rPr>
          <w:rFonts w:eastAsia="仿宋_GB2312"/>
          <w:color w:val="000000"/>
          <w:sz w:val="32"/>
          <w:szCs w:val="32"/>
        </w:rPr>
        <w:t>万元，公务接待费</w:t>
      </w:r>
      <w:r>
        <w:rPr>
          <w:rFonts w:hint="eastAsia" w:eastAsia="仿宋_GB2312"/>
          <w:color w:val="000000"/>
          <w:sz w:val="32"/>
          <w:szCs w:val="32"/>
          <w:lang w:val="en-US" w:eastAsia="zh-CN"/>
        </w:rPr>
        <w:t>3.84</w:t>
      </w:r>
      <w:r>
        <w:rPr>
          <w:rFonts w:eastAsia="仿宋_GB2312"/>
          <w:color w:val="000000"/>
          <w:sz w:val="32"/>
          <w:szCs w:val="32"/>
        </w:rPr>
        <w:t>万元。</w:t>
      </w:r>
    </w:p>
    <w:p w14:paraId="4DACDC5C">
      <w:pPr>
        <w:pStyle w:val="4"/>
        <w:widowControl/>
        <w:ind w:firstLine="643"/>
        <w:rPr>
          <w:rFonts w:eastAsia="楷体"/>
          <w:b/>
          <w:sz w:val="32"/>
          <w:szCs w:val="32"/>
        </w:rPr>
      </w:pPr>
      <w:r>
        <w:rPr>
          <w:rFonts w:eastAsia="楷体"/>
          <w:b/>
          <w:sz w:val="32"/>
          <w:szCs w:val="32"/>
        </w:rPr>
        <w:t>（二）项目支出情况</w:t>
      </w:r>
    </w:p>
    <w:p w14:paraId="0CCA4ADB">
      <w:pPr>
        <w:widowControl/>
        <w:spacing w:line="600" w:lineRule="exact"/>
        <w:ind w:firstLine="640" w:firstLineChars="200"/>
        <w:jc w:val="left"/>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2023年</w:t>
      </w:r>
      <w:r>
        <w:rPr>
          <w:rFonts w:ascii="Times New Roman" w:hAnsi="Times New Roman" w:eastAsia="仿宋_GB2312"/>
          <w:sz w:val="32"/>
          <w:szCs w:val="32"/>
        </w:rPr>
        <w:t>年度省级专项资金</w:t>
      </w:r>
      <w:r>
        <w:rPr>
          <w:rFonts w:hint="eastAsia" w:ascii="Times New Roman" w:hAnsi="Times New Roman" w:eastAsia="仿宋_GB2312"/>
          <w:sz w:val="32"/>
          <w:szCs w:val="32"/>
          <w:lang w:eastAsia="zh-CN"/>
        </w:rPr>
        <w:t>三笔，分别是2023年第二批普通国省道养护补助资金1038万元（增量切块资金）、2023年第六批普通国省道养护补助资金122万元（增量切块）、2023年燃油税预拨资金分配资金10</w:t>
      </w:r>
      <w:r>
        <w:rPr>
          <w:rFonts w:hint="eastAsia" w:ascii="Times New Roman" w:hAnsi="Times New Roman" w:eastAsia="仿宋_GB2312"/>
          <w:sz w:val="32"/>
          <w:szCs w:val="32"/>
          <w:lang w:val="en-US" w:eastAsia="zh-CN"/>
        </w:rPr>
        <w:t>007</w:t>
      </w:r>
      <w:r>
        <w:rPr>
          <w:rFonts w:hint="eastAsia" w:ascii="Times New Roman" w:hAnsi="Times New Roman" w:eastAsia="仿宋_GB2312"/>
          <w:sz w:val="32"/>
          <w:szCs w:val="32"/>
          <w:lang w:eastAsia="zh-CN"/>
        </w:rPr>
        <w:t>万元。其中第二批普通国省道养护补助资金1038万元和第六批普通国省道养护补助资金122万元没有下达计划文，暂未使用。燃油税预拨资金分配资金10</w:t>
      </w:r>
      <w:r>
        <w:rPr>
          <w:rFonts w:hint="eastAsia" w:ascii="Times New Roman" w:hAnsi="Times New Roman" w:eastAsia="仿宋_GB2312"/>
          <w:sz w:val="32"/>
          <w:szCs w:val="32"/>
          <w:lang w:val="en-US" w:eastAsia="zh-CN"/>
        </w:rPr>
        <w:t>007</w:t>
      </w:r>
      <w:r>
        <w:rPr>
          <w:rFonts w:hint="eastAsia" w:ascii="Times New Roman" w:hAnsi="Times New Roman" w:eastAsia="仿宋_GB2312"/>
          <w:sz w:val="32"/>
          <w:szCs w:val="32"/>
          <w:lang w:eastAsia="zh-CN"/>
        </w:rPr>
        <w:t>万元用于大中修项目，已支付</w:t>
      </w:r>
      <w:r>
        <w:rPr>
          <w:rFonts w:hint="eastAsia" w:ascii="Times New Roman" w:hAnsi="Times New Roman" w:eastAsia="仿宋_GB2312"/>
          <w:sz w:val="32"/>
          <w:szCs w:val="32"/>
          <w:lang w:val="en-US" w:eastAsia="zh-CN"/>
        </w:rPr>
        <w:t>7084万元。</w:t>
      </w:r>
      <w:r>
        <w:rPr>
          <w:rFonts w:ascii="Times New Roman" w:hAnsi="Times New Roman" w:eastAsia="仿宋_GB2312"/>
          <w:color w:val="auto"/>
          <w:sz w:val="32"/>
          <w:szCs w:val="32"/>
          <w:highlight w:val="none"/>
        </w:rPr>
        <w:t>除省级专项资金以外的其他项目</w:t>
      </w:r>
      <w:r>
        <w:rPr>
          <w:rFonts w:hint="eastAsia" w:ascii="Times New Roman" w:hAnsi="Times New Roman" w:eastAsia="仿宋_GB2312"/>
          <w:color w:val="auto"/>
          <w:sz w:val="32"/>
          <w:szCs w:val="32"/>
          <w:highlight w:val="none"/>
          <w:lang w:val="en-US" w:eastAsia="zh-CN"/>
        </w:rPr>
        <w:t>14个，其中“四好农村路”示范县项目支出333万元，2022年度农村公路信息化SAAS服务项目43.16万元，2023年农村公路日常养护项目支出1663.2万元，2023年全市养护统计质量提升培训项目支出16.06万元，G107安全提升项目支出1026万元，G356安全提升项目支出675万元，安全监管项目支出8.77万元，对直属单位补助项目支出187万元，公路建设养护检测、抽检项目支出189.32万元，公路交通流量调查项目支出2.24万元，国省道大桥水下基础抽检项目支出60万元，国省道养护项目支出365.9万元，国省干线公路大中修项目支出2217.9万元，危桥改造项目支出290万元。</w:t>
      </w:r>
    </w:p>
    <w:p w14:paraId="3E3CFEE3">
      <w:pPr>
        <w:pStyle w:val="4"/>
        <w:widowControl/>
        <w:numPr>
          <w:ilvl w:val="0"/>
          <w:numId w:val="0"/>
        </w:numPr>
        <w:ind w:left="0" w:leftChars="0" w:firstLine="640" w:firstLineChars="200"/>
        <w:rPr>
          <w:rFonts w:eastAsia="黑体"/>
          <w:sz w:val="32"/>
          <w:szCs w:val="32"/>
        </w:rPr>
      </w:pPr>
      <w:r>
        <w:rPr>
          <w:rFonts w:hint="eastAsia" w:eastAsia="黑体" w:cs="Times New Roman"/>
          <w:kern w:val="2"/>
          <w:sz w:val="32"/>
          <w:szCs w:val="32"/>
          <w:lang w:val="en-US" w:eastAsia="zh-CN" w:bidi="ar-SA"/>
        </w:rPr>
        <w:t>三</w:t>
      </w:r>
      <w:r>
        <w:rPr>
          <w:rFonts w:hint="eastAsia" w:ascii="Times New Roman" w:hAnsi="Times New Roman" w:eastAsia="黑体" w:cs="Times New Roman"/>
          <w:kern w:val="2"/>
          <w:sz w:val="32"/>
          <w:szCs w:val="32"/>
          <w:lang w:val="en-US" w:eastAsia="zh-CN" w:bidi="ar-SA"/>
        </w:rPr>
        <w:t>、</w:t>
      </w:r>
      <w:r>
        <w:rPr>
          <w:rFonts w:eastAsia="黑体"/>
          <w:sz w:val="32"/>
          <w:szCs w:val="32"/>
        </w:rPr>
        <w:t>政府性基金预算支出情况</w:t>
      </w:r>
    </w:p>
    <w:p w14:paraId="74A1E431">
      <w:pPr>
        <w:pStyle w:val="4"/>
        <w:widowControl/>
        <w:numPr>
          <w:ilvl w:val="0"/>
          <w:numId w:val="0"/>
        </w:numPr>
        <w:ind w:firstLine="640" w:firstLineChars="200"/>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无。</w:t>
      </w:r>
    </w:p>
    <w:p w14:paraId="0B49FDD1">
      <w:pPr>
        <w:pStyle w:val="4"/>
        <w:widowControl/>
        <w:numPr>
          <w:ilvl w:val="0"/>
          <w:numId w:val="1"/>
        </w:numPr>
        <w:ind w:firstLine="640"/>
        <w:rPr>
          <w:rFonts w:eastAsia="黑体"/>
          <w:sz w:val="32"/>
          <w:szCs w:val="32"/>
        </w:rPr>
      </w:pPr>
      <w:r>
        <w:rPr>
          <w:rFonts w:eastAsia="黑体"/>
          <w:sz w:val="32"/>
          <w:szCs w:val="32"/>
        </w:rPr>
        <w:t>国有资本经营预算支出情况</w:t>
      </w:r>
    </w:p>
    <w:p w14:paraId="6AC2B566">
      <w:pPr>
        <w:pStyle w:val="4"/>
        <w:widowControl/>
        <w:numPr>
          <w:ilvl w:val="0"/>
          <w:numId w:val="0"/>
        </w:numPr>
        <w:ind w:firstLine="640" w:firstLineChars="200"/>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无。</w:t>
      </w:r>
    </w:p>
    <w:p w14:paraId="0AC72D7C">
      <w:pPr>
        <w:pStyle w:val="4"/>
        <w:widowControl/>
        <w:numPr>
          <w:ilvl w:val="0"/>
          <w:numId w:val="1"/>
        </w:numPr>
        <w:ind w:left="0" w:leftChars="0" w:firstLine="640" w:firstLineChars="200"/>
        <w:rPr>
          <w:rFonts w:eastAsia="黑体"/>
          <w:sz w:val="32"/>
          <w:szCs w:val="32"/>
        </w:rPr>
      </w:pPr>
      <w:r>
        <w:rPr>
          <w:rFonts w:eastAsia="黑体"/>
          <w:sz w:val="32"/>
          <w:szCs w:val="32"/>
        </w:rPr>
        <w:t>社会保险基金预算支出情况</w:t>
      </w:r>
    </w:p>
    <w:p w14:paraId="22924AD7">
      <w:pPr>
        <w:pStyle w:val="4"/>
        <w:widowControl/>
        <w:numPr>
          <w:ilvl w:val="0"/>
          <w:numId w:val="0"/>
        </w:numPr>
        <w:ind w:firstLine="640" w:firstLineChars="200"/>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无。</w:t>
      </w:r>
    </w:p>
    <w:p w14:paraId="291C7457">
      <w:pPr>
        <w:widowControl/>
        <w:ind w:firstLine="640" w:firstLineChars="200"/>
        <w:rPr>
          <w:rFonts w:ascii="Times New Roman" w:hAnsi="Times New Roman" w:eastAsia="黑体"/>
          <w:sz w:val="32"/>
          <w:szCs w:val="32"/>
        </w:rPr>
      </w:pPr>
      <w:r>
        <w:rPr>
          <w:rFonts w:ascii="Times New Roman" w:hAnsi="Times New Roman" w:eastAsia="黑体"/>
          <w:sz w:val="32"/>
          <w:szCs w:val="32"/>
        </w:rPr>
        <w:t>六、部门整体支出绩效情况</w:t>
      </w:r>
    </w:p>
    <w:p w14:paraId="033436C3">
      <w:pPr>
        <w:widowControl/>
        <w:spacing w:line="600" w:lineRule="exact"/>
        <w:ind w:firstLine="645"/>
        <w:jc w:val="left"/>
        <w:rPr>
          <w:rFonts w:ascii="Times New Roman" w:hAnsi="Times New Roman" w:eastAsia="仿宋_GB2312"/>
          <w:sz w:val="32"/>
          <w:szCs w:val="32"/>
        </w:rPr>
      </w:pPr>
      <w:r>
        <w:rPr>
          <w:rFonts w:hint="eastAsia" w:ascii="Times New Roman" w:hAnsi="Times New Roman" w:eastAsia="仿宋_GB2312"/>
          <w:color w:val="000000"/>
          <w:sz w:val="32"/>
          <w:szCs w:val="32"/>
        </w:rPr>
        <w:t>202</w:t>
      </w:r>
      <w:r>
        <w:rPr>
          <w:rFonts w:hint="eastAsia" w:ascii="Times New Roman" w:hAnsi="Times New Roman" w:eastAsia="仿宋_GB2312"/>
          <w:color w:val="000000"/>
          <w:sz w:val="32"/>
          <w:szCs w:val="32"/>
          <w:lang w:val="en-US" w:eastAsia="zh-CN"/>
        </w:rPr>
        <w:t>3</w:t>
      </w:r>
      <w:r>
        <w:rPr>
          <w:rFonts w:hint="eastAsia" w:ascii="Times New Roman" w:hAnsi="Times New Roman" w:eastAsia="仿宋_GB2312"/>
          <w:color w:val="000000"/>
          <w:sz w:val="32"/>
          <w:szCs w:val="32"/>
        </w:rPr>
        <w:t>年共支出24345.08万元，其中基本支出5041.88万元，项目支出</w:t>
      </w:r>
      <w:r>
        <w:rPr>
          <w:rFonts w:hint="eastAsia" w:ascii="Times New Roman" w:hAnsi="Times New Roman" w:eastAsia="仿宋_GB2312"/>
          <w:color w:val="auto"/>
          <w:sz w:val="32"/>
          <w:szCs w:val="32"/>
          <w:highlight w:val="none"/>
          <w:lang w:val="en-US" w:eastAsia="zh-CN"/>
        </w:rPr>
        <w:t>19303.2</w:t>
      </w:r>
      <w:r>
        <w:rPr>
          <w:rFonts w:hint="eastAsia" w:ascii="Times New Roman" w:hAnsi="Times New Roman" w:eastAsia="仿宋_GB2312"/>
          <w:color w:val="000000"/>
          <w:sz w:val="32"/>
          <w:szCs w:val="32"/>
        </w:rPr>
        <w:t>万元。部门支出在保障我中心工作正常运转、履行职能职责上整体情况良好。202</w:t>
      </w:r>
      <w:r>
        <w:rPr>
          <w:rFonts w:hint="eastAsia" w:ascii="Times New Roman" w:hAnsi="Times New Roman" w:eastAsia="仿宋_GB2312"/>
          <w:color w:val="000000"/>
          <w:sz w:val="32"/>
          <w:szCs w:val="32"/>
          <w:lang w:val="en-US" w:eastAsia="zh-CN"/>
        </w:rPr>
        <w:t>3</w:t>
      </w:r>
      <w:r>
        <w:rPr>
          <w:rFonts w:hint="eastAsia" w:ascii="Times New Roman" w:hAnsi="Times New Roman" w:eastAsia="仿宋_GB2312"/>
          <w:color w:val="000000"/>
          <w:sz w:val="32"/>
          <w:szCs w:val="32"/>
        </w:rPr>
        <w:t>年度支出绩效较好，预算编制比较精确合理，为认真落实中央</w:t>
      </w:r>
      <w:r>
        <w:rPr>
          <w:rFonts w:hint="eastAsia" w:ascii="Times New Roman" w:hAnsi="Times New Roman" w:eastAsia="仿宋_GB2312"/>
          <w:color w:val="000000"/>
          <w:sz w:val="32"/>
          <w:szCs w:val="32"/>
          <w:lang w:eastAsia="zh-CN"/>
        </w:rPr>
        <w:t>八项规定</w:t>
      </w:r>
      <w:r>
        <w:rPr>
          <w:rFonts w:hint="eastAsia" w:ascii="Times New Roman" w:hAnsi="Times New Roman" w:eastAsia="仿宋_GB2312"/>
          <w:color w:val="000000"/>
          <w:sz w:val="32"/>
          <w:szCs w:val="32"/>
        </w:rPr>
        <w:t>等厉行节约要求，压缩了部分三公及一般性支出，动态优化了年度预算安排，提高了管理工作的规范化水平，相关成绩得到了上级部门的肯定。</w:t>
      </w:r>
    </w:p>
    <w:p w14:paraId="75574D83">
      <w:pPr>
        <w:pStyle w:val="4"/>
        <w:widowControl/>
        <w:ind w:firstLine="640"/>
        <w:rPr>
          <w:rFonts w:eastAsia="黑体"/>
          <w:sz w:val="32"/>
          <w:szCs w:val="32"/>
        </w:rPr>
      </w:pPr>
      <w:r>
        <w:rPr>
          <w:rFonts w:eastAsia="黑体"/>
          <w:sz w:val="32"/>
          <w:szCs w:val="32"/>
        </w:rPr>
        <w:t>七、存在的问题及原因分析</w:t>
      </w:r>
    </w:p>
    <w:p w14:paraId="7570315E">
      <w:pPr>
        <w:widowControl/>
        <w:spacing w:line="600" w:lineRule="exact"/>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lang w:eastAsia="zh-CN"/>
        </w:rPr>
        <w:t>存在问题：</w:t>
      </w:r>
      <w:r>
        <w:rPr>
          <w:rFonts w:hint="eastAsia" w:ascii="仿宋_GB2312" w:hAnsi="黑体" w:eastAsia="仿宋_GB2312"/>
          <w:sz w:val="32"/>
          <w:szCs w:val="32"/>
        </w:rPr>
        <w:t>基本支出经费保障水平偏低。</w:t>
      </w:r>
    </w:p>
    <w:p w14:paraId="226A7CD5">
      <w:pPr>
        <w:widowControl/>
        <w:spacing w:line="600" w:lineRule="exact"/>
        <w:ind w:firstLine="645"/>
        <w:jc w:val="left"/>
        <w:rPr>
          <w:rFonts w:eastAsia="仿宋"/>
          <w:sz w:val="32"/>
          <w:szCs w:val="32"/>
        </w:rPr>
      </w:pPr>
      <w:r>
        <w:rPr>
          <w:rFonts w:hint="eastAsia" w:ascii="仿宋_GB2312" w:hAnsi="黑体" w:eastAsia="仿宋_GB2312"/>
          <w:sz w:val="32"/>
          <w:szCs w:val="32"/>
        </w:rPr>
        <w:t>综合近几年我</w:t>
      </w:r>
      <w:r>
        <w:rPr>
          <w:rFonts w:hint="eastAsia" w:ascii="仿宋_GB2312" w:hAnsi="黑体" w:eastAsia="仿宋_GB2312"/>
          <w:sz w:val="32"/>
          <w:szCs w:val="32"/>
          <w:lang w:eastAsia="zh-CN"/>
        </w:rPr>
        <w:t>中心</w:t>
      </w:r>
      <w:r>
        <w:rPr>
          <w:rFonts w:hint="eastAsia" w:ascii="仿宋_GB2312" w:hAnsi="黑体" w:eastAsia="仿宋_GB2312"/>
          <w:sz w:val="32"/>
          <w:szCs w:val="32"/>
        </w:rPr>
        <w:t>批复预算看，预算执行基本围绕人员经费、保正常运转进行。从决算情况看，基本支出比重比较大，</w:t>
      </w:r>
      <w:r>
        <w:rPr>
          <w:rFonts w:hint="eastAsia" w:ascii="仿宋_GB2312" w:hAnsi="黑体" w:eastAsia="仿宋_GB2312"/>
          <w:sz w:val="32"/>
          <w:szCs w:val="32"/>
          <w:lang w:eastAsia="zh-CN"/>
        </w:rPr>
        <w:t>行政运行支出预算不足，</w:t>
      </w:r>
      <w:r>
        <w:rPr>
          <w:rFonts w:hint="eastAsia" w:ascii="仿宋_GB2312" w:hAnsi="黑体" w:eastAsia="仿宋_GB2312"/>
          <w:sz w:val="32"/>
          <w:szCs w:val="32"/>
        </w:rPr>
        <w:t>各种矛盾显现，基本保障面临巨大的压力。</w:t>
      </w:r>
    </w:p>
    <w:p w14:paraId="36210CFA">
      <w:pPr>
        <w:widowControl/>
        <w:numPr>
          <w:ilvl w:val="0"/>
          <w:numId w:val="2"/>
        </w:numPr>
        <w:ind w:firstLine="640" w:firstLineChars="200"/>
        <w:rPr>
          <w:rFonts w:ascii="Times New Roman" w:hAnsi="Times New Roman" w:eastAsia="黑体"/>
          <w:sz w:val="32"/>
          <w:szCs w:val="32"/>
        </w:rPr>
      </w:pPr>
      <w:r>
        <w:rPr>
          <w:rFonts w:ascii="Times New Roman" w:hAnsi="Times New Roman" w:eastAsia="黑体"/>
          <w:sz w:val="32"/>
          <w:szCs w:val="32"/>
        </w:rPr>
        <w:t>下一步改进措施</w:t>
      </w:r>
    </w:p>
    <w:p w14:paraId="2601D7CC">
      <w:pPr>
        <w:widowControl/>
        <w:spacing w:line="600" w:lineRule="exact"/>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（一）科学合理编制预算，严格执行预算</w:t>
      </w:r>
    </w:p>
    <w:p w14:paraId="7B7F6782">
      <w:pPr>
        <w:widowControl/>
        <w:spacing w:line="600" w:lineRule="exact"/>
        <w:ind w:firstLine="645"/>
        <w:jc w:val="left"/>
        <w:rPr>
          <w:rFonts w:hint="eastAsia" w:ascii="仿宋_GB2312" w:hAnsi="黑体" w:eastAsia="仿宋_GB2312"/>
          <w:sz w:val="32"/>
          <w:szCs w:val="32"/>
        </w:rPr>
      </w:pPr>
      <w:r>
        <w:rPr>
          <w:rFonts w:hint="eastAsia" w:ascii="仿宋_GB2312" w:hAnsi="黑体" w:eastAsia="仿宋_GB2312"/>
          <w:sz w:val="32"/>
          <w:szCs w:val="32"/>
        </w:rPr>
        <w:t>加强预算编制的前瞻性，按照新</w:t>
      </w:r>
      <w:r>
        <w:rPr>
          <w:rFonts w:hint="eastAsia" w:ascii="仿宋_GB2312" w:hAnsi="黑体" w:eastAsia="仿宋_GB2312"/>
          <w:sz w:val="32"/>
          <w:szCs w:val="32"/>
          <w:lang w:eastAsia="zh-CN"/>
        </w:rPr>
        <w:t>《中华人民共和国预算法》</w:t>
      </w:r>
      <w:r>
        <w:rPr>
          <w:rFonts w:hint="eastAsia" w:ascii="仿宋_GB2312" w:hAnsi="黑体" w:eastAsia="仿宋_GB2312"/>
          <w:sz w:val="32"/>
          <w:szCs w:val="32"/>
        </w:rPr>
        <w:t>及其实施条例的相关规定，按政策规定及本部门的发展规划，结合上一年度预算执行情况和本年度预算收支变化因素，科学、合理地编制预算草案，避免项目支出与基本支出划分不准或预算支出与实际执行出现较大偏差的情况，执行中确需调剂预算的，按规定程序报经批准。</w:t>
      </w:r>
    </w:p>
    <w:p w14:paraId="72F7801E">
      <w:pPr>
        <w:widowControl/>
        <w:spacing w:line="600" w:lineRule="exact"/>
        <w:ind w:firstLine="645"/>
        <w:jc w:val="left"/>
        <w:rPr>
          <w:rFonts w:hint="eastAsia" w:ascii="仿宋_GB2312" w:hAnsi="黑体" w:eastAsia="仿宋_GB2312"/>
          <w:sz w:val="32"/>
          <w:szCs w:val="32"/>
        </w:rPr>
      </w:pPr>
      <w:r>
        <w:rPr>
          <w:rFonts w:hint="eastAsia" w:ascii="仿宋_GB2312" w:hAnsi="黑体" w:eastAsia="仿宋_GB2312"/>
          <w:sz w:val="32"/>
          <w:szCs w:val="32"/>
        </w:rPr>
        <w:t>（二）完善管理制度，进一步加强资产管理</w:t>
      </w:r>
    </w:p>
    <w:p w14:paraId="1D7C0B8B">
      <w:pPr>
        <w:widowControl/>
        <w:spacing w:line="600" w:lineRule="exact"/>
        <w:ind w:firstLine="645"/>
        <w:jc w:val="left"/>
        <w:rPr>
          <w:rFonts w:ascii="Times New Roman" w:hAnsi="Times New Roman" w:eastAsia="黑体"/>
          <w:sz w:val="32"/>
          <w:szCs w:val="32"/>
        </w:rPr>
      </w:pPr>
      <w:r>
        <w:rPr>
          <w:rFonts w:hint="eastAsia" w:ascii="仿宋_GB2312" w:hAnsi="黑体" w:eastAsia="仿宋_GB2312"/>
          <w:sz w:val="32"/>
          <w:szCs w:val="32"/>
        </w:rPr>
        <w:t>进一步贯彻落实中央</w:t>
      </w:r>
      <w:r>
        <w:rPr>
          <w:rFonts w:hint="eastAsia" w:ascii="仿宋_GB2312" w:hAnsi="黑体" w:eastAsia="仿宋_GB2312"/>
          <w:sz w:val="32"/>
          <w:szCs w:val="32"/>
          <w:lang w:eastAsia="zh-CN"/>
        </w:rPr>
        <w:t>八项规定</w:t>
      </w:r>
      <w:r>
        <w:rPr>
          <w:rFonts w:hint="eastAsia" w:ascii="仿宋_GB2312" w:hAnsi="黑体" w:eastAsia="仿宋_GB2312"/>
          <w:sz w:val="32"/>
          <w:szCs w:val="32"/>
        </w:rPr>
        <w:t>省委“九项规定”及市委“十项规定”，建立本部门“三公经费”等公务支出管理制度及厉行节约制度，加强经费审批的控制，规范支出标准与范围并严格执行。严格按照《固定资产管理办法》的规定加强固定资产管理，及时登记、更新台账，加强资产卡片管理，年终前对各类实物资产进行全面盘点，确保账账、账实相符。</w:t>
      </w:r>
    </w:p>
    <w:p w14:paraId="35866753">
      <w:pPr>
        <w:widowControl/>
        <w:numPr>
          <w:ilvl w:val="0"/>
          <w:numId w:val="2"/>
        </w:numPr>
        <w:ind w:left="0" w:leftChars="0" w:firstLine="640" w:firstLineChars="200"/>
        <w:rPr>
          <w:rFonts w:ascii="Times New Roman" w:hAnsi="Times New Roman" w:eastAsia="黑体"/>
          <w:sz w:val="32"/>
          <w:szCs w:val="32"/>
        </w:rPr>
      </w:pPr>
      <w:r>
        <w:rPr>
          <w:rFonts w:ascii="Times New Roman" w:hAnsi="Times New Roman" w:eastAsia="黑体"/>
          <w:sz w:val="32"/>
          <w:szCs w:val="32"/>
        </w:rPr>
        <w:t>其他需要说明的情况</w:t>
      </w:r>
    </w:p>
    <w:p w14:paraId="427141AE">
      <w:pPr>
        <w:widowControl/>
        <w:spacing w:line="600" w:lineRule="exact"/>
        <w:ind w:firstLine="645"/>
        <w:jc w:val="left"/>
      </w:pPr>
      <w:r>
        <w:rPr>
          <w:rFonts w:hint="eastAsia" w:ascii="仿宋_GB2312" w:hAnsi="黑体" w:eastAsia="仿宋_GB2312"/>
          <w:sz w:val="32"/>
          <w:szCs w:val="32"/>
          <w:lang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56923E"/>
    <w:multiLevelType w:val="singleLevel"/>
    <w:tmpl w:val="A356923E"/>
    <w:lvl w:ilvl="0" w:tentative="0">
      <w:start w:val="8"/>
      <w:numFmt w:val="chineseCounting"/>
      <w:suff w:val="nothing"/>
      <w:lvlText w:val="%1、"/>
      <w:lvlJc w:val="left"/>
      <w:rPr>
        <w:rFonts w:hint="eastAsia"/>
      </w:rPr>
    </w:lvl>
  </w:abstractNum>
  <w:abstractNum w:abstractNumId="1">
    <w:nsid w:val="E1F1C482"/>
    <w:multiLevelType w:val="singleLevel"/>
    <w:tmpl w:val="E1F1C482"/>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NzE2N2NhMWM4ODI0YjE2MTJhMjliMTI3MjI0YTMifQ=="/>
  </w:docVars>
  <w:rsids>
    <w:rsidRoot w:val="00000000"/>
    <w:rsid w:val="214F17CC"/>
    <w:rsid w:val="4F6F712E"/>
    <w:rsid w:val="5BCE350D"/>
    <w:rsid w:val="6DA94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autoRedefine/>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2235</Words>
  <Characters>2427</Characters>
  <Lines>0</Lines>
  <Paragraphs>0</Paragraphs>
  <TotalTime>6</TotalTime>
  <ScaleCrop>false</ScaleCrop>
  <LinksUpToDate>false</LinksUpToDate>
  <CharactersWithSpaces>2427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邓婷</cp:lastModifiedBy>
  <dcterms:modified xsi:type="dcterms:W3CDTF">2024-10-08T06:54:00Z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04EF7391B66D425EB47514F44F62D3DA_13</vt:lpwstr>
  </property>
</Properties>
</file>