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830"/>
        <w:gridCol w:w="1207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38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30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207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38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468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2140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780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1360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全面落实“三高四新”战略定位和使命任务，持续推进“聚力中心化攻坚年”行动，坚决打好科技创新攻坚仗。大力培育高新技术企业和科技型中小企业，争创省级以上创新型县市区、高新区建设，新组建一批企业创新联合体开展联合攻关，鼓励企业与高等院校、科研院所合作，引进更多的科技成果在衡转化，促进产学研深度融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科技重大专项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重点研发项目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160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基础（应用研究）项目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创新创业大赛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产学研合作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600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6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区域联合基金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38" w:type="dxa"/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default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7</w:t>
            </w:r>
          </w:p>
        </w:tc>
        <w:tc>
          <w:tcPr>
            <w:tcW w:w="183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企业研发费用辅导专项资金</w:t>
            </w:r>
          </w:p>
        </w:tc>
        <w:tc>
          <w:tcPr>
            <w:tcW w:w="120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科技重大专项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支持重大关键技术攻关、重大技术装备和产品开发、重大科技成果应用及产业化，着力解决重点领导产业发展关键技术瓶颈，引领带动产业转型升级。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申请专利数量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制定技术标准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项目启动及时率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项目应用实现新增限售收入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不低于预期目标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撬动资金配套投入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专项资金的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1.5倍及以上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新工艺、新产品、新材料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引育高层次人才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</w:tbl>
    <w:p/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重点研发项目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200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在工业领域、农业领域、社会发展领域以及国际与区域合作领域，遴选一批具有前沿性、引领性和关键性的研发项目，分类分层支持。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新立项目数量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申请专利数量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制定技术标准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项目启动及时率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项目应用实现新增限售收入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不低于预期目标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撬动资金配套投入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专项资金的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1.5倍及以上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新工艺、新产品、新材料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引育高层次人才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</w:tbl>
    <w:p/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基础（应用）研究项目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围绕我市优势特色产业发展，开展基础研究和基础应用研究，按照5万元/项，进行项目支持。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支持项目数量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≥30项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单个项目支持金额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发表学术论文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≥20篇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申请及授权专利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≥20项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项目申请人满意度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</w:tbl>
    <w:p/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创新创业大赛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成功举办一次创新创业大赛，对接资源服务效率显著提高，区域双创活跃度明显增长，企业赛事参与度稳步提升。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举办场次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创新创业大赛达标率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资金拨付及时率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资金推动经济情况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获得资金企业运行情况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</w:tbl>
    <w:p/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产学研合作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新组建一批企业创新联合体开展联合攻关，鼓励企业与高等院校、科研院所合作，引进更多的科技成果在衡转化，促进产学研深度融合。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新立项目数量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申请专利数量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项目启动及时率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项目应用实现新增限售收入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不低于预期目标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撬动资金配套投入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专项资金的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1.5倍及以上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新工艺、新产品、新材料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引育高层次人才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</w:tbl>
    <w:p/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区域联合基金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240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湖南省自然科学基金（衡阳）区域联合基金项目，支持省内高校、科研院所等研究机构和衡阳本地企事业单位合作，解决本地经济、社会和科技发展中的关键科学问题，推动本地经济社会发展。项目立项超过</w:t>
            </w:r>
            <w:r>
              <w:rPr>
                <w:rFonts w:hint="eastAsia"/>
                <w:lang w:val="en-US" w:eastAsia="zh-CN"/>
              </w:rPr>
              <w:t>60项，落实“包干制”制度等。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资助项目数量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≥60项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支持重点项目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“包干制”落实制度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完成试点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项目启动及时率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单个项目支持金额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5万元-10万元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引导其他基金投入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发表学术论文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≥60篇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申请及授权专利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≥50项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培养科技人才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≥60人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项目申请人满意度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</w:tbl>
    <w:p/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pStyle w:val="2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企业研发费用辅导专项资金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设立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300万元的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企业研发费用辅导专项资金，支持企业建立规范的研发费用归集机制并做好会计辅助账。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全社会研发经费投入总量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较上年增长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全社会研发经费投入总量增速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12％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资金拨付及时率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带动新技术、新产品落地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引导企业做好研发费用归集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</w:tbl>
    <w:p/>
    <w:p>
      <w:pPr>
        <w:pStyle w:val="2"/>
        <w:ind w:firstLine="28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0276E96"/>
    <w:rsid w:val="002A7689"/>
    <w:rsid w:val="004120CA"/>
    <w:rsid w:val="005941F1"/>
    <w:rsid w:val="00742440"/>
    <w:rsid w:val="008A61FF"/>
    <w:rsid w:val="0D563407"/>
    <w:rsid w:val="1F36037A"/>
    <w:rsid w:val="57FD94CD"/>
    <w:rsid w:val="5F0D0FED"/>
    <w:rsid w:val="6AFD139A"/>
    <w:rsid w:val="77F76B6B"/>
    <w:rsid w:val="793449DB"/>
    <w:rsid w:val="7BAA088A"/>
    <w:rsid w:val="7F2231DE"/>
    <w:rsid w:val="A7FF0766"/>
    <w:rsid w:val="CFA18DBF"/>
    <w:rsid w:val="EFFB385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283</Words>
  <Characters>325</Characters>
  <Lines>3</Lines>
  <Paragraphs>1</Paragraphs>
  <TotalTime>0</TotalTime>
  <ScaleCrop>false</ScaleCrop>
  <LinksUpToDate>false</LinksUpToDate>
  <CharactersWithSpaces>361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2023-01-08T23:43:00Z</dcterms:created>
  <dc:creator>123</dc:creator>
  <cp:lastModifiedBy>123</cp:lastModifiedBy>
  <cp:lastPrinted>2023-02-16T08:48:00Z</cp:lastPrinted>
  <dcterms:modified xsi:type="dcterms:W3CDTF">2023-03-06T03:32:14Z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906D01BCCA824BA0836B8743F239C1B0</vt:lpwstr>
  </property>
</Properties>
</file>