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7285">
      <w:pPr>
        <w:rPr>
          <w:rFonts w:ascii="Times New Roman" w:hAnsi="Times New Roman" w:eastAsia="方正小标宋简体"/>
          <w:sz w:val="48"/>
          <w:szCs w:val="48"/>
        </w:rPr>
      </w:pPr>
      <w:bookmarkStart w:id="0" w:name="_GoBack"/>
      <w:bookmarkEnd w:id="0"/>
    </w:p>
    <w:p w14:paraId="3521B7A9">
      <w:pPr>
        <w:rPr>
          <w:rFonts w:ascii="Times New Roman" w:hAnsi="Times New Roman" w:eastAsia="方正小标宋简体"/>
          <w:sz w:val="48"/>
          <w:szCs w:val="48"/>
        </w:rPr>
      </w:pPr>
    </w:p>
    <w:p w14:paraId="2A7EB830">
      <w:pPr>
        <w:rPr>
          <w:rFonts w:ascii="Times New Roman" w:hAnsi="Times New Roman" w:eastAsia="方正小标宋简体"/>
          <w:sz w:val="48"/>
          <w:szCs w:val="48"/>
        </w:rPr>
      </w:pPr>
    </w:p>
    <w:p w14:paraId="3E16F8E7">
      <w:pPr>
        <w:rPr>
          <w:rFonts w:ascii="Times New Roman" w:hAnsi="Times New Roman" w:eastAsia="方正小标宋简体"/>
          <w:sz w:val="48"/>
          <w:szCs w:val="48"/>
        </w:rPr>
      </w:pPr>
    </w:p>
    <w:p w14:paraId="6740D236">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71E5EB2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2145FA2">
      <w:pPr>
        <w:jc w:val="center"/>
        <w:rPr>
          <w:rFonts w:ascii="Times New Roman" w:hAnsi="Times New Roman" w:eastAsia="黑体"/>
          <w:sz w:val="32"/>
          <w:szCs w:val="32"/>
        </w:rPr>
      </w:pPr>
    </w:p>
    <w:p w14:paraId="44559397">
      <w:pPr>
        <w:jc w:val="center"/>
        <w:rPr>
          <w:rFonts w:ascii="Times New Roman" w:hAnsi="Times New Roman" w:eastAsia="黑体"/>
          <w:sz w:val="32"/>
          <w:szCs w:val="32"/>
        </w:rPr>
      </w:pPr>
    </w:p>
    <w:p w14:paraId="2CFE7E6A">
      <w:pPr>
        <w:jc w:val="center"/>
        <w:rPr>
          <w:rFonts w:ascii="Times New Roman" w:hAnsi="Times New Roman" w:eastAsia="黑体"/>
          <w:sz w:val="32"/>
          <w:szCs w:val="32"/>
        </w:rPr>
      </w:pPr>
    </w:p>
    <w:p w14:paraId="46AF54D7">
      <w:pPr>
        <w:jc w:val="center"/>
        <w:rPr>
          <w:rFonts w:ascii="Times New Roman" w:hAnsi="Times New Roman" w:eastAsia="黑体"/>
          <w:sz w:val="32"/>
          <w:szCs w:val="32"/>
        </w:rPr>
      </w:pPr>
    </w:p>
    <w:p w14:paraId="789C632E">
      <w:pPr>
        <w:rPr>
          <w:rFonts w:ascii="Times New Roman" w:hAnsi="Times New Roman" w:eastAsia="黑体"/>
          <w:sz w:val="32"/>
          <w:szCs w:val="32"/>
        </w:rPr>
      </w:pPr>
    </w:p>
    <w:p w14:paraId="3C2FB27B">
      <w:pPr>
        <w:jc w:val="center"/>
        <w:rPr>
          <w:rFonts w:ascii="Times New Roman" w:hAnsi="Times New Roman"/>
          <w:sz w:val="36"/>
          <w:szCs w:val="36"/>
        </w:rPr>
      </w:pPr>
    </w:p>
    <w:p w14:paraId="38A93303">
      <w:pPr>
        <w:jc w:val="center"/>
        <w:rPr>
          <w:rFonts w:ascii="Times New Roman" w:hAnsi="Times New Roman"/>
          <w:sz w:val="36"/>
          <w:szCs w:val="36"/>
        </w:rPr>
      </w:pPr>
    </w:p>
    <w:p w14:paraId="6EE3F82F">
      <w:pPr>
        <w:jc w:val="center"/>
        <w:rPr>
          <w:rFonts w:ascii="Times New Roman" w:hAnsi="Times New Roman"/>
          <w:sz w:val="36"/>
          <w:szCs w:val="36"/>
        </w:rPr>
      </w:pPr>
    </w:p>
    <w:p w14:paraId="6BD9F890">
      <w:pPr>
        <w:jc w:val="center"/>
        <w:rPr>
          <w:rFonts w:ascii="Times New Roman" w:hAnsi="Times New Roman"/>
          <w:sz w:val="36"/>
          <w:szCs w:val="36"/>
        </w:rPr>
      </w:pPr>
      <w:r>
        <w:rPr>
          <w:rFonts w:hint="eastAsia" w:ascii="Times New Roman" w:hAnsi="Times New Roman"/>
          <w:sz w:val="36"/>
          <w:szCs w:val="36"/>
          <w:lang w:val="en-US" w:eastAsia="zh-CN"/>
        </w:rPr>
        <w:t xml:space="preserve">  </w:t>
      </w: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14:paraId="2440BDAA">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5BC92028">
      <w:pPr>
        <w:jc w:val="center"/>
        <w:rPr>
          <w:rFonts w:ascii="Times New Roman" w:hAnsi="Times New Roman" w:eastAsia="黑体"/>
          <w:sz w:val="36"/>
          <w:szCs w:val="36"/>
        </w:rPr>
      </w:pPr>
    </w:p>
    <w:p w14:paraId="562B366D">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02</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1489F3CC">
      <w:pPr>
        <w:jc w:val="center"/>
        <w:rPr>
          <w:rFonts w:ascii="Times New Roman" w:hAnsi="Times New Roman" w:eastAsia="黑体"/>
          <w:sz w:val="32"/>
          <w:szCs w:val="32"/>
        </w:rPr>
      </w:pPr>
    </w:p>
    <w:p w14:paraId="67E95920">
      <w:pPr>
        <w:spacing w:line="600" w:lineRule="exact"/>
        <w:rPr>
          <w:rFonts w:ascii="Times New Roman" w:hAnsi="Times New Roman" w:eastAsia="方正小标宋简体"/>
          <w:sz w:val="44"/>
          <w:szCs w:val="44"/>
        </w:rPr>
      </w:pPr>
    </w:p>
    <w:p w14:paraId="157968C1">
      <w:pPr>
        <w:spacing w:line="600" w:lineRule="exact"/>
        <w:jc w:val="center"/>
        <w:rPr>
          <w:rFonts w:ascii="Times New Roman" w:hAnsi="Times New Roman" w:eastAsia="方正小标宋简体"/>
          <w:sz w:val="44"/>
          <w:szCs w:val="44"/>
        </w:rPr>
      </w:pPr>
    </w:p>
    <w:p w14:paraId="11927312">
      <w:pPr>
        <w:spacing w:line="600" w:lineRule="exact"/>
        <w:jc w:val="center"/>
        <w:rPr>
          <w:rFonts w:ascii="Times New Roman" w:hAnsi="Times New Roman" w:eastAsia="方正小标宋简体"/>
          <w:sz w:val="44"/>
          <w:szCs w:val="44"/>
        </w:rPr>
      </w:pPr>
    </w:p>
    <w:p w14:paraId="53C95C97">
      <w:pPr>
        <w:spacing w:line="600" w:lineRule="exact"/>
        <w:jc w:val="center"/>
        <w:rPr>
          <w:rFonts w:ascii="Times New Roman" w:hAnsi="Times New Roman" w:eastAsia="方正小标宋简体"/>
          <w:sz w:val="44"/>
          <w:szCs w:val="44"/>
        </w:rPr>
      </w:pPr>
    </w:p>
    <w:p w14:paraId="13328BB7">
      <w:pPr>
        <w:spacing w:line="600" w:lineRule="exact"/>
        <w:jc w:val="center"/>
        <w:rPr>
          <w:rFonts w:ascii="Times New Roman" w:hAnsi="Times New Roman" w:eastAsia="方正小标宋简体"/>
          <w:sz w:val="44"/>
          <w:szCs w:val="44"/>
        </w:rPr>
      </w:pPr>
    </w:p>
    <w:p w14:paraId="29873A10">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76D55C5">
      <w:pPr>
        <w:spacing w:line="600" w:lineRule="exact"/>
        <w:jc w:val="center"/>
        <w:rPr>
          <w:rFonts w:ascii="Times New Roman" w:hAnsi="Times New Roman" w:eastAsia="楷体_GB2312"/>
          <w:sz w:val="32"/>
          <w:szCs w:val="32"/>
        </w:rPr>
      </w:pPr>
    </w:p>
    <w:p w14:paraId="320A9009">
      <w:pPr>
        <w:rPr>
          <w:rFonts w:ascii="Times New Roman" w:hAnsi="Times New Roman" w:eastAsia="方正小标宋_GBK"/>
          <w:sz w:val="32"/>
          <w:szCs w:val="32"/>
        </w:rPr>
      </w:pPr>
    </w:p>
    <w:p w14:paraId="0458E6B0">
      <w:pPr>
        <w:pStyle w:val="19"/>
        <w:widowControl/>
        <w:numPr>
          <w:ilvl w:val="0"/>
          <w:numId w:val="1"/>
        </w:numPr>
        <w:ind w:firstLine="640"/>
        <w:rPr>
          <w:rFonts w:eastAsia="黑体"/>
          <w:sz w:val="32"/>
          <w:szCs w:val="32"/>
        </w:rPr>
      </w:pPr>
      <w:r>
        <w:rPr>
          <w:rFonts w:eastAsia="黑体"/>
          <w:sz w:val="32"/>
          <w:szCs w:val="32"/>
        </w:rPr>
        <w:t>部门、单位基本情况</w:t>
      </w:r>
    </w:p>
    <w:p w14:paraId="2AEAEFEC">
      <w:pPr>
        <w:pStyle w:val="19"/>
        <w:widowControl/>
        <w:numPr>
          <w:ilvl w:val="0"/>
          <w:numId w:val="0"/>
        </w:numPr>
        <w:ind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53人,退休人员8名，属市一级预算单位。内设办公室、组织人事科、财务科、信息管理科、建设工程交易科、政府采购交易科、自然资源交易科、国有产权交易科、现场管理科、市场主体服务科。</w:t>
      </w:r>
    </w:p>
    <w:p w14:paraId="2B3F5B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0" w:firstLineChars="20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中心主要职责：交易中心是全市统一的公共资源交易平台，负责组织市域范围内的工程建设项目招投标、土地使用权和矿业权出让、国有产权交易、政府采购、医疗器械耗材采购和其他公共资源交易活动，主要职责是：负责市公共资源交易平台及信息网络系统建设、运行管理；为进入市公共资源交易平台的各类公共资源交易活动提供场所、设施和服务；拟订公共资源进场交易的交易流程、操作规程和现场管理制度，参与制定、修订全市公共资源交易监督管理办法和公共资源进场交易目录；组织平台内交易活动，负责查验进场交易项目相关手续及参与交易活动的各方主体资格；负责收集、存储和发布各类公共资源交易信息，为市场主体提供信息咨询服务；为行业监管、行政监察提供平台服务，协助配合行政监督部门、纪检监察机关的执法工作；负责对参与平台内交易活动的相关人员、机构的活动情况进行评估；负责记录、留存违反交易现场管理制度行为的证据资料，及时报告交易活动中的违法违规行为，并协助调查；承担评标专家抽取有关工作；负责对纳入集中采购目录的政府采购项目实施代理采购。</w:t>
      </w:r>
    </w:p>
    <w:p w14:paraId="64B32959">
      <w:pPr>
        <w:pStyle w:val="19"/>
        <w:widowControl/>
        <w:ind w:left="0" w:leftChars="0" w:firstLine="320" w:firstLineChars="100"/>
        <w:rPr>
          <w:rFonts w:eastAsia="黑体"/>
          <w:sz w:val="32"/>
          <w:szCs w:val="32"/>
        </w:rPr>
      </w:pPr>
      <w:r>
        <w:rPr>
          <w:rFonts w:eastAsia="黑体"/>
          <w:sz w:val="32"/>
          <w:szCs w:val="32"/>
        </w:rPr>
        <w:t>二、一般公共预算支出情况</w:t>
      </w:r>
    </w:p>
    <w:p w14:paraId="16712A56">
      <w:pPr>
        <w:spacing w:line="600" w:lineRule="exact"/>
        <w:ind w:firstLine="704" w:firstLineChars="220"/>
        <w:rPr>
          <w:rFonts w:eastAsia="楷体"/>
          <w:b/>
          <w:sz w:val="32"/>
          <w:szCs w:val="32"/>
        </w:rPr>
      </w:pPr>
      <w:r>
        <w:rPr>
          <w:rFonts w:eastAsia="楷体"/>
          <w:b/>
          <w:sz w:val="32"/>
          <w:szCs w:val="32"/>
        </w:rPr>
        <w:t>（一）基本支出情况</w:t>
      </w:r>
    </w:p>
    <w:p w14:paraId="24D0C5F0">
      <w:pPr>
        <w:spacing w:line="600" w:lineRule="exact"/>
        <w:ind w:firstLine="704" w:firstLineChars="220"/>
        <w:rPr>
          <w:rFonts w:hint="eastAsia" w:ascii="仿宋_GB2312" w:hAnsi="Verdana" w:eastAsia="仿宋_GB2312" w:cs="Times New Roman"/>
          <w:color w:val="000000"/>
          <w:kern w:val="2"/>
          <w:sz w:val="32"/>
          <w:szCs w:val="32"/>
          <w:shd w:val="clear" w:color="auto" w:fill="FFFFFF"/>
          <w:lang w:val="en-US" w:eastAsia="zh-CN" w:bidi="ar-SA"/>
        </w:rPr>
      </w:pPr>
      <w:r>
        <w:rPr>
          <w:rFonts w:hint="eastAsia" w:ascii="仿宋_GB2312" w:hAnsi="Verdana" w:eastAsia="仿宋_GB2312" w:cs="Times New Roman"/>
          <w:color w:val="000000"/>
          <w:kern w:val="2"/>
          <w:sz w:val="32"/>
          <w:szCs w:val="32"/>
          <w:shd w:val="clear" w:color="auto" w:fill="FFFFFF"/>
          <w:lang w:val="en-US" w:eastAsia="zh-CN" w:bidi="ar-SA"/>
        </w:rPr>
        <w:t>本年年初预算支出合计为2594.51万元,其中,一般公共服务支出 2320.83万元，社会保障和就业支出122.49万元，卫生健康支出 85.60万元，住房保障支出 65.59万元。(上年预算2437.72万元)支出较去年增加 156.79万元，上升 6.43%。主要是中心 2022年新进 6人，人员工资有所增加。</w:t>
      </w:r>
    </w:p>
    <w:p w14:paraId="203701BD">
      <w:pPr>
        <w:pStyle w:val="19"/>
        <w:widowControl/>
        <w:ind w:firstLine="643"/>
        <w:rPr>
          <w:rFonts w:hint="default" w:eastAsia="楷体"/>
          <w:b/>
          <w:color w:val="auto"/>
          <w:sz w:val="32"/>
          <w:szCs w:val="32"/>
          <w:highlight w:val="yellow"/>
          <w:lang w:val="en-US"/>
        </w:rPr>
      </w:pPr>
      <w:r>
        <w:rPr>
          <w:rFonts w:hint="eastAsia" w:ascii="仿宋_GB2312" w:hAnsi="Verdana" w:eastAsia="仿宋_GB2312"/>
          <w:color w:val="auto"/>
          <w:sz w:val="32"/>
          <w:szCs w:val="32"/>
          <w:shd w:val="clear" w:color="auto" w:fill="FFFFFF"/>
          <w:lang w:val="en-US" w:eastAsia="zh-CN"/>
        </w:rPr>
        <w:t>2023年全年支出合计2615.57万元，比年初预算数增加0.81%。基本支出2194.26万元，项目支出421.31万元。其中：</w:t>
      </w:r>
      <w:r>
        <w:rPr>
          <w:rFonts w:hint="eastAsia" w:ascii="仿宋_GB2312" w:hAnsi="Verdana" w:eastAsia="仿宋_GB2312"/>
          <w:color w:val="auto"/>
          <w:sz w:val="32"/>
          <w:szCs w:val="32"/>
          <w:highlight w:val="none"/>
          <w:shd w:val="clear" w:color="auto" w:fill="FFFFFF"/>
          <w:lang w:val="en-US" w:eastAsia="zh-CN"/>
        </w:rPr>
        <w:t>工资福利支出880.20万元，占总支出的33.65%；商品和服务支出1441.28万元，占总支出的55.1%；对个人和家庭的补助30.49万元，占总支出的1.17%。其他资本性支出263.6万元，占总支出的10.08%。</w:t>
      </w:r>
    </w:p>
    <w:p w14:paraId="5DD17EB7">
      <w:pPr>
        <w:pStyle w:val="19"/>
        <w:widowControl/>
        <w:ind w:firstLine="643"/>
        <w:rPr>
          <w:rFonts w:eastAsia="楷体"/>
          <w:b/>
          <w:sz w:val="32"/>
          <w:szCs w:val="32"/>
        </w:rPr>
      </w:pPr>
      <w:r>
        <w:rPr>
          <w:rFonts w:eastAsia="楷体"/>
          <w:b/>
          <w:sz w:val="32"/>
          <w:szCs w:val="32"/>
        </w:rPr>
        <w:t>（二）项目支出情况</w:t>
      </w:r>
    </w:p>
    <w:p w14:paraId="47E83A2E">
      <w:pPr>
        <w:pStyle w:val="19"/>
        <w:widowControl/>
        <w:numPr>
          <w:ilvl w:val="0"/>
          <w:numId w:val="0"/>
        </w:numPr>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本单位202</w:t>
      </w:r>
      <w:r>
        <w:rPr>
          <w:rFonts w:hint="eastAsia" w:eastAsia="仿宋" w:cs="Times New Roman"/>
          <w:color w:val="000000"/>
          <w:kern w:val="2"/>
          <w:sz w:val="32"/>
          <w:szCs w:val="32"/>
          <w:lang w:val="en-US" w:eastAsia="zh-CN" w:bidi="ar-SA"/>
        </w:rPr>
        <w:t>3</w:t>
      </w:r>
      <w:r>
        <w:rPr>
          <w:rFonts w:hint="eastAsia" w:ascii="Times New Roman" w:hAnsi="Times New Roman" w:eastAsia="仿宋" w:cs="Times New Roman"/>
          <w:color w:val="000000"/>
          <w:kern w:val="2"/>
          <w:sz w:val="32"/>
          <w:szCs w:val="32"/>
          <w:lang w:val="en-US" w:eastAsia="zh-CN" w:bidi="ar-SA"/>
        </w:rPr>
        <w:t>年全年项目总收入</w:t>
      </w:r>
      <w:r>
        <w:rPr>
          <w:rFonts w:hint="eastAsia" w:ascii="仿宋_GB2312" w:hAnsi="Verdana" w:eastAsia="仿宋_GB2312"/>
          <w:color w:val="auto"/>
          <w:sz w:val="32"/>
          <w:szCs w:val="32"/>
          <w:shd w:val="clear" w:color="auto" w:fill="FFFFFF"/>
          <w:lang w:val="en-US" w:eastAsia="zh-CN"/>
        </w:rPr>
        <w:t>421.31</w:t>
      </w:r>
      <w:r>
        <w:rPr>
          <w:rFonts w:hint="eastAsia" w:ascii="Times New Roman" w:hAnsi="Times New Roman" w:eastAsia="仿宋" w:cs="Times New Roman"/>
          <w:color w:val="000000"/>
          <w:kern w:val="2"/>
          <w:sz w:val="32"/>
          <w:szCs w:val="32"/>
          <w:lang w:val="en-US" w:eastAsia="zh-CN" w:bidi="ar-SA"/>
        </w:rPr>
        <w:t>万元，其中财政拨款收入</w:t>
      </w:r>
      <w:r>
        <w:rPr>
          <w:rFonts w:hint="eastAsia" w:eastAsia="仿宋" w:cs="Times New Roman"/>
          <w:color w:val="000000"/>
          <w:kern w:val="2"/>
          <w:sz w:val="32"/>
          <w:szCs w:val="32"/>
          <w:lang w:val="en-US" w:eastAsia="zh-CN" w:bidi="ar-SA"/>
        </w:rPr>
        <w:t>57.6</w:t>
      </w:r>
      <w:r>
        <w:rPr>
          <w:rFonts w:hint="eastAsia" w:ascii="Times New Roman" w:hAnsi="Times New Roman" w:eastAsia="仿宋" w:cs="Times New Roman"/>
          <w:color w:val="000000"/>
          <w:kern w:val="2"/>
          <w:sz w:val="32"/>
          <w:szCs w:val="32"/>
          <w:lang w:val="en-US" w:eastAsia="zh-CN" w:bidi="ar-SA"/>
        </w:rPr>
        <w:t>万元，上年末结转</w:t>
      </w:r>
      <w:r>
        <w:rPr>
          <w:rFonts w:hint="eastAsia" w:eastAsia="仿宋" w:cs="Times New Roman"/>
          <w:color w:val="000000"/>
          <w:kern w:val="2"/>
          <w:sz w:val="32"/>
          <w:szCs w:val="32"/>
          <w:lang w:val="en-US" w:eastAsia="zh-CN" w:bidi="ar-SA"/>
        </w:rPr>
        <w:t>143</w:t>
      </w:r>
      <w:r>
        <w:rPr>
          <w:rFonts w:hint="eastAsia" w:ascii="Times New Roman" w:hAnsi="Times New Roman" w:eastAsia="仿宋" w:cs="Times New Roman"/>
          <w:color w:val="000000"/>
          <w:kern w:val="2"/>
          <w:sz w:val="32"/>
          <w:szCs w:val="32"/>
          <w:lang w:val="en-US" w:eastAsia="zh-CN" w:bidi="ar-SA"/>
        </w:rPr>
        <w:t>万元，追加项目经费</w:t>
      </w:r>
      <w:r>
        <w:rPr>
          <w:rFonts w:hint="eastAsia" w:eastAsia="仿宋" w:cs="Times New Roman"/>
          <w:color w:val="000000"/>
          <w:kern w:val="2"/>
          <w:sz w:val="32"/>
          <w:szCs w:val="32"/>
          <w:lang w:val="en-US" w:eastAsia="zh-CN" w:bidi="ar-SA"/>
        </w:rPr>
        <w:t>220.71</w:t>
      </w:r>
      <w:r>
        <w:rPr>
          <w:rFonts w:hint="eastAsia" w:ascii="Times New Roman" w:hAnsi="Times New Roman" w:eastAsia="仿宋" w:cs="Times New Roman"/>
          <w:color w:val="000000"/>
          <w:kern w:val="2"/>
          <w:sz w:val="32"/>
          <w:szCs w:val="32"/>
          <w:lang w:val="en-US" w:eastAsia="zh-CN" w:bidi="ar-SA"/>
        </w:rPr>
        <w:t>万元；全年项目总支出</w:t>
      </w:r>
      <w:r>
        <w:rPr>
          <w:rFonts w:hint="eastAsia" w:eastAsia="仿宋" w:cs="Times New Roman"/>
          <w:color w:val="000000"/>
          <w:kern w:val="2"/>
          <w:sz w:val="32"/>
          <w:szCs w:val="32"/>
          <w:lang w:val="en-US" w:eastAsia="zh-CN" w:bidi="ar-SA"/>
        </w:rPr>
        <w:t>421.31</w:t>
      </w:r>
      <w:r>
        <w:rPr>
          <w:rFonts w:hint="eastAsia" w:ascii="Times New Roman" w:hAnsi="Times New Roman" w:eastAsia="仿宋" w:cs="Times New Roman"/>
          <w:color w:val="000000"/>
          <w:kern w:val="2"/>
          <w:sz w:val="32"/>
          <w:szCs w:val="32"/>
          <w:lang w:val="en-US" w:eastAsia="zh-CN" w:bidi="ar-SA"/>
        </w:rPr>
        <w:t>元，其中专项资金</w:t>
      </w:r>
      <w:r>
        <w:rPr>
          <w:rFonts w:hint="eastAsia" w:eastAsia="仿宋" w:cs="Times New Roman"/>
          <w:color w:val="000000"/>
          <w:kern w:val="2"/>
          <w:sz w:val="32"/>
          <w:szCs w:val="32"/>
          <w:lang w:val="en-US" w:eastAsia="zh-CN" w:bidi="ar-SA"/>
        </w:rPr>
        <w:t>146.93</w:t>
      </w:r>
      <w:r>
        <w:rPr>
          <w:rFonts w:hint="eastAsia" w:ascii="Times New Roman" w:hAnsi="Times New Roman" w:eastAsia="仿宋" w:cs="Times New Roman"/>
          <w:color w:val="000000"/>
          <w:kern w:val="2"/>
          <w:sz w:val="32"/>
          <w:szCs w:val="32"/>
          <w:lang w:val="en-US" w:eastAsia="zh-CN" w:bidi="ar-SA"/>
        </w:rPr>
        <w:t>万元，其他项目资金</w:t>
      </w:r>
      <w:r>
        <w:rPr>
          <w:rFonts w:hint="eastAsia" w:eastAsia="仿宋" w:cs="Times New Roman"/>
          <w:color w:val="000000"/>
          <w:kern w:val="2"/>
          <w:sz w:val="32"/>
          <w:szCs w:val="32"/>
          <w:lang w:val="en-US" w:eastAsia="zh-CN" w:bidi="ar-SA"/>
        </w:rPr>
        <w:t>274.38</w:t>
      </w:r>
      <w:r>
        <w:rPr>
          <w:rFonts w:hint="eastAsia" w:ascii="Times New Roman" w:hAnsi="Times New Roman" w:eastAsia="仿宋" w:cs="Times New Roman"/>
          <w:color w:val="000000"/>
          <w:kern w:val="2"/>
          <w:sz w:val="32"/>
          <w:szCs w:val="32"/>
          <w:lang w:val="en-US" w:eastAsia="zh-CN" w:bidi="ar-SA"/>
        </w:rPr>
        <w:t>万元。</w:t>
      </w:r>
    </w:p>
    <w:p w14:paraId="5AE2B91E">
      <w:pPr>
        <w:pStyle w:val="19"/>
        <w:widowControl/>
        <w:rPr>
          <w:rFonts w:hint="eastAsia" w:eastAsia="黑体"/>
          <w:sz w:val="32"/>
          <w:szCs w:val="32"/>
          <w:lang w:eastAsia="zh-CN"/>
        </w:rPr>
      </w:pPr>
      <w:r>
        <w:rPr>
          <w:rFonts w:hint="eastAsia" w:eastAsia="黑体"/>
          <w:sz w:val="32"/>
          <w:szCs w:val="32"/>
          <w:lang w:eastAsia="zh-CN"/>
        </w:rPr>
        <w:t>三</w:t>
      </w:r>
      <w:r>
        <w:rPr>
          <w:rFonts w:hint="eastAsia" w:eastAsia="黑体"/>
          <w:sz w:val="32"/>
          <w:szCs w:val="32"/>
          <w:lang w:val="en-US" w:eastAsia="zh-CN"/>
        </w:rPr>
        <w:t xml:space="preserve"> 、</w:t>
      </w:r>
      <w:r>
        <w:rPr>
          <w:rFonts w:eastAsia="黑体"/>
          <w:sz w:val="32"/>
          <w:szCs w:val="32"/>
        </w:rPr>
        <w:t>政府性基金预算支出情况</w:t>
      </w:r>
    </w:p>
    <w:p w14:paraId="12BB8819">
      <w:pPr>
        <w:pStyle w:val="19"/>
        <w:widowControl/>
        <w:rPr>
          <w:rFonts w:hint="eastAsia" w:eastAsia="黑体"/>
          <w:sz w:val="32"/>
          <w:szCs w:val="32"/>
          <w:lang w:eastAsia="zh-CN"/>
        </w:rPr>
      </w:pPr>
      <w:r>
        <w:rPr>
          <w:rFonts w:hint="eastAsia" w:eastAsia="黑体"/>
          <w:sz w:val="32"/>
          <w:szCs w:val="32"/>
          <w:lang w:eastAsia="zh-CN"/>
        </w:rPr>
        <w:t>无</w:t>
      </w:r>
    </w:p>
    <w:p w14:paraId="35CD14CE">
      <w:pPr>
        <w:pStyle w:val="19"/>
        <w:widowControl/>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14:paraId="20ABE884">
      <w:pPr>
        <w:pStyle w:val="19"/>
        <w:widowControl/>
        <w:rPr>
          <w:rFonts w:eastAsia="黑体"/>
          <w:sz w:val="32"/>
          <w:szCs w:val="32"/>
        </w:rPr>
      </w:pPr>
      <w:r>
        <w:rPr>
          <w:rFonts w:hint="eastAsia" w:eastAsia="黑体"/>
          <w:sz w:val="32"/>
          <w:szCs w:val="32"/>
          <w:lang w:eastAsia="zh-CN"/>
        </w:rPr>
        <w:t>无</w:t>
      </w:r>
    </w:p>
    <w:p w14:paraId="4605ACFE">
      <w:pPr>
        <w:pStyle w:val="19"/>
        <w:widowControl/>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14:paraId="30B8ED87">
      <w:pPr>
        <w:pStyle w:val="19"/>
        <w:widowControl/>
        <w:rPr>
          <w:rFonts w:eastAsia="黑体"/>
          <w:sz w:val="32"/>
          <w:szCs w:val="32"/>
        </w:rPr>
      </w:pPr>
      <w:r>
        <w:rPr>
          <w:rFonts w:hint="eastAsia" w:eastAsia="黑体"/>
          <w:sz w:val="32"/>
          <w:szCs w:val="32"/>
          <w:lang w:eastAsia="zh-CN"/>
        </w:rPr>
        <w:t>无</w:t>
      </w:r>
    </w:p>
    <w:p w14:paraId="4DC27BF4">
      <w:pPr>
        <w:pStyle w:val="19"/>
        <w:widowControl/>
        <w:rPr>
          <w:rFonts w:eastAsia="黑体"/>
          <w:sz w:val="32"/>
          <w:szCs w:val="32"/>
        </w:rPr>
      </w:pPr>
      <w:r>
        <w:rPr>
          <w:rFonts w:hint="eastAsia" w:eastAsia="黑体"/>
          <w:sz w:val="32"/>
          <w:szCs w:val="32"/>
          <w:lang w:eastAsia="zh-CN"/>
        </w:rPr>
        <w:t>六、</w:t>
      </w:r>
      <w:r>
        <w:rPr>
          <w:rFonts w:eastAsia="黑体"/>
          <w:sz w:val="32"/>
          <w:szCs w:val="32"/>
        </w:rPr>
        <w:t>部门整体支出绩效情况</w:t>
      </w:r>
    </w:p>
    <w:p w14:paraId="41D3186E">
      <w:pPr>
        <w:spacing w:line="600" w:lineRule="exact"/>
        <w:ind w:firstLine="704" w:firstLineChars="220"/>
        <w:rPr>
          <w:rFonts w:hint="eastAsia"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1、执行情况</w:t>
      </w:r>
    </w:p>
    <w:p w14:paraId="56173068">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设立的整体绩效目标符合国家法律法规、国民经济和社会发展总体规划,符合“三定”方案确定的职责与</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制定的中长期实施规划</w:t>
      </w:r>
      <w:r>
        <w:rPr>
          <w:rFonts w:hint="eastAsia" w:ascii="仿宋_GB2312" w:hAnsi="Verdana" w:eastAsia="仿宋_GB2312"/>
          <w:color w:val="000000"/>
          <w:sz w:val="32"/>
          <w:szCs w:val="32"/>
          <w:shd w:val="clear" w:color="auto" w:fill="FFFFFF"/>
          <w:lang w:eastAsia="zh-CN"/>
        </w:rPr>
        <w:t>；</w:t>
      </w:r>
    </w:p>
    <w:p w14:paraId="31B2C17E">
      <w:pPr>
        <w:widowControl/>
        <w:spacing w:line="600" w:lineRule="exact"/>
        <w:ind w:firstLine="640" w:firstLineChars="200"/>
        <w:jc w:val="left"/>
        <w:rPr>
          <w:rFonts w:hint="eastAsia" w:ascii="仿宋_GB2312" w:hAnsi="Verdana" w:eastAsia="仿宋_GB2312"/>
          <w:color w:val="000000"/>
          <w:sz w:val="32"/>
          <w:szCs w:val="32"/>
          <w:shd w:val="clear" w:color="auto" w:fill="FFFFFF"/>
          <w:lang w:eastAsia="zh-CN"/>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设定的绩效指标清晰、细化、可衡量，与</w:t>
      </w:r>
      <w:r>
        <w:rPr>
          <w:rFonts w:hint="eastAsia" w:ascii="仿宋_GB2312" w:hAnsi="Verdana" w:eastAsia="仿宋_GB2312"/>
          <w:color w:val="000000"/>
          <w:sz w:val="32"/>
          <w:szCs w:val="32"/>
          <w:shd w:val="clear" w:color="auto" w:fill="FFFFFF"/>
          <w:lang w:val="en-US" w:eastAsia="zh-CN"/>
        </w:rPr>
        <w:t>单位</w:t>
      </w:r>
      <w:r>
        <w:rPr>
          <w:rFonts w:hint="eastAsia" w:ascii="仿宋_GB2312" w:hAnsi="Verdana" w:eastAsia="仿宋_GB2312"/>
          <w:color w:val="000000"/>
          <w:sz w:val="32"/>
          <w:szCs w:val="32"/>
          <w:shd w:val="clear" w:color="auto" w:fill="FFFFFF"/>
        </w:rPr>
        <w:t>年度的任务数相对应，并与本年度</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预算资金相匹配</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lang w:val="en-US" w:eastAsia="zh-CN"/>
        </w:rPr>
        <w:t>2023</w:t>
      </w:r>
      <w:r>
        <w:rPr>
          <w:rFonts w:hint="eastAsia" w:ascii="仿宋_GB2312" w:hAnsi="Verdana" w:eastAsia="仿宋_GB2312"/>
          <w:color w:val="000000"/>
          <w:sz w:val="32"/>
          <w:szCs w:val="32"/>
          <w:shd w:val="clear" w:color="auto" w:fill="FFFFFF"/>
        </w:rPr>
        <w:t>年年末实际在职人员为</w:t>
      </w:r>
      <w:r>
        <w:rPr>
          <w:rFonts w:hint="eastAsia" w:ascii="仿宋_GB2312" w:hAnsi="Verdana" w:eastAsia="仿宋_GB2312"/>
          <w:color w:val="000000"/>
          <w:sz w:val="32"/>
          <w:szCs w:val="32"/>
          <w:shd w:val="clear" w:color="auto" w:fill="FFFFFF"/>
          <w:lang w:val="en-US" w:eastAsia="zh-CN"/>
        </w:rPr>
        <w:t>53</w:t>
      </w:r>
      <w:r>
        <w:rPr>
          <w:rFonts w:hint="eastAsia" w:ascii="仿宋_GB2312" w:hAnsi="Verdana" w:eastAsia="仿宋_GB2312"/>
          <w:color w:val="000000"/>
          <w:sz w:val="32"/>
          <w:szCs w:val="32"/>
          <w:shd w:val="clear" w:color="auto" w:fill="FFFFFF"/>
        </w:rPr>
        <w:t>人，编委核定的编制人数为</w:t>
      </w:r>
      <w:r>
        <w:rPr>
          <w:rFonts w:hint="eastAsia" w:ascii="仿宋_GB2312" w:hAnsi="Verdana" w:eastAsia="仿宋_GB2312"/>
          <w:color w:val="000000"/>
          <w:sz w:val="32"/>
          <w:szCs w:val="32"/>
          <w:shd w:val="clear" w:color="auto" w:fill="FFFFFF"/>
          <w:lang w:val="en-US" w:eastAsia="zh-CN"/>
        </w:rPr>
        <w:t>63</w:t>
      </w:r>
      <w:r>
        <w:rPr>
          <w:rFonts w:hint="eastAsia" w:ascii="仿宋_GB2312" w:hAnsi="Verdana" w:eastAsia="仿宋_GB2312"/>
          <w:color w:val="000000"/>
          <w:sz w:val="32"/>
          <w:szCs w:val="32"/>
          <w:shd w:val="clear" w:color="auto" w:fill="FFFFFF"/>
        </w:rPr>
        <w:t>人，实际在职人员数占编委核定的编制数的比率＝（在职人员数÷编制数）×100%＝</w:t>
      </w:r>
      <w:r>
        <w:rPr>
          <w:rFonts w:hint="eastAsia" w:ascii="仿宋_GB2312" w:hAnsi="Verdana" w:eastAsia="仿宋_GB2312"/>
          <w:color w:val="000000"/>
          <w:sz w:val="32"/>
          <w:szCs w:val="32"/>
          <w:shd w:val="clear" w:color="auto" w:fill="FFFFFF"/>
          <w:lang w:val="en-US" w:eastAsia="zh-CN"/>
        </w:rPr>
        <w:t>84.12</w:t>
      </w:r>
      <w:r>
        <w:rPr>
          <w:rFonts w:hint="eastAsia" w:ascii="仿宋_GB2312" w:hAnsi="Verdana" w:eastAsia="仿宋_GB2312"/>
          <w:color w:val="000000"/>
          <w:sz w:val="32"/>
          <w:szCs w:val="32"/>
          <w:shd w:val="clear" w:color="auto" w:fill="FFFFFF"/>
        </w:rPr>
        <w:t>%&lt;100%，</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对人员成本的控制程度符合规定要求</w:t>
      </w:r>
      <w:r>
        <w:rPr>
          <w:rFonts w:hint="eastAsia" w:ascii="仿宋_GB2312" w:hAnsi="Verdana" w:eastAsia="仿宋_GB2312"/>
          <w:color w:val="000000"/>
          <w:sz w:val="32"/>
          <w:szCs w:val="32"/>
          <w:shd w:val="clear" w:color="auto" w:fill="FFFFFF"/>
          <w:lang w:eastAsia="zh-CN"/>
        </w:rPr>
        <w:t>。</w:t>
      </w:r>
    </w:p>
    <w:p w14:paraId="73BE4605">
      <w:pPr>
        <w:spacing w:line="600" w:lineRule="exact"/>
        <w:ind w:firstLine="640" w:firstLineChars="200"/>
        <w:rPr>
          <w:rFonts w:hint="eastAsia" w:ascii="仿宋" w:hAnsi="仿宋" w:eastAsia="仿宋"/>
          <w:b/>
          <w:color w:val="000000"/>
          <w:sz w:val="32"/>
          <w:szCs w:val="32"/>
        </w:rPr>
      </w:pPr>
      <w:r>
        <w:rPr>
          <w:rFonts w:hint="eastAsia" w:ascii="仿宋_GB2312" w:hAnsi="Verdana" w:eastAsia="仿宋_GB2312"/>
          <w:sz w:val="32"/>
          <w:szCs w:val="32"/>
          <w:shd w:val="clear" w:color="auto" w:fill="FFFFFF"/>
        </w:rPr>
        <w:t>本</w:t>
      </w:r>
      <w:r>
        <w:rPr>
          <w:rFonts w:hint="eastAsia" w:ascii="仿宋_GB2312" w:hAnsi="Verdana" w:eastAsia="仿宋_GB2312"/>
          <w:sz w:val="32"/>
          <w:szCs w:val="32"/>
          <w:shd w:val="clear" w:color="auto" w:fill="FFFFFF"/>
          <w:lang w:eastAsia="zh-CN"/>
        </w:rPr>
        <w:t>单位</w:t>
      </w:r>
      <w:r>
        <w:rPr>
          <w:rFonts w:ascii="仿宋_GB2312" w:hAnsi="Verdana" w:eastAsia="仿宋_GB2312"/>
          <w:sz w:val="32"/>
          <w:szCs w:val="32"/>
          <w:shd w:val="clear" w:color="auto" w:fill="FFFFFF"/>
        </w:rPr>
        <w:t>建立了各项管理制度</w:t>
      </w:r>
      <w:r>
        <w:rPr>
          <w:rFonts w:hint="eastAsia" w:ascii="仿宋_GB2312" w:hAnsi="Verdana" w:eastAsia="仿宋_GB2312"/>
          <w:sz w:val="32"/>
          <w:szCs w:val="32"/>
          <w:shd w:val="clear" w:color="auto" w:fill="FFFFFF"/>
        </w:rPr>
        <w:t>，其中包括</w:t>
      </w:r>
      <w:r>
        <w:rPr>
          <w:rFonts w:ascii="仿宋_GB2312" w:hAnsi="Verdana" w:eastAsia="仿宋_GB2312"/>
          <w:sz w:val="32"/>
          <w:szCs w:val="32"/>
          <w:shd w:val="clear" w:color="auto" w:fill="FFFFFF"/>
        </w:rPr>
        <w:fldChar w:fldCharType="begin"/>
      </w:r>
      <w:r>
        <w:rPr>
          <w:rFonts w:ascii="仿宋_GB2312" w:hAnsi="Verdana" w:eastAsia="仿宋_GB2312"/>
          <w:sz w:val="32"/>
          <w:szCs w:val="32"/>
          <w:shd w:val="clear" w:color="auto" w:fill="FFFFFF"/>
        </w:rPr>
        <w:instrText xml:space="preserve"> HYPERLINK "http://ggzyjy.xxz.gov.cn/fwdh/glzd/202003/t20200305_1608362.html" \o "关于印发《湘西州公共资源现场交易见证员管理制度（修订）》《网站平台管理办法（修订）》等两项制度的通知" \t "_blank" </w:instrText>
      </w:r>
      <w:r>
        <w:rPr>
          <w:rFonts w:ascii="仿宋_GB2312" w:hAnsi="Verdana" w:eastAsia="仿宋_GB2312"/>
          <w:sz w:val="32"/>
          <w:szCs w:val="32"/>
          <w:shd w:val="clear" w:color="auto" w:fill="FFFFFF"/>
        </w:rPr>
        <w:fldChar w:fldCharType="separate"/>
      </w:r>
      <w:r>
        <w:rPr>
          <w:rFonts w:hint="eastAsia" w:ascii="仿宋_GB2312" w:hAnsi="Verdana" w:eastAsia="仿宋_GB2312"/>
          <w:sz w:val="32"/>
          <w:szCs w:val="32"/>
          <w:shd w:val="clear" w:color="auto" w:fill="FFFFFF"/>
        </w:rPr>
        <w:t>《</w:t>
      </w:r>
      <w:r>
        <w:rPr>
          <w:rFonts w:hint="eastAsia" w:ascii="仿宋_GB2312" w:hAnsi="Verdana" w:eastAsia="仿宋_GB2312"/>
          <w:sz w:val="32"/>
          <w:szCs w:val="32"/>
          <w:shd w:val="clear" w:color="auto" w:fill="FFFFFF"/>
          <w:lang w:eastAsia="zh-CN"/>
        </w:rPr>
        <w:t>衡阳市</w:t>
      </w:r>
      <w:r>
        <w:rPr>
          <w:rFonts w:hint="eastAsia" w:ascii="仿宋_GB2312" w:hAnsi="Verdana" w:eastAsia="仿宋_GB2312"/>
          <w:sz w:val="32"/>
          <w:szCs w:val="32"/>
          <w:shd w:val="clear" w:color="auto" w:fill="FFFFFF"/>
        </w:rPr>
        <w:t>公共资源现场交易见证员管理制度（修订）》、《网站平台管理办法（修订）》</w:t>
      </w:r>
      <w:r>
        <w:rPr>
          <w:rFonts w:ascii="仿宋_GB2312" w:hAnsi="Verdana" w:eastAsia="仿宋_GB2312"/>
          <w:sz w:val="32"/>
          <w:szCs w:val="32"/>
          <w:shd w:val="clear" w:color="auto" w:fill="FFFFFF"/>
        </w:rPr>
        <w:fldChar w:fldCharType="end"/>
      </w:r>
      <w:r>
        <w:rPr>
          <w:rFonts w:hint="eastAsia" w:ascii="仿宋_GB2312" w:hAnsi="Verdana" w:eastAsia="仿宋_GB2312"/>
          <w:sz w:val="32"/>
          <w:szCs w:val="32"/>
          <w:shd w:val="clear" w:color="auto" w:fill="FFFFFF"/>
        </w:rPr>
        <w:t>、《财务管理制度》等。管理制度合法、合规、完整，管理制度得到有效执行</w:t>
      </w:r>
      <w:r>
        <w:rPr>
          <w:rFonts w:hint="eastAsia" w:ascii="仿宋_GB2312" w:hAnsi="Verdana" w:eastAsia="仿宋_GB2312"/>
          <w:color w:val="000000"/>
          <w:sz w:val="32"/>
          <w:szCs w:val="32"/>
          <w:shd w:val="clear" w:color="auto" w:fill="FFFFFF"/>
        </w:rPr>
        <w:t>。</w:t>
      </w:r>
    </w:p>
    <w:p w14:paraId="7C6091FB">
      <w:pPr>
        <w:spacing w:line="600" w:lineRule="exact"/>
        <w:ind w:firstLine="704" w:firstLineChars="220"/>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本</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支出符合国家财经法规和财务管理制度规定以及有关专项资金管理办法的规定，资金的拨付有完整的审批过程和手续，项目的支出按三重一大和议事决策流程规定经过集体决策，支出符合</w:t>
      </w:r>
      <w:r>
        <w:rPr>
          <w:rFonts w:hint="eastAsia" w:ascii="仿宋_GB2312" w:hAnsi="Verdana" w:eastAsia="仿宋_GB2312"/>
          <w:color w:val="000000"/>
          <w:sz w:val="32"/>
          <w:szCs w:val="32"/>
          <w:shd w:val="clear" w:color="auto" w:fill="FFFFFF"/>
          <w:lang w:eastAsia="zh-CN"/>
        </w:rPr>
        <w:t>单位</w:t>
      </w:r>
      <w:r>
        <w:rPr>
          <w:rFonts w:hint="eastAsia" w:ascii="仿宋_GB2312" w:hAnsi="Verdana" w:eastAsia="仿宋_GB2312"/>
          <w:color w:val="000000"/>
          <w:sz w:val="32"/>
          <w:szCs w:val="32"/>
          <w:shd w:val="clear" w:color="auto" w:fill="FFFFFF"/>
        </w:rPr>
        <w:t>预算批复的用途，资金使用无截留、挤占、虚列支出</w:t>
      </w:r>
      <w:r>
        <w:rPr>
          <w:rFonts w:hint="eastAsia" w:ascii="仿宋_GB2312" w:hAnsi="Verdana" w:eastAsia="仿宋_GB2312"/>
          <w:color w:val="000000"/>
          <w:sz w:val="32"/>
          <w:szCs w:val="32"/>
          <w:shd w:val="clear" w:color="auto" w:fill="FFFFFF"/>
          <w:lang w:eastAsia="zh-CN"/>
        </w:rPr>
        <w:t>，</w:t>
      </w:r>
      <w:r>
        <w:rPr>
          <w:rFonts w:hint="eastAsia" w:ascii="仿宋_GB2312" w:hAnsi="Verdana" w:eastAsia="仿宋_GB2312"/>
          <w:color w:val="000000"/>
          <w:sz w:val="32"/>
          <w:szCs w:val="32"/>
          <w:shd w:val="clear" w:color="auto" w:fill="FFFFFF"/>
          <w:lang w:val="en-US" w:eastAsia="zh-CN"/>
        </w:rPr>
        <w:t>有</w:t>
      </w:r>
      <w:r>
        <w:rPr>
          <w:rFonts w:hint="eastAsia" w:ascii="仿宋_GB2312" w:hAnsi="Verdana" w:eastAsia="仿宋_GB2312"/>
          <w:color w:val="000000"/>
          <w:sz w:val="32"/>
          <w:szCs w:val="32"/>
          <w:shd w:val="clear" w:color="auto" w:fill="FFFFFF"/>
        </w:rPr>
        <w:t>挪用</w:t>
      </w:r>
      <w:r>
        <w:rPr>
          <w:rFonts w:hint="eastAsia" w:ascii="仿宋_GB2312" w:hAnsi="Verdana" w:eastAsia="仿宋_GB2312"/>
          <w:color w:val="000000"/>
          <w:sz w:val="32"/>
          <w:szCs w:val="32"/>
          <w:shd w:val="clear" w:color="auto" w:fill="FFFFFF"/>
          <w:lang w:val="en-US" w:eastAsia="zh-CN"/>
        </w:rPr>
        <w:t>行政经费</w:t>
      </w:r>
      <w:r>
        <w:rPr>
          <w:rFonts w:hint="eastAsia" w:ascii="仿宋_GB2312" w:hAnsi="Verdana" w:eastAsia="仿宋_GB2312"/>
          <w:color w:val="000000"/>
          <w:sz w:val="32"/>
          <w:szCs w:val="32"/>
          <w:shd w:val="clear" w:color="auto" w:fill="FFFFFF"/>
        </w:rPr>
        <w:t>等情况。</w:t>
      </w:r>
    </w:p>
    <w:p w14:paraId="51C0E87B">
      <w:pPr>
        <w:spacing w:line="600" w:lineRule="exact"/>
        <w:ind w:firstLine="704" w:firstLineChars="220"/>
        <w:rPr>
          <w:rFonts w:hint="eastAsia" w:ascii="仿宋" w:hAnsi="仿宋" w:eastAsia="仿宋"/>
          <w:b/>
          <w:color w:val="000000"/>
          <w:sz w:val="32"/>
          <w:szCs w:val="32"/>
        </w:rPr>
      </w:pPr>
      <w:r>
        <w:rPr>
          <w:rFonts w:hint="eastAsia" w:ascii="仿宋_GB2312" w:hAnsi="Verdana" w:eastAsia="仿宋_GB2312"/>
          <w:color w:val="000000"/>
          <w:sz w:val="32"/>
          <w:szCs w:val="32"/>
          <w:shd w:val="clear" w:color="auto" w:fill="FFFFFF"/>
        </w:rPr>
        <w:t>本部门已制定资产管理制度，且相关资产管理制度合法、合规、完整；相关资产管理制度得到有效执行。</w:t>
      </w:r>
    </w:p>
    <w:p w14:paraId="4B85717B">
      <w:pPr>
        <w:spacing w:line="600" w:lineRule="exact"/>
        <w:ind w:firstLine="704" w:firstLineChars="220"/>
        <w:rPr>
          <w:rFonts w:hint="default" w:ascii="仿宋_GB2312" w:hAnsi="Verdana" w:eastAsia="仿宋_GB2312"/>
          <w:b/>
          <w:bCs/>
          <w:color w:val="000000"/>
          <w:sz w:val="32"/>
          <w:szCs w:val="32"/>
          <w:shd w:val="clear" w:color="auto" w:fill="FFFFFF"/>
          <w:lang w:val="en-US" w:eastAsia="zh-CN"/>
        </w:rPr>
      </w:pPr>
      <w:r>
        <w:rPr>
          <w:rFonts w:hint="eastAsia" w:ascii="仿宋_GB2312" w:hAnsi="Verdana" w:eastAsia="仿宋_GB2312"/>
          <w:b/>
          <w:bCs/>
          <w:color w:val="000000"/>
          <w:sz w:val="32"/>
          <w:szCs w:val="32"/>
          <w:shd w:val="clear" w:color="auto" w:fill="FFFFFF"/>
          <w:lang w:val="en-US" w:eastAsia="zh-CN"/>
        </w:rPr>
        <w:t>2、取得效果</w:t>
      </w:r>
    </w:p>
    <w:p w14:paraId="766ECA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2023年</w:t>
      </w:r>
      <w:r>
        <w:rPr>
          <w:rFonts w:hint="eastAsia" w:ascii="仿宋_GB2312" w:hAnsi="仿宋_GB2312" w:eastAsia="仿宋_GB2312" w:cs="仿宋_GB2312"/>
          <w:i w:val="0"/>
          <w:caps w:val="0"/>
          <w:color w:val="000000"/>
          <w:spacing w:val="0"/>
          <w:sz w:val="32"/>
          <w:szCs w:val="32"/>
          <w:shd w:val="clear" w:color="auto" w:fill="FFFFFF"/>
          <w:lang w:eastAsia="zh-CN"/>
        </w:rPr>
        <w:t>，市公共资源交易中心坚持稳字当头、稳中求进，全面落实区域中心化的任务目标，积极为社会主义现代化新衡阳凝心聚力，各项工作有力有序推进，全市公共资源交易运行呈现总体平稳态势。</w:t>
      </w:r>
      <w:r>
        <w:rPr>
          <w:rFonts w:hint="eastAsia" w:ascii="仿宋_GB2312" w:hAnsi="仿宋_GB2312" w:eastAsia="仿宋_GB2312" w:cs="仿宋_GB2312"/>
          <w:color w:val="000000"/>
          <w:sz w:val="32"/>
          <w:szCs w:val="32"/>
          <w:lang w:val="en-US" w:eastAsia="zh-CN"/>
        </w:rPr>
        <w:t>1—12月，</w:t>
      </w:r>
      <w:r>
        <w:rPr>
          <w:rFonts w:hint="eastAsia" w:ascii="仿宋_GB2312" w:hAnsi="仿宋_GB2312" w:eastAsia="仿宋_GB2312" w:cs="仿宋_GB2312"/>
          <w:i w:val="0"/>
          <w:caps w:val="0"/>
          <w:color w:val="000000"/>
          <w:spacing w:val="0"/>
          <w:sz w:val="32"/>
          <w:szCs w:val="32"/>
          <w:shd w:val="clear" w:color="auto" w:fill="FFFFFF"/>
          <w:lang w:val="en-US" w:eastAsia="zh-CN"/>
        </w:rPr>
        <w:t>共完成各类进场交易项目2796宗，成交金额415.14亿元，增收节支15.27亿元，完成交易服务费6736.1万元</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在复杂的经济形势下，</w:t>
      </w:r>
      <w:r>
        <w:rPr>
          <w:rFonts w:hint="eastAsia" w:ascii="仿宋_GB2312" w:hAnsi="仿宋_GB2312" w:eastAsia="仿宋_GB2312" w:cs="仿宋_GB2312"/>
          <w:color w:val="000000"/>
          <w:sz w:val="32"/>
          <w:szCs w:val="32"/>
          <w:lang w:val="en-US" w:eastAsia="zh-CN"/>
        </w:rPr>
        <w:t>经受住了严峻考验，为衡阳的项目建设和经济社会发展作出了应有的贡献。</w:t>
      </w:r>
    </w:p>
    <w:p w14:paraId="0E2FC80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1、锚定交易工作，</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政府</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集采、产权</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交易</w:t>
      </w:r>
      <w:r>
        <w:rPr>
          <w:rFonts w:hint="eastAsia" w:ascii="仿宋_GB2312" w:hAnsi="仿宋_GB2312" w:eastAsia="仿宋_GB2312" w:cs="仿宋_GB2312"/>
          <w:b/>
          <w:bCs/>
          <w:i w:val="0"/>
          <w:caps w:val="0"/>
          <w:color w:val="000000"/>
          <w:spacing w:val="0"/>
          <w:kern w:val="2"/>
          <w:sz w:val="32"/>
          <w:szCs w:val="32"/>
          <w:shd w:val="clear" w:color="auto" w:fill="FFFFFF"/>
          <w:lang w:val="en" w:eastAsia="zh-CN" w:bidi="ar-SA"/>
        </w:rPr>
        <w:t>再创新高</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集采业务在经济下行中逆势发展，</w:t>
      </w:r>
      <w:r>
        <w:rPr>
          <w:rFonts w:hint="eastAsia" w:ascii="仿宋_GB2312" w:hAnsi="仿宋_GB2312" w:eastAsia="仿宋_GB2312" w:cs="仿宋_GB2312"/>
          <w:i w:val="0"/>
          <w:caps w:val="0"/>
          <w:color w:val="000000"/>
          <w:spacing w:val="0"/>
          <w:sz w:val="32"/>
          <w:szCs w:val="32"/>
          <w:shd w:val="clear" w:color="auto" w:fill="FFFFFF"/>
          <w:lang w:val="en-US" w:eastAsia="zh-CN"/>
        </w:rPr>
        <w:t>1-12月新增受理项目123个，共完成开标、评标130个（含去年受理未完成），成交金额32653.46万元，节约资金2745.83万元，平均节支率达7.76%，与去年我市社会中介机构2.37%的平均节支率比较，超出5.39个百分点，为其3.27倍，集采成绩瞩目。</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国有产权业务屡创新高，截至12月底，国有产权完成交易350宗，成交额达66.22亿元，</w:t>
      </w:r>
      <w:r>
        <w:rPr>
          <w:rFonts w:hint="eastAsia" w:ascii="仿宋_GB2312" w:hAnsi="仿宋_GB2312" w:eastAsia="仿宋_GB2312" w:cs="仿宋_GB2312"/>
          <w:sz w:val="32"/>
          <w:szCs w:val="32"/>
        </w:rPr>
        <w:t>成交总额同比增加</w:t>
      </w:r>
      <w:r>
        <w:rPr>
          <w:rFonts w:hint="eastAsia" w:ascii="仿宋" w:hAnsi="仿宋" w:eastAsia="仿宋" w:cs="仿宋"/>
          <w:sz w:val="32"/>
          <w:szCs w:val="32"/>
          <w:lang w:val="en-US" w:eastAsia="zh-CN"/>
        </w:rPr>
        <w:t>447.03%</w:t>
      </w:r>
      <w:r>
        <w:rPr>
          <w:rFonts w:hint="eastAsia" w:ascii="仿宋_GB2312" w:hAnsi="仿宋_GB2312" w:eastAsia="仿宋_GB2312" w:cs="仿宋_GB2312"/>
          <w:b w:val="0"/>
          <w:bCs w:val="0"/>
          <w:i w:val="0"/>
          <w:caps w:val="0"/>
          <w:color w:val="000000"/>
          <w:spacing w:val="0"/>
          <w:kern w:val="2"/>
          <w:sz w:val="32"/>
          <w:szCs w:val="32"/>
          <w:shd w:val="clear" w:color="auto" w:fill="FFFFFF"/>
          <w:lang w:val="en-US" w:eastAsia="zh-CN" w:bidi="ar-SA"/>
        </w:rPr>
        <w:t>。此外，产权交易应进必进深入扩宽，</w:t>
      </w:r>
      <w:r>
        <w:rPr>
          <w:rFonts w:hint="eastAsia" w:ascii="仿宋_GB2312" w:hAnsi="仿宋_GB2312" w:eastAsia="仿宋_GB2312" w:cs="仿宋_GB2312"/>
          <w:i w:val="0"/>
          <w:caps w:val="0"/>
          <w:color w:val="000000"/>
          <w:spacing w:val="0"/>
          <w:sz w:val="32"/>
          <w:szCs w:val="32"/>
          <w:shd w:val="clear" w:color="auto" w:fill="FFFFFF"/>
          <w:lang w:val="en-US" w:eastAsia="zh-CN"/>
        </w:rPr>
        <w:t>排污权交易在中心成功落地，上线以来共完成交易68宗，交易总额达1677.26万元，排污权交易初见成效。</w:t>
      </w:r>
    </w:p>
    <w:p w14:paraId="2945570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2、提升信息化水平，“六统一”建设</w:t>
      </w:r>
      <w:r>
        <w:rPr>
          <w:rFonts w:hint="default" w:ascii="仿宋_GB2312" w:hAnsi="仿宋_GB2312" w:eastAsia="仿宋_GB2312" w:cs="仿宋_GB2312"/>
          <w:b/>
          <w:bCs/>
          <w:i w:val="0"/>
          <w:caps w:val="0"/>
          <w:color w:val="000000"/>
          <w:spacing w:val="0"/>
          <w:kern w:val="2"/>
          <w:sz w:val="32"/>
          <w:szCs w:val="32"/>
          <w:shd w:val="clear" w:color="auto" w:fill="FFFFFF"/>
          <w:lang w:val="en" w:eastAsia="zh-CN" w:bidi="ar-SA"/>
        </w:rPr>
        <w:t>走在前、当表率</w:t>
      </w:r>
      <w:r>
        <w:rPr>
          <w:rFonts w:hint="eastAsia" w:ascii="仿宋_GB2312" w:hAnsi="仿宋_GB2312" w:eastAsia="仿宋_GB2312" w:cs="仿宋_GB2312"/>
          <w:b/>
          <w:bCs/>
          <w:i w:val="0"/>
          <w:caps w:val="0"/>
          <w:color w:val="000000"/>
          <w:spacing w:val="0"/>
          <w:kern w:val="2"/>
          <w:sz w:val="32"/>
          <w:szCs w:val="32"/>
          <w:shd w:val="clear" w:color="auto" w:fill="FFFFFF"/>
          <w:lang w:val="en-US" w:eastAsia="zh-CN" w:bidi="ar-SA"/>
        </w:rPr>
        <w:t>。</w:t>
      </w:r>
      <w:r>
        <w:rPr>
          <w:rFonts w:hint="default" w:ascii="仿宋_GB2312" w:hAnsi="仿宋_GB2312" w:eastAsia="仿宋_GB2312" w:cs="仿宋_GB2312"/>
          <w:b w:val="0"/>
          <w:bCs w:val="0"/>
          <w:i w:val="0"/>
          <w:caps w:val="0"/>
          <w:color w:val="000000"/>
          <w:spacing w:val="0"/>
          <w:kern w:val="2"/>
          <w:sz w:val="32"/>
          <w:szCs w:val="32"/>
          <w:shd w:val="clear" w:color="auto" w:fill="FFFFFF"/>
          <w:lang w:val="en" w:eastAsia="zh-CN" w:bidi="ar-SA"/>
        </w:rPr>
        <w:t>全省公共资源交易信息化</w:t>
      </w:r>
      <w:r>
        <w:rPr>
          <w:rFonts w:hint="eastAsia" w:ascii="仿宋_GB2312" w:hAnsi="仿宋_GB2312" w:eastAsia="仿宋_GB2312" w:cs="仿宋_GB2312"/>
          <w:i w:val="0"/>
          <w:caps w:val="0"/>
          <w:color w:val="000000"/>
          <w:spacing w:val="0"/>
          <w:sz w:val="32"/>
          <w:szCs w:val="32"/>
          <w:shd w:val="clear" w:color="auto" w:fill="FFFFFF"/>
          <w:lang w:val="en-US" w:eastAsia="zh-CN"/>
        </w:rPr>
        <w:t>“六统一”</w:t>
      </w:r>
      <w:r>
        <w:rPr>
          <w:rFonts w:hint="default" w:ascii="仿宋_GB2312" w:hAnsi="仿宋_GB2312" w:eastAsia="仿宋_GB2312" w:cs="仿宋_GB2312"/>
          <w:i w:val="0"/>
          <w:caps w:val="0"/>
          <w:color w:val="000000"/>
          <w:spacing w:val="0"/>
          <w:sz w:val="32"/>
          <w:szCs w:val="32"/>
          <w:shd w:val="clear" w:color="auto" w:fill="FFFFFF"/>
          <w:lang w:val="en" w:eastAsia="zh-CN"/>
        </w:rPr>
        <w:t>建设统一部署以来，我中心在市委市政府的坚强领导下，在相关单位的大力配合下</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default" w:ascii="仿宋_GB2312" w:hAnsi="仿宋_GB2312" w:eastAsia="仿宋_GB2312" w:cs="仿宋_GB2312"/>
          <w:i w:val="0"/>
          <w:caps w:val="0"/>
          <w:color w:val="000000"/>
          <w:spacing w:val="0"/>
          <w:sz w:val="32"/>
          <w:szCs w:val="32"/>
          <w:shd w:val="clear" w:color="auto" w:fill="FFFFFF"/>
          <w:lang w:val="en" w:eastAsia="zh-CN"/>
        </w:rPr>
        <w:t>严格对照建设要求，一步一个脚印，踔厉奋发，圆满完成了各项指标任务，</w:t>
      </w:r>
      <w:r>
        <w:rPr>
          <w:rFonts w:hint="eastAsia" w:ascii="仿宋_GB2312" w:hAnsi="仿宋_GB2312" w:eastAsia="仿宋_GB2312" w:cs="仿宋_GB2312"/>
          <w:i w:val="0"/>
          <w:caps w:val="0"/>
          <w:color w:val="000000"/>
          <w:spacing w:val="0"/>
          <w:sz w:val="32"/>
          <w:szCs w:val="32"/>
          <w:shd w:val="clear" w:color="auto" w:fill="FFFFFF"/>
          <w:lang w:val="en-US" w:eastAsia="zh-CN"/>
        </w:rPr>
        <w:t>在11月的全省</w:t>
      </w:r>
      <w:r>
        <w:rPr>
          <w:rFonts w:hint="default" w:ascii="仿宋_GB2312" w:hAnsi="仿宋_GB2312" w:eastAsia="仿宋_GB2312" w:cs="仿宋_GB2312"/>
          <w:i w:val="0"/>
          <w:caps w:val="0"/>
          <w:color w:val="000000"/>
          <w:spacing w:val="0"/>
          <w:sz w:val="32"/>
          <w:szCs w:val="32"/>
          <w:shd w:val="clear" w:color="auto" w:fill="FFFFFF"/>
          <w:lang w:val="en" w:eastAsia="zh-CN"/>
        </w:rPr>
        <w:t>统一考核</w:t>
      </w:r>
      <w:r>
        <w:rPr>
          <w:rFonts w:hint="eastAsia" w:ascii="仿宋_GB2312" w:hAnsi="仿宋_GB2312" w:eastAsia="仿宋_GB2312" w:cs="仿宋_GB2312"/>
          <w:i w:val="0"/>
          <w:caps w:val="0"/>
          <w:color w:val="000000"/>
          <w:spacing w:val="0"/>
          <w:sz w:val="32"/>
          <w:szCs w:val="32"/>
          <w:shd w:val="clear" w:color="auto" w:fill="FFFFFF"/>
          <w:lang w:val="en-US" w:eastAsia="zh-CN"/>
        </w:rPr>
        <w:t>中，获得省发改、省中心</w:t>
      </w:r>
      <w:r>
        <w:rPr>
          <w:rFonts w:hint="default" w:ascii="仿宋_GB2312" w:hAnsi="仿宋_GB2312" w:eastAsia="仿宋_GB2312" w:cs="仿宋_GB2312"/>
          <w:i w:val="0"/>
          <w:caps w:val="0"/>
          <w:color w:val="000000"/>
          <w:spacing w:val="0"/>
          <w:sz w:val="32"/>
          <w:szCs w:val="32"/>
          <w:shd w:val="clear" w:color="auto" w:fill="FFFFFF"/>
          <w:lang w:val="en" w:eastAsia="zh-CN"/>
        </w:rPr>
        <w:t>检查组</w:t>
      </w:r>
      <w:r>
        <w:rPr>
          <w:rFonts w:hint="eastAsia" w:ascii="仿宋_GB2312" w:hAnsi="仿宋_GB2312" w:eastAsia="仿宋_GB2312" w:cs="仿宋_GB2312"/>
          <w:i w:val="0"/>
          <w:caps w:val="0"/>
          <w:color w:val="000000"/>
          <w:spacing w:val="0"/>
          <w:sz w:val="32"/>
          <w:szCs w:val="32"/>
          <w:shd w:val="clear" w:color="auto" w:fill="FFFFFF"/>
          <w:lang w:val="en-US" w:eastAsia="zh-CN"/>
        </w:rPr>
        <w:t>的</w:t>
      </w:r>
      <w:r>
        <w:rPr>
          <w:rFonts w:hint="default" w:ascii="仿宋_GB2312" w:hAnsi="仿宋_GB2312" w:eastAsia="仿宋_GB2312" w:cs="仿宋_GB2312"/>
          <w:i w:val="0"/>
          <w:caps w:val="0"/>
          <w:color w:val="000000"/>
          <w:spacing w:val="0"/>
          <w:sz w:val="32"/>
          <w:szCs w:val="32"/>
          <w:shd w:val="clear" w:color="auto" w:fill="FFFFFF"/>
          <w:lang w:val="en" w:eastAsia="zh-CN"/>
        </w:rPr>
        <w:t>充分肯定和一致好评，衡阳“六统一”建设在全省名列前茅</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b/>
          <w:bCs/>
          <w:i w:val="0"/>
          <w:caps w:val="0"/>
          <w:color w:val="000000"/>
          <w:spacing w:val="0"/>
          <w:sz w:val="32"/>
          <w:szCs w:val="32"/>
          <w:vertAlign w:val="baseline"/>
          <w:lang w:val="en-US" w:eastAsia="zh-CN"/>
        </w:rPr>
        <w:t>一是统一主干系统部署。</w:t>
      </w:r>
      <w:r>
        <w:rPr>
          <w:rFonts w:hint="eastAsia" w:ascii="仿宋_GB2312" w:hAnsi="仿宋_GB2312" w:eastAsia="仿宋_GB2312" w:cs="仿宋_GB2312"/>
          <w:b w:val="0"/>
          <w:bCs w:val="0"/>
          <w:i w:val="0"/>
          <w:caps w:val="0"/>
          <w:color w:val="000000"/>
          <w:spacing w:val="0"/>
          <w:sz w:val="32"/>
          <w:szCs w:val="32"/>
          <w:vertAlign w:val="baseline"/>
          <w:lang w:val="en-US" w:eastAsia="zh-CN"/>
        </w:rPr>
        <w:t>实现交易系统与电子政务外网通信。完成省交易服务平台部署，</w:t>
      </w:r>
      <w:r>
        <w:rPr>
          <w:rFonts w:hint="eastAsia" w:ascii="仿宋_GB2312" w:hAnsi="仿宋_GB2312" w:eastAsia="仿宋_GB2312" w:cs="仿宋_GB2312"/>
          <w:i w:val="0"/>
          <w:caps w:val="0"/>
          <w:color w:val="000000"/>
          <w:spacing w:val="0"/>
          <w:sz w:val="32"/>
          <w:szCs w:val="32"/>
          <w:vertAlign w:val="baseline"/>
          <w:lang w:val="en-US" w:eastAsia="zh-CN"/>
        </w:rPr>
        <w:t>实现交易数据推送、开标信息对接、图文及监管信息发布。</w:t>
      </w:r>
      <w:r>
        <w:rPr>
          <w:rFonts w:hint="eastAsia" w:ascii="仿宋_GB2312" w:hAnsi="仿宋_GB2312" w:eastAsia="仿宋_GB2312" w:cs="仿宋_GB2312"/>
          <w:b w:val="0"/>
          <w:bCs w:val="0"/>
          <w:i w:val="0"/>
          <w:caps w:val="0"/>
          <w:color w:val="000000"/>
          <w:spacing w:val="0"/>
          <w:sz w:val="32"/>
          <w:szCs w:val="32"/>
          <w:vertAlign w:val="baseline"/>
          <w:lang w:val="en-US" w:eastAsia="zh-CN"/>
        </w:rPr>
        <w:t>完成市场主体注册系统部署，实现与省统一注册平台对接及用户双向认证。完成历史用户数据迁移，接入全省CA与电子签章资源共享系统，</w:t>
      </w:r>
      <w:r>
        <w:rPr>
          <w:rFonts w:hint="eastAsia" w:ascii="仿宋_GB2312" w:hAnsi="仿宋_GB2312" w:eastAsia="仿宋_GB2312" w:cs="仿宋_GB2312"/>
          <w:i w:val="0"/>
          <w:caps w:val="0"/>
          <w:color w:val="000000"/>
          <w:spacing w:val="0"/>
          <w:sz w:val="32"/>
          <w:szCs w:val="32"/>
          <w:vertAlign w:val="baseline"/>
          <w:lang w:val="en-US" w:eastAsia="zh-CN"/>
        </w:rPr>
        <w:t>实现数字证书“一地办理，全省通用”。</w:t>
      </w:r>
      <w:r>
        <w:rPr>
          <w:rFonts w:hint="eastAsia" w:ascii="仿宋_GB2312" w:hAnsi="仿宋_GB2312" w:eastAsia="仿宋_GB2312" w:cs="仿宋_GB2312"/>
          <w:b w:val="0"/>
          <w:bCs w:val="0"/>
          <w:i w:val="0"/>
          <w:caps w:val="0"/>
          <w:color w:val="000000"/>
          <w:spacing w:val="0"/>
          <w:sz w:val="32"/>
          <w:szCs w:val="32"/>
          <w:vertAlign w:val="baseline"/>
          <w:lang w:val="en-US" w:eastAsia="zh-CN"/>
        </w:rPr>
        <w:t>完成数据微中台部署，</w:t>
      </w:r>
      <w:r>
        <w:rPr>
          <w:rFonts w:hint="eastAsia" w:ascii="仿宋_GB2312" w:hAnsi="仿宋_GB2312" w:eastAsia="仿宋_GB2312" w:cs="仿宋_GB2312"/>
          <w:i w:val="0"/>
          <w:caps w:val="0"/>
          <w:color w:val="000000"/>
          <w:spacing w:val="0"/>
          <w:sz w:val="32"/>
          <w:szCs w:val="32"/>
          <w:vertAlign w:val="baseline"/>
        </w:rPr>
        <w:t>完成</w:t>
      </w:r>
      <w:r>
        <w:rPr>
          <w:rFonts w:hint="eastAsia" w:ascii="仿宋_GB2312" w:hAnsi="仿宋_GB2312" w:eastAsia="仿宋_GB2312" w:cs="仿宋_GB2312"/>
          <w:i w:val="0"/>
          <w:caps w:val="0"/>
          <w:color w:val="000000"/>
          <w:spacing w:val="0"/>
          <w:sz w:val="32"/>
          <w:szCs w:val="32"/>
          <w:vertAlign w:val="baseline"/>
          <w:lang w:eastAsia="zh-CN"/>
        </w:rPr>
        <w:t>现有系统</w:t>
      </w:r>
      <w:r>
        <w:rPr>
          <w:rFonts w:hint="eastAsia" w:ascii="仿宋_GB2312" w:hAnsi="仿宋_GB2312" w:eastAsia="仿宋_GB2312" w:cs="仿宋_GB2312"/>
          <w:sz w:val="32"/>
          <w:szCs w:val="32"/>
          <w:lang w:val="en-US" w:eastAsia="zh-CN"/>
        </w:rPr>
        <w:t>基础信息填报。完成数据微中台、API智能网关的部署。完成存量数据迁移，实现数据中台对我市交易数据的实时抽取。</w:t>
      </w:r>
      <w:r>
        <w:rPr>
          <w:rFonts w:hint="eastAsia" w:ascii="仿宋_GB2312" w:hAnsi="仿宋_GB2312" w:eastAsia="仿宋_GB2312" w:cs="仿宋_GB2312"/>
          <w:b w:val="0"/>
          <w:bCs w:val="0"/>
          <w:sz w:val="32"/>
          <w:szCs w:val="32"/>
          <w:lang w:val="en-US" w:eastAsia="zh-CN"/>
        </w:rPr>
        <w:t>完成省工程招标投标电子交易系统部署，</w:t>
      </w:r>
      <w:r>
        <w:rPr>
          <w:rFonts w:hint="eastAsia" w:ascii="仿宋_GB2312" w:hAnsi="仿宋_GB2312" w:eastAsia="仿宋_GB2312" w:cs="仿宋_GB2312"/>
          <w:sz w:val="32"/>
          <w:szCs w:val="32"/>
          <w:lang w:val="en-US" w:eastAsia="zh-CN"/>
        </w:rPr>
        <w:t>部署省下发工程电子交易系统，并与保证金系统、场地预约系统对接。上线远程复核、线上复评功能。</w:t>
      </w:r>
      <w:r>
        <w:rPr>
          <w:rFonts w:hint="eastAsia" w:ascii="仿宋_GB2312" w:hAnsi="仿宋_GB2312" w:eastAsia="仿宋_GB2312" w:cs="仿宋_GB2312"/>
          <w:b w:val="0"/>
          <w:bCs w:val="0"/>
          <w:sz w:val="32"/>
          <w:szCs w:val="32"/>
          <w:lang w:val="en-US" w:eastAsia="zh-CN"/>
        </w:rPr>
        <w:t>完成涉国有资源类电子竞价系统、远程异地评标综合调度系统部署，实现与省综合评标专家库对接，远程异地评标项目均配备专人值守。对接政府采购交易系统，实现全环节全量信息上报。</w:t>
      </w:r>
      <w:r>
        <w:rPr>
          <w:rFonts w:hint="eastAsia" w:ascii="仿宋_GB2312" w:hAnsi="仿宋_GB2312" w:eastAsia="仿宋_GB2312" w:cs="仿宋_GB2312"/>
          <w:b w:val="0"/>
          <w:bCs w:val="0"/>
          <w:color w:val="auto"/>
          <w:sz w:val="32"/>
          <w:szCs w:val="32"/>
          <w:lang w:val="en-US" w:eastAsia="zh-CN"/>
        </w:rPr>
        <w:t>对接行政监督平台，实现交易实时监督。</w:t>
      </w:r>
      <w:r>
        <w:rPr>
          <w:rFonts w:hint="eastAsia" w:ascii="仿宋_GB2312" w:hAnsi="仿宋_GB2312" w:eastAsia="仿宋_GB2312" w:cs="仿宋_GB2312"/>
          <w:b/>
          <w:bCs/>
          <w:color w:val="auto"/>
          <w:sz w:val="32"/>
          <w:szCs w:val="32"/>
          <w:lang w:val="en-US" w:eastAsia="zh-CN"/>
        </w:rPr>
        <w:t>二是统一平台运行及规程。</w:t>
      </w:r>
      <w:r>
        <w:rPr>
          <w:rFonts w:hint="eastAsia" w:ascii="仿宋_GB2312" w:hAnsi="仿宋_GB2312" w:eastAsia="仿宋_GB2312" w:cs="仿宋_GB2312"/>
          <w:b w:val="0"/>
          <w:bCs w:val="0"/>
          <w:color w:val="auto"/>
          <w:sz w:val="32"/>
          <w:szCs w:val="32"/>
          <w:lang w:val="en-US" w:eastAsia="zh-CN"/>
        </w:rPr>
        <w:t>对接一体化网上受理系统，</w:t>
      </w:r>
      <w:r>
        <w:rPr>
          <w:rFonts w:hint="eastAsia" w:ascii="仿宋_GB2312" w:hAnsi="仿宋_GB2312" w:eastAsia="仿宋_GB2312" w:cs="仿宋_GB2312"/>
          <w:color w:val="auto"/>
          <w:sz w:val="32"/>
          <w:szCs w:val="32"/>
          <w:lang w:val="en-US" w:eastAsia="zh-CN"/>
        </w:rPr>
        <w:t>实现项目受理登记、场地预定、项目信息发布全程线上办理；实现自主预定开标室、自动分配评标室；实现与全省进统一受理系统数据交互及对外公示</w:t>
      </w:r>
      <w:r>
        <w:rPr>
          <w:rFonts w:hint="eastAsia" w:ascii="仿宋_GB2312" w:hAnsi="仿宋_GB2312" w:eastAsia="仿宋_GB2312" w:cs="仿宋_GB2312"/>
          <w:b w:val="0"/>
          <w:bCs w:val="0"/>
          <w:color w:val="auto"/>
          <w:sz w:val="32"/>
          <w:szCs w:val="32"/>
          <w:lang w:val="en-US" w:eastAsia="zh-CN"/>
        </w:rPr>
        <w:t>。完成“啄木鸟”预警系统部署，实现</w:t>
      </w:r>
      <w:r>
        <w:rPr>
          <w:rFonts w:hint="eastAsia" w:ascii="仿宋_GB2312" w:hAnsi="仿宋_GB2312" w:eastAsia="仿宋_GB2312" w:cs="仿宋_GB2312"/>
          <w:color w:val="auto"/>
          <w:sz w:val="32"/>
          <w:szCs w:val="32"/>
          <w:lang w:val="en-US" w:eastAsia="zh-CN"/>
        </w:rPr>
        <w:t>预警指标的全量数据传输并形成预警分析报告。</w:t>
      </w:r>
      <w:r>
        <w:rPr>
          <w:rFonts w:hint="eastAsia" w:ascii="仿宋_GB2312" w:hAnsi="仿宋_GB2312" w:eastAsia="仿宋_GB2312" w:cs="仿宋_GB2312"/>
          <w:b w:val="0"/>
          <w:bCs w:val="0"/>
          <w:color w:val="auto"/>
          <w:sz w:val="32"/>
          <w:szCs w:val="32"/>
          <w:lang w:val="en-US" w:eastAsia="zh-CN"/>
        </w:rPr>
        <w:t>评标区实现“六不”管理，实现评标期间评标区全封闭；评标室配备多因子评标互动终端；评标区人证比对入区；业主评委信息自动传输至门禁闸机；专家信息实现全密闭传输。完成一体化“三合一”电子交易，</w:t>
      </w:r>
      <w:r>
        <w:rPr>
          <w:rFonts w:hint="eastAsia" w:ascii="仿宋_GB2312" w:hAnsi="仿宋_GB2312" w:eastAsia="仿宋_GB2312" w:cs="仿宋_GB2312"/>
          <w:color w:val="auto"/>
          <w:sz w:val="32"/>
          <w:szCs w:val="32"/>
          <w:lang w:val="en-US" w:eastAsia="zh-CN"/>
        </w:rPr>
        <w:t>开标、评标、异常情况等实现数字见证</w:t>
      </w:r>
      <w:r>
        <w:rPr>
          <w:rFonts w:hint="eastAsia" w:ascii="仿宋_GB2312" w:hAnsi="仿宋_GB2312" w:eastAsia="仿宋_GB2312" w:cs="仿宋_GB2312"/>
          <w:b w:val="0"/>
          <w:bCs w:val="0"/>
          <w:color w:val="auto"/>
          <w:sz w:val="32"/>
          <w:szCs w:val="32"/>
          <w:lang w:val="en-US" w:eastAsia="zh-CN"/>
        </w:rPr>
        <w:t>。完成数字见证系统的部署，</w:t>
      </w:r>
      <w:r>
        <w:rPr>
          <w:rFonts w:hint="eastAsia" w:ascii="仿宋_GB2312" w:hAnsi="仿宋_GB2312" w:eastAsia="仿宋_GB2312" w:cs="仿宋_GB2312"/>
          <w:color w:val="auto"/>
          <w:sz w:val="32"/>
          <w:szCs w:val="32"/>
          <w:lang w:val="en-US" w:eastAsia="zh-CN"/>
        </w:rPr>
        <w:t>实现数字见证报告标准化及公示。</w:t>
      </w:r>
      <w:r>
        <w:rPr>
          <w:rFonts w:hint="eastAsia" w:ascii="仿宋_GB2312" w:hAnsi="仿宋_GB2312" w:eastAsia="仿宋_GB2312" w:cs="仿宋_GB2312"/>
          <w:b/>
          <w:bCs/>
          <w:color w:val="auto"/>
          <w:sz w:val="32"/>
          <w:szCs w:val="32"/>
          <w:lang w:val="en-US" w:eastAsia="zh-CN"/>
        </w:rPr>
        <w:t>三是统一数据接口标准及路径。</w:t>
      </w:r>
      <w:r>
        <w:rPr>
          <w:rFonts w:hint="eastAsia" w:ascii="仿宋_GB2312" w:hAnsi="仿宋_GB2312" w:eastAsia="仿宋_GB2312" w:cs="仿宋_GB2312"/>
          <w:b w:val="0"/>
          <w:bCs w:val="0"/>
          <w:color w:val="auto"/>
          <w:sz w:val="32"/>
          <w:szCs w:val="32"/>
          <w:lang w:val="en-US" w:eastAsia="zh-CN"/>
        </w:rPr>
        <w:t>实现交易平台实时数据抽取，按数据目录要求完成数据标准治理。</w:t>
      </w:r>
    </w:p>
    <w:p w14:paraId="1C99CA2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olor w:val="000000"/>
          <w:sz w:val="32"/>
          <w:szCs w:val="32"/>
          <w:lang w:eastAsia="zh-CN"/>
        </w:rPr>
      </w:pPr>
      <w:r>
        <w:rPr>
          <w:rFonts w:hint="eastAsia" w:ascii="仿宋_GB2312" w:hAnsi="仿宋_GB2312" w:eastAsia="仿宋_GB2312" w:cs="仿宋_GB2312"/>
          <w:b/>
          <w:bCs/>
          <w:color w:val="000000"/>
          <w:sz w:val="32"/>
          <w:szCs w:val="32"/>
          <w:lang w:val="en-US" w:eastAsia="zh-CN"/>
        </w:rPr>
        <w:t>3、</w:t>
      </w:r>
      <w:r>
        <w:rPr>
          <w:rFonts w:hint="default" w:ascii="仿宋_GB2312" w:hAnsi="仿宋_GB2312" w:eastAsia="仿宋_GB2312" w:cs="仿宋_GB2312"/>
          <w:b/>
          <w:bCs/>
          <w:color w:val="000000"/>
          <w:sz w:val="32"/>
          <w:szCs w:val="32"/>
          <w:lang w:val="en" w:eastAsia="zh-CN"/>
        </w:rPr>
        <w:t>优化</w:t>
      </w:r>
      <w:r>
        <w:rPr>
          <w:rFonts w:hint="eastAsia" w:ascii="仿宋_GB2312" w:hAnsi="仿宋_GB2312" w:eastAsia="仿宋_GB2312" w:cs="仿宋_GB2312"/>
          <w:b/>
          <w:bCs/>
          <w:color w:val="000000"/>
          <w:sz w:val="32"/>
          <w:szCs w:val="32"/>
          <w:lang w:val="en-US" w:eastAsia="zh-CN"/>
        </w:rPr>
        <w:t>现场管理</w:t>
      </w:r>
      <w:r>
        <w:rPr>
          <w:rFonts w:hint="default" w:ascii="仿宋_GB2312" w:hAnsi="仿宋_GB2312" w:eastAsia="仿宋_GB2312" w:cs="仿宋_GB2312"/>
          <w:b/>
          <w:bCs/>
          <w:color w:val="000000"/>
          <w:sz w:val="32"/>
          <w:szCs w:val="32"/>
          <w:lang w:val="en" w:eastAsia="zh-CN"/>
        </w:rPr>
        <w:t>服务</w:t>
      </w:r>
      <w:r>
        <w:rPr>
          <w:rFonts w:hint="eastAsia" w:ascii="仿宋_GB2312" w:hAnsi="仿宋_GB2312" w:eastAsia="仿宋_GB2312" w:cs="仿宋_GB2312"/>
          <w:b/>
          <w:bCs/>
          <w:color w:val="000000"/>
          <w:sz w:val="32"/>
          <w:szCs w:val="32"/>
          <w:lang w:val="en-US" w:eastAsia="zh-CN"/>
        </w:rPr>
        <w:t>，</w:t>
      </w:r>
      <w:r>
        <w:rPr>
          <w:rFonts w:hint="default" w:ascii="仿宋_GB2312" w:hAnsi="仿宋_GB2312" w:eastAsia="仿宋_GB2312" w:cs="仿宋_GB2312"/>
          <w:b/>
          <w:bCs/>
          <w:color w:val="000000"/>
          <w:sz w:val="32"/>
          <w:szCs w:val="32"/>
          <w:lang w:val="en" w:eastAsia="zh-CN"/>
        </w:rPr>
        <w:t>市场主体认可度、美誉度显著提升</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今年，我们锚定营商环境优化，切实提升现场服务质量、规范交易流程，修订了《内部管理制度》《业务工作服务规范》，明确了122项工作制度规范。实行业主委派评委备案制，对一般项目原则上不委派业主评委，特殊情况确需要委派时，按照“谁委派，谁负责”的原</w:t>
      </w:r>
      <w:r>
        <w:rPr>
          <w:rFonts w:hint="eastAsia" w:ascii="仿宋_GB2312" w:hAnsi="仿宋_GB2312" w:eastAsia="仿宋_GB2312" w:cs="仿宋_GB2312"/>
          <w:sz w:val="32"/>
          <w:szCs w:val="32"/>
          <w:lang w:eastAsia="zh-CN"/>
        </w:rPr>
        <w:t>则，由采购人承担主体责任，并向同级财政采购监管部门备案。实行业主评委席位制，设立业主评委专用评标室，将业主评委和专家库抽取评委进行物理隔离，评标过程采用文字交流软件进行沟通，</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自动存档、备案、查询，确保业主评委与专家库抽取评委实现完全独立评标。</w:t>
      </w:r>
      <w:r>
        <w:rPr>
          <w:rFonts w:hint="eastAsia" w:ascii="仿宋_GB2312" w:hAnsi="仿宋_GB2312" w:eastAsia="仿宋_GB2312" w:cs="仿宋_GB2312"/>
          <w:i w:val="0"/>
          <w:caps w:val="0"/>
          <w:color w:val="000000"/>
          <w:spacing w:val="0"/>
          <w:sz w:val="32"/>
          <w:szCs w:val="32"/>
          <w:shd w:val="clear" w:color="auto" w:fill="FFFFFF"/>
          <w:lang w:val="en-US" w:eastAsia="zh-CN"/>
        </w:rPr>
        <w:t>对不良行为打击有力，共报送48起（采购10起，工程38起）异常情况、85起不良行为，做到了信息准确，场地使用无差错，切实优化了营商环境。</w:t>
      </w:r>
    </w:p>
    <w:p w14:paraId="126A35AF">
      <w:pPr>
        <w:pStyle w:val="19"/>
        <w:widowControl/>
        <w:numPr>
          <w:ilvl w:val="0"/>
          <w:numId w:val="2"/>
        </w:numPr>
        <w:ind w:firstLine="640"/>
        <w:rPr>
          <w:rFonts w:eastAsia="黑体"/>
          <w:sz w:val="32"/>
          <w:szCs w:val="32"/>
        </w:rPr>
      </w:pPr>
      <w:r>
        <w:rPr>
          <w:rFonts w:eastAsia="黑体"/>
          <w:sz w:val="32"/>
          <w:szCs w:val="32"/>
        </w:rPr>
        <w:t>存在的问题及原因分析</w:t>
      </w:r>
    </w:p>
    <w:p w14:paraId="7854055C">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color w:val="auto"/>
          <w:sz w:val="32"/>
          <w:lang w:eastAsia="zh-CN"/>
        </w:rPr>
        <w:t>预算执行还不够严格</w:t>
      </w:r>
      <w:r>
        <w:rPr>
          <w:rFonts w:hint="eastAsia" w:ascii="楷体" w:hAnsi="楷体" w:eastAsia="楷体" w:cs="楷体"/>
          <w:color w:val="auto"/>
          <w:sz w:val="32"/>
          <w:lang w:eastAsia="zh-CN"/>
        </w:rPr>
        <w:t>。</w:t>
      </w:r>
      <w:r>
        <w:rPr>
          <w:rFonts w:hint="eastAsia" w:ascii="仿宋" w:hAnsi="仿宋" w:eastAsia="仿宋" w:cs="仿宋"/>
          <w:color w:val="auto"/>
          <w:sz w:val="32"/>
          <w:lang w:eastAsia="zh-CN"/>
        </w:rPr>
        <w:t>还存在</w:t>
      </w:r>
      <w:r>
        <w:rPr>
          <w:rFonts w:hint="eastAsia" w:ascii="仿宋" w:hAnsi="仿宋" w:eastAsia="仿宋" w:cs="仿宋"/>
          <w:kern w:val="2"/>
          <w:sz w:val="32"/>
          <w:szCs w:val="32"/>
          <w:lang w:val="en-US" w:eastAsia="zh-CN" w:bidi="ar-SA"/>
        </w:rPr>
        <w:t>随意调剂资金用途、对预算资金的使用情况没有进行跟踪问效。</w:t>
      </w:r>
    </w:p>
    <w:p w14:paraId="621C1CA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 w:hAnsi="仿宋" w:eastAsia="仿宋" w:cs="仿宋"/>
          <w:color w:val="auto"/>
          <w:sz w:val="32"/>
          <w:lang w:val="en-US" w:eastAsia="zh-CN"/>
        </w:rPr>
      </w:pPr>
      <w:r>
        <w:rPr>
          <w:rFonts w:hint="eastAsia" w:ascii="楷体" w:hAnsi="楷体" w:eastAsia="楷体" w:cs="楷体"/>
          <w:b w:val="0"/>
          <w:bCs w:val="0"/>
          <w:color w:val="auto"/>
          <w:sz w:val="32"/>
          <w:szCs w:val="22"/>
          <w:lang w:val="en-US" w:eastAsia="zh-CN"/>
        </w:rPr>
        <w:t xml:space="preserve">   </w:t>
      </w:r>
      <w:r>
        <w:rPr>
          <w:rFonts w:hint="eastAsia" w:ascii="楷体" w:hAnsi="楷体" w:eastAsia="楷体" w:cs="楷体"/>
          <w:b/>
          <w:bCs/>
          <w:color w:val="auto"/>
          <w:sz w:val="32"/>
          <w:szCs w:val="22"/>
          <w:lang w:val="en-US" w:eastAsia="zh-CN"/>
        </w:rPr>
        <w:t xml:space="preserve"> 2.整体支出绩效目标设置不够准确。</w:t>
      </w:r>
      <w:r>
        <w:rPr>
          <w:rFonts w:hint="eastAsia" w:ascii="仿宋" w:hAnsi="仿宋" w:eastAsia="仿宋" w:cs="仿宋"/>
          <w:color w:val="auto"/>
          <w:sz w:val="32"/>
          <w:szCs w:val="22"/>
          <w:lang w:eastAsia="zh-CN"/>
        </w:rPr>
        <w:t>2</w:t>
      </w:r>
      <w:r>
        <w:rPr>
          <w:rFonts w:hint="eastAsia" w:ascii="仿宋" w:hAnsi="仿宋" w:eastAsia="仿宋" w:cs="仿宋"/>
          <w:bCs/>
          <w:kern w:val="2"/>
          <w:sz w:val="32"/>
          <w:szCs w:val="32"/>
        </w:rPr>
        <w:t>02</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年度部门整体支出绩效目标申报表，相关绩效目标不够详实，未能依据本部门的工作计划及工作目标细化量化本部门的整体支出绩效目标</w:t>
      </w:r>
      <w:r>
        <w:rPr>
          <w:rFonts w:hint="eastAsia" w:ascii="仿宋" w:hAnsi="仿宋" w:eastAsia="仿宋" w:cs="仿宋"/>
          <w:bCs/>
          <w:kern w:val="2"/>
          <w:sz w:val="32"/>
          <w:szCs w:val="32"/>
          <w:lang w:eastAsia="zh-CN"/>
        </w:rPr>
        <w:t>。</w:t>
      </w:r>
    </w:p>
    <w:p w14:paraId="77344CF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kern w:val="2"/>
          <w:sz w:val="32"/>
          <w:szCs w:val="32"/>
          <w:lang w:val="en-US" w:eastAsia="zh-CN" w:bidi="ar-SA"/>
        </w:rPr>
        <w:t>固定资产核算不够规范。</w:t>
      </w:r>
    </w:p>
    <w:p w14:paraId="0F5480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78" w:lineRule="exact"/>
        <w:ind w:left="0" w:right="0" w:firstLine="660"/>
        <w:jc w:val="left"/>
        <w:textAlignment w:val="auto"/>
        <w:rPr>
          <w:rFonts w:hint="eastAsia" w:ascii="楷体" w:hAnsi="楷体" w:eastAsia="楷体" w:cs="楷体"/>
          <w:b/>
          <w:bCs/>
          <w:color w:val="auto"/>
          <w:sz w:val="32"/>
          <w:szCs w:val="32"/>
          <w:lang w:val="en-US" w:eastAsia="zh-CN"/>
        </w:rPr>
      </w:pPr>
      <w:r>
        <w:rPr>
          <w:rFonts w:hint="eastAsia" w:ascii="仿宋" w:hAnsi="仿宋" w:eastAsia="仿宋" w:cs="仿宋"/>
          <w:b w:val="0"/>
          <w:bCs w:val="0"/>
          <w:color w:val="auto"/>
          <w:sz w:val="32"/>
          <w:lang w:val="en-US" w:eastAsia="zh-CN"/>
        </w:rPr>
        <w:t>固定资产的配置不够合理，</w:t>
      </w:r>
      <w:r>
        <w:rPr>
          <w:rFonts w:hint="eastAsia" w:ascii="仿宋" w:hAnsi="仿宋" w:eastAsia="仿宋" w:cs="仿宋"/>
          <w:b w:val="0"/>
          <w:bCs w:val="0"/>
          <w:color w:val="auto"/>
          <w:sz w:val="32"/>
          <w:lang w:eastAsia="zh-CN"/>
        </w:rPr>
        <w:t>没有</w:t>
      </w:r>
      <w:r>
        <w:rPr>
          <w:rFonts w:hint="eastAsia" w:ascii="仿宋" w:hAnsi="仿宋" w:eastAsia="仿宋" w:cs="仿宋"/>
          <w:b w:val="0"/>
          <w:bCs w:val="0"/>
          <w:kern w:val="2"/>
          <w:sz w:val="32"/>
          <w:szCs w:val="32"/>
          <w:lang w:val="en-US" w:eastAsia="zh-CN" w:bidi="ar-SA"/>
        </w:rPr>
        <w:t>定</w:t>
      </w:r>
      <w:r>
        <w:rPr>
          <w:rFonts w:hint="eastAsia" w:ascii="仿宋" w:hAnsi="仿宋" w:eastAsia="仿宋" w:cs="仿宋"/>
          <w:kern w:val="2"/>
          <w:sz w:val="32"/>
          <w:szCs w:val="32"/>
          <w:lang w:val="en-US" w:eastAsia="zh-CN" w:bidi="ar-SA"/>
        </w:rPr>
        <w:t>期对固定资产的使用情况进行分析，固定资产利用率还不高，固定资产的调出、处置、报废、报损等没有严格按照有关规定进行办理。</w:t>
      </w:r>
    </w:p>
    <w:p w14:paraId="2D1E15B0">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0A08D3D7">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一、扎实做好预算编制。一是提高预算编制的科学性、合理性、严谨性和可控性。预算编制范围尽可能的全面、不漏项，在编制基本支出预算时，充分考虑单位人员、岗位、薪级、工龄变化等因素，减少基本支出调整率，编制预算时参考上年支出的实际情况对本年度预算进行调整，对于实际支出超出预算的项目考虑适当调增，对于实际支出小于预算的项目，下年度预算适当调减。二是改变严预算、松追加的分配观念。从根本上减少或杜绝预算执行中的追加，对确实需要追加预算经费的，尽可能考虑从本单位的其他经费项目累计结余额中调剂使用，这样一来可以简化追加预算手续，同时可以降低预算单位预算资金累计结余额，提高预算资金使用效益。</w:t>
      </w:r>
    </w:p>
    <w:p w14:paraId="137B6507">
      <w:pPr>
        <w:widowControl/>
        <w:spacing w:line="600" w:lineRule="exact"/>
        <w:ind w:firstLine="640" w:firstLineChars="200"/>
        <w:jc w:val="left"/>
        <w:rPr>
          <w:rFonts w:hint="eastAsia" w:ascii="仿宋_GB2312" w:hAnsi="Verdana" w:eastAsia="仿宋_GB2312"/>
          <w:color w:val="000000"/>
          <w:sz w:val="32"/>
          <w:szCs w:val="32"/>
          <w:shd w:val="clear" w:color="auto" w:fill="FFFFFF"/>
          <w:lang w:val="en-US" w:eastAsia="zh-CN"/>
        </w:rPr>
      </w:pPr>
      <w:r>
        <w:rPr>
          <w:rFonts w:hint="eastAsia" w:ascii="仿宋_GB2312" w:hAnsi="Verdana" w:eastAsia="仿宋_GB2312"/>
          <w:color w:val="000000"/>
          <w:sz w:val="32"/>
          <w:szCs w:val="32"/>
          <w:shd w:val="clear" w:color="auto" w:fill="FFFFFF"/>
          <w:lang w:val="en-US" w:eastAsia="zh-CN"/>
        </w:rPr>
        <w:t>二、加强预算执行的日常控制与监督。一是建立多层次算监督体系，将预算编制、审批、执行、变更、决算、监督等各个环节进行规范化管理，实现对财政资金全方位、全过程的控制和监督。严格控制基本支出与项目支出，两项经费间不得随意挤占和挪用。</w:t>
      </w:r>
    </w:p>
    <w:p w14:paraId="30277753">
      <w:pPr>
        <w:widowControl/>
        <w:spacing w:line="600" w:lineRule="exact"/>
        <w:ind w:firstLine="640" w:firstLineChars="200"/>
        <w:jc w:val="left"/>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val="en-US" w:eastAsia="zh-CN"/>
        </w:rPr>
        <w:t>三、提升固定资产管理水平，确保国有资产安全完整。一是加强固定资产的会计核算工作，定期或不定期对固定资产进行全面清查。要及时登记固定资产增减变动情况，对单位价值低的固定资产，按实际情况，可转入存货进行管理，并进行相应的账务调整，确保账、卡、实相符；定期对固定资产的使用情况进行分析，合理配置固定资产，提高固定资产利用率,固定资产的调出、处置、报废、报损应严格按照有关规定经审批后再办理。</w:t>
      </w:r>
    </w:p>
    <w:p w14:paraId="6EC012A5">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1E4C528B">
      <w:pPr>
        <w:widowControl/>
        <w:ind w:firstLine="960" w:firstLineChars="300"/>
        <w:rPr>
          <w:rFonts w:hint="eastAsia" w:ascii="Times New Roman" w:hAnsi="Times New Roman" w:eastAsia="宋体"/>
          <w:sz w:val="32"/>
          <w:szCs w:val="32"/>
          <w:lang w:val="en-US" w:eastAsia="zh-CN"/>
        </w:rPr>
      </w:pPr>
      <w:r>
        <w:rPr>
          <w:rFonts w:hint="eastAsia" w:ascii="Times New Roman" w:hAnsi="Times New Roman"/>
          <w:sz w:val="32"/>
          <w:szCs w:val="32"/>
          <w:lang w:val="en-US" w:eastAsia="zh-CN"/>
        </w:rPr>
        <w:t>无</w:t>
      </w:r>
    </w:p>
    <w:p w14:paraId="16631E79">
      <w:pPr>
        <w:widowControl/>
        <w:ind w:firstLine="640" w:firstLineChars="200"/>
        <w:rPr>
          <w:rFonts w:ascii="Times New Roman" w:hAnsi="Times New Roman" w:eastAsia="仿宋"/>
          <w:sz w:val="32"/>
          <w:szCs w:val="32"/>
        </w:rPr>
      </w:pPr>
    </w:p>
    <w:p w14:paraId="13BD6010">
      <w:pPr>
        <w:ind w:firstLine="640" w:firstLineChars="200"/>
        <w:rPr>
          <w:rFonts w:hint="default" w:ascii="Times New Roman" w:hAnsi="Times New Roman" w:eastAsia="黑体" w:cs="Times New Roman"/>
          <w:bCs/>
          <w:kern w:val="0"/>
          <w:sz w:val="32"/>
          <w:szCs w:val="32"/>
        </w:rPr>
      </w:pPr>
    </w:p>
    <w:p w14:paraId="3BC26091">
      <w:pPr>
        <w:jc w:val="both"/>
        <w:rPr>
          <w:rFonts w:hint="eastAsia" w:ascii="Times New Roman" w:hAnsi="Times New Roman" w:eastAsia="方正小标宋简体"/>
          <w:sz w:val="48"/>
          <w:szCs w:val="48"/>
        </w:rPr>
      </w:pPr>
    </w:p>
    <w:p w14:paraId="61ED76EB">
      <w:pPr>
        <w:jc w:val="center"/>
        <w:rPr>
          <w:rFonts w:hint="eastAsia" w:ascii="Times New Roman" w:hAnsi="Times New Roman" w:eastAsia="方正小标宋简体"/>
          <w:sz w:val="48"/>
          <w:szCs w:val="48"/>
        </w:rPr>
      </w:pPr>
    </w:p>
    <w:p w14:paraId="4172D816">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62F4080B">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B8A6D53">
      <w:pPr>
        <w:jc w:val="center"/>
        <w:rPr>
          <w:rFonts w:ascii="Times New Roman" w:hAnsi="Times New Roman" w:eastAsia="黑体"/>
          <w:sz w:val="32"/>
          <w:szCs w:val="32"/>
        </w:rPr>
      </w:pPr>
    </w:p>
    <w:p w14:paraId="05B6F2E9">
      <w:pPr>
        <w:jc w:val="center"/>
        <w:rPr>
          <w:rFonts w:ascii="Times New Roman" w:hAnsi="Times New Roman" w:eastAsia="黑体"/>
          <w:sz w:val="32"/>
          <w:szCs w:val="32"/>
        </w:rPr>
      </w:pPr>
    </w:p>
    <w:p w14:paraId="126DE500">
      <w:pPr>
        <w:rPr>
          <w:rFonts w:ascii="Times New Roman" w:hAnsi="Times New Roman" w:eastAsia="黑体"/>
          <w:sz w:val="32"/>
          <w:szCs w:val="32"/>
        </w:rPr>
      </w:pPr>
    </w:p>
    <w:p w14:paraId="026EE350">
      <w:pPr>
        <w:jc w:val="center"/>
        <w:rPr>
          <w:rFonts w:ascii="Times New Roman" w:hAnsi="Times New Roman"/>
          <w:sz w:val="36"/>
          <w:szCs w:val="36"/>
        </w:rPr>
      </w:pPr>
    </w:p>
    <w:p w14:paraId="2CB417B0">
      <w:pPr>
        <w:jc w:val="center"/>
        <w:rPr>
          <w:rFonts w:ascii="Times New Roman" w:hAnsi="Times New Roman"/>
          <w:sz w:val="36"/>
          <w:szCs w:val="36"/>
        </w:rPr>
      </w:pPr>
    </w:p>
    <w:p w14:paraId="38DF5B42">
      <w:pPr>
        <w:jc w:val="center"/>
        <w:rPr>
          <w:rFonts w:ascii="Times New Roman" w:hAnsi="Times New Roman"/>
          <w:sz w:val="36"/>
          <w:szCs w:val="36"/>
        </w:rPr>
      </w:pPr>
    </w:p>
    <w:p w14:paraId="0AAF125C">
      <w:pPr>
        <w:jc w:val="center"/>
        <w:rPr>
          <w:rFonts w:ascii="Times New Roman" w:hAnsi="Times New Roman"/>
          <w:sz w:val="36"/>
          <w:szCs w:val="36"/>
        </w:rPr>
      </w:pPr>
    </w:p>
    <w:p w14:paraId="7E54260A">
      <w:pPr>
        <w:jc w:val="center"/>
        <w:rPr>
          <w:rFonts w:ascii="Times New Roman" w:hAnsi="Times New Roman"/>
          <w:sz w:val="36"/>
          <w:szCs w:val="36"/>
        </w:rPr>
      </w:pPr>
    </w:p>
    <w:p w14:paraId="49D219FE">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衡阳市公共资源交易中心</w:t>
      </w:r>
      <w:r>
        <w:rPr>
          <w:rFonts w:hint="eastAsia" w:ascii="Times New Roman" w:hAnsi="Times New Roman"/>
          <w:sz w:val="36"/>
          <w:szCs w:val="36"/>
        </w:rPr>
        <w:t>（盖章）</w:t>
      </w:r>
    </w:p>
    <w:p w14:paraId="6C5930D2">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70B56947">
      <w:pPr>
        <w:jc w:val="center"/>
        <w:rPr>
          <w:rFonts w:ascii="Times New Roman" w:hAnsi="Times New Roman" w:eastAsia="黑体"/>
          <w:sz w:val="36"/>
          <w:szCs w:val="36"/>
        </w:rPr>
      </w:pPr>
    </w:p>
    <w:p w14:paraId="38D27C6E">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 xml:space="preserve"> 04</w:t>
      </w:r>
      <w:r>
        <w:rPr>
          <w:rFonts w:ascii="Times New Roman" w:hAnsi="Times New Roman" w:eastAsia="黑体"/>
          <w:sz w:val="32"/>
          <w:szCs w:val="32"/>
        </w:rPr>
        <w:t xml:space="preserve">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 xml:space="preserve"> 02</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6DFEB405">
      <w:pPr>
        <w:ind w:firstLine="2880" w:firstLineChars="900"/>
        <w:rPr>
          <w:rFonts w:ascii="Times New Roman" w:hAnsi="Times New Roman" w:eastAsia="黑体"/>
          <w:sz w:val="32"/>
          <w:szCs w:val="32"/>
        </w:rPr>
      </w:pPr>
    </w:p>
    <w:p w14:paraId="1862C3A3">
      <w:pPr>
        <w:jc w:val="center"/>
        <w:rPr>
          <w:rFonts w:ascii="Times New Roman" w:hAnsi="Times New Roman" w:eastAsia="黑体"/>
          <w:sz w:val="32"/>
          <w:szCs w:val="32"/>
        </w:rPr>
      </w:pPr>
    </w:p>
    <w:p w14:paraId="5003D39F">
      <w:pPr>
        <w:spacing w:line="600" w:lineRule="exact"/>
        <w:jc w:val="center"/>
        <w:rPr>
          <w:rFonts w:ascii="Times New Roman" w:hAnsi="Times New Roman" w:eastAsia="方正小标宋_GBK"/>
          <w:sz w:val="36"/>
          <w:szCs w:val="36"/>
        </w:rPr>
      </w:pPr>
    </w:p>
    <w:p w14:paraId="6023178E">
      <w:pPr>
        <w:spacing w:line="600" w:lineRule="exact"/>
        <w:jc w:val="center"/>
        <w:rPr>
          <w:rFonts w:ascii="Times New Roman" w:hAnsi="Times New Roman" w:eastAsia="方正小标宋_GBK"/>
          <w:sz w:val="36"/>
          <w:szCs w:val="36"/>
        </w:rPr>
      </w:pPr>
    </w:p>
    <w:p w14:paraId="6F1639A7">
      <w:pPr>
        <w:spacing w:line="600" w:lineRule="exact"/>
        <w:jc w:val="center"/>
        <w:rPr>
          <w:rFonts w:ascii="Times New Roman" w:hAnsi="Times New Roman" w:eastAsia="方正小标宋_GBK"/>
          <w:sz w:val="36"/>
          <w:szCs w:val="36"/>
        </w:rPr>
      </w:pPr>
    </w:p>
    <w:p w14:paraId="2BBB49D7">
      <w:pPr>
        <w:spacing w:line="600" w:lineRule="exact"/>
        <w:ind w:firstLine="2200" w:firstLineChars="500"/>
        <w:jc w:val="both"/>
        <w:rPr>
          <w:rFonts w:hint="eastAsia" w:ascii="方正小标宋简体" w:hAnsi="方正小标宋简体" w:eastAsia="方正小标宋简体" w:cs="方正小标宋简体"/>
          <w:sz w:val="44"/>
          <w:szCs w:val="44"/>
        </w:rPr>
      </w:pPr>
    </w:p>
    <w:p w14:paraId="2E7D6638">
      <w:pPr>
        <w:spacing w:line="600" w:lineRule="exact"/>
        <w:ind w:firstLine="2200" w:firstLineChars="5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478EC487">
      <w:pPr>
        <w:adjustRightInd w:val="0"/>
        <w:spacing w:line="600" w:lineRule="exact"/>
        <w:ind w:right="641"/>
        <w:rPr>
          <w:rFonts w:ascii="Times New Roman" w:hAnsi="Times New Roman" w:eastAsia="仿宋_GB2312"/>
          <w:sz w:val="32"/>
          <w:szCs w:val="32"/>
        </w:rPr>
      </w:pPr>
    </w:p>
    <w:p w14:paraId="5CDD9010">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251EED1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仿宋_GB2312" w:hAnsi="Verdana" w:eastAsia="仿宋_GB2312" w:cs="Times New Roman"/>
          <w:color w:val="000000"/>
          <w:kern w:val="2"/>
          <w:sz w:val="32"/>
          <w:szCs w:val="32"/>
          <w:shd w:val="clear" w:color="auto" w:fill="FFFFFF"/>
          <w:lang w:val="en-US" w:eastAsia="zh-CN" w:bidi="ar-SA"/>
        </w:rPr>
        <w:t>衡阳市公共资源交易中心是市人民政府直属正处级公益一类事业单位，我单位现有科处室10个，核定全额拨款事业编制人员63名，实有人数53人,退休人员8名，属市一级预算单位。内设办公室、组织人事科、财务科、信息管理科、建设工程交易科、政府采购交易科、自然资源交易科、国有产权交易科、现场管理科、市场主体服务科。</w:t>
      </w:r>
    </w:p>
    <w:p w14:paraId="0B8D195B">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交易中心</w:t>
      </w:r>
      <w:r>
        <w:rPr>
          <w:rFonts w:hint="eastAsia" w:ascii="Times New Roman" w:hAnsi="Times New Roman" w:eastAsia="仿宋" w:cs="Times New Roman"/>
          <w:color w:val="000000"/>
          <w:kern w:val="2"/>
          <w:sz w:val="32"/>
          <w:szCs w:val="32"/>
          <w:lang w:val="en-US" w:eastAsia="zh-CN" w:bidi="ar-SA"/>
        </w:rPr>
        <w:t>2023年全年项目总收入421.31万元，其中财政拨款收入57.6万元，上年末结转143万元，追加项目经费220.71万元；全年项目总支出421.31元，其中专项资金146.93万元，其他项目资金274.38万元。</w:t>
      </w:r>
    </w:p>
    <w:p w14:paraId="12777028">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三）“一张网”电子化平台项目总体目标：按照全省统一的公共资源交易信息建设标准规范进行开发建设，与省公共资源交易电子服务平台进行对接实现数据实时交互共享，并且做好监管信息与交易数据对接；年度目标：实现场地智能化总控平台计不见面开标。</w:t>
      </w:r>
    </w:p>
    <w:p w14:paraId="136F5685">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 xml:space="preserve"> 中心信息系统软件运维、网络租赁费及交易平台升级改造、测评总体目标：交易中心信息化日常维护，确保全年正常运行；年度目标：交易中心信息化日常维护，确保全年正常运行。</w:t>
      </w:r>
    </w:p>
    <w:p w14:paraId="5305DE7D">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政府采购全流程电子化项目总体目标：</w:t>
      </w:r>
    </w:p>
    <w:p w14:paraId="42DEC924">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实现政府采购全流程电子化，健全智慧化监管体系。政府采购公开招投标项目全流程电子化交易率达100%，实现不见面开标常态化，为市场主体降成本、减负担、增效益，促进政府采购交易、服务、监管电子化、透明化，营造阳光规范、流程简便、社会公众有序竞争的良好政府采购市场环境。</w:t>
      </w:r>
    </w:p>
    <w:p w14:paraId="451977AD">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完成情况：政府采购公开招标项目已实现全流程电子化，打造了标准化、规范化、智能化交易系统及场地，为优化营商环境、规范公共资源交易市场提供了有力支撑。</w:t>
      </w:r>
    </w:p>
    <w:p w14:paraId="6EB3EB66">
      <w:pPr>
        <w:adjustRightInd w:val="0"/>
        <w:snapToGrid w:val="0"/>
        <w:spacing w:line="600" w:lineRule="exact"/>
        <w:ind w:firstLine="640" w:firstLineChars="2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交易信息化平台“六统一”建设项目总体目标：完成湖南省公共资源交易服务平台、市场主体注册系、数据微中台、湖南省工程招标投标电子交易系统、涉国有资源类电子竞价系统部署、远程异地评标综合调度等主干系统的部署；对接一体化网上受理系统；完成“啄木鸟”预警系统、数字见证系统部署，评标区实现“六不”管理，圆满完成省交易中心要求的各项指标任务。</w:t>
      </w:r>
    </w:p>
    <w:p w14:paraId="04DE37F3">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 w:cs="Times New Roman"/>
          <w:color w:val="000000"/>
          <w:kern w:val="2"/>
          <w:sz w:val="32"/>
          <w:szCs w:val="32"/>
          <w:lang w:val="en-US" w:eastAsia="zh-CN" w:bidi="ar-SA"/>
        </w:rPr>
        <w:t>完成情况：已圆满完成省交易中心一阶段要求的各项指标任务，在11月的全省统一考核中，获得省发改、省中心检查组的充分肯定和一致好评，衡阳“六统一”建设在全省名列前茅。</w:t>
      </w:r>
    </w:p>
    <w:p w14:paraId="56AB4D50">
      <w:pPr>
        <w:adjustRightInd w:val="0"/>
        <w:snapToGrid w:val="0"/>
        <w:spacing w:line="600" w:lineRule="exact"/>
        <w:ind w:firstLine="960" w:firstLineChars="300"/>
        <w:rPr>
          <w:rFonts w:ascii="Times New Roman" w:hAnsi="Times New Roman" w:eastAsia="黑体"/>
          <w:sz w:val="32"/>
          <w:szCs w:val="32"/>
        </w:rPr>
      </w:pPr>
      <w:r>
        <w:rPr>
          <w:rFonts w:ascii="Times New Roman" w:hAnsi="Times New Roman" w:eastAsia="黑体"/>
          <w:sz w:val="32"/>
          <w:szCs w:val="32"/>
        </w:rPr>
        <w:t>二、项目资金使用及管理情况</w:t>
      </w:r>
    </w:p>
    <w:p w14:paraId="1BE9F48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2023年度涉及的4个项目总收入为</w:t>
      </w:r>
      <w:r>
        <w:rPr>
          <w:rFonts w:hint="eastAsia" w:ascii="Times New Roman" w:hAnsi="Times New Roman" w:eastAsia="仿宋" w:cs="Times New Roman"/>
          <w:color w:val="000000"/>
          <w:kern w:val="2"/>
          <w:sz w:val="32"/>
          <w:szCs w:val="32"/>
          <w:lang w:val="en-US" w:eastAsia="zh-CN" w:bidi="ar-SA"/>
        </w:rPr>
        <w:t>421.31万元</w:t>
      </w:r>
      <w:r>
        <w:rPr>
          <w:rFonts w:hint="eastAsia" w:ascii="Times New Roman" w:hAnsi="Times New Roman" w:eastAsia="仿宋_GB2312"/>
          <w:sz w:val="32"/>
          <w:szCs w:val="32"/>
          <w:lang w:val="en-US" w:eastAsia="zh-CN"/>
        </w:rPr>
        <w:t>，均为财政拨款。其中上年结余143万元、年初预算57.60万元、追加资金220.71万元，实际支出421.31万元。</w:t>
      </w:r>
    </w:p>
    <w:p w14:paraId="408336EC">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2023年项目总支出为421.31万元，其中：</w:t>
      </w:r>
    </w:p>
    <w:p w14:paraId="3A677B47">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“一张网”平台电子化：总投入29.67万元；</w:t>
      </w:r>
    </w:p>
    <w:p w14:paraId="012F14E6">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中心信息化运维租赁及测评费：总投入176.67万元；</w:t>
      </w:r>
    </w:p>
    <w:p w14:paraId="535A87EB">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政府采购全流程电子化：总投入117.26万元；</w:t>
      </w:r>
    </w:p>
    <w:p w14:paraId="19F42AE3">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六统一建设经费：总投入71.03万元；</w:t>
      </w:r>
    </w:p>
    <w:p w14:paraId="43B09147">
      <w:pPr>
        <w:pStyle w:val="2"/>
        <w:rPr>
          <w:rFonts w:hint="default"/>
          <w:lang w:val="en-US" w:eastAsia="zh-CN"/>
        </w:rPr>
      </w:pPr>
      <w:r>
        <w:rPr>
          <w:rFonts w:hint="eastAsia" w:ascii="Times New Roman" w:hAnsi="Times New Roman" w:eastAsia="仿宋_GB2312"/>
          <w:sz w:val="32"/>
          <w:szCs w:val="32"/>
          <w:lang w:val="en-US" w:eastAsia="zh-CN"/>
        </w:rPr>
        <w:t xml:space="preserve">    智慧保证金系统经费：26.66万元；</w:t>
      </w:r>
    </w:p>
    <w:p w14:paraId="5F24DF90">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1EC332D5">
      <w:pPr>
        <w:adjustRightInd w:val="0"/>
        <w:snapToGrid w:val="0"/>
        <w:spacing w:line="600" w:lineRule="exact"/>
        <w:ind w:firstLine="640" w:firstLineChars="200"/>
        <w:rPr>
          <w:rFonts w:hint="default" w:ascii="Times New Roman" w:hAnsi="Times New Roman" w:eastAsia="仿宋_GB2312"/>
          <w:sz w:val="32"/>
          <w:szCs w:val="32"/>
          <w:lang w:val="en-US"/>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CN"/>
        </w:rPr>
        <w:t>2023年我单位共4个项目，年初预算资金57.6万元。基础信息完善、预算编制完整、资金使用合规、管理制度健全。在年底顺利完成年初总体绩效目标。</w:t>
      </w:r>
    </w:p>
    <w:p w14:paraId="2A3B60D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2023年我中心项目均经过单位“三重一大”的相关规定落实，进行内部比选，向市财政局备案，供应商的选择经过党组会议讨论决策，工程维修是尚未验收的，按合同约定保质保量完成等。</w:t>
      </w:r>
    </w:p>
    <w:p w14:paraId="2CC05EF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26D3F303">
      <w:pPr>
        <w:numPr>
          <w:ilvl w:val="0"/>
          <w:numId w:val="0"/>
        </w:num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“一张网”电子化平台项目：经批复的预算金额为536.48万元，全年实际支出29.67万元。项目产出指标评分49分；效益指标评分30分；满意度指标20分。</w:t>
      </w:r>
    </w:p>
    <w:p w14:paraId="68D4196B">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中心信息化运维租赁及测评项目：年初预算金额为57.6万元，全年实际支出176.67万元。产出指标评分为50分；效益指标评分为30分；满意度指标20分。</w:t>
      </w:r>
    </w:p>
    <w:p w14:paraId="51422869">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六统一平台建设经费：全年实际支出71.03万元。项目产出指标评分50分，效益指标评分为30分；满意度指标20分。</w:t>
      </w:r>
    </w:p>
    <w:p w14:paraId="7A9A3BC9">
      <w:pPr>
        <w:numPr>
          <w:ilvl w:val="0"/>
          <w:numId w:val="0"/>
        </w:numPr>
        <w:adjustRightInd w:val="0"/>
        <w:snapToGrid w:val="0"/>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政府采购全流程电子化项目：全年实际支出56.18万元。项目指标评分50分，效益指标评分为30分；满意度指标20分。</w:t>
      </w:r>
    </w:p>
    <w:p w14:paraId="59373CA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14:paraId="69E5F8E6">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进一步加强费用测算，协调财政部门及时安排预算资金，合理控制项目执行进度。</w:t>
      </w:r>
    </w:p>
    <w:p w14:paraId="1F3A67CC">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通过本单位202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支出绩效自评工作的开展，既发现了客观存在的问题，又明确了整改提高的措施，必将有利于提升项目执行的科学性、合理性和规范性，有利于进一步强化项目实施单位的主体责任，有利于提高财政资金的使用效益。</w:t>
      </w:r>
    </w:p>
    <w:p w14:paraId="3864CEE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0114D1D0">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21842E3D">
      <w:pPr>
        <w:adjustRightInd w:val="0"/>
        <w:snapToGrid w:val="0"/>
        <w:spacing w:line="600" w:lineRule="exact"/>
        <w:ind w:firstLine="640" w:firstLineChars="200"/>
        <w:rPr>
          <w:rFonts w:ascii="Times New Roman" w:hAnsi="Times New Roman" w:eastAsia="仿宋_GB2312"/>
          <w:sz w:val="32"/>
          <w:szCs w:val="32"/>
        </w:rPr>
      </w:pPr>
    </w:p>
    <w:p w14:paraId="32F448C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14:paraId="11F0895F">
      <w:pPr>
        <w:adjustRightInd w:val="0"/>
        <w:snapToGrid w:val="0"/>
        <w:spacing w:line="600" w:lineRule="exac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C0B8">
    <w:pPr>
      <w:pStyle w:val="6"/>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- 15 -</w:t>
    </w:r>
    <w:r>
      <w:rPr>
        <w:rStyle w:val="12"/>
        <w:rFonts w:ascii="Times New Roman" w:hAnsi="Times New Roman"/>
        <w:sz w:val="28"/>
        <w:szCs w:val="28"/>
      </w:rPr>
      <w:fldChar w:fldCharType="end"/>
    </w:r>
  </w:p>
  <w:p w14:paraId="774E5BAD">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272F">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3AFE911F">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F90FD"/>
    <w:multiLevelType w:val="singleLevel"/>
    <w:tmpl w:val="601F90FD"/>
    <w:lvl w:ilvl="0" w:tentative="0">
      <w:start w:val="1"/>
      <w:numFmt w:val="chineseCounting"/>
      <w:suff w:val="nothing"/>
      <w:lvlText w:val="%1、"/>
      <w:lvlJc w:val="left"/>
      <w:rPr>
        <w:rFonts w:hint="eastAsia"/>
      </w:rPr>
    </w:lvl>
  </w:abstractNum>
  <w:abstractNum w:abstractNumId="1">
    <w:nsid w:val="63BA2F6A"/>
    <w:multiLevelType w:val="singleLevel"/>
    <w:tmpl w:val="63BA2F6A"/>
    <w:lvl w:ilvl="0" w:tentative="0">
      <w:start w:val="1"/>
      <w:numFmt w:val="decimal"/>
      <w:lvlText w:val="%1."/>
      <w:lvlJc w:val="left"/>
    </w:lvl>
  </w:abstractNum>
  <w:abstractNum w:abstractNumId="2">
    <w:nsid w:val="74F98E86"/>
    <w:multiLevelType w:val="singleLevel"/>
    <w:tmpl w:val="74F98E86"/>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ODA5MDU3NzA0OTliNzM3NzNlM2I0OWRjMjc2Zj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C737056"/>
    <w:rsid w:val="0F262ACD"/>
    <w:rsid w:val="13DF2E60"/>
    <w:rsid w:val="15DA6FC6"/>
    <w:rsid w:val="165137C9"/>
    <w:rsid w:val="18934E7A"/>
    <w:rsid w:val="1E6A7923"/>
    <w:rsid w:val="1F378925"/>
    <w:rsid w:val="217D46AD"/>
    <w:rsid w:val="21AB7AF0"/>
    <w:rsid w:val="22833391"/>
    <w:rsid w:val="2AC03C39"/>
    <w:rsid w:val="2B12239C"/>
    <w:rsid w:val="2BEE714A"/>
    <w:rsid w:val="2CA61530"/>
    <w:rsid w:val="2E660FDE"/>
    <w:rsid w:val="35F95690"/>
    <w:rsid w:val="36573D06"/>
    <w:rsid w:val="37204C92"/>
    <w:rsid w:val="398B5761"/>
    <w:rsid w:val="3A987BA2"/>
    <w:rsid w:val="3B5968A2"/>
    <w:rsid w:val="3BFC0501"/>
    <w:rsid w:val="3F52287D"/>
    <w:rsid w:val="3FAE1092"/>
    <w:rsid w:val="416B7C26"/>
    <w:rsid w:val="41C61B6B"/>
    <w:rsid w:val="429308BA"/>
    <w:rsid w:val="44A75419"/>
    <w:rsid w:val="4A6F6D2D"/>
    <w:rsid w:val="54681C4F"/>
    <w:rsid w:val="562650C4"/>
    <w:rsid w:val="5AFE727D"/>
    <w:rsid w:val="5C2F64BB"/>
    <w:rsid w:val="5F7FE72F"/>
    <w:rsid w:val="609A4BD3"/>
    <w:rsid w:val="62882016"/>
    <w:rsid w:val="62F62474"/>
    <w:rsid w:val="640815D9"/>
    <w:rsid w:val="65B31738"/>
    <w:rsid w:val="66B91727"/>
    <w:rsid w:val="67561155"/>
    <w:rsid w:val="68257B8E"/>
    <w:rsid w:val="6AF80B9B"/>
    <w:rsid w:val="6BAD2A66"/>
    <w:rsid w:val="6CDE3E9F"/>
    <w:rsid w:val="6DEF68EB"/>
    <w:rsid w:val="6EE94DE7"/>
    <w:rsid w:val="6EF74444"/>
    <w:rsid w:val="71123062"/>
    <w:rsid w:val="71125845"/>
    <w:rsid w:val="72FAD606"/>
    <w:rsid w:val="734F7F12"/>
    <w:rsid w:val="74F55B23"/>
    <w:rsid w:val="773A3B3B"/>
    <w:rsid w:val="77A24B7F"/>
    <w:rsid w:val="79A2386E"/>
    <w:rsid w:val="7CFFDC51"/>
    <w:rsid w:val="7D5FEC98"/>
    <w:rsid w:val="7D7C5FD7"/>
    <w:rsid w:val="7E7BEBF1"/>
    <w:rsid w:val="7F20194F"/>
    <w:rsid w:val="7F4A2182"/>
    <w:rsid w:val="7F531EB8"/>
    <w:rsid w:val="7F910F92"/>
    <w:rsid w:val="7FFE2340"/>
    <w:rsid w:val="AE79595D"/>
    <w:rsid w:val="BE7E71F0"/>
    <w:rsid w:val="BFB72D82"/>
    <w:rsid w:val="DFFDB352"/>
    <w:rsid w:val="EAF7725B"/>
    <w:rsid w:val="EFEF518D"/>
    <w:rsid w:val="F5FB5A9C"/>
    <w:rsid w:val="F7DBBB56"/>
    <w:rsid w:val="F7E3E98B"/>
    <w:rsid w:val="FCF63E1B"/>
    <w:rsid w:val="FDFD96B8"/>
    <w:rsid w:val="FF3FA9CD"/>
    <w:rsid w:val="FF826338"/>
    <w:rsid w:val="FFE91C61"/>
    <w:rsid w:val="FFED996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locked/>
    <w:uiPriority w:val="1"/>
    <w:pPr>
      <w:ind w:left="201"/>
      <w:outlineLvl w:val="2"/>
    </w:pPr>
    <w:rPr>
      <w:rFonts w:ascii="新宋体" w:hAnsi="新宋体" w:eastAsia="新宋体" w:cs="新宋体"/>
      <w:sz w:val="15"/>
      <w:szCs w:val="15"/>
      <w:lang w:val="zh-CN" w:eastAsia="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annotation text"/>
    <w:basedOn w:val="1"/>
    <w:link w:val="14"/>
    <w:qFormat/>
    <w:uiPriority w:val="99"/>
    <w:pPr>
      <w:jc w:val="left"/>
    </w:pPr>
    <w:rPr>
      <w:rFonts w:ascii="Times New Roman" w:hAnsi="Times New Roman"/>
      <w:szCs w:val="24"/>
    </w:rPr>
  </w:style>
  <w:style w:type="paragraph" w:styleId="5">
    <w:name w:val="Balloon Text"/>
    <w:basedOn w:val="1"/>
    <w:link w:val="15"/>
    <w:qFormat/>
    <w:uiPriority w:val="99"/>
    <w:rPr>
      <w:rFonts w:ascii="Times New Roman" w:hAnsi="Times New Roman"/>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批注文字 Char"/>
    <w:basedOn w:val="10"/>
    <w:link w:val="4"/>
    <w:qFormat/>
    <w:locked/>
    <w:uiPriority w:val="99"/>
    <w:rPr>
      <w:rFonts w:ascii="Times New Roman" w:hAnsi="Times New Roman" w:eastAsia="宋体" w:cs="Times New Roman"/>
      <w:sz w:val="24"/>
      <w:szCs w:val="24"/>
    </w:rPr>
  </w:style>
  <w:style w:type="character" w:customStyle="1" w:styleId="15">
    <w:name w:val="批注框文本 Char"/>
    <w:basedOn w:val="10"/>
    <w:link w:val="5"/>
    <w:qFormat/>
    <w:locked/>
    <w:uiPriority w:val="99"/>
    <w:rPr>
      <w:rFonts w:ascii="Times New Roman" w:hAnsi="Times New Roman" w:eastAsia="宋体" w:cs="Times New Roman"/>
      <w:sz w:val="18"/>
      <w:szCs w:val="18"/>
    </w:rPr>
  </w:style>
  <w:style w:type="character" w:customStyle="1" w:styleId="16">
    <w:name w:val="页脚 Char"/>
    <w:basedOn w:val="10"/>
    <w:link w:val="6"/>
    <w:qFormat/>
    <w:locked/>
    <w:uiPriority w:val="99"/>
    <w:rPr>
      <w:rFonts w:cs="Times New Roman"/>
      <w:sz w:val="18"/>
      <w:szCs w:val="18"/>
    </w:rPr>
  </w:style>
  <w:style w:type="character" w:customStyle="1" w:styleId="17">
    <w:name w:val="页眉 Char"/>
    <w:basedOn w:val="10"/>
    <w:link w:val="7"/>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5672</Words>
  <Characters>6079</Characters>
  <Lines>36</Lines>
  <Paragraphs>10</Paragraphs>
  <TotalTime>10</TotalTime>
  <ScaleCrop>false</ScaleCrop>
  <LinksUpToDate>false</LinksUpToDate>
  <CharactersWithSpaces>6116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2021-01-22T23:42:00Z</dcterms:created>
  <dc:creator>lenovo</dc:creator>
  <cp:lastModifiedBy>好好先生</cp:lastModifiedBy>
  <cp:lastPrinted>2023-04-11T03:09:00Z</cp:lastPrinted>
  <dcterms:modified xsi:type="dcterms:W3CDTF">2025-08-14T02:23:07Z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8F6E326B25B94BAB9D138FBD9BC9BCDC</vt:lpwstr>
  </property>
  <property fmtid="{D5CDD505-2E9C-101B-9397-08002B2CF9AE}" pid="4" name="KSOTemplateDocerSaveRecord">
    <vt:lpwstr>eyJoZGlkIjoiYzcyNzVkZGRhMDA5NzdlMGNiNTEyYzA3ODI0MWFmMmIiLCJ1c2VySWQiOiI3MTUyMDI2NzAifQ==</vt:lpwstr>
  </property>
</Properties>
</file>