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CCEAA">
      <w:pPr>
        <w:widowControl/>
        <w:jc w:val="center"/>
        <w:rPr>
          <w:rFonts w:ascii="Times New Roman" w:hAnsi="Times New Roman" w:eastAsia="仿宋_GB2312"/>
          <w:kern w:val="0"/>
          <w:sz w:val="32"/>
          <w:szCs w:val="32"/>
        </w:rPr>
      </w:pPr>
      <w:bookmarkStart w:id="0" w:name="_GoBack"/>
      <w:bookmarkEnd w:id="0"/>
    </w:p>
    <w:p w14:paraId="24404321">
      <w:pPr>
        <w:widowControl/>
        <w:jc w:val="center"/>
        <w:rPr>
          <w:rFonts w:ascii="Times New Roman" w:hAnsi="Times New Roman" w:eastAsia="仿宋_GB2312"/>
          <w:kern w:val="0"/>
          <w:sz w:val="32"/>
          <w:szCs w:val="32"/>
        </w:rPr>
      </w:pPr>
    </w:p>
    <w:p w14:paraId="0A0FF7F1">
      <w:pPr>
        <w:rPr>
          <w:rFonts w:ascii="Times New Roman" w:hAnsi="Times New Roman" w:eastAsia="方正小标宋简体"/>
          <w:sz w:val="48"/>
          <w:szCs w:val="48"/>
        </w:rPr>
      </w:pPr>
    </w:p>
    <w:p w14:paraId="768C0E51">
      <w:pPr>
        <w:rPr>
          <w:rFonts w:ascii="Times New Roman" w:hAnsi="Times New Roman" w:eastAsia="方正小标宋简体"/>
          <w:sz w:val="48"/>
          <w:szCs w:val="48"/>
        </w:rPr>
      </w:pPr>
    </w:p>
    <w:p w14:paraId="0E791B9D">
      <w:pPr>
        <w:rPr>
          <w:rFonts w:ascii="Times New Roman" w:hAnsi="Times New Roman" w:eastAsia="方正小标宋简体"/>
          <w:sz w:val="48"/>
          <w:szCs w:val="48"/>
        </w:rPr>
      </w:pPr>
    </w:p>
    <w:p w14:paraId="2BA9F5A9">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28ECD35C">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1EB3E25C">
      <w:pPr>
        <w:jc w:val="center"/>
        <w:rPr>
          <w:rFonts w:ascii="Times New Roman" w:hAnsi="Times New Roman" w:eastAsia="黑体"/>
          <w:sz w:val="32"/>
          <w:szCs w:val="32"/>
        </w:rPr>
      </w:pPr>
    </w:p>
    <w:p w14:paraId="7D491D9A">
      <w:pPr>
        <w:jc w:val="center"/>
        <w:rPr>
          <w:rFonts w:ascii="Times New Roman" w:hAnsi="Times New Roman" w:eastAsia="黑体"/>
          <w:sz w:val="32"/>
          <w:szCs w:val="32"/>
        </w:rPr>
      </w:pPr>
    </w:p>
    <w:p w14:paraId="595E757F">
      <w:pPr>
        <w:jc w:val="center"/>
        <w:rPr>
          <w:rFonts w:ascii="Times New Roman" w:hAnsi="Times New Roman" w:eastAsia="黑体"/>
          <w:sz w:val="32"/>
          <w:szCs w:val="32"/>
        </w:rPr>
      </w:pPr>
    </w:p>
    <w:p w14:paraId="5BE8FDCD">
      <w:pPr>
        <w:jc w:val="center"/>
        <w:rPr>
          <w:rFonts w:ascii="Times New Roman" w:hAnsi="Times New Roman" w:eastAsia="黑体"/>
          <w:sz w:val="32"/>
          <w:szCs w:val="32"/>
        </w:rPr>
      </w:pPr>
    </w:p>
    <w:p w14:paraId="4110D3D5">
      <w:pPr>
        <w:rPr>
          <w:rFonts w:ascii="Times New Roman" w:hAnsi="Times New Roman" w:eastAsia="黑体"/>
          <w:sz w:val="32"/>
          <w:szCs w:val="32"/>
        </w:rPr>
      </w:pPr>
    </w:p>
    <w:p w14:paraId="7F8934DB">
      <w:pPr>
        <w:jc w:val="center"/>
        <w:rPr>
          <w:rFonts w:ascii="Times New Roman" w:hAnsi="Times New Roman"/>
          <w:sz w:val="36"/>
          <w:szCs w:val="36"/>
        </w:rPr>
      </w:pPr>
    </w:p>
    <w:p w14:paraId="7F0DFBFD">
      <w:pPr>
        <w:pStyle w:val="2"/>
      </w:pPr>
    </w:p>
    <w:p w14:paraId="28B3E45A">
      <w:pPr>
        <w:jc w:val="center"/>
        <w:rPr>
          <w:rFonts w:ascii="Times New Roman" w:hAnsi="Times New Roman"/>
          <w:sz w:val="36"/>
          <w:szCs w:val="36"/>
        </w:rPr>
      </w:pPr>
    </w:p>
    <w:p w14:paraId="369A0746">
      <w:pPr>
        <w:jc w:val="center"/>
        <w:rPr>
          <w:rFonts w:ascii="Times New Roman" w:hAnsi="Times New Roman"/>
          <w:sz w:val="36"/>
          <w:szCs w:val="36"/>
        </w:rPr>
      </w:pPr>
    </w:p>
    <w:p w14:paraId="5B5BA55B">
      <w:pPr>
        <w:jc w:val="center"/>
        <w:rPr>
          <w:rFonts w:ascii="Times New Roman" w:hAnsi="Times New Roman" w:eastAsia="黑体"/>
          <w:sz w:val="36"/>
          <w:szCs w:val="36"/>
        </w:rPr>
      </w:pPr>
    </w:p>
    <w:p w14:paraId="0C682521">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2023</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4</w:t>
      </w:r>
      <w:r>
        <w:rPr>
          <w:rFonts w:ascii="Times New Roman" w:hAnsi="Times New Roman" w:eastAsia="黑体"/>
          <w:sz w:val="32"/>
          <w:szCs w:val="32"/>
        </w:rPr>
        <w:t xml:space="preserve">月 </w:t>
      </w:r>
      <w:r>
        <w:rPr>
          <w:rFonts w:hint="eastAsia" w:ascii="Times New Roman" w:hAnsi="Times New Roman" w:eastAsia="黑体"/>
          <w:sz w:val="32"/>
          <w:szCs w:val="32"/>
          <w:lang w:val="en-US" w:eastAsia="zh-CN"/>
        </w:rPr>
        <w:t>6</w:t>
      </w:r>
      <w:r>
        <w:rPr>
          <w:rFonts w:ascii="Times New Roman" w:hAnsi="Times New Roman" w:eastAsia="黑体"/>
          <w:sz w:val="32"/>
          <w:szCs w:val="32"/>
        </w:rPr>
        <w:t>日</w:t>
      </w:r>
    </w:p>
    <w:p w14:paraId="2D90A26E">
      <w:pPr>
        <w:jc w:val="center"/>
        <w:rPr>
          <w:rFonts w:ascii="Times New Roman" w:hAnsi="Times New Roman" w:eastAsia="黑体"/>
          <w:sz w:val="32"/>
          <w:szCs w:val="32"/>
        </w:rPr>
      </w:pPr>
    </w:p>
    <w:p w14:paraId="121A0B56">
      <w:pPr>
        <w:spacing w:line="600" w:lineRule="exact"/>
        <w:rPr>
          <w:rFonts w:ascii="Times New Roman" w:hAnsi="Times New Roman" w:eastAsia="方正小标宋简体"/>
          <w:sz w:val="44"/>
          <w:szCs w:val="44"/>
        </w:rPr>
      </w:pPr>
    </w:p>
    <w:p w14:paraId="34D8F45A">
      <w:pPr>
        <w:spacing w:line="600" w:lineRule="exact"/>
        <w:jc w:val="center"/>
        <w:rPr>
          <w:rFonts w:ascii="Times New Roman" w:hAnsi="Times New Roman" w:eastAsia="方正小标宋简体"/>
          <w:sz w:val="44"/>
          <w:szCs w:val="44"/>
        </w:rPr>
      </w:pPr>
    </w:p>
    <w:p w14:paraId="69A9CA1C">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2EF384A2">
      <w:pPr>
        <w:rPr>
          <w:rFonts w:ascii="Times New Roman" w:hAnsi="Times New Roman" w:eastAsia="方正小标宋_GBK"/>
          <w:sz w:val="32"/>
          <w:szCs w:val="32"/>
        </w:rPr>
      </w:pPr>
    </w:p>
    <w:p w14:paraId="7B99E132">
      <w:pPr>
        <w:rPr>
          <w:rFonts w:ascii="Times New Roman" w:hAnsi="Times New Roman" w:eastAsia="方正小标宋_GBK"/>
          <w:sz w:val="32"/>
          <w:szCs w:val="32"/>
        </w:rPr>
      </w:pPr>
    </w:p>
    <w:p w14:paraId="72A3981B">
      <w:pPr>
        <w:pStyle w:val="22"/>
        <w:widowControl/>
        <w:numPr>
          <w:ilvl w:val="0"/>
          <w:numId w:val="1"/>
        </w:numPr>
        <w:ind w:firstLine="640"/>
        <w:rPr>
          <w:rFonts w:eastAsia="黑体"/>
          <w:sz w:val="32"/>
          <w:szCs w:val="32"/>
        </w:rPr>
      </w:pPr>
      <w:r>
        <w:rPr>
          <w:rFonts w:eastAsia="黑体"/>
          <w:sz w:val="32"/>
          <w:szCs w:val="32"/>
        </w:rPr>
        <w:t>部门、单位基本情况</w:t>
      </w:r>
    </w:p>
    <w:p w14:paraId="7D51DC2E">
      <w:pPr>
        <w:keepNext w:val="0"/>
        <w:keepLines w:val="0"/>
        <w:widowControl w:val="0"/>
        <w:suppressLineNumbers w:val="0"/>
        <w:spacing w:before="0" w:beforeAutospacing="0" w:after="0" w:afterAutospacing="0" w:line="360" w:lineRule="auto"/>
        <w:ind w:left="0" w:right="0" w:firstLine="640" w:firstLineChars="200"/>
        <w:jc w:val="both"/>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
        </w:rPr>
        <w:t>（一）基本情况。</w:t>
      </w:r>
    </w:p>
    <w:p w14:paraId="78A49CEC">
      <w:pPr>
        <w:keepNext w:val="0"/>
        <w:keepLines w:val="0"/>
        <w:widowControl w:val="0"/>
        <w:suppressLineNumbers w:val="0"/>
        <w:spacing w:before="0" w:beforeAutospacing="0" w:after="0" w:afterAutospacing="0" w:line="360" w:lineRule="auto"/>
        <w:ind w:left="0" w:right="0" w:firstLine="640" w:firstLineChars="200"/>
        <w:jc w:val="both"/>
        <w:rPr>
          <w:rFonts w:hint="eastAsia" w:ascii="楷体_GB2312" w:hAnsi="楷体_GB2312" w:eastAsia="楷体_GB2312" w:cs="楷体_GB2312"/>
          <w:b/>
          <w:bCs/>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1．主要职能。</w:t>
      </w:r>
    </w:p>
    <w:p w14:paraId="3D11DB6D">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根据《中共衡阳市委衡阳市人民政府关于印发〈衡阳市人民政府机构改革方案的实施意见〉的通知》（衡发[2010]3号）和《中共衡阳市委衡阳市人民政府关于衡阳市人民政府机构设置的通知》（衡委[2010]4号），设立衡阳市供销合作总社，为市人民政府直属事业单位。主要职责为：</w:t>
      </w:r>
    </w:p>
    <w:p w14:paraId="79E4F08D">
      <w:pPr>
        <w:keepNext w:val="0"/>
        <w:keepLines w:val="0"/>
        <w:widowControl w:val="0"/>
        <w:suppressLineNumbers w:val="0"/>
        <w:spacing w:before="0" w:beforeAutospacing="0" w:after="0" w:afterAutospacing="0" w:line="360" w:lineRule="auto"/>
        <w:ind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负责制定全市供销合作社系统改革和发展规划，组织指导全市系统具体实施。贯彻执行中共中央、国务院、省、市党委政府和中华全国供销合作总社等有关供销社改革发展的路线、方针、政策和法规。认真履行对全市供销社系统的指导、协调、监督、服务、教育培训职能。 </w:t>
      </w:r>
    </w:p>
    <w:p w14:paraId="26BC2813">
      <w:pPr>
        <w:keepNext w:val="0"/>
        <w:keepLines w:val="0"/>
        <w:widowControl w:val="0"/>
        <w:suppressLineNumbers w:val="0"/>
        <w:spacing w:before="0" w:beforeAutospacing="0" w:after="0" w:afterAutospacing="0" w:line="360" w:lineRule="auto"/>
        <w:ind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（2）负责建设全市农村现代商品流通体系。主要发展农业生产资料、农村日用消费品（含图书、药品）、农副产品现代购销、再生资源（含报废车辆）回收利用和烟花爆竹归口经营五大经营网络。 </w:t>
      </w:r>
    </w:p>
    <w:p w14:paraId="04ED889B">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（3）负责建立新型的完整的为农服务体系。采取创办、领办、联办等形式发展农民专业合作社，创办农产品基地，组建有关行业协会，负责在全市农村社区建立主体多元、功能完备、便民实用的综合服务中心。 </w:t>
      </w:r>
    </w:p>
    <w:p w14:paraId="6DF98ADE">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指导全市供销合作社系统做大做强社有企业，培育参股控股各类龙头企业，推进社有企业健全现代企业制度，推动社有企业参与农业产业化、标准化示范、农业技术研发推广等项目，积极探索发展适合当地农村特点的金融产品和服务方式。 </w:t>
      </w:r>
    </w:p>
    <w:p w14:paraId="573BC799">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承担化肥、农药、棉花、食用油等重要物资的国家和地方政府储备及救灾物资储备等任务。会同有关部门参与全市农村商品流通及市场体系建设的规划编制及修订；参与有关农业生产资料和烟花爆竹行业的市场管理；参与管理指导农民专业合作社、行业协会、农产品经纪人队伍的建设；参与管理指导全市再生资源回收利用市场体系建设。 </w:t>
      </w:r>
    </w:p>
    <w:p w14:paraId="110C047C">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（6）指导和监督全市供销合作社系统的资产管理，依法依规依政策维护供销社的合法权益。 </w:t>
      </w:r>
    </w:p>
    <w:p w14:paraId="2774356F">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（7）指导全市供销社系统的科技开发和有关科技成果的转化及推广工作，推进科技兴社。 </w:t>
      </w:r>
    </w:p>
    <w:p w14:paraId="41BFAB00">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（8）负责全社系统人才队伍建设和干部职工教育培训工作。 </w:t>
      </w:r>
    </w:p>
    <w:p w14:paraId="122C8AE1">
      <w:pPr>
        <w:pStyle w:val="22"/>
        <w:widowControl/>
        <w:ind w:firstLine="64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（9）承办市人民政府交办的其他事项。</w:t>
      </w:r>
    </w:p>
    <w:p w14:paraId="70A427EE">
      <w:pPr>
        <w:pStyle w:val="22"/>
        <w:widowControl/>
        <w:ind w:firstLine="640"/>
        <w:rPr>
          <w:rFonts w:hint="eastAsia" w:ascii="仿宋_GB2312" w:hAnsi="仿宋_GB2312" w:eastAsia="仿宋_GB2312" w:cs="仿宋_GB2312"/>
          <w:kern w:val="2"/>
          <w:sz w:val="32"/>
          <w:szCs w:val="32"/>
          <w:lang w:val="en-US" w:eastAsia="zh-CN" w:bidi="ar"/>
        </w:rPr>
      </w:pPr>
    </w:p>
    <w:p w14:paraId="2C831B9E">
      <w:pPr>
        <w:keepNext w:val="0"/>
        <w:keepLines w:val="0"/>
        <w:widowControl w:val="0"/>
        <w:numPr>
          <w:ilvl w:val="0"/>
          <w:numId w:val="2"/>
        </w:numPr>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机构情况，包括当年变动情况及原因。</w:t>
      </w:r>
    </w:p>
    <w:p w14:paraId="77B40C77">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eastAsia" w:ascii="楷体_GB2312" w:hAnsi="楷体_GB2312" w:eastAsia="楷体_GB2312" w:cs="楷体_GB2312"/>
          <w:b/>
          <w:bCs/>
          <w:kern w:val="2"/>
          <w:sz w:val="32"/>
          <w:szCs w:val="32"/>
          <w:lang w:val="en-US" w:eastAsia="zh-CN" w:bidi="ar"/>
        </w:rPr>
      </w:pPr>
      <w:r>
        <w:rPr>
          <w:rFonts w:hint="eastAsia" w:ascii="仿宋_GB2312" w:hAnsi="仿宋_GB2312" w:eastAsia="仿宋_GB2312" w:cs="仿宋_GB2312"/>
          <w:kern w:val="2"/>
          <w:sz w:val="32"/>
          <w:szCs w:val="32"/>
          <w:lang w:val="en-US" w:eastAsia="zh-CN" w:bidi="ar"/>
        </w:rPr>
        <w:t>市供销社设11个内设机构：办公室、组织人事科、财务科、改革发展科、合作经济科、综合服务科、安全信访科、社有资产管理科、宣传法规科、监审科、离退休人员管理服务科。 </w:t>
      </w:r>
    </w:p>
    <w:p w14:paraId="297BFC38">
      <w:pPr>
        <w:keepNext w:val="0"/>
        <w:keepLines w:val="0"/>
        <w:widowControl w:val="0"/>
        <w:numPr>
          <w:ilvl w:val="0"/>
          <w:numId w:val="2"/>
        </w:numPr>
        <w:suppressLineNumbers w:val="0"/>
        <w:spacing w:before="0" w:beforeAutospacing="0" w:after="0" w:afterAutospacing="0" w:line="360" w:lineRule="auto"/>
        <w:ind w:left="0" w:leftChars="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人员情况，包括当年变动情况及原因。</w:t>
      </w:r>
    </w:p>
    <w:p w14:paraId="663473E4">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市供销社编制数为40个，其中（1）机关全额拨款事业编制36名：理事会主任１名、理事会副主任３名；监事会主任1名、监事会副主任1名，正科级领导职数12名，副科级领导职数9名。 （2）机关后勤服务全额拨款事业编制4名。</w:t>
      </w:r>
    </w:p>
    <w:p w14:paraId="76DE3E0D">
      <w:pPr>
        <w:pStyle w:val="22"/>
        <w:widowControl/>
        <w:ind w:firstLine="64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2022年底，市供销社实有人数为35人，其中全额拨款事业编制人数为33名、机关后勤服务全额拨款事业编制人数为2名、临聘人员2名。2022年，通过湖南省公务员招考录用</w:t>
      </w:r>
      <w:r>
        <w:rPr>
          <w:rFonts w:hint="default" w:ascii="仿宋_GB2312" w:hAnsi="仿宋_GB2312" w:eastAsia="仿宋_GB2312" w:cs="仿宋_GB2312"/>
          <w:kern w:val="2"/>
          <w:sz w:val="32"/>
          <w:szCs w:val="32"/>
          <w:lang w:eastAsia="zh-CN" w:bidi="ar"/>
        </w:rPr>
        <w:t>1</w:t>
      </w:r>
      <w:r>
        <w:rPr>
          <w:rFonts w:hint="eastAsia" w:ascii="仿宋_GB2312" w:hAnsi="仿宋_GB2312" w:eastAsia="仿宋_GB2312" w:cs="仿宋_GB2312"/>
          <w:kern w:val="2"/>
          <w:sz w:val="32"/>
          <w:szCs w:val="32"/>
          <w:lang w:val="en-US" w:eastAsia="zh-CN" w:bidi="ar"/>
        </w:rPr>
        <w:t>名</w:t>
      </w:r>
      <w:r>
        <w:rPr>
          <w:rFonts w:hint="default"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2名干部分别从常宁市网络安全和信息化委员会办公室、衡阳市归国华侨联合会调入。</w:t>
      </w:r>
    </w:p>
    <w:p w14:paraId="61E51A03">
      <w:pPr>
        <w:pStyle w:val="22"/>
        <w:widowControl/>
        <w:numPr>
          <w:ilvl w:val="0"/>
          <w:numId w:val="0"/>
        </w:numPr>
        <w:rPr>
          <w:rFonts w:eastAsia="黑体"/>
          <w:sz w:val="32"/>
          <w:szCs w:val="32"/>
        </w:rPr>
      </w:pPr>
    </w:p>
    <w:p w14:paraId="71596A34">
      <w:pPr>
        <w:pStyle w:val="22"/>
        <w:widowControl/>
        <w:ind w:firstLine="640"/>
        <w:rPr>
          <w:rFonts w:eastAsia="黑体"/>
          <w:sz w:val="32"/>
          <w:szCs w:val="32"/>
        </w:rPr>
      </w:pPr>
      <w:r>
        <w:rPr>
          <w:rFonts w:eastAsia="黑体"/>
          <w:sz w:val="32"/>
          <w:szCs w:val="32"/>
        </w:rPr>
        <w:t>二、一般公共预算支出情况</w:t>
      </w:r>
    </w:p>
    <w:p w14:paraId="323EE094">
      <w:pPr>
        <w:pStyle w:val="22"/>
        <w:widowControl/>
        <w:ind w:firstLine="643"/>
        <w:rPr>
          <w:rFonts w:eastAsia="楷体"/>
          <w:b/>
          <w:sz w:val="32"/>
          <w:szCs w:val="32"/>
        </w:rPr>
      </w:pPr>
      <w:r>
        <w:rPr>
          <w:rFonts w:eastAsia="楷体"/>
          <w:b/>
          <w:sz w:val="32"/>
          <w:szCs w:val="32"/>
        </w:rPr>
        <w:t>（一）基本支出情况</w:t>
      </w:r>
    </w:p>
    <w:p w14:paraId="0298EB8C">
      <w:pPr>
        <w:keepNext w:val="0"/>
        <w:keepLines w:val="0"/>
        <w:widowControl w:val="0"/>
        <w:suppressLineNumbers w:val="0"/>
        <w:spacing w:before="0" w:beforeAutospacing="0" w:after="0" w:afterAutospacing="0" w:line="360" w:lineRule="auto"/>
        <w:ind w:left="0" w:right="0" w:firstLine="640" w:firstLineChars="200"/>
        <w:jc w:val="both"/>
        <w:rPr>
          <w:rFonts w:eastAsia="楷体"/>
          <w:b/>
          <w:sz w:val="32"/>
          <w:szCs w:val="32"/>
        </w:rPr>
      </w:pPr>
      <w:r>
        <w:rPr>
          <w:rFonts w:hint="eastAsia" w:ascii="仿宋_GB2312" w:hAnsi="仿宋_GB2312" w:eastAsia="仿宋_GB2312" w:cs="仿宋_GB2312"/>
          <w:kern w:val="2"/>
          <w:sz w:val="32"/>
          <w:szCs w:val="32"/>
          <w:lang w:val="en-US" w:eastAsia="zh-CN" w:bidi="ar"/>
        </w:rPr>
        <w:t>2022年，财政拨款支出1314.73万元，其中（1）工资福利支出760.7万元，占比57.86%，主要反映在职人员的工资福利和缴纳的五险一金；（2）商品和服务支出128.8万元，占比9.8%，主要反映单位的机关运行经费；（3）对个人和家庭的补助支出208.86万元，占比15.89%，主要反映单位离退休人员的相关经费；（4）资本性支出34.34万元，占比2.61%，主要反映单位的办公设备购置经费（5）对企业补助支出180.8万元，占比13.75%，主要反映单位综合改革专项资金及对下属企业的困难补助。</w:t>
      </w:r>
    </w:p>
    <w:p w14:paraId="61D732CF">
      <w:pPr>
        <w:pStyle w:val="22"/>
        <w:widowControl/>
        <w:ind w:firstLine="643"/>
        <w:rPr>
          <w:rFonts w:eastAsia="楷体"/>
          <w:b/>
          <w:sz w:val="32"/>
          <w:szCs w:val="32"/>
        </w:rPr>
      </w:pPr>
    </w:p>
    <w:p w14:paraId="68940DA8">
      <w:pPr>
        <w:pStyle w:val="22"/>
        <w:widowControl/>
        <w:ind w:firstLine="643"/>
        <w:rPr>
          <w:rFonts w:eastAsia="楷体"/>
          <w:b/>
          <w:sz w:val="32"/>
          <w:szCs w:val="32"/>
        </w:rPr>
      </w:pPr>
      <w:r>
        <w:rPr>
          <w:rFonts w:eastAsia="楷体"/>
          <w:b/>
          <w:sz w:val="32"/>
          <w:szCs w:val="32"/>
        </w:rPr>
        <w:t>（二）项目支出情况</w:t>
      </w:r>
    </w:p>
    <w:p w14:paraId="411AD386">
      <w:pPr>
        <w:pStyle w:val="22"/>
        <w:widowControl/>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项目支出130万元，为供销社综合改革经费，是依据2019年8月29日衡阳市深化供销合作社综合改革领导小组会议纪要（〔2019〕第1次）及2019年9月12日召开的市政府2019年第11次（15届38次）常务会议精神列入预算的供销社综合改革经费，该项经费用于2022年度城乡产业运营平台试点工作奖补</w:t>
      </w:r>
      <w:r>
        <w:rPr>
          <w:rFonts w:hint="eastAsia" w:ascii="仿宋_GB2312" w:hAnsi="仿宋_GB2312" w:eastAsia="仿宋_GB2312" w:cs="仿宋_GB2312"/>
          <w:sz w:val="32"/>
          <w:szCs w:val="32"/>
        </w:rPr>
        <w:t>。</w:t>
      </w:r>
    </w:p>
    <w:p w14:paraId="611AB48D">
      <w:pPr>
        <w:pStyle w:val="22"/>
        <w:widowControl/>
        <w:numPr>
          <w:ilvl w:val="0"/>
          <w:numId w:val="0"/>
        </w:numPr>
        <w:ind w:firstLine="640" w:firstLineChars="200"/>
        <w:rPr>
          <w:rFonts w:eastAsia="黑体"/>
          <w:sz w:val="32"/>
          <w:szCs w:val="32"/>
        </w:rPr>
      </w:pPr>
      <w:r>
        <w:rPr>
          <w:rFonts w:hint="eastAsia" w:eastAsia="黑体"/>
          <w:sz w:val="32"/>
          <w:szCs w:val="32"/>
          <w:lang w:val="en-US" w:eastAsia="zh-CN"/>
        </w:rPr>
        <w:t>三、</w:t>
      </w:r>
      <w:r>
        <w:rPr>
          <w:rFonts w:eastAsia="黑体"/>
          <w:sz w:val="32"/>
          <w:szCs w:val="32"/>
        </w:rPr>
        <w:t>政府性基金预算支出情况</w:t>
      </w:r>
    </w:p>
    <w:p w14:paraId="1B76F5FE">
      <w:pPr>
        <w:pStyle w:val="22"/>
        <w:widowControl/>
        <w:numPr>
          <w:ilvl w:val="0"/>
          <w:numId w:val="0"/>
        </w:numPr>
        <w:ind w:firstLine="640" w:firstLineChars="200"/>
        <w:jc w:val="both"/>
        <w:rPr>
          <w:rFonts w:eastAsia="黑体"/>
          <w:sz w:val="32"/>
          <w:szCs w:val="32"/>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无政府性基金预算支出。</w:t>
      </w:r>
    </w:p>
    <w:p w14:paraId="5B14169A">
      <w:pPr>
        <w:pStyle w:val="22"/>
        <w:widowControl/>
        <w:numPr>
          <w:ilvl w:val="0"/>
          <w:numId w:val="3"/>
        </w:numPr>
        <w:ind w:firstLine="640"/>
        <w:rPr>
          <w:rFonts w:eastAsia="黑体"/>
          <w:sz w:val="32"/>
          <w:szCs w:val="32"/>
        </w:rPr>
      </w:pPr>
      <w:r>
        <w:rPr>
          <w:rFonts w:eastAsia="黑体"/>
          <w:sz w:val="32"/>
          <w:szCs w:val="32"/>
        </w:rPr>
        <w:t>国有资本经营预算支出情况</w:t>
      </w:r>
    </w:p>
    <w:p w14:paraId="7C1C5BA9">
      <w:pPr>
        <w:pStyle w:val="22"/>
        <w:widowControl/>
        <w:numPr>
          <w:ilvl w:val="0"/>
          <w:numId w:val="0"/>
        </w:numPr>
        <w:ind w:firstLine="640" w:firstLineChars="200"/>
        <w:jc w:val="both"/>
        <w:rPr>
          <w:rFonts w:eastAsia="黑体"/>
          <w:sz w:val="32"/>
          <w:szCs w:val="32"/>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无国有资本经营预算支出。</w:t>
      </w:r>
    </w:p>
    <w:p w14:paraId="08A2BCE6">
      <w:pPr>
        <w:pStyle w:val="22"/>
        <w:widowControl/>
        <w:numPr>
          <w:ilvl w:val="0"/>
          <w:numId w:val="3"/>
        </w:numPr>
        <w:ind w:left="0" w:leftChars="0" w:firstLine="640" w:firstLineChars="200"/>
        <w:rPr>
          <w:rFonts w:eastAsia="黑体"/>
          <w:sz w:val="32"/>
          <w:szCs w:val="32"/>
        </w:rPr>
      </w:pPr>
      <w:r>
        <w:rPr>
          <w:rFonts w:eastAsia="黑体"/>
          <w:sz w:val="32"/>
          <w:szCs w:val="32"/>
        </w:rPr>
        <w:t>社会保险基金预算支出情况</w:t>
      </w:r>
    </w:p>
    <w:p w14:paraId="12E8A1E3">
      <w:pPr>
        <w:pStyle w:val="22"/>
        <w:widowControl/>
        <w:numPr>
          <w:ilvl w:val="0"/>
          <w:numId w:val="0"/>
        </w:numPr>
        <w:ind w:firstLine="640" w:firstLineChars="200"/>
        <w:jc w:val="both"/>
        <w:rPr>
          <w:rFonts w:hint="eastAsia" w:eastAsia="黑体"/>
          <w:sz w:val="32"/>
          <w:szCs w:val="32"/>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无社会保险基金预算支出。</w:t>
      </w:r>
    </w:p>
    <w:p w14:paraId="1D30D33C">
      <w:pPr>
        <w:pStyle w:val="22"/>
        <w:widowControl/>
        <w:numPr>
          <w:ilvl w:val="0"/>
          <w:numId w:val="0"/>
        </w:numPr>
        <w:ind w:leftChars="200"/>
        <w:rPr>
          <w:rFonts w:eastAsia="黑体"/>
          <w:sz w:val="32"/>
          <w:szCs w:val="32"/>
        </w:rPr>
      </w:pPr>
    </w:p>
    <w:p w14:paraId="168D04CD">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779D23C1">
      <w:pPr>
        <w:ind w:firstLine="640" w:firstLineChars="200"/>
        <w:rPr>
          <w:rFonts w:hint="eastAsia" w:eastAsia="仿宋_GB2312"/>
          <w:b/>
          <w:bCs/>
          <w:sz w:val="32"/>
          <w:szCs w:val="32"/>
          <w:lang w:eastAsia="zh-CN"/>
        </w:rPr>
      </w:pPr>
      <w:r>
        <w:rPr>
          <w:rFonts w:hint="eastAsia" w:eastAsia="仿宋_GB2312"/>
          <w:b/>
          <w:bCs/>
          <w:sz w:val="32"/>
          <w:szCs w:val="32"/>
          <w:lang w:eastAsia="zh-CN"/>
        </w:rPr>
        <w:t>（一）预算配置</w:t>
      </w:r>
    </w:p>
    <w:p w14:paraId="46259367">
      <w:pPr>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财政供养人员控制在预算编制之内，我单位编制数为40人，年末在职人数为35人，在职人员控制率为88%。</w:t>
      </w:r>
    </w:p>
    <w:p w14:paraId="0EB82A55">
      <w:pPr>
        <w:ind w:firstLine="640" w:firstLineChars="200"/>
        <w:rPr>
          <w:rFonts w:hint="eastAsia" w:ascii="Times New Roman" w:hAnsi="Times New Roman" w:eastAsia="仿宋_GB2312" w:cs="Times New Roman"/>
          <w:bCs/>
          <w:color w:val="auto"/>
          <w:kern w:val="0"/>
          <w:sz w:val="32"/>
          <w:szCs w:val="32"/>
          <w:shd w:val="clear" w:color="auto" w:fill="auto"/>
          <w:lang w:val="en-US" w:eastAsia="zh-CN" w:bidi="ar-SA"/>
        </w:rPr>
      </w:pPr>
      <w:r>
        <w:rPr>
          <w:rFonts w:hint="eastAsia" w:ascii="Times New Roman" w:hAnsi="Times New Roman" w:eastAsia="仿宋_GB2312" w:cs="Times New Roman"/>
          <w:bCs/>
          <w:color w:val="auto"/>
          <w:kern w:val="0"/>
          <w:sz w:val="32"/>
          <w:szCs w:val="32"/>
          <w:lang w:val="en-US" w:eastAsia="zh-CN" w:bidi="ar-SA"/>
        </w:rPr>
        <w:t>“三公”</w:t>
      </w:r>
      <w:r>
        <w:rPr>
          <w:rFonts w:hint="eastAsia" w:ascii="Times New Roman" w:hAnsi="Times New Roman" w:eastAsia="仿宋_GB2312" w:cs="Times New Roman"/>
          <w:bCs/>
          <w:color w:val="auto"/>
          <w:kern w:val="0"/>
          <w:sz w:val="32"/>
          <w:szCs w:val="32"/>
          <w:shd w:val="clear" w:color="auto" w:fill="auto"/>
          <w:lang w:val="en-US" w:eastAsia="zh-CN" w:bidi="ar-SA"/>
        </w:rPr>
        <w:t>经费预算没有超过预算安排。</w:t>
      </w:r>
    </w:p>
    <w:p w14:paraId="0362F02D">
      <w:pPr>
        <w:numPr>
          <w:ilvl w:val="0"/>
          <w:numId w:val="4"/>
        </w:numPr>
        <w:ind w:left="-13" w:leftChars="0" w:firstLine="643" w:firstLineChars="0"/>
        <w:rPr>
          <w:rFonts w:hint="eastAsia" w:eastAsia="仿宋_GB2312"/>
          <w:b/>
          <w:bCs/>
          <w:sz w:val="32"/>
          <w:szCs w:val="32"/>
          <w:shd w:val="clear" w:color="auto" w:fill="auto"/>
          <w:lang w:eastAsia="zh-CN"/>
        </w:rPr>
      </w:pPr>
      <w:r>
        <w:rPr>
          <w:rFonts w:hint="eastAsia" w:eastAsia="仿宋_GB2312"/>
          <w:b/>
          <w:bCs/>
          <w:sz w:val="32"/>
          <w:szCs w:val="32"/>
          <w:shd w:val="clear" w:color="auto" w:fill="auto"/>
          <w:lang w:eastAsia="zh-CN"/>
        </w:rPr>
        <w:t>预算执行</w:t>
      </w:r>
    </w:p>
    <w:p w14:paraId="729B5CA3">
      <w:pPr>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Cs/>
          <w:color w:val="auto"/>
          <w:kern w:val="0"/>
          <w:sz w:val="32"/>
          <w:szCs w:val="32"/>
          <w:shd w:val="clear" w:color="auto" w:fill="auto"/>
          <w:lang w:val="en-US" w:eastAsia="zh-CN" w:bidi="ar-SA"/>
        </w:rPr>
        <w:t>2022年</w:t>
      </w:r>
      <w:r>
        <w:rPr>
          <w:rFonts w:hint="eastAsia" w:ascii="Times New Roman" w:hAnsi="Times New Roman" w:eastAsia="仿宋_GB2312" w:cs="Times New Roman"/>
          <w:bCs/>
          <w:color w:val="auto"/>
          <w:kern w:val="0"/>
          <w:sz w:val="32"/>
          <w:szCs w:val="32"/>
          <w:lang w:val="en-US" w:eastAsia="zh-CN" w:bidi="ar-SA"/>
        </w:rPr>
        <w:t>我单位预算完成率为</w:t>
      </w:r>
      <w:r>
        <w:rPr>
          <w:rFonts w:hint="eastAsia" w:ascii="Times New Roman" w:hAnsi="Times New Roman" w:eastAsia="仿宋_GB2312" w:cs="Times New Roman"/>
          <w:bCs/>
          <w:color w:val="auto"/>
          <w:kern w:val="0"/>
          <w:sz w:val="32"/>
          <w:szCs w:val="32"/>
          <w:highlight w:val="none"/>
          <w:lang w:val="en-US" w:eastAsia="zh-CN" w:bidi="ar-SA"/>
        </w:rPr>
        <w:t>100%</w:t>
      </w:r>
      <w:r>
        <w:rPr>
          <w:rFonts w:hint="eastAsia" w:ascii="Times New Roman" w:hAnsi="Times New Roman" w:eastAsia="仿宋_GB2312" w:cs="Times New Roman"/>
          <w:bCs/>
          <w:color w:val="auto"/>
          <w:kern w:val="0"/>
          <w:sz w:val="32"/>
          <w:szCs w:val="32"/>
          <w:lang w:val="en-US" w:eastAsia="zh-CN" w:bidi="ar-SA"/>
        </w:rPr>
        <w:t>；本年追加预算376.64万元，年初预算938.09万元，预算控制率为40.15%，导致预算追加的原因主要是综合改革工作经费、基本工资提标拨款、绩效工资提标拨款、职级晋升公务交通补贴、增人增资拨款、死亡一次性抚恤金、房屋维修资金、春节特困企业慰问金等。</w:t>
      </w:r>
    </w:p>
    <w:p w14:paraId="71ABCE25">
      <w:pPr>
        <w:ind w:firstLine="640" w:firstLineChars="200"/>
        <w:rPr>
          <w:rFonts w:hint="eastAsia" w:ascii="仿宋_GB2312" w:hAnsi="仿宋_GB2312" w:eastAsia="仿宋_GB2312" w:cs="仿宋_GB2312"/>
          <w:color w:val="auto"/>
          <w:sz w:val="32"/>
          <w:szCs w:val="32"/>
          <w:shd w:val="clear" w:color="auto" w:fill="auto"/>
          <w:lang w:val="en-US" w:eastAsia="zh-CN"/>
        </w:rPr>
      </w:pPr>
    </w:p>
    <w:p w14:paraId="14B845F5">
      <w:pPr>
        <w:bidi w:val="0"/>
        <w:ind w:firstLine="640" w:firstLineChars="200"/>
        <w:rPr>
          <w:rFonts w:hint="default" w:ascii="Times New Roman" w:hAnsi="Times New Roman" w:eastAsia="仿宋_GB2312" w:cs="Times New Roman"/>
          <w:bCs/>
          <w:color w:val="auto"/>
          <w:kern w:val="0"/>
          <w:sz w:val="32"/>
          <w:szCs w:val="32"/>
          <w:shd w:val="clear" w:color="auto" w:fill="auto"/>
          <w:lang w:val="en-US" w:eastAsia="zh-CN" w:bidi="ar-SA"/>
        </w:rPr>
      </w:pPr>
      <w:r>
        <w:rPr>
          <w:rFonts w:hint="eastAsia" w:ascii="Times New Roman" w:hAnsi="Times New Roman" w:eastAsia="仿宋_GB2312" w:cs="Times New Roman"/>
          <w:bCs/>
          <w:color w:val="auto"/>
          <w:kern w:val="0"/>
          <w:sz w:val="32"/>
          <w:szCs w:val="32"/>
          <w:lang w:val="en-US" w:eastAsia="zh-CN" w:bidi="ar-SA"/>
        </w:rPr>
        <w:t>2022年，本部门收入实际完成1314.73万元，比上年增加244.57万元，同比增长22.85%。</w:t>
      </w:r>
      <w:r>
        <w:rPr>
          <w:rFonts w:hint="eastAsia" w:ascii="Times New Roman" w:hAnsi="Times New Roman" w:eastAsia="仿宋_GB2312" w:cs="Times New Roman"/>
          <w:bCs/>
          <w:color w:val="auto"/>
          <w:kern w:val="0"/>
          <w:sz w:val="32"/>
          <w:szCs w:val="32"/>
          <w:shd w:val="clear" w:color="auto" w:fill="auto"/>
          <w:lang w:val="en-US" w:eastAsia="zh-CN" w:bidi="ar-SA"/>
        </w:rPr>
        <w:t>主要原因是绩效工资增加、</w:t>
      </w:r>
      <w:r>
        <w:rPr>
          <w:rFonts w:hint="eastAsia" w:ascii="Times New Roman" w:hAnsi="Times New Roman" w:eastAsia="仿宋_GB2312" w:cs="Times New Roman"/>
          <w:bCs/>
          <w:color w:val="auto"/>
          <w:kern w:val="0"/>
          <w:sz w:val="32"/>
          <w:szCs w:val="32"/>
          <w:lang w:val="en-US" w:eastAsia="zh-CN" w:bidi="ar-SA"/>
        </w:rPr>
        <w:t>供销社综合改革专项资金增加</w:t>
      </w:r>
      <w:r>
        <w:rPr>
          <w:rFonts w:hint="eastAsia" w:ascii="Times New Roman" w:hAnsi="Times New Roman" w:eastAsia="仿宋_GB2312" w:cs="Times New Roman"/>
          <w:bCs/>
          <w:color w:val="auto"/>
          <w:kern w:val="0"/>
          <w:sz w:val="32"/>
          <w:szCs w:val="32"/>
          <w:shd w:val="clear" w:color="auto" w:fill="auto"/>
          <w:lang w:val="en-US" w:eastAsia="zh-CN" w:bidi="ar-SA"/>
        </w:rPr>
        <w:t>。其中：一般公共预算财政拨款收入完成1312.8万元，比上年1070.16万元，增加了242.64万元，同比增长22.67%，变化的主要原因为绩效工资增加、</w:t>
      </w:r>
      <w:r>
        <w:rPr>
          <w:rFonts w:hint="eastAsia" w:ascii="Times New Roman" w:hAnsi="Times New Roman" w:eastAsia="仿宋_GB2312" w:cs="Times New Roman"/>
          <w:bCs/>
          <w:color w:val="auto"/>
          <w:kern w:val="0"/>
          <w:sz w:val="32"/>
          <w:szCs w:val="32"/>
          <w:lang w:val="en-US" w:eastAsia="zh-CN" w:bidi="ar-SA"/>
        </w:rPr>
        <w:t>供销社综合改革专项资金增加</w:t>
      </w:r>
      <w:r>
        <w:rPr>
          <w:rFonts w:hint="eastAsia" w:ascii="Times New Roman" w:hAnsi="Times New Roman" w:eastAsia="仿宋_GB2312" w:cs="Times New Roman"/>
          <w:bCs/>
          <w:color w:val="auto"/>
          <w:kern w:val="0"/>
          <w:sz w:val="32"/>
          <w:szCs w:val="32"/>
          <w:shd w:val="clear" w:color="auto" w:fill="auto"/>
          <w:lang w:val="en-US" w:eastAsia="zh-CN" w:bidi="ar-SA"/>
        </w:rPr>
        <w:t>。</w:t>
      </w:r>
    </w:p>
    <w:p w14:paraId="40983704">
      <w:pPr>
        <w:bidi w:val="0"/>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2022年，本部门支出实际为1314.73万元，比上年增加244.57万元，</w:t>
      </w:r>
      <w:r>
        <w:rPr>
          <w:rFonts w:hint="eastAsia" w:ascii="Times New Roman" w:hAnsi="Times New Roman" w:eastAsia="仿宋_GB2312" w:cs="Times New Roman"/>
          <w:bCs/>
          <w:color w:val="auto"/>
          <w:kern w:val="0"/>
          <w:sz w:val="32"/>
          <w:szCs w:val="32"/>
          <w:shd w:val="clear" w:color="auto" w:fill="auto"/>
          <w:lang w:val="en-US" w:eastAsia="zh-CN" w:bidi="ar-SA"/>
        </w:rPr>
        <w:t>同比增长22.67%</w:t>
      </w:r>
      <w:r>
        <w:rPr>
          <w:rFonts w:hint="eastAsia" w:ascii="Times New Roman" w:hAnsi="Times New Roman" w:eastAsia="仿宋_GB2312" w:cs="Times New Roman"/>
          <w:bCs/>
          <w:color w:val="auto"/>
          <w:kern w:val="0"/>
          <w:sz w:val="32"/>
          <w:szCs w:val="32"/>
          <w:lang w:val="en-US" w:eastAsia="zh-CN" w:bidi="ar-SA"/>
        </w:rPr>
        <w:t>。</w:t>
      </w:r>
      <w:r>
        <w:rPr>
          <w:rFonts w:hint="eastAsia" w:ascii="Times New Roman" w:hAnsi="Times New Roman" w:eastAsia="仿宋_GB2312" w:cs="Times New Roman"/>
          <w:bCs/>
          <w:color w:val="auto"/>
          <w:kern w:val="0"/>
          <w:sz w:val="32"/>
          <w:szCs w:val="32"/>
          <w:shd w:val="clear" w:color="auto" w:fill="auto"/>
          <w:lang w:val="en-US" w:eastAsia="zh-CN" w:bidi="ar-SA"/>
        </w:rPr>
        <w:t>变化的主要原因是工资福利支出增加、资本性支出增加。</w:t>
      </w:r>
      <w:r>
        <w:rPr>
          <w:rFonts w:hint="eastAsia" w:ascii="Times New Roman" w:hAnsi="Times New Roman" w:eastAsia="仿宋_GB2312" w:cs="Times New Roman"/>
          <w:bCs/>
          <w:color w:val="auto"/>
          <w:kern w:val="0"/>
          <w:sz w:val="32"/>
          <w:szCs w:val="32"/>
          <w:lang w:val="en-US" w:eastAsia="zh-CN" w:bidi="ar-SA"/>
        </w:rPr>
        <w:t>其中基本支出完成1183.5万元，比上年增加263.72万元，同比增长28.67%。</w:t>
      </w:r>
    </w:p>
    <w:p w14:paraId="6D3CB4F2">
      <w:pPr>
        <w:ind w:firstLine="640" w:firstLineChars="200"/>
        <w:rPr>
          <w:rFonts w:hint="eastAsia" w:ascii="Times New Roman" w:hAnsi="Times New Roman" w:eastAsia="仿宋_GB2312" w:cs="Times New Roman"/>
          <w:bCs/>
          <w:color w:val="auto"/>
          <w:kern w:val="0"/>
          <w:sz w:val="32"/>
          <w:szCs w:val="32"/>
          <w:shd w:val="clear" w:color="auto" w:fill="auto"/>
          <w:lang w:val="en-US" w:eastAsia="zh-CN" w:bidi="ar-SA"/>
        </w:rPr>
      </w:pPr>
      <w:r>
        <w:rPr>
          <w:rFonts w:hint="eastAsia" w:ascii="Times New Roman" w:hAnsi="Times New Roman" w:eastAsia="仿宋_GB2312" w:cs="Times New Roman"/>
          <w:bCs/>
          <w:color w:val="auto"/>
          <w:kern w:val="0"/>
          <w:sz w:val="32"/>
          <w:szCs w:val="32"/>
          <w:lang w:val="en-US" w:eastAsia="zh-CN" w:bidi="ar-SA"/>
        </w:rPr>
        <w:t>项目支出130万元，比上年减少20.38万元，同比下降13.55%，</w:t>
      </w:r>
      <w:r>
        <w:rPr>
          <w:rFonts w:hint="eastAsia" w:ascii="Times New Roman" w:hAnsi="Times New Roman" w:eastAsia="仿宋_GB2312" w:cs="Times New Roman"/>
          <w:bCs/>
          <w:color w:val="auto"/>
          <w:kern w:val="0"/>
          <w:sz w:val="32"/>
          <w:szCs w:val="32"/>
          <w:shd w:val="clear" w:color="auto" w:fill="auto"/>
          <w:lang w:val="en-US" w:eastAsia="zh-CN" w:bidi="ar-SA"/>
        </w:rPr>
        <w:t>变化的主要原因是</w:t>
      </w:r>
      <w:r>
        <w:rPr>
          <w:rFonts w:hint="eastAsia" w:ascii="Times New Roman" w:hAnsi="Times New Roman" w:eastAsia="仿宋_GB2312" w:cs="Times New Roman"/>
          <w:bCs/>
          <w:color w:val="auto"/>
          <w:kern w:val="0"/>
          <w:sz w:val="32"/>
          <w:szCs w:val="32"/>
          <w:lang w:val="en-US" w:eastAsia="zh-CN" w:bidi="ar-SA"/>
        </w:rPr>
        <w:t>春节特困企业解困资金填列在对企业的补助中</w:t>
      </w:r>
      <w:r>
        <w:rPr>
          <w:rFonts w:hint="eastAsia" w:ascii="Times New Roman" w:hAnsi="Times New Roman" w:eastAsia="仿宋_GB2312" w:cs="Times New Roman"/>
          <w:bCs/>
          <w:color w:val="auto"/>
          <w:kern w:val="0"/>
          <w:sz w:val="32"/>
          <w:szCs w:val="32"/>
          <w:shd w:val="clear" w:color="auto" w:fill="auto"/>
          <w:lang w:val="en-US" w:eastAsia="zh-CN" w:bidi="ar-SA"/>
        </w:rPr>
        <w:t>。人员经费完成969.56万元，比上年增加168.09万元，同比增长20.97%，变化的主要原因是</w:t>
      </w:r>
      <w:r>
        <w:rPr>
          <w:rFonts w:hint="eastAsia" w:ascii="Times New Roman" w:hAnsi="Times New Roman" w:eastAsia="仿宋_GB2312" w:cs="Times New Roman"/>
          <w:bCs/>
          <w:color w:val="auto"/>
          <w:kern w:val="0"/>
          <w:sz w:val="32"/>
          <w:szCs w:val="32"/>
          <w:lang w:val="en-US" w:eastAsia="zh-CN" w:bidi="ar-SA"/>
        </w:rPr>
        <w:t>基本工资提标拨款、增发奖励性绩效工资、职级晋升公务交通补贴、增人增资拨款等</w:t>
      </w:r>
      <w:r>
        <w:rPr>
          <w:rFonts w:hint="eastAsia" w:ascii="Times New Roman" w:hAnsi="Times New Roman" w:eastAsia="仿宋_GB2312" w:cs="Times New Roman"/>
          <w:bCs/>
          <w:color w:val="auto"/>
          <w:kern w:val="0"/>
          <w:sz w:val="32"/>
          <w:szCs w:val="32"/>
          <w:shd w:val="clear" w:color="auto" w:fill="auto"/>
          <w:lang w:val="en-US" w:eastAsia="zh-CN" w:bidi="ar-SA"/>
        </w:rPr>
        <w:t>；公用经费完成163.13万元，比上年增加44.82万元，同比增长37.88%；变化的主要原因是单位搬迁装修搬迁支出、物业管理费用、电费增加，新增2名乡镇挂职人员，经费开支增加。</w:t>
      </w:r>
    </w:p>
    <w:p w14:paraId="7B4B3110">
      <w:pPr>
        <w:ind w:firstLine="640" w:firstLineChars="200"/>
        <w:rPr>
          <w:rFonts w:hint="eastAsia" w:eastAsia="仿宋_GB2312"/>
          <w:b/>
          <w:bCs/>
          <w:sz w:val="32"/>
          <w:szCs w:val="32"/>
          <w:highlight w:val="none"/>
          <w:lang w:eastAsia="zh-CN"/>
        </w:rPr>
      </w:pPr>
      <w:r>
        <w:rPr>
          <w:rFonts w:hint="eastAsia" w:eastAsia="仿宋_GB2312"/>
          <w:b/>
          <w:bCs/>
          <w:sz w:val="32"/>
          <w:szCs w:val="32"/>
          <w:highlight w:val="none"/>
          <w:lang w:eastAsia="zh-CN"/>
        </w:rPr>
        <w:t>（三）预算管理</w:t>
      </w:r>
    </w:p>
    <w:p w14:paraId="4BB8C875">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1.费用控制情况：</w:t>
      </w:r>
      <w:r>
        <w:rPr>
          <w:rFonts w:hint="eastAsia" w:ascii="Times New Roman" w:hAnsi="Times New Roman" w:eastAsia="仿宋_GB2312" w:cs="Times New Roman"/>
          <w:bCs/>
          <w:color w:val="auto"/>
          <w:kern w:val="0"/>
          <w:sz w:val="32"/>
          <w:szCs w:val="32"/>
          <w:lang w:val="en-US" w:eastAsia="zh-CN" w:bidi="ar-SA"/>
        </w:rPr>
        <w:t>2022年我单位公用经费实际支出总额为163.13万元，预算安排公用经费总额为183.92万元，公用经费控制率为88.7%；三公经费实际支出额为3.19万元，三公经费预算安排数为14万元，三公经费控制率为22.79%</w:t>
      </w:r>
      <w:r>
        <w:rPr>
          <w:rFonts w:hint="eastAsia" w:ascii="仿宋_GB2312" w:hAnsi="仿宋_GB2312" w:eastAsia="仿宋_GB2312" w:cs="仿宋_GB2312"/>
          <w:sz w:val="32"/>
          <w:szCs w:val="32"/>
          <w:highlight w:val="none"/>
          <w:lang w:val="en-US" w:eastAsia="zh-CN"/>
        </w:rPr>
        <w:t>。</w:t>
      </w:r>
    </w:p>
    <w:p w14:paraId="6241B537">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2.管理制度健全性：</w:t>
      </w:r>
      <w:r>
        <w:rPr>
          <w:rFonts w:hint="eastAsia" w:ascii="仿宋_GB2312" w:hAnsi="仿宋_GB2312" w:eastAsia="仿宋_GB2312" w:cs="仿宋_GB2312"/>
          <w:sz w:val="32"/>
          <w:szCs w:val="32"/>
          <w:highlight w:val="none"/>
          <w:lang w:val="en-US" w:eastAsia="zh-CN"/>
        </w:rPr>
        <w:t>2022年我社建立健全了管理制度，相关制度合规合法并得到有效执行；</w:t>
      </w:r>
    </w:p>
    <w:p w14:paraId="5113027F">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3.资金使用合规性：</w:t>
      </w:r>
      <w:r>
        <w:rPr>
          <w:rFonts w:hint="eastAsia" w:ascii="仿宋_GB2312" w:hAnsi="仿宋_GB2312" w:eastAsia="仿宋_GB2312" w:cs="仿宋_GB2312"/>
          <w:sz w:val="32"/>
          <w:szCs w:val="32"/>
          <w:highlight w:val="none"/>
          <w:lang w:val="en-US" w:eastAsia="zh-CN"/>
        </w:rPr>
        <w:t>支出符合国家财经法规和财务管理制度规定；资金拨付有完整的审批程序和手续；支出符合部门预算批复的用途；资金使用无截留、挤占、挪用、虚列支出等情况。</w:t>
      </w:r>
    </w:p>
    <w:p w14:paraId="2A6AF464">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4.预决算信息公开性：</w:t>
      </w:r>
      <w:r>
        <w:rPr>
          <w:rFonts w:hint="eastAsia" w:ascii="仿宋_GB2312" w:hAnsi="仿宋_GB2312" w:eastAsia="仿宋_GB2312" w:cs="仿宋_GB2312"/>
          <w:sz w:val="32"/>
          <w:szCs w:val="32"/>
          <w:highlight w:val="none"/>
          <w:lang w:val="en-US" w:eastAsia="zh-CN"/>
        </w:rPr>
        <w:t>及时、准确地公开了预决算信息。</w:t>
      </w:r>
    </w:p>
    <w:p w14:paraId="2F52AB42">
      <w:pPr>
        <w:bidi w:val="0"/>
        <w:ind w:firstLine="640" w:firstLineChars="200"/>
        <w:rPr>
          <w:rFonts w:hint="eastAsia" w:eastAsia="仿宋_GB2312"/>
          <w:b/>
          <w:bCs/>
          <w:sz w:val="32"/>
          <w:szCs w:val="32"/>
          <w:highlight w:val="none"/>
          <w:lang w:eastAsia="zh-CN"/>
        </w:rPr>
      </w:pPr>
      <w:r>
        <w:rPr>
          <w:rFonts w:hint="eastAsia" w:eastAsia="仿宋_GB2312"/>
          <w:b/>
          <w:bCs/>
          <w:sz w:val="32"/>
          <w:szCs w:val="32"/>
          <w:highlight w:val="none"/>
          <w:lang w:eastAsia="zh-CN"/>
        </w:rPr>
        <w:t>（四）职责履行及履职效益</w:t>
      </w:r>
    </w:p>
    <w:p w14:paraId="2C5E2C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0"/>
        <w:rPr>
          <w:rFonts w:hint="eastAsia" w:ascii="Times New Roman" w:hAnsi="Times New Roman" w:eastAsia="仿宋_GB2312" w:cs="宋体"/>
          <w:b w:val="0"/>
          <w:bCs/>
          <w:color w:val="auto"/>
          <w:kern w:val="2"/>
          <w:sz w:val="32"/>
          <w:szCs w:val="32"/>
          <w:lang w:val="en-US" w:eastAsia="zh-CN" w:bidi="ar-SA"/>
        </w:rPr>
      </w:pPr>
      <w:r>
        <w:rPr>
          <w:rFonts w:hint="eastAsia" w:ascii="Times New Roman" w:hAnsi="Times New Roman" w:eastAsia="仿宋_GB2312" w:cs="宋体"/>
          <w:b w:val="0"/>
          <w:bCs/>
          <w:color w:val="auto"/>
          <w:kern w:val="2"/>
          <w:sz w:val="32"/>
          <w:szCs w:val="32"/>
          <w:lang w:val="en-US" w:eastAsia="zh-CN" w:bidi="ar-SA"/>
        </w:rPr>
        <w:t>2022年在市委、市政府的领导下，我社坚持以习近平新时代中国特色社会主义思想为指导，深入学习贯彻落实党的二十大精神，以搭建全国首家城乡产业运营平台为载体，</w:t>
      </w:r>
      <w:r>
        <w:rPr>
          <w:rStyle w:val="25"/>
          <w:rFonts w:hint="eastAsia" w:ascii="仿宋_GB2312" w:hAnsi="仿宋_GB2312" w:eastAsia="仿宋_GB2312"/>
          <w:b w:val="0"/>
          <w:i w:val="0"/>
          <w:caps w:val="0"/>
          <w:spacing w:val="0"/>
          <w:w w:val="100"/>
          <w:kern w:val="2"/>
          <w:sz w:val="32"/>
          <w:szCs w:val="32"/>
          <w:lang w:val="en-US" w:eastAsia="zh-CN" w:bidi="ar-SA"/>
        </w:rPr>
        <w:t>不断开创供销合作事业新局面。</w:t>
      </w:r>
    </w:p>
    <w:p w14:paraId="727F9892">
      <w:pPr>
        <w:pStyle w:val="7"/>
        <w:spacing w:after="0" w:afterAutospacing="0"/>
        <w:ind w:firstLine="640" w:firstLineChars="200"/>
        <w:rPr>
          <w:rFonts w:hint="eastAsia" w:ascii="楷体_GB2312" w:hAnsi="Calibri" w:eastAsia="楷体_GB2312" w:cs="Times New Roman"/>
          <w:b/>
          <w:kern w:val="2"/>
          <w:sz w:val="32"/>
          <w:szCs w:val="32"/>
          <w:lang w:val="en-US" w:eastAsia="zh-CN" w:bidi="ar-SA"/>
        </w:rPr>
      </w:pPr>
      <w:r>
        <w:rPr>
          <w:rFonts w:hint="eastAsia" w:ascii="楷体_GB2312" w:hAnsi="Calibri" w:eastAsia="楷体_GB2312" w:cs="Times New Roman"/>
          <w:b/>
          <w:kern w:val="2"/>
          <w:sz w:val="32"/>
          <w:szCs w:val="32"/>
          <w:lang w:val="en-US" w:eastAsia="zh-CN" w:bidi="ar-SA"/>
        </w:rPr>
        <w:t>1.聚焦城乡融合，全面搭建产业平台</w:t>
      </w:r>
    </w:p>
    <w:p w14:paraId="397DB07B">
      <w:pPr>
        <w:pStyle w:val="7"/>
        <w:spacing w:after="0" w:afterAutospacing="0"/>
        <w:ind w:firstLine="640" w:firstLineChars="200"/>
        <w:rPr>
          <w:rFonts w:hint="eastAsia" w:eastAsia="仿宋_GB2312" w:cs="Times New Roman"/>
          <w:b/>
          <w:bCs/>
          <w:sz w:val="32"/>
          <w:szCs w:val="32"/>
          <w:highlight w:val="none"/>
          <w:lang w:val="en-US" w:eastAsia="zh-CN"/>
        </w:rPr>
      </w:pPr>
      <w:r>
        <w:rPr>
          <w:rFonts w:hint="eastAsia" w:ascii="仿宋_GB2312" w:hAnsi="仿宋_GB2312" w:eastAsia="仿宋_GB2312" w:cs="仿宋_GB2312"/>
          <w:b/>
          <w:bCs w:val="0"/>
          <w:kern w:val="44"/>
          <w:sz w:val="32"/>
          <w:szCs w:val="32"/>
          <w:lang w:val="en-US" w:eastAsia="zh-CN" w:bidi="ar"/>
        </w:rPr>
        <w:t>(1)党政重视，高位推动有力。</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在市委、市政府的领导推动下，供销社乘势而上、乘势作为，市县乡村四级城乡产业运营平台搭建不断提速，打造衡阳供销系统全面推进“两个到户”的全新阵地。市供销社为鼓励各县（市）开展城乡产业运营平台创建工作，下发了《关于申报2022年度城乡产业运营平台试点工作专项资金的通知》（衡供办发〔2022〕44号），拟以市供销社综合改革专项资金对各县市第一批创建完成的城乡产业运营平台试点乡镇、村予以奖补，作为试点单位的建设启动资金。</w:t>
      </w:r>
    </w:p>
    <w:p w14:paraId="2340A7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val="0"/>
          <w:color w:val="auto"/>
          <w:kern w:val="0"/>
          <w:sz w:val="32"/>
          <w:szCs w:val="32"/>
          <w:lang w:val="en-US" w:eastAsia="zh-CN" w:bidi="ar"/>
        </w:rPr>
        <w:t>(2)</w:t>
      </w: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示范引领，壮大集体经济。</w:t>
      </w: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全市已认定乡村车间693个，已具备建成条件或正在建设的乡村车间471个；14个试点单位已建设第一批乡村车间31个，其中依托供销</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社社有资产建设乡村车间6个；正在建设或计划建设乡村车间17个；依托供销社已注册成立的县级城乡产业运营公司4个；基层党组织凝聚力进一步增强，巩固了党在农村的执政基础，所有村级公司均以本村集体经济组织作为主导出资人，集体经济可直接受益。</w:t>
      </w:r>
    </w:p>
    <w:p w14:paraId="04D544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val="0"/>
          <w:color w:val="auto"/>
          <w:kern w:val="0"/>
          <w:sz w:val="32"/>
          <w:szCs w:val="32"/>
          <w:lang w:val="en-US" w:eastAsia="zh-CN" w:bidi="ar"/>
        </w:rPr>
        <w:t>(3)</w:t>
      </w: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聚集“三资”，统一市场运作。</w:t>
      </w:r>
      <w:r>
        <w:rPr>
          <w:rFonts w:hint="eastAsia" w:ascii="仿宋_GB2312" w:hAnsi="微软雅黑" w:eastAsia="仿宋_GB2312" w:cs="仿宋_GB2312"/>
          <w:b w:val="0"/>
          <w:bCs w:val="0"/>
          <w:i w:val="0"/>
          <w:caps w:val="0"/>
          <w:color w:val="000000"/>
          <w:spacing w:val="0"/>
          <w:kern w:val="0"/>
          <w:sz w:val="32"/>
          <w:szCs w:val="32"/>
          <w:shd w:val="clear" w:color="auto" w:fill="FFFFFF"/>
          <w:lang w:val="en-US" w:eastAsia="zh-CN" w:bidi="ar"/>
        </w:rPr>
        <w:t>将</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城乡产业运营平台打造成为激活资源要素的联合平台，有效激活了农村闲置的资源、资产和资金，将资产变资源、把包袱变财富。如市城乡产业运营公司推出的“三位一体”综合改革“船山源”饮用水项目，相继成为省社“四代会”、全国农村厕所革命现场会后勤保障用水，现已具备盈利能力。</w:t>
      </w:r>
    </w:p>
    <w:p w14:paraId="5FFE2A6B">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left="0" w:leftChars="0" w:firstLine="640" w:firstLineChars="200"/>
        <w:textAlignment w:val="auto"/>
        <w:rPr>
          <w:rFonts w:hint="eastAsia" w:ascii="楷体" w:hAnsi="楷体" w:eastAsia="楷体" w:cs="楷体"/>
          <w:b/>
          <w:bCs/>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2.聚焦综合改革，全面夯实发展基础</w:t>
      </w:r>
    </w:p>
    <w:p w14:paraId="37314DB3">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Times New Roman" w:hAnsi="Times New Roman" w:eastAsia="仿宋_GB2312" w:cs="宋体"/>
          <w:b/>
          <w:bCs w:val="0"/>
          <w:color w:val="auto"/>
          <w:kern w:val="2"/>
          <w:sz w:val="32"/>
          <w:szCs w:val="32"/>
          <w:lang w:val="en-US" w:eastAsia="zh-CN" w:bidi="ar-SA"/>
        </w:rPr>
        <w:t>一是持续完善基层组织建设。</w:t>
      </w:r>
      <w:r>
        <w:rPr>
          <w:rFonts w:hint="eastAsia" w:ascii="Times New Roman" w:hAnsi="Times New Roman" w:eastAsia="仿宋_GB2312" w:cs="宋体"/>
          <w:b w:val="0"/>
          <w:bCs/>
          <w:color w:val="auto"/>
          <w:kern w:val="2"/>
          <w:sz w:val="32"/>
          <w:szCs w:val="32"/>
          <w:lang w:val="en-US" w:eastAsia="zh-CN" w:bidi="ar-SA"/>
        </w:rPr>
        <w:t>全市现有</w:t>
      </w:r>
      <w:r>
        <w:rPr>
          <w:rFonts w:hint="eastAsia" w:ascii="仿宋_GB2312" w:hAnsi="仿宋_GB2312" w:eastAsia="仿宋_GB2312" w:cs="仿宋_GB2312"/>
          <w:b w:val="0"/>
          <w:bCs w:val="0"/>
          <w:sz w:val="32"/>
          <w:szCs w:val="32"/>
          <w:lang w:val="en-US" w:eastAsia="zh-CN"/>
        </w:rPr>
        <w:t>基层供销合作社</w:t>
      </w:r>
      <w:r>
        <w:rPr>
          <w:rFonts w:hint="eastAsia" w:ascii="仿宋_GB2312" w:hAnsi="仿宋_GB2312" w:eastAsia="仿宋_GB2312" w:cs="仿宋_GB2312"/>
          <w:b w:val="0"/>
          <w:bCs w:val="0"/>
          <w:sz w:val="32"/>
          <w:szCs w:val="32"/>
          <w:lang w:val="en" w:eastAsia="zh-CN"/>
        </w:rPr>
        <w:t>1</w:t>
      </w:r>
      <w:r>
        <w:rPr>
          <w:rFonts w:hint="eastAsia" w:ascii="仿宋_GB2312" w:hAnsi="仿宋_GB2312" w:eastAsia="仿宋_GB2312" w:cs="仿宋_GB2312"/>
          <w:b w:val="0"/>
          <w:bCs w:val="0"/>
          <w:sz w:val="32"/>
          <w:szCs w:val="32"/>
          <w:lang w:val="en-US" w:eastAsia="zh-CN"/>
        </w:rPr>
        <w:t>55家，领办创办农民专业合作社</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42家。筛选推荐5家优秀农民专业合作社申报国家农业专业合作社示范社，其中衡南富农农机农技种养专业合作社成功获评国家示范社。</w:t>
      </w:r>
    </w:p>
    <w:p w14:paraId="166EC1AB">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宋体"/>
          <w:b w:val="0"/>
          <w:bCs/>
          <w:color w:val="auto"/>
          <w:kern w:val="2"/>
          <w:sz w:val="32"/>
          <w:szCs w:val="32"/>
          <w:lang w:val="en-US" w:eastAsia="zh-CN" w:bidi="ar-SA"/>
        </w:rPr>
      </w:pPr>
      <w:r>
        <w:rPr>
          <w:rFonts w:hint="eastAsia" w:ascii="Times New Roman" w:hAnsi="Times New Roman" w:eastAsia="仿宋_GB2312" w:cs="宋体"/>
          <w:b/>
          <w:bCs w:val="0"/>
          <w:color w:val="auto"/>
          <w:kern w:val="2"/>
          <w:sz w:val="32"/>
          <w:szCs w:val="32"/>
          <w:lang w:val="en-US" w:eastAsia="zh-CN" w:bidi="ar-SA"/>
        </w:rPr>
        <w:t>二是持续壮大新型农合会体系。</w:t>
      </w:r>
      <w:r>
        <w:rPr>
          <w:rFonts w:hint="eastAsia" w:ascii="Times New Roman" w:hAnsi="Times New Roman" w:eastAsia="仿宋_GB2312" w:cs="宋体"/>
          <w:b w:val="0"/>
          <w:bCs/>
          <w:color w:val="auto"/>
          <w:kern w:val="2"/>
          <w:sz w:val="32"/>
          <w:szCs w:val="32"/>
          <w:lang w:val="en-US" w:eastAsia="zh-CN" w:bidi="ar-SA"/>
        </w:rPr>
        <w:t>召开市农合</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会2022年理事会会议，吸纳湖南漫衍农业</w:t>
      </w:r>
      <w:r>
        <w:rPr>
          <w:rFonts w:hint="eastAsia" w:ascii="Times New Roman" w:hAnsi="Times New Roman" w:eastAsia="仿宋_GB2312" w:cs="宋体"/>
          <w:b w:val="0"/>
          <w:bCs/>
          <w:color w:val="auto"/>
          <w:kern w:val="2"/>
          <w:sz w:val="32"/>
          <w:szCs w:val="32"/>
          <w:lang w:val="en-US" w:eastAsia="zh-CN" w:bidi="ar-SA"/>
        </w:rPr>
        <w:t>科技有限公司</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、湖南蔡伦故</w:t>
      </w:r>
      <w:r>
        <w:rPr>
          <w:rFonts w:hint="eastAsia" w:ascii="Times New Roman" w:hAnsi="Times New Roman" w:eastAsia="仿宋_GB2312" w:cs="宋体"/>
          <w:b w:val="0"/>
          <w:bCs/>
          <w:color w:val="auto"/>
          <w:kern w:val="2"/>
          <w:sz w:val="32"/>
          <w:szCs w:val="32"/>
          <w:lang w:val="en-US" w:eastAsia="zh-CN" w:bidi="ar-SA"/>
        </w:rPr>
        <w:t>里纸业有限公司等</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58</w:t>
      </w:r>
      <w:r>
        <w:rPr>
          <w:rFonts w:hint="eastAsia" w:ascii="Times New Roman" w:hAnsi="Times New Roman" w:eastAsia="仿宋_GB2312" w:cs="宋体"/>
          <w:b w:val="0"/>
          <w:bCs/>
          <w:color w:val="auto"/>
          <w:kern w:val="2"/>
          <w:sz w:val="32"/>
          <w:szCs w:val="32"/>
          <w:lang w:val="en-US" w:eastAsia="zh-CN" w:bidi="ar-SA"/>
        </w:rPr>
        <w:t>家新入会会员，对一些未实际开展业务的会员单位进行清退，市农合保持稳定优质的会员单位</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100</w:t>
      </w:r>
      <w:r>
        <w:rPr>
          <w:rFonts w:hint="eastAsia" w:ascii="Times New Roman" w:hAnsi="Times New Roman" w:eastAsia="仿宋_GB2312" w:cs="宋体"/>
          <w:b w:val="0"/>
          <w:bCs/>
          <w:color w:val="auto"/>
          <w:kern w:val="2"/>
          <w:sz w:val="32"/>
          <w:szCs w:val="32"/>
          <w:lang w:val="en-US" w:eastAsia="zh-CN" w:bidi="ar-SA"/>
        </w:rPr>
        <w:t>家以上。</w:t>
      </w:r>
    </w:p>
    <w:p w14:paraId="1BA84B9D">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宋体"/>
          <w:b w:val="0"/>
          <w:bCs/>
          <w:color w:val="auto"/>
          <w:kern w:val="2"/>
          <w:sz w:val="32"/>
          <w:szCs w:val="32"/>
          <w:lang w:val="en-US" w:eastAsia="zh-CN" w:bidi="ar-SA"/>
        </w:rPr>
      </w:pPr>
      <w:r>
        <w:rPr>
          <w:rFonts w:hint="eastAsia" w:ascii="Times New Roman" w:hAnsi="Times New Roman" w:eastAsia="仿宋_GB2312" w:cs="宋体"/>
          <w:b/>
          <w:bCs w:val="0"/>
          <w:color w:val="auto"/>
          <w:kern w:val="2"/>
          <w:sz w:val="32"/>
          <w:szCs w:val="32"/>
          <w:lang w:val="en-US" w:eastAsia="zh-CN" w:bidi="ar-SA"/>
        </w:rPr>
        <w:t>三是持续推进“两个到户”工作。</w:t>
      </w:r>
      <w:r>
        <w:rPr>
          <w:rFonts w:hint="eastAsia" w:ascii="Times New Roman" w:hAnsi="Times New Roman" w:eastAsia="仿宋_GB2312" w:cs="宋体"/>
          <w:b w:val="0"/>
          <w:bCs/>
          <w:color w:val="auto"/>
          <w:kern w:val="2"/>
          <w:sz w:val="32"/>
          <w:szCs w:val="32"/>
          <w:lang w:val="en-US" w:eastAsia="zh-CN" w:bidi="ar-SA"/>
        </w:rPr>
        <w:t>印发《关于建立衡阳市供销合作社系统全面推进“两个到户”工作调度通报机制的通知》，严格落实制度，确保工作实效。联合市财政局推荐衡南县供销社申报</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2022</w:t>
      </w:r>
      <w:r>
        <w:rPr>
          <w:rFonts w:hint="eastAsia" w:ascii="Times New Roman" w:hAnsi="Times New Roman" w:eastAsia="仿宋_GB2312" w:cs="宋体"/>
          <w:b w:val="0"/>
          <w:bCs/>
          <w:color w:val="auto"/>
          <w:kern w:val="2"/>
          <w:sz w:val="32"/>
          <w:szCs w:val="32"/>
          <w:lang w:val="en-US" w:eastAsia="zh-CN" w:bidi="ar-SA"/>
        </w:rPr>
        <w:t>年度第二批商业流通发展专项资金，进一步推进以联结到户、服务到户为主要内容的“两个到户”工作落地见效。</w:t>
      </w:r>
    </w:p>
    <w:p w14:paraId="776277B0">
      <w:pPr>
        <w:pStyle w:val="7"/>
        <w:ind w:firstLine="640" w:firstLineChars="200"/>
        <w:rPr>
          <w:rFonts w:hint="eastAsia" w:ascii="楷体" w:hAnsi="楷体" w:eastAsia="楷体" w:cs="楷体"/>
          <w:b/>
          <w:bCs/>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3.聚焦乡村振兴，全面提升服务能力</w:t>
      </w:r>
    </w:p>
    <w:p w14:paraId="0139D1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仿宋_GB2312" w:hAnsi="微软雅黑"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val="0"/>
          <w:color w:val="auto"/>
          <w:kern w:val="0"/>
          <w:sz w:val="32"/>
          <w:szCs w:val="32"/>
          <w:lang w:val="en-US" w:eastAsia="zh-CN" w:bidi="ar"/>
        </w:rPr>
        <w:t>一是提升农资保障能力。</w:t>
      </w:r>
      <w:r>
        <w:rPr>
          <w:rFonts w:hint="eastAsia" w:ascii="Nimbus Roman No9 L" w:hAnsi="Nimbus Roman No9 L" w:eastAsia="仿宋_GB2312" w:cs="Times New Roman"/>
          <w:kern w:val="2"/>
          <w:sz w:val="32"/>
          <w:szCs w:val="24"/>
          <w:lang w:val="en-US" w:eastAsia="zh-CN" w:bidi="ar-SA"/>
        </w:rPr>
        <w:t>全市供销系统采取有力措施，多渠道落实货源，确保农民用上供销合作社销售农资商品。全市供销社系统农资企业销售农资</w:t>
      </w: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69552.81吨，7—11月储备各类化肥农资8819.89吨，其中尿素1681.98吨、复合肥5262.18吨、磷肥640吨、钾肥612吨、农药236吨。</w:t>
      </w:r>
    </w:p>
    <w:p w14:paraId="08AF27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default" w:ascii="Times New Roman" w:hAnsi="Times New Roman" w:eastAsia="仿宋_GB2312" w:cs="宋体"/>
          <w:bCs/>
          <w:color w:val="auto"/>
          <w:kern w:val="2"/>
          <w:sz w:val="32"/>
          <w:szCs w:val="32"/>
          <w:lang w:val="en-US" w:eastAsia="zh-CN" w:bidi="ar-SA"/>
        </w:rPr>
      </w:pP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二是发展农村电子商务。市社联合市商粮局承</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办“嗨购年货”2022衡阳网上年货节，发动农合会各会员单位积极参与年货节，在本地线上平台年货节专区累计吸引200多万人参与，共实现线上销售额达4300多万元。</w:t>
      </w:r>
      <w:r>
        <w:rPr>
          <w:rFonts w:hint="eastAsia" w:ascii="仿宋_GB2312" w:hAnsi="仿宋_GB2312" w:eastAsia="仿宋_GB2312" w:cs="仿宋_GB2312"/>
          <w:sz w:val="32"/>
          <w:szCs w:val="32"/>
          <w:lang w:val="en-US" w:eastAsia="zh-CN"/>
        </w:rPr>
        <w:t>衡南县社全力打造创新供销电商平台，精选近200种优质农产品直接面市，发布推文、链接和小视频100余条，直播带货15场次，带动线下交易800万元。</w:t>
      </w:r>
    </w:p>
    <w:p w14:paraId="57B394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b/>
          <w:bCs w:val="0"/>
          <w:color w:val="auto"/>
          <w:kern w:val="0"/>
          <w:sz w:val="32"/>
          <w:szCs w:val="32"/>
          <w:lang w:val="en-US" w:eastAsia="zh-CN" w:bidi="ar"/>
        </w:rPr>
        <w:t>三是巩固消费帮扶成果。</w:t>
      </w:r>
      <w:r>
        <w:rPr>
          <w:rFonts w:hint="eastAsia" w:ascii="仿宋_GB2312" w:hAnsi="仿宋_GB2312" w:eastAsia="仿宋_GB2312" w:cs="仿宋_GB2312"/>
          <w:i w:val="0"/>
          <w:caps w:val="0"/>
          <w:color w:val="000000"/>
          <w:spacing w:val="0"/>
          <w:sz w:val="32"/>
          <w:szCs w:val="32"/>
        </w:rPr>
        <w:t>全市“832平台”和乡村振兴馆以及市消费帮扶馆运营成效显著，累计入驻供应商 255家，活跃供应商142家，累计上架商品6700余个，线上累计成交金额8256万元。</w:t>
      </w:r>
      <w:r>
        <w:rPr>
          <w:rFonts w:hint="eastAsia" w:ascii="仿宋_GB2312" w:hAnsi="仿宋_GB2312" w:eastAsia="仿宋_GB2312" w:cs="仿宋_GB2312"/>
          <w:i w:val="0"/>
          <w:caps w:val="0"/>
          <w:color w:val="000000"/>
          <w:spacing w:val="0"/>
          <w:sz w:val="32"/>
          <w:szCs w:val="32"/>
          <w:lang w:eastAsia="zh-CN"/>
        </w:rPr>
        <w:t>市社</w:t>
      </w:r>
      <w:r>
        <w:rPr>
          <w:rFonts w:hint="eastAsia" w:ascii="仿宋_GB2312" w:hAnsi="仿宋_GB2312" w:eastAsia="仿宋_GB2312" w:cs="仿宋_GB2312"/>
          <w:i w:val="0"/>
          <w:caps w:val="0"/>
          <w:color w:val="000000"/>
          <w:spacing w:val="0"/>
          <w:sz w:val="32"/>
          <w:szCs w:val="32"/>
          <w:lang w:val="en-US" w:eastAsia="zh-CN"/>
        </w:rPr>
        <w:t>联合消费帮扶平台开展“庆丰收、迎盛会”网上农民丰收节主题活动，发动各县社自主开展丰富多样的活动形式，助力丰收盛会。</w:t>
      </w:r>
    </w:p>
    <w:p w14:paraId="59B44B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宋体"/>
          <w:bCs/>
          <w:color w:val="auto"/>
          <w:kern w:val="2"/>
          <w:sz w:val="32"/>
          <w:szCs w:val="32"/>
          <w:lang w:val="en-US" w:eastAsia="zh-CN" w:bidi="ar-SA"/>
        </w:rPr>
      </w:pPr>
      <w:r>
        <w:rPr>
          <w:rFonts w:hint="eastAsia" w:ascii="仿宋_GB2312" w:hAnsi="仿宋_GB2312" w:eastAsia="仿宋_GB2312" w:cs="仿宋_GB2312"/>
          <w:b/>
          <w:bCs/>
          <w:i w:val="0"/>
          <w:caps w:val="0"/>
          <w:color w:val="000000"/>
          <w:spacing w:val="0"/>
          <w:kern w:val="2"/>
          <w:sz w:val="32"/>
          <w:szCs w:val="32"/>
          <w:lang w:val="en-US" w:eastAsia="zh-CN" w:bidi="ar-SA"/>
        </w:rPr>
        <w:t>四是助力废旧物资循环利用体系建设。</w:t>
      </w:r>
      <w:r>
        <w:rPr>
          <w:rFonts w:hint="eastAsia" w:ascii="仿宋_GB2312" w:hAnsi="仿宋_GB2312" w:eastAsia="仿宋_GB2312" w:cs="仿宋_GB2312"/>
          <w:i w:val="0"/>
          <w:caps w:val="0"/>
          <w:color w:val="000000"/>
          <w:spacing w:val="0"/>
          <w:kern w:val="2"/>
          <w:sz w:val="32"/>
          <w:szCs w:val="32"/>
          <w:lang w:val="en-US" w:eastAsia="zh-CN" w:bidi="ar-SA"/>
        </w:rPr>
        <w:t>主动对照国家发展改革委《关于组织开展废旧物资循环利用体系示范城市建设的通知》要求，组织市社归口管理的市再生资源协会参与申报工作，形成申报材料顺利通过省评、国评，助力我市成功申报全国废旧物资循环利用体系示范城市。</w:t>
      </w:r>
    </w:p>
    <w:p w14:paraId="2874DBC4">
      <w:pPr>
        <w:pStyle w:val="7"/>
        <w:ind w:firstLine="640" w:firstLineChars="200"/>
        <w:rPr>
          <w:rFonts w:hint="eastAsia"/>
          <w:lang w:val="en-US" w:eastAsia="zh-CN"/>
        </w:rPr>
      </w:pPr>
    </w:p>
    <w:p w14:paraId="6CB8BED2">
      <w:pPr>
        <w:pStyle w:val="2"/>
        <w:rPr>
          <w:rFonts w:hint="eastAsia"/>
          <w:lang w:val="en-US" w:eastAsia="zh-CN"/>
        </w:rPr>
      </w:pPr>
    </w:p>
    <w:p w14:paraId="63414A98">
      <w:pPr>
        <w:pStyle w:val="22"/>
        <w:widowControl/>
        <w:ind w:firstLine="640"/>
        <w:rPr>
          <w:rFonts w:eastAsia="黑体"/>
          <w:sz w:val="32"/>
          <w:szCs w:val="32"/>
        </w:rPr>
      </w:pPr>
      <w:r>
        <w:rPr>
          <w:rFonts w:eastAsia="黑体"/>
          <w:sz w:val="32"/>
          <w:szCs w:val="32"/>
        </w:rPr>
        <w:t>七、存在的问题及原因分析</w:t>
      </w:r>
    </w:p>
    <w:p w14:paraId="4FCA3FE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预算编制的口径与实际执行出现误差：按照现行的预算编制原则，人员经费和日常公用经费都是按照上年度九月份的工资表反映的人数安排，而实际执行中单位工作人员往往有变动或流动。</w:t>
      </w:r>
    </w:p>
    <w:p w14:paraId="2E85B99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预算编制的分类和实行执行出现脱节：预算编制的功能分类与经济分类不够细化，而实际支出中的情况更加多元化和明细化，出现了分类不一致的情况。</w:t>
      </w:r>
    </w:p>
    <w:p w14:paraId="0776E018">
      <w:pPr>
        <w:pStyle w:val="7"/>
        <w:ind w:firstLine="640" w:firstLineChars="200"/>
        <w:rPr>
          <w:rFonts w:hint="eastAsia" w:ascii="Times New Roman" w:hAnsi="Times New Roman" w:eastAsia="仿宋"/>
          <w:sz w:val="32"/>
          <w:szCs w:val="32"/>
        </w:rPr>
      </w:pPr>
      <w:r>
        <w:rPr>
          <w:rFonts w:hint="eastAsia" w:ascii="仿宋_GB2312" w:hAnsi="仿宋_GB2312" w:eastAsia="仿宋_GB2312" w:cs="仿宋_GB2312"/>
          <w:sz w:val="32"/>
          <w:szCs w:val="32"/>
          <w:lang w:val="en-US" w:eastAsia="zh-CN"/>
        </w:rPr>
        <w:t>3.部门整体支出不能很好的对比支出与成果，投入与产出效果，进而很难有针对性的发现问题，分析问题，提出解决方案。</w:t>
      </w:r>
    </w:p>
    <w:p w14:paraId="78CBE22F">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0EECAB7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进一步强化预算管理意识，预算编制前多与有关各方做好沟通衔接，提高预算编制的科学性、合理性、准确性和可控性。</w:t>
      </w:r>
    </w:p>
    <w:p w14:paraId="2DAA627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完善各类支出管理制度，明细收支项目，坚持专款专用，提高预算编制的前瞻性和指导性。</w:t>
      </w:r>
    </w:p>
    <w:p w14:paraId="3BF38E6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进一步推进预算绩效管理信息系统建设，完善绩效管理相关制度，提高可操作性。</w:t>
      </w:r>
    </w:p>
    <w:p w14:paraId="111FC80E">
      <w:pPr>
        <w:ind w:firstLine="640" w:firstLineChars="200"/>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构建单位财务部门和业务部门共同参与、协调配合的绩效评价工作机制，落实 “谁干事谁花钱、谁花钱谁担责”的权责机制，提高财政资金使用效益</w:t>
      </w:r>
      <w:r>
        <w:rPr>
          <w:rFonts w:hint="eastAsia" w:ascii="仿宋_GB2312" w:hAnsi="仿宋_GB2312" w:eastAsia="仿宋_GB2312" w:cs="仿宋_GB2312"/>
          <w:sz w:val="32"/>
          <w:szCs w:val="32"/>
          <w:lang w:eastAsia="zh-CN"/>
        </w:rPr>
        <w:t>。</w:t>
      </w:r>
    </w:p>
    <w:p w14:paraId="0404B5C2">
      <w:pPr>
        <w:widowControl/>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p>
    <w:p w14:paraId="2D0AD196">
      <w:pPr>
        <w:widowControl/>
        <w:ind w:firstLine="640" w:firstLineChars="200"/>
        <w:rPr>
          <w:rFonts w:ascii="Times New Roman" w:hAnsi="Times New Roman" w:eastAsia="仿宋"/>
          <w:sz w:val="32"/>
          <w:szCs w:val="32"/>
        </w:rPr>
      </w:pPr>
    </w:p>
    <w:p w14:paraId="1AFFF091">
      <w:pPr>
        <w:widowControl/>
        <w:ind w:firstLine="640" w:firstLineChars="200"/>
        <w:rPr>
          <w:rFonts w:ascii="Times New Roman" w:hAnsi="Times New Roman" w:eastAsia="仿宋"/>
          <w:sz w:val="32"/>
          <w:szCs w:val="32"/>
        </w:rPr>
      </w:pPr>
      <w:r>
        <w:rPr>
          <w:rFonts w:ascii="Times New Roman" w:hAnsi="Times New Roman" w:eastAsia="仿宋"/>
          <w:sz w:val="32"/>
          <w:szCs w:val="32"/>
        </w:rPr>
        <w:t>报告应包括以下附件：</w:t>
      </w:r>
    </w:p>
    <w:p w14:paraId="2A027EEC">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14:paraId="56BFC135">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14:paraId="4F1E5DDD">
      <w:pPr>
        <w:ind w:firstLine="640" w:firstLineChars="200"/>
        <w:rPr>
          <w:rFonts w:ascii="Times New Roman" w:hAnsi="Times New Roman" w:eastAsia="仿宋_GB2312"/>
          <w:sz w:val="32"/>
          <w:szCs w:val="32"/>
        </w:rPr>
      </w:pPr>
      <w:r>
        <w:rPr>
          <w:rFonts w:ascii="Times New Roman" w:hAnsi="Times New Roman" w:eastAsia="仿宋_GB2312"/>
          <w:sz w:val="32"/>
          <w:szCs w:val="32"/>
        </w:rPr>
        <w:t>3.项目支出绩效自评表</w:t>
      </w:r>
      <w:r>
        <w:rPr>
          <w:rFonts w:ascii="Times New Roman" w:hAnsi="Times New Roman" w:eastAsia="仿宋"/>
          <w:sz w:val="32"/>
          <w:szCs w:val="32"/>
        </w:rPr>
        <w:t>（每个一级项目支出一张表）</w:t>
      </w:r>
    </w:p>
    <w:p w14:paraId="20CBDC56">
      <w:pPr>
        <w:widowControl/>
        <w:ind w:firstLine="640" w:firstLineChars="200"/>
        <w:rPr>
          <w:rFonts w:ascii="Times New Roman" w:hAnsi="Times New Roman" w:eastAsia="仿宋"/>
          <w:sz w:val="32"/>
          <w:szCs w:val="32"/>
        </w:rPr>
      </w:pPr>
    </w:p>
    <w:p w14:paraId="0A2C2334">
      <w:pPr>
        <w:widowControl/>
        <w:ind w:firstLine="640" w:firstLineChars="200"/>
        <w:rPr>
          <w:rFonts w:ascii="Times New Roman" w:hAnsi="Times New Roman" w:eastAsia="仿宋"/>
          <w:sz w:val="32"/>
          <w:szCs w:val="32"/>
        </w:rPr>
      </w:pPr>
    </w:p>
    <w:p w14:paraId="304FFCD3">
      <w:pPr>
        <w:widowControl/>
        <w:ind w:firstLine="640" w:firstLineChars="200"/>
        <w:rPr>
          <w:rFonts w:ascii="Times New Roman" w:hAnsi="Times New Roman" w:eastAsia="仿宋"/>
          <w:sz w:val="32"/>
          <w:szCs w:val="32"/>
        </w:rPr>
      </w:pPr>
    </w:p>
    <w:p w14:paraId="70BC14A7">
      <w:pPr>
        <w:ind w:firstLine="640" w:firstLineChars="200"/>
        <w:rPr>
          <w:rFonts w:ascii="Times New Roman" w:hAnsi="Times New Roman" w:eastAsia="仿宋"/>
          <w:sz w:val="32"/>
          <w:szCs w:val="32"/>
        </w:rPr>
      </w:pPr>
    </w:p>
    <w:p w14:paraId="746A6369">
      <w:pPr>
        <w:spacing w:line="560" w:lineRule="exact"/>
        <w:ind w:firstLine="640" w:firstLineChars="200"/>
        <w:rPr>
          <w:rFonts w:ascii="Times New Roman" w:hAnsi="Times New Roman" w:eastAsia="仿宋"/>
          <w:sz w:val="32"/>
          <w:szCs w:val="32"/>
        </w:rPr>
      </w:pPr>
    </w:p>
    <w:p w14:paraId="77E065CD">
      <w:pPr>
        <w:spacing w:line="560" w:lineRule="exact"/>
        <w:ind w:firstLine="640" w:firstLineChars="200"/>
        <w:rPr>
          <w:rFonts w:ascii="Times New Roman" w:hAnsi="Times New Roman" w:eastAsia="仿宋"/>
          <w:sz w:val="32"/>
          <w:szCs w:val="32"/>
        </w:rPr>
      </w:pPr>
    </w:p>
    <w:p w14:paraId="769A1CC2">
      <w:pPr>
        <w:spacing w:line="560" w:lineRule="exact"/>
        <w:ind w:firstLine="640" w:firstLineChars="200"/>
        <w:rPr>
          <w:rFonts w:ascii="Times New Roman" w:hAnsi="Times New Roman" w:eastAsia="仿宋"/>
          <w:sz w:val="32"/>
          <w:szCs w:val="32"/>
        </w:rPr>
      </w:pPr>
    </w:p>
    <w:p w14:paraId="02E7475F">
      <w:pPr>
        <w:spacing w:line="560" w:lineRule="exact"/>
        <w:ind w:firstLine="640" w:firstLineChars="200"/>
        <w:rPr>
          <w:rFonts w:ascii="Times New Roman" w:hAnsi="Times New Roman" w:eastAsia="仿宋"/>
          <w:sz w:val="32"/>
          <w:szCs w:val="32"/>
        </w:rPr>
      </w:pPr>
    </w:p>
    <w:p w14:paraId="6239B30D">
      <w:pPr>
        <w:spacing w:line="560" w:lineRule="exact"/>
        <w:ind w:firstLine="640" w:firstLineChars="200"/>
        <w:rPr>
          <w:rFonts w:ascii="Times New Roman" w:hAnsi="Times New Roman" w:eastAsia="仿宋"/>
          <w:sz w:val="32"/>
          <w:szCs w:val="32"/>
        </w:rPr>
      </w:pPr>
    </w:p>
    <w:p w14:paraId="2CA4AC21">
      <w:pPr>
        <w:spacing w:line="560" w:lineRule="exact"/>
        <w:ind w:firstLine="640" w:firstLineChars="200"/>
        <w:rPr>
          <w:rFonts w:ascii="Times New Roman" w:hAnsi="Times New Roman" w:eastAsia="仿宋"/>
          <w:sz w:val="32"/>
          <w:szCs w:val="32"/>
        </w:rPr>
      </w:pPr>
    </w:p>
    <w:p w14:paraId="1351EDE0">
      <w:pPr>
        <w:spacing w:line="560" w:lineRule="exact"/>
        <w:ind w:firstLine="640" w:firstLineChars="200"/>
        <w:rPr>
          <w:rFonts w:ascii="Times New Roman" w:hAnsi="Times New Roman" w:eastAsia="仿宋"/>
          <w:sz w:val="32"/>
          <w:szCs w:val="32"/>
        </w:rPr>
      </w:pPr>
    </w:p>
    <w:p w14:paraId="7E0E3855">
      <w:pPr>
        <w:ind w:right="640"/>
        <w:rPr>
          <w:rFonts w:hint="eastAsia" w:ascii="黑体" w:hAnsi="黑体" w:eastAsia="黑体" w:cs="黑体"/>
          <w:kern w:val="0"/>
          <w:sz w:val="32"/>
          <w:szCs w:val="32"/>
        </w:rPr>
      </w:pPr>
    </w:p>
    <w:p w14:paraId="2647261D">
      <w:pPr>
        <w:pStyle w:val="2"/>
        <w:rPr>
          <w:rFonts w:hint="eastAsia" w:ascii="黑体" w:hAnsi="黑体" w:eastAsia="黑体" w:cs="黑体"/>
          <w:kern w:val="0"/>
          <w:sz w:val="32"/>
          <w:szCs w:val="32"/>
        </w:rPr>
      </w:pPr>
    </w:p>
    <w:p w14:paraId="38BC679A">
      <w:pPr>
        <w:pStyle w:val="2"/>
        <w:rPr>
          <w:rFonts w:hint="eastAsia" w:ascii="黑体" w:hAnsi="黑体" w:eastAsia="黑体" w:cs="黑体"/>
          <w:kern w:val="0"/>
          <w:sz w:val="32"/>
          <w:szCs w:val="32"/>
        </w:rPr>
      </w:pPr>
    </w:p>
    <w:p w14:paraId="116D7FC6">
      <w:pPr>
        <w:pStyle w:val="2"/>
        <w:rPr>
          <w:rFonts w:hint="eastAsia" w:ascii="黑体" w:hAnsi="黑体" w:eastAsia="黑体" w:cs="黑体"/>
          <w:kern w:val="0"/>
          <w:sz w:val="32"/>
          <w:szCs w:val="32"/>
        </w:rPr>
      </w:pPr>
    </w:p>
    <w:p w14:paraId="2D298F56">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14:paraId="7BFDE196">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14:paraId="17519227">
      <w:pPr>
        <w:ind w:right="640"/>
        <w:rPr>
          <w:rFonts w:ascii="Times New Roman" w:hAnsi="Times New Roman" w:eastAsia="Times New Roman"/>
          <w:kern w:val="0"/>
          <w:sz w:val="24"/>
        </w:rPr>
      </w:pP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13"/>
        <w:tblW w:w="9464" w:type="dxa"/>
        <w:jc w:val="center"/>
        <w:tblLayout w:type="fixed"/>
        <w:tblCellMar>
          <w:top w:w="0" w:type="dxa"/>
          <w:left w:w="108" w:type="dxa"/>
          <w:bottom w:w="0" w:type="dxa"/>
          <w:right w:w="108" w:type="dxa"/>
        </w:tblCellMar>
      </w:tblPr>
      <w:tblGrid>
        <w:gridCol w:w="3354"/>
        <w:gridCol w:w="2038"/>
        <w:gridCol w:w="2240"/>
        <w:gridCol w:w="1832"/>
      </w:tblGrid>
      <w:tr w14:paraId="5AC49AD9">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0FB3B021">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265CF55E">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3B06A6E3">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14:paraId="71E14A15">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0206364B">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70E1A325">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45EBB934">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40</w:t>
            </w: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14:paraId="4332B4DC">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35</w:t>
            </w:r>
          </w:p>
        </w:tc>
        <w:tc>
          <w:tcPr>
            <w:tcW w:w="1832" w:type="dxa"/>
            <w:tcBorders>
              <w:top w:val="single" w:color="auto" w:sz="4" w:space="0"/>
              <w:left w:val="nil"/>
              <w:bottom w:val="single" w:color="auto" w:sz="4" w:space="0"/>
              <w:right w:val="single" w:color="auto" w:sz="4" w:space="0"/>
            </w:tcBorders>
            <w:vAlign w:val="center"/>
          </w:tcPr>
          <w:p w14:paraId="61D5DBD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87.5%</w:t>
            </w:r>
            <w:r>
              <w:rPr>
                <w:rFonts w:ascii="Times New Roman" w:hAnsi="Times New Roman"/>
                <w:kern w:val="0"/>
                <w:szCs w:val="21"/>
              </w:rPr>
              <w:t>　</w:t>
            </w:r>
          </w:p>
        </w:tc>
      </w:tr>
      <w:tr w14:paraId="17F566DC">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4CF743F0">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7B906846">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14:paraId="4A117F1A">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14:paraId="2B0E2625">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年决算数</w:t>
            </w:r>
          </w:p>
        </w:tc>
      </w:tr>
      <w:tr w14:paraId="5F680715">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7B6427B2">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68D1A907">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919.78</w:t>
            </w:r>
          </w:p>
        </w:tc>
        <w:tc>
          <w:tcPr>
            <w:tcW w:w="2240" w:type="dxa"/>
            <w:tcBorders>
              <w:top w:val="single" w:color="auto" w:sz="4" w:space="0"/>
              <w:left w:val="nil"/>
              <w:bottom w:val="single" w:color="auto" w:sz="4" w:space="0"/>
              <w:right w:val="single" w:color="000000" w:sz="4" w:space="0"/>
            </w:tcBorders>
            <w:vAlign w:val="center"/>
          </w:tcPr>
          <w:p w14:paraId="43807747">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695.09</w:t>
            </w:r>
          </w:p>
        </w:tc>
        <w:tc>
          <w:tcPr>
            <w:tcW w:w="1832" w:type="dxa"/>
            <w:tcBorders>
              <w:top w:val="single" w:color="auto" w:sz="4" w:space="0"/>
              <w:left w:val="nil"/>
              <w:bottom w:val="single" w:color="auto" w:sz="4" w:space="0"/>
              <w:right w:val="single" w:color="000000" w:sz="4" w:space="0"/>
            </w:tcBorders>
            <w:vAlign w:val="center"/>
          </w:tcPr>
          <w:p w14:paraId="0202FBFC">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1183.5</w:t>
            </w:r>
          </w:p>
        </w:tc>
      </w:tr>
      <w:tr w14:paraId="37685CDE">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55102827">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0CC7DEEE">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118.31</w:t>
            </w:r>
          </w:p>
        </w:tc>
        <w:tc>
          <w:tcPr>
            <w:tcW w:w="2240" w:type="dxa"/>
            <w:tcBorders>
              <w:top w:val="single" w:color="auto" w:sz="4" w:space="0"/>
              <w:left w:val="nil"/>
              <w:bottom w:val="single" w:color="auto" w:sz="4" w:space="0"/>
              <w:right w:val="single" w:color="000000" w:sz="4" w:space="0"/>
            </w:tcBorders>
            <w:vAlign w:val="center"/>
          </w:tcPr>
          <w:p w14:paraId="4438FEFF">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183.92</w:t>
            </w:r>
          </w:p>
        </w:tc>
        <w:tc>
          <w:tcPr>
            <w:tcW w:w="1832" w:type="dxa"/>
            <w:tcBorders>
              <w:top w:val="single" w:color="auto" w:sz="4" w:space="0"/>
              <w:left w:val="nil"/>
              <w:bottom w:val="single" w:color="auto" w:sz="4" w:space="0"/>
              <w:right w:val="single" w:color="000000" w:sz="4" w:space="0"/>
            </w:tcBorders>
            <w:vAlign w:val="center"/>
          </w:tcPr>
          <w:p w14:paraId="6D8F29A9">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163.13</w:t>
            </w:r>
          </w:p>
        </w:tc>
      </w:tr>
      <w:tr w14:paraId="49B44319">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4B862C62">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5B36839C">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9.85</w:t>
            </w:r>
          </w:p>
        </w:tc>
        <w:tc>
          <w:tcPr>
            <w:tcW w:w="2240" w:type="dxa"/>
            <w:tcBorders>
              <w:top w:val="single" w:color="auto" w:sz="4" w:space="0"/>
              <w:left w:val="nil"/>
              <w:bottom w:val="single" w:color="auto" w:sz="4" w:space="0"/>
              <w:right w:val="single" w:color="000000" w:sz="4" w:space="0"/>
            </w:tcBorders>
            <w:vAlign w:val="center"/>
          </w:tcPr>
          <w:p w14:paraId="3ACE53D6">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10</w:t>
            </w:r>
          </w:p>
        </w:tc>
        <w:tc>
          <w:tcPr>
            <w:tcW w:w="1832" w:type="dxa"/>
            <w:tcBorders>
              <w:top w:val="single" w:color="auto" w:sz="4" w:space="0"/>
              <w:left w:val="nil"/>
              <w:bottom w:val="single" w:color="auto" w:sz="4" w:space="0"/>
              <w:right w:val="single" w:color="000000" w:sz="4" w:space="0"/>
            </w:tcBorders>
            <w:vAlign w:val="center"/>
          </w:tcPr>
          <w:p w14:paraId="667B0087">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8.62</w:t>
            </w:r>
          </w:p>
        </w:tc>
      </w:tr>
      <w:tr w14:paraId="3D38105E">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14:paraId="3DA2BAA6">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1D935484">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Cs w:val="21"/>
                <w:lang w:val="en-US" w:eastAsia="zh-CN"/>
              </w:rPr>
              <w:t>7.15</w:t>
            </w:r>
          </w:p>
        </w:tc>
        <w:tc>
          <w:tcPr>
            <w:tcW w:w="2240" w:type="dxa"/>
            <w:tcBorders>
              <w:top w:val="single" w:color="auto" w:sz="4" w:space="0"/>
              <w:left w:val="nil"/>
              <w:bottom w:val="single" w:color="auto" w:sz="4" w:space="0"/>
              <w:right w:val="single" w:color="000000" w:sz="4" w:space="0"/>
            </w:tcBorders>
            <w:vAlign w:val="center"/>
          </w:tcPr>
          <w:p w14:paraId="38612DA3">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31.28</w:t>
            </w:r>
          </w:p>
        </w:tc>
        <w:tc>
          <w:tcPr>
            <w:tcW w:w="1832" w:type="dxa"/>
            <w:tcBorders>
              <w:top w:val="single" w:color="auto" w:sz="4" w:space="0"/>
              <w:left w:val="nil"/>
              <w:bottom w:val="single" w:color="auto" w:sz="4" w:space="0"/>
              <w:right w:val="single" w:color="000000" w:sz="4" w:space="0"/>
            </w:tcBorders>
            <w:vAlign w:val="center"/>
          </w:tcPr>
          <w:p w14:paraId="57753455">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6.79</w:t>
            </w:r>
          </w:p>
        </w:tc>
      </w:tr>
      <w:tr w14:paraId="618F7A39">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59EF0718">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23A93D8C">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Cs w:val="21"/>
                <w:lang w:val="en-US" w:eastAsia="zh-CN"/>
              </w:rPr>
              <w:t>9.36</w:t>
            </w:r>
          </w:p>
        </w:tc>
        <w:tc>
          <w:tcPr>
            <w:tcW w:w="2240" w:type="dxa"/>
            <w:tcBorders>
              <w:top w:val="single" w:color="auto" w:sz="4" w:space="0"/>
              <w:left w:val="nil"/>
              <w:bottom w:val="single" w:color="auto" w:sz="4" w:space="0"/>
              <w:right w:val="single" w:color="000000" w:sz="4" w:space="0"/>
            </w:tcBorders>
            <w:vAlign w:val="center"/>
          </w:tcPr>
          <w:p w14:paraId="1F9987DA">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23.74</w:t>
            </w:r>
          </w:p>
        </w:tc>
        <w:tc>
          <w:tcPr>
            <w:tcW w:w="1832" w:type="dxa"/>
            <w:tcBorders>
              <w:top w:val="single" w:color="auto" w:sz="4" w:space="0"/>
              <w:left w:val="nil"/>
              <w:bottom w:val="single" w:color="auto" w:sz="4" w:space="0"/>
              <w:right w:val="single" w:color="000000" w:sz="4" w:space="0"/>
            </w:tcBorders>
            <w:vAlign w:val="center"/>
          </w:tcPr>
          <w:p w14:paraId="74DD6D1F">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0.91</w:t>
            </w:r>
          </w:p>
        </w:tc>
      </w:tr>
      <w:tr w14:paraId="29E7A18A">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45EF65F0">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6F535AAC">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E6F3A2A">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FF91E00">
            <w:pPr>
              <w:widowControl/>
              <w:jc w:val="center"/>
              <w:rPr>
                <w:rFonts w:ascii="Times New Roman" w:hAnsi="Times New Roman" w:eastAsia="Times New Roman"/>
                <w:kern w:val="0"/>
                <w:szCs w:val="21"/>
              </w:rPr>
            </w:pPr>
            <w:r>
              <w:rPr>
                <w:rFonts w:ascii="Times New Roman" w:hAnsi="Times New Roman"/>
                <w:kern w:val="0"/>
                <w:szCs w:val="21"/>
              </w:rPr>
              <w:t>　</w:t>
            </w:r>
          </w:p>
        </w:tc>
      </w:tr>
      <w:tr w14:paraId="03E6BAEF">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0AD36AD8">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14:paraId="6C489BFC">
            <w:pPr>
              <w:widowControl/>
              <w:jc w:val="center"/>
              <w:rPr>
                <w:rFonts w:hint="default" w:ascii="Times New Roman" w:hAnsi="Times New Roman" w:eastAsia="宋体" w:cs="Times New Roman"/>
                <w:kern w:val="0"/>
                <w:sz w:val="21"/>
                <w:szCs w:val="21"/>
                <w:lang w:val="en-US" w:eastAsia="zh-CN" w:bidi="ar-SA"/>
              </w:rPr>
            </w:pPr>
            <w:r>
              <w:rPr>
                <w:rFonts w:ascii="Times New Roman" w:hAnsi="Times New Roman"/>
                <w:kern w:val="0"/>
                <w:szCs w:val="21"/>
              </w:rPr>
              <w:t>　</w:t>
            </w:r>
            <w:r>
              <w:rPr>
                <w:rFonts w:hint="eastAsia" w:ascii="Times New Roman" w:hAnsi="Times New Roman"/>
                <w:kern w:val="0"/>
                <w:szCs w:val="21"/>
                <w:lang w:val="en-US" w:eastAsia="zh-CN"/>
              </w:rPr>
              <w:t>2.60</w:t>
            </w:r>
          </w:p>
        </w:tc>
        <w:tc>
          <w:tcPr>
            <w:tcW w:w="2240" w:type="dxa"/>
            <w:tcBorders>
              <w:top w:val="single" w:color="auto" w:sz="4" w:space="0"/>
              <w:left w:val="nil"/>
              <w:bottom w:val="single" w:color="auto" w:sz="4" w:space="0"/>
              <w:right w:val="single" w:color="000000" w:sz="4" w:space="0"/>
            </w:tcBorders>
            <w:vAlign w:val="center"/>
          </w:tcPr>
          <w:p w14:paraId="19568B68">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0C4D2476">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2.74</w:t>
            </w:r>
            <w:r>
              <w:rPr>
                <w:rFonts w:ascii="Times New Roman" w:hAnsi="Times New Roman"/>
                <w:kern w:val="0"/>
                <w:szCs w:val="21"/>
              </w:rPr>
              <w:t>　</w:t>
            </w:r>
          </w:p>
        </w:tc>
      </w:tr>
      <w:tr w14:paraId="4022D888">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7C803098">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3D4BD2C9">
            <w:pPr>
              <w:widowControl/>
              <w:jc w:val="center"/>
              <w:rPr>
                <w:rFonts w:hint="eastAsia" w:ascii="Times New Roman" w:hAnsi="Times New Roman" w:eastAsia="宋体" w:cs="Times New Roman"/>
                <w:kern w:val="0"/>
                <w:sz w:val="21"/>
                <w:szCs w:val="21"/>
                <w:lang w:val="en-US" w:eastAsia="zh-CN" w:bidi="ar-SA"/>
              </w:rPr>
            </w:pPr>
            <w:r>
              <w:rPr>
                <w:rFonts w:ascii="Times New Roman" w:hAnsi="Times New Roman"/>
                <w:kern w:val="0"/>
                <w:szCs w:val="21"/>
              </w:rPr>
              <w:t>　</w:t>
            </w: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14:paraId="00E77170">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14:paraId="686C0321">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r>
      <w:tr w14:paraId="2703A3EE">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14:paraId="2180E682">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5930508B">
            <w:pPr>
              <w:widowControl/>
              <w:jc w:val="center"/>
              <w:rPr>
                <w:rFonts w:hint="eastAsia" w:ascii="Times New Roman" w:hAnsi="Times New Roman" w:eastAsia="宋体" w:cs="Times New Roman"/>
                <w:kern w:val="0"/>
                <w:sz w:val="21"/>
                <w:szCs w:val="21"/>
                <w:lang w:val="en-US" w:eastAsia="zh-CN" w:bidi="ar-SA"/>
              </w:rPr>
            </w:pPr>
            <w:r>
              <w:rPr>
                <w:rFonts w:ascii="Times New Roman" w:hAnsi="Times New Roman"/>
                <w:kern w:val="0"/>
                <w:szCs w:val="21"/>
              </w:rPr>
              <w:t>　</w:t>
            </w: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14:paraId="49D533E0">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14:paraId="552840A6">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14:paraId="0DC21753">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7A99A74C">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14:paraId="70B560D4">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09B18BB">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14:paraId="27C33EBA">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14:paraId="35A172C9">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3C02CDE4">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14:paraId="3865011E">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2.25</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4B185C1">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D50B802">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0.45</w:t>
            </w:r>
            <w:r>
              <w:rPr>
                <w:rFonts w:ascii="Times New Roman" w:hAnsi="Times New Roman"/>
                <w:kern w:val="0"/>
                <w:szCs w:val="21"/>
              </w:rPr>
              <w:t>　</w:t>
            </w:r>
          </w:p>
        </w:tc>
      </w:tr>
      <w:tr w14:paraId="0B0A0AFD">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614A905E">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1A8CE3D4">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150.38</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23A59FAB">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52B321C">
            <w:pPr>
              <w:widowControl/>
              <w:jc w:val="center"/>
              <w:rPr>
                <w:rFonts w:ascii="Times New Roman" w:hAnsi="Times New Roman" w:eastAsia="Times New Roman"/>
                <w:kern w:val="0"/>
                <w:szCs w:val="21"/>
              </w:rPr>
            </w:pPr>
            <w:r>
              <w:rPr>
                <w:rFonts w:ascii="Times New Roman" w:hAnsi="Times New Roman"/>
                <w:kern w:val="0"/>
                <w:szCs w:val="21"/>
              </w:rPr>
              <w:t>　</w:t>
            </w:r>
          </w:p>
        </w:tc>
      </w:tr>
      <w:tr w14:paraId="449294B8">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64D925DD">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lang w:val="en-US" w:eastAsia="zh-CN"/>
              </w:rPr>
              <w:t>供销社综合改革经费</w:t>
            </w:r>
          </w:p>
        </w:tc>
        <w:tc>
          <w:tcPr>
            <w:tcW w:w="2038" w:type="dxa"/>
            <w:tcBorders>
              <w:top w:val="single" w:color="auto" w:sz="4" w:space="0"/>
              <w:left w:val="nil"/>
              <w:bottom w:val="single" w:color="auto" w:sz="4" w:space="0"/>
              <w:right w:val="single" w:color="000000" w:sz="4" w:space="0"/>
            </w:tcBorders>
            <w:vAlign w:val="center"/>
          </w:tcPr>
          <w:p w14:paraId="0DC2E251">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100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FB5D0FC">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130</w:t>
            </w:r>
          </w:p>
        </w:tc>
        <w:tc>
          <w:tcPr>
            <w:tcW w:w="1832" w:type="dxa"/>
            <w:tcBorders>
              <w:top w:val="single" w:color="auto" w:sz="4" w:space="0"/>
              <w:left w:val="nil"/>
              <w:bottom w:val="single" w:color="auto" w:sz="4" w:space="0"/>
              <w:right w:val="single" w:color="000000" w:sz="4" w:space="0"/>
            </w:tcBorders>
            <w:vAlign w:val="center"/>
          </w:tcPr>
          <w:p w14:paraId="68D5A663">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130</w:t>
            </w:r>
            <w:r>
              <w:rPr>
                <w:rFonts w:ascii="Times New Roman" w:hAnsi="Times New Roman"/>
                <w:kern w:val="0"/>
                <w:szCs w:val="21"/>
              </w:rPr>
              <w:t>　</w:t>
            </w:r>
          </w:p>
        </w:tc>
      </w:tr>
      <w:tr w14:paraId="72168E3D">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1CF9905E">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w:t>
            </w:r>
            <w:r>
              <w:rPr>
                <w:rFonts w:hint="eastAsia" w:ascii="Times New Roman" w:hAnsi="Times New Roman"/>
                <w:kern w:val="0"/>
                <w:szCs w:val="21"/>
                <w:lang w:val="en-US" w:eastAsia="zh-CN"/>
              </w:rPr>
              <w:t>对企业补助</w:t>
            </w:r>
          </w:p>
        </w:tc>
        <w:tc>
          <w:tcPr>
            <w:tcW w:w="2038" w:type="dxa"/>
            <w:tcBorders>
              <w:top w:val="single" w:color="auto" w:sz="4" w:space="0"/>
              <w:left w:val="nil"/>
              <w:bottom w:val="single" w:color="auto" w:sz="4" w:space="0"/>
              <w:right w:val="single" w:color="000000" w:sz="4" w:space="0"/>
            </w:tcBorders>
            <w:vAlign w:val="center"/>
          </w:tcPr>
          <w:p w14:paraId="272FA103">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Cs w:val="21"/>
                <w:lang w:val="en-US" w:eastAsia="zh-CN"/>
              </w:rPr>
              <w:t>50.38</w:t>
            </w:r>
          </w:p>
        </w:tc>
        <w:tc>
          <w:tcPr>
            <w:tcW w:w="2240" w:type="dxa"/>
            <w:tcBorders>
              <w:top w:val="single" w:color="auto" w:sz="4" w:space="0"/>
              <w:left w:val="nil"/>
              <w:bottom w:val="single" w:color="auto" w:sz="4" w:space="0"/>
              <w:right w:val="single" w:color="000000" w:sz="4" w:space="0"/>
            </w:tcBorders>
            <w:vAlign w:val="center"/>
          </w:tcPr>
          <w:p w14:paraId="7B2A2C26">
            <w:pPr>
              <w:widowControl/>
              <w:jc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14:paraId="79B4C358">
            <w:pPr>
              <w:widowControl/>
              <w:jc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0</w:t>
            </w:r>
          </w:p>
        </w:tc>
      </w:tr>
      <w:tr w14:paraId="187AE294">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7D13A9E0">
            <w:pPr>
              <w:widowControl/>
              <w:ind w:firstLine="210" w:firstLineChars="100"/>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3、乡村振兴工作队</w:t>
            </w:r>
          </w:p>
        </w:tc>
        <w:tc>
          <w:tcPr>
            <w:tcW w:w="2038" w:type="dxa"/>
            <w:tcBorders>
              <w:top w:val="single" w:color="auto" w:sz="4" w:space="0"/>
              <w:left w:val="nil"/>
              <w:bottom w:val="single" w:color="auto" w:sz="4" w:space="0"/>
              <w:right w:val="single" w:color="000000" w:sz="4" w:space="0"/>
            </w:tcBorders>
            <w:vAlign w:val="center"/>
          </w:tcPr>
          <w:p w14:paraId="67FA74C0">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14:paraId="59D05441">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20</w:t>
            </w:r>
          </w:p>
        </w:tc>
        <w:tc>
          <w:tcPr>
            <w:tcW w:w="1832" w:type="dxa"/>
            <w:tcBorders>
              <w:top w:val="single" w:color="auto" w:sz="4" w:space="0"/>
              <w:left w:val="nil"/>
              <w:bottom w:val="single" w:color="auto" w:sz="4" w:space="0"/>
              <w:right w:val="single" w:color="000000" w:sz="4" w:space="0"/>
            </w:tcBorders>
            <w:vAlign w:val="center"/>
          </w:tcPr>
          <w:p w14:paraId="50CFD780">
            <w:pPr>
              <w:widowControl/>
              <w:jc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0</w:t>
            </w:r>
          </w:p>
        </w:tc>
      </w:tr>
      <w:tr w14:paraId="066C580B">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610790AF">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rPr>
              <w:t>市级专项资金</w:t>
            </w:r>
            <w:r>
              <w:rPr>
                <w:rFonts w:ascii="Times New Roman" w:hAnsi="Times New Roman"/>
                <w:kern w:val="0"/>
                <w:szCs w:val="21"/>
              </w:rPr>
              <w:t>(一个项目一行)</w:t>
            </w:r>
          </w:p>
        </w:tc>
        <w:tc>
          <w:tcPr>
            <w:tcW w:w="2038" w:type="dxa"/>
            <w:tcBorders>
              <w:top w:val="single" w:color="auto" w:sz="4" w:space="0"/>
              <w:left w:val="nil"/>
              <w:bottom w:val="single" w:color="auto" w:sz="4" w:space="0"/>
              <w:right w:val="single" w:color="000000" w:sz="4" w:space="0"/>
            </w:tcBorders>
            <w:vAlign w:val="center"/>
          </w:tcPr>
          <w:p w14:paraId="2EA1E4F4">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0F2E673F">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73C17F64">
            <w:pPr>
              <w:widowControl/>
              <w:jc w:val="center"/>
              <w:rPr>
                <w:rFonts w:ascii="Times New Roman" w:hAnsi="Times New Roman" w:eastAsia="Times New Roman"/>
                <w:kern w:val="0"/>
                <w:szCs w:val="21"/>
              </w:rPr>
            </w:pPr>
            <w:r>
              <w:rPr>
                <w:rFonts w:ascii="Times New Roman" w:hAnsi="Times New Roman"/>
                <w:kern w:val="0"/>
                <w:szCs w:val="21"/>
              </w:rPr>
              <w:t>　</w:t>
            </w:r>
          </w:p>
        </w:tc>
      </w:tr>
      <w:tr w14:paraId="7E9D2EAF">
        <w:tblPrEx>
          <w:tblCellMar>
            <w:top w:w="0" w:type="dxa"/>
            <w:left w:w="108" w:type="dxa"/>
            <w:bottom w:w="0" w:type="dxa"/>
            <w:right w:w="108" w:type="dxa"/>
          </w:tblCellMar>
        </w:tblPrEx>
        <w:trPr>
          <w:trHeight w:val="424" w:hRule="atLeast"/>
          <w:jc w:val="center"/>
        </w:trPr>
        <w:tc>
          <w:tcPr>
            <w:tcW w:w="3354" w:type="dxa"/>
            <w:tcBorders>
              <w:top w:val="nil"/>
              <w:left w:val="single" w:color="auto" w:sz="4" w:space="0"/>
              <w:bottom w:val="single" w:color="auto" w:sz="4" w:space="0"/>
              <w:right w:val="single" w:color="auto" w:sz="4" w:space="0"/>
            </w:tcBorders>
            <w:vAlign w:val="center"/>
          </w:tcPr>
          <w:p w14:paraId="262C71EC">
            <w:pPr>
              <w:widowControl/>
              <w:jc w:val="center"/>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23AC6E8F">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41F7DC8C">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8BB3FF6">
            <w:pPr>
              <w:widowControl/>
              <w:jc w:val="center"/>
              <w:rPr>
                <w:rFonts w:ascii="Times New Roman" w:hAnsi="Times New Roman" w:eastAsia="Times New Roman"/>
                <w:kern w:val="0"/>
                <w:szCs w:val="21"/>
              </w:rPr>
            </w:pPr>
          </w:p>
        </w:tc>
      </w:tr>
      <w:tr w14:paraId="6D48986E">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1C41845E">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74E65582">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62AD085">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AD1A6A6">
            <w:pPr>
              <w:widowControl/>
              <w:jc w:val="center"/>
              <w:rPr>
                <w:rFonts w:ascii="Times New Roman" w:hAnsi="Times New Roman" w:eastAsia="Times New Roman"/>
                <w:kern w:val="0"/>
                <w:szCs w:val="21"/>
              </w:rPr>
            </w:pPr>
            <w:r>
              <w:rPr>
                <w:rFonts w:ascii="Times New Roman" w:hAnsi="Times New Roman"/>
                <w:kern w:val="0"/>
                <w:szCs w:val="21"/>
              </w:rPr>
              <w:t>　</w:t>
            </w:r>
          </w:p>
        </w:tc>
      </w:tr>
      <w:tr w14:paraId="250BE1D4">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14:paraId="7804A6D1">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0DF8B81B">
            <w:pPr>
              <w:widowControl/>
              <w:jc w:val="center"/>
              <w:rPr>
                <w:rFonts w:ascii="Times New Roman" w:hAnsi="Times New Roman" w:eastAsia="Times New Roman"/>
                <w:kern w:val="0"/>
                <w:szCs w:val="21"/>
              </w:rPr>
            </w:pPr>
            <w:r>
              <w:rPr>
                <w:rFonts w:ascii="Times New Roman" w:hAnsi="Times New Roman"/>
                <w:kern w:val="0"/>
                <w:szCs w:val="21"/>
              </w:rPr>
              <w:t>　</w:t>
            </w:r>
          </w:p>
        </w:tc>
      </w:tr>
    </w:tbl>
    <w:p w14:paraId="2DB27467">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14:paraId="44FA7723">
      <w:pPr>
        <w:rPr>
          <w:rFonts w:ascii="Times New Roman" w:hAnsi="Times New Roman"/>
          <w:kern w:val="0"/>
          <w:sz w:val="22"/>
        </w:rPr>
      </w:pPr>
    </w:p>
    <w:p w14:paraId="3B54B037">
      <w:pPr>
        <w:rPr>
          <w:rFonts w:ascii="Times New Roman" w:hAnsi="Times New Roman"/>
          <w:kern w:val="0"/>
          <w:sz w:val="22"/>
        </w:rPr>
      </w:pPr>
    </w:p>
    <w:p w14:paraId="5A4622D8">
      <w:pPr>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高雅君          </w:t>
      </w:r>
      <w:r>
        <w:rPr>
          <w:rFonts w:ascii="Times New Roman" w:hAnsi="Times New Roman" w:eastAsia="仿宋_GB2312"/>
          <w:sz w:val="24"/>
        </w:rPr>
        <w:t>联系电话：</w:t>
      </w:r>
      <w:r>
        <w:rPr>
          <w:rFonts w:hint="eastAsia" w:ascii="Times New Roman" w:hAnsi="Times New Roman" w:eastAsia="仿宋_GB2312"/>
          <w:sz w:val="24"/>
          <w:lang w:val="en-US" w:eastAsia="zh-CN"/>
        </w:rPr>
        <w:t>18670084801</w:t>
      </w:r>
      <w:r>
        <w:rPr>
          <w:rFonts w:ascii="Times New Roman" w:hAnsi="Times New Roman" w:eastAsia="仿宋_GB2312"/>
          <w:sz w:val="24"/>
        </w:rPr>
        <w:t xml:space="preserve">       </w:t>
      </w:r>
    </w:p>
    <w:p w14:paraId="62EAB7AB">
      <w:pPr>
        <w:rPr>
          <w:rFonts w:ascii="Times New Roman" w:hAnsi="Times New Roman" w:eastAsia="黑体"/>
        </w:rPr>
      </w:pPr>
      <w:r>
        <w:rPr>
          <w:rFonts w:ascii="Times New Roman" w:hAnsi="Times New Roman" w:eastAsia="黑体"/>
          <w:sz w:val="32"/>
          <w:szCs w:val="32"/>
        </w:rPr>
        <w:t>附件3</w:t>
      </w:r>
    </w:p>
    <w:tbl>
      <w:tblPr>
        <w:tblStyle w:val="13"/>
        <w:tblW w:w="9999"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971"/>
      </w:tblGrid>
      <w:tr w14:paraId="50E27101">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14:paraId="441AE88E">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2C503FAD">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14:paraId="7071B4ED">
            <w:pPr>
              <w:widowControl/>
              <w:jc w:val="center"/>
              <w:rPr>
                <w:rFonts w:ascii="Times New Roman" w:hAnsi="Times New Roman"/>
                <w:color w:val="000000"/>
                <w:kern w:val="0"/>
                <w:sz w:val="22"/>
              </w:rPr>
            </w:pPr>
            <w:r>
              <w:rPr>
                <w:rFonts w:hint="eastAsia" w:ascii="Times New Roman" w:hAnsi="Times New Roman"/>
                <w:color w:val="000000"/>
                <w:kern w:val="0"/>
                <w:sz w:val="22"/>
              </w:rPr>
              <w:t>（2022年度）</w:t>
            </w:r>
          </w:p>
        </w:tc>
      </w:tr>
      <w:tr w14:paraId="5304C1F6">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7E267DF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3DA3762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衡阳市供销合作总社</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2064D5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14:paraId="30AE440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0F32EB9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37B6E36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3C694667">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744643A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3AA7175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7FF55D1D">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1314.73</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5CBB6B1D">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1314.73</w:t>
            </w:r>
          </w:p>
        </w:tc>
        <w:tc>
          <w:tcPr>
            <w:tcW w:w="960" w:type="dxa"/>
            <w:tcBorders>
              <w:top w:val="single" w:color="auto" w:sz="4" w:space="0"/>
              <w:left w:val="nil"/>
              <w:bottom w:val="single" w:color="auto" w:sz="4" w:space="0"/>
              <w:right w:val="single" w:color="000000" w:sz="4" w:space="0"/>
            </w:tcBorders>
            <w:shd w:val="clear" w:color="auto" w:fill="auto"/>
            <w:noWrap/>
            <w:vAlign w:val="center"/>
          </w:tcPr>
          <w:p w14:paraId="576DD305">
            <w:pPr>
              <w:widowControl/>
              <w:ind w:firstLine="210" w:firstLineChars="1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66C9684C">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6E6D250C">
            <w:pPr>
              <w:widowControl/>
              <w:ind w:firstLine="210" w:firstLineChars="1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7AF59E28">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5105C983">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18DA7794">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537D4BD2">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按支出性质分：</w:t>
            </w:r>
          </w:p>
        </w:tc>
      </w:tr>
      <w:tr w14:paraId="3662B7F3">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07E450CB">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66EC5274">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1162.8</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7518E42B">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kern w:val="0"/>
                <w:szCs w:val="21"/>
                <w:lang w:val="en-US" w:eastAsia="zh-CN"/>
              </w:rPr>
              <w:t>1184.73</w:t>
            </w:r>
          </w:p>
        </w:tc>
      </w:tr>
      <w:tr w14:paraId="70D1F736">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2017E49D">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51BF0A4B">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5A2FD5DA">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kern w:val="0"/>
                <w:szCs w:val="21"/>
                <w:lang w:val="en-US" w:eastAsia="zh-CN"/>
              </w:rPr>
              <w:t>130</w:t>
            </w:r>
          </w:p>
        </w:tc>
      </w:tr>
      <w:tr w14:paraId="5894A22A">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5D53349C">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58F8D13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lang w:val="en-US" w:eastAsia="zh-CN"/>
              </w:rPr>
              <w:t>150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1778FB19">
            <w:pPr>
              <w:widowControl/>
              <w:jc w:val="left"/>
              <w:rPr>
                <w:rFonts w:ascii="Times New Roman" w:hAnsi="Times New Roman" w:eastAsia="仿宋_GB2312"/>
                <w:color w:val="000000"/>
                <w:kern w:val="0"/>
                <w:szCs w:val="21"/>
              </w:rPr>
            </w:pPr>
          </w:p>
        </w:tc>
      </w:tr>
      <w:tr w14:paraId="4FCBA35E">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5531FE60">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67416888">
            <w:pPr>
              <w:widowControl/>
              <w:ind w:firstLine="1680" w:firstLineChars="8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lang w:val="en-US" w:eastAsia="zh-CN"/>
              </w:rPr>
              <w:t>1.93</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32C307AF">
            <w:pPr>
              <w:widowControl/>
              <w:ind w:firstLine="1680" w:firstLineChars="800"/>
              <w:jc w:val="left"/>
              <w:rPr>
                <w:rFonts w:ascii="Times New Roman" w:hAnsi="Times New Roman" w:eastAsia="仿宋_GB2312"/>
                <w:color w:val="000000"/>
                <w:kern w:val="0"/>
                <w:szCs w:val="21"/>
              </w:rPr>
            </w:pPr>
          </w:p>
        </w:tc>
      </w:tr>
      <w:tr w14:paraId="603F0E73">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54BB529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5101597F">
            <w:pPr>
              <w:widowControl/>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负责制定全市供销合作社系统改革和发展规划，组织指导全市系统具体实施。</w:t>
            </w:r>
          </w:p>
          <w:p w14:paraId="48382A64">
            <w:pPr>
              <w:widowControl/>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负责建设全市农村现代商品流通体系。</w:t>
            </w:r>
          </w:p>
          <w:p w14:paraId="29738C66">
            <w:pPr>
              <w:widowControl/>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负责建立新型的完整的为农服务体系。</w:t>
            </w:r>
          </w:p>
          <w:p w14:paraId="08C11D84">
            <w:pPr>
              <w:widowControl/>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全市供销合作社系统做大做强社有企业，培育参股控股各类龙头企业，推进社有企业健全现代企业制度，推动社有企业参与农业产业化、标准化示范、农业技术研发推广等项目，积极探索发展适合当地农村特点的金融产品和服务方式。</w:t>
            </w:r>
          </w:p>
          <w:p w14:paraId="761766C3">
            <w:pPr>
              <w:widowControl/>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承担化肥、农药、棉花、食用油等重要物资的国家和地方政府储备及救灾物资储备等任务。</w:t>
            </w:r>
          </w:p>
          <w:p w14:paraId="675F6786">
            <w:pPr>
              <w:widowControl/>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指导和监督全市供销合作社系统的资产管理，依法依规依政策维护供销社的合法权益。</w:t>
            </w:r>
          </w:p>
          <w:p w14:paraId="1CB92310">
            <w:pPr>
              <w:widowControl/>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指导全市供销社系统的科技开发和有关科技成果的转化及推广工作，推进科技兴社。 </w:t>
            </w:r>
          </w:p>
          <w:p w14:paraId="438DADD1">
            <w:pPr>
              <w:widowControl/>
              <w:jc w:val="center"/>
              <w:rPr>
                <w:rFonts w:ascii="Times New Roman" w:hAnsi="Times New Roman" w:eastAsia="仿宋_GB2312"/>
                <w:color w:val="000000"/>
                <w:kern w:val="0"/>
                <w:szCs w:val="21"/>
              </w:rPr>
            </w:pPr>
            <w:r>
              <w:rPr>
                <w:rFonts w:hint="eastAsia" w:ascii="仿宋_GB2312" w:hAnsi="仿宋_GB2312" w:eastAsia="仿宋_GB2312" w:cs="仿宋_GB2312"/>
                <w:sz w:val="24"/>
                <w:szCs w:val="24"/>
                <w:lang w:val="en-US" w:eastAsia="zh-CN"/>
              </w:rPr>
              <w:t>（8）负责全社系统人才队伍建设和干部职工教育培训工作。承办市人民政府交办的其他事项。</w:t>
            </w:r>
          </w:p>
        </w:tc>
      </w:tr>
      <w:tr w14:paraId="5D63B434">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5FA5F69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54D7038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17464BF6">
            <w:pPr>
              <w:widowControl/>
              <w:jc w:val="both"/>
              <w:rPr>
                <w:rFonts w:hint="eastAsia"/>
                <w:lang w:val="en-US" w:eastAsia="zh-CN"/>
              </w:rPr>
            </w:pPr>
            <w:r>
              <w:t>目标1：</w:t>
            </w:r>
            <w:r>
              <w:rPr>
                <w:rFonts w:hint="eastAsia"/>
                <w:lang w:val="en-US" w:eastAsia="zh-CN"/>
              </w:rPr>
              <w:t>持续推进“三位一体”综合合作试点工作，建好建强城乡产业运营平台。</w:t>
            </w:r>
          </w:p>
          <w:p w14:paraId="3B3D51DA">
            <w:pPr>
              <w:pStyle w:val="2"/>
              <w:ind w:left="0" w:leftChars="0" w:firstLine="0" w:firstLineChars="0"/>
              <w:rPr>
                <w:rFonts w:hint="eastAsia"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目标</w:t>
            </w:r>
            <w:r>
              <w:rPr>
                <w:rFonts w:hint="eastAsia" w:ascii="Calibri" w:hAnsi="Calibri" w:eastAsia="宋体" w:cs="Times New Roman"/>
                <w:kern w:val="2"/>
                <w:sz w:val="21"/>
                <w:szCs w:val="22"/>
                <w:lang w:val="en-US" w:eastAsia="zh-CN" w:bidi="ar-SA"/>
              </w:rPr>
              <w:t>2</w:t>
            </w:r>
            <w:r>
              <w:rPr>
                <w:rFonts w:ascii="Calibri" w:hAnsi="Calibri" w:eastAsia="宋体" w:cs="Times New Roman"/>
                <w:kern w:val="2"/>
                <w:sz w:val="21"/>
                <w:szCs w:val="22"/>
                <w:lang w:val="en-US" w:eastAsia="zh-CN" w:bidi="ar-SA"/>
              </w:rPr>
              <w:t>：</w:t>
            </w:r>
            <w:r>
              <w:rPr>
                <w:rFonts w:hint="eastAsia" w:ascii="Calibri" w:hAnsi="Calibri" w:eastAsia="宋体" w:cs="Times New Roman"/>
                <w:kern w:val="2"/>
                <w:sz w:val="21"/>
                <w:szCs w:val="22"/>
                <w:lang w:val="en-US" w:eastAsia="zh-CN" w:bidi="ar-SA"/>
              </w:rPr>
              <w:t>加强基层组织体系建设，创新联合合作机制。</w:t>
            </w:r>
          </w:p>
          <w:p w14:paraId="1D547AEE">
            <w:pPr>
              <w:pStyle w:val="2"/>
              <w:ind w:left="0" w:leftChars="0" w:firstLine="0" w:firstLineChars="0"/>
              <w:rPr>
                <w:rFonts w:hint="eastAsia"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目标</w:t>
            </w:r>
            <w:r>
              <w:rPr>
                <w:rFonts w:hint="eastAsia" w:ascii="Calibri" w:hAnsi="Calibri" w:eastAsia="宋体" w:cs="Times New Roman"/>
                <w:kern w:val="2"/>
                <w:sz w:val="21"/>
                <w:szCs w:val="22"/>
                <w:lang w:val="en-US" w:eastAsia="zh-CN" w:bidi="ar-SA"/>
              </w:rPr>
              <w:t>3</w:t>
            </w:r>
            <w:r>
              <w:rPr>
                <w:rFonts w:ascii="Calibri" w:hAnsi="Calibri" w:eastAsia="宋体" w:cs="Times New Roman"/>
                <w:kern w:val="2"/>
                <w:sz w:val="21"/>
                <w:szCs w:val="22"/>
                <w:lang w:val="en-US" w:eastAsia="zh-CN" w:bidi="ar-SA"/>
              </w:rPr>
              <w:t>：</w:t>
            </w:r>
            <w:r>
              <w:rPr>
                <w:rFonts w:hint="eastAsia" w:ascii="Calibri" w:hAnsi="Calibri" w:eastAsia="宋体" w:cs="Times New Roman"/>
                <w:kern w:val="2"/>
                <w:sz w:val="21"/>
                <w:szCs w:val="22"/>
                <w:lang w:val="en-US" w:eastAsia="zh-CN" w:bidi="ar-SA"/>
              </w:rPr>
              <w:t>推动数字供销建设，搭建供销大数据应用平台。</w:t>
            </w:r>
          </w:p>
          <w:p w14:paraId="43B280DE">
            <w:pPr>
              <w:pStyle w:val="2"/>
              <w:ind w:left="0" w:leftChars="0" w:firstLine="0" w:firstLineChars="0"/>
              <w:rPr>
                <w:rFonts w:hint="eastAsia"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目标</w:t>
            </w:r>
            <w:r>
              <w:rPr>
                <w:rFonts w:hint="eastAsia" w:ascii="Calibri" w:hAnsi="Calibri" w:eastAsia="宋体" w:cs="Times New Roman"/>
                <w:kern w:val="2"/>
                <w:sz w:val="21"/>
                <w:szCs w:val="22"/>
                <w:lang w:val="en-US" w:eastAsia="zh-CN" w:bidi="ar-SA"/>
              </w:rPr>
              <w:t>4</w:t>
            </w:r>
            <w:r>
              <w:rPr>
                <w:rFonts w:ascii="Calibri" w:hAnsi="Calibri" w:eastAsia="宋体" w:cs="Times New Roman"/>
                <w:kern w:val="2"/>
                <w:sz w:val="21"/>
                <w:szCs w:val="22"/>
                <w:lang w:val="en-US" w:eastAsia="zh-CN" w:bidi="ar-SA"/>
              </w:rPr>
              <w:t>：</w:t>
            </w:r>
            <w:r>
              <w:rPr>
                <w:rFonts w:hint="eastAsia" w:ascii="Calibri" w:hAnsi="Calibri" w:eastAsia="宋体" w:cs="Times New Roman"/>
                <w:kern w:val="2"/>
                <w:sz w:val="21"/>
                <w:szCs w:val="22"/>
                <w:lang w:val="en-US" w:eastAsia="zh-CN" w:bidi="ar-SA"/>
              </w:rPr>
              <w:t>建立化肥淡季储备制度，确保粮食生产安全。</w:t>
            </w:r>
          </w:p>
        </w:tc>
      </w:tr>
      <w:tr w14:paraId="4C3891C3">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107FA8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1D81642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C6DE2D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153314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0473DC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E4C729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EF1491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AD01F9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072F223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D43A1A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980F2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5700CA3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61B688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ECD9D5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6176F91">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02D42E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98F97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3E520A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63AD94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A844E19">
            <w:pPr>
              <w:widowControl/>
              <w:jc w:val="left"/>
              <w:rPr>
                <w:rFonts w:ascii="Times New Roman" w:hAnsi="Times New Roman" w:eastAsia="仿宋_GB2312"/>
                <w:color w:val="000000"/>
                <w:kern w:val="0"/>
                <w:szCs w:val="21"/>
              </w:rPr>
            </w:pPr>
            <w:r>
              <w:rPr>
                <w:rFonts w:hint="eastAsia" w:eastAsia="仿宋_GB2312" w:cs="Times New Roman"/>
                <w:kern w:val="0"/>
                <w:sz w:val="24"/>
                <w:szCs w:val="24"/>
                <w:lang w:val="en-US" w:eastAsia="zh-CN" w:bidi="ar-SA"/>
              </w:rPr>
              <w:t>为农服务形式</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25604B7">
            <w:pPr>
              <w:widowControl/>
              <w:jc w:val="left"/>
              <w:rPr>
                <w:rFonts w:hint="default" w:ascii="Times New Roman" w:hAnsi="Times New Roman" w:eastAsia="仿宋_GB2312"/>
                <w:color w:val="000000"/>
                <w:kern w:val="0"/>
                <w:szCs w:val="21"/>
                <w:lang w:val="en-US"/>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建立</w:t>
            </w:r>
            <w:r>
              <w:rPr>
                <w:rFonts w:hint="eastAsia" w:ascii="仿宋_GB2312" w:hAnsi="仿宋_GB2312" w:eastAsia="仿宋_GB2312" w:cs="仿宋_GB2312"/>
                <w:sz w:val="24"/>
                <w:szCs w:val="24"/>
                <w:lang w:val="en-US" w:eastAsia="zh-CN"/>
              </w:rPr>
              <w:t>乡村车间</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4B92F41">
            <w:pPr>
              <w:widowControl/>
              <w:jc w:val="left"/>
              <w:rPr>
                <w:rFonts w:hint="eastAsia"/>
                <w:lang w:val="en-US" w:eastAsia="zh-CN"/>
              </w:rPr>
            </w:pPr>
            <w:r>
              <w:t>　</w:t>
            </w:r>
            <w:r>
              <w:rPr>
                <w:rFonts w:hint="eastAsia"/>
                <w:lang w:val="en-US" w:eastAsia="zh-CN"/>
              </w:rPr>
              <w:t>试点单位建设第一批乡村车间31个。</w:t>
            </w:r>
          </w:p>
          <w:p w14:paraId="406AAA44">
            <w:pPr>
              <w:pStyle w:val="2"/>
            </w:pP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497694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7C15CC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CE0C3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0F6A375">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F8602B5">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52A10254">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4CA6AA3E">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2C35445">
            <w:pPr>
              <w:widowControl/>
              <w:jc w:val="left"/>
              <w:rPr>
                <w:rFonts w:ascii="Times New Roman" w:hAnsi="Times New Roman" w:eastAsia="仿宋_GB2312"/>
                <w:color w:val="000000"/>
                <w:kern w:val="0"/>
                <w:szCs w:val="21"/>
              </w:rPr>
            </w:pPr>
            <w:r>
              <w:rPr>
                <w:rFonts w:hint="eastAsia" w:eastAsia="仿宋_GB2312"/>
                <w:kern w:val="0"/>
                <w:sz w:val="24"/>
                <w:lang w:eastAsia="zh-CN"/>
              </w:rPr>
              <w:t>农业生产社会化服务规模</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C2DA2F6">
            <w:pPr>
              <w:widowControl/>
              <w:jc w:val="left"/>
              <w:rPr>
                <w:rFonts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kern w:val="0"/>
                <w:sz w:val="24"/>
                <w:szCs w:val="24"/>
              </w:rPr>
              <w:t>土地流转面积</w:t>
            </w:r>
            <w:r>
              <w:rPr>
                <w:rFonts w:hint="eastAsia" w:ascii="仿宋_GB2312" w:hAnsi="仿宋_GB2312" w:eastAsia="仿宋_GB2312" w:cs="仿宋_GB2312"/>
                <w:kern w:val="0"/>
                <w:sz w:val="24"/>
                <w:szCs w:val="24"/>
                <w:lang w:val="en-US" w:eastAsia="zh-CN"/>
              </w:rPr>
              <w:t>10万</w:t>
            </w:r>
            <w:r>
              <w:rPr>
                <w:rFonts w:hint="eastAsia" w:ascii="仿宋_GB2312" w:hAnsi="仿宋_GB2312" w:eastAsia="仿宋_GB2312" w:cs="仿宋_GB2312"/>
                <w:kern w:val="0"/>
                <w:sz w:val="24"/>
                <w:szCs w:val="24"/>
              </w:rPr>
              <w:t>亩</w:t>
            </w:r>
            <w:r>
              <w:rPr>
                <w:rFonts w:hint="eastAsia" w:ascii="仿宋_GB2312" w:hAnsi="仿宋_GB2312" w:eastAsia="仿宋_GB2312" w:cs="仿宋_GB2312"/>
                <w:kern w:val="0"/>
                <w:sz w:val="24"/>
                <w:szCs w:val="24"/>
                <w:lang w:val="en-US" w:eastAsia="zh-CN"/>
              </w:rPr>
              <w:t>及以上</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土地托管面积10万亩及以上，配方施肥服务30万亩次及以上，统防统治服务25万亩次及以上，农机作业服务20万亩次及以上。</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533CB9ED">
            <w:pPr>
              <w:widowControl/>
              <w:jc w:val="left"/>
              <w:rPr>
                <w:rFonts w:ascii="Times New Roman" w:hAnsi="Times New Roman" w:eastAsia="仿宋_GB2312"/>
                <w:color w:val="000000"/>
                <w:kern w:val="0"/>
                <w:szCs w:val="21"/>
              </w:rPr>
            </w:pPr>
            <w:r>
              <w:rPr>
                <w:rFonts w:hint="eastAsia" w:ascii="仿宋_GB2312" w:hAnsi="仿宋_GB2312" w:eastAsia="仿宋_GB2312" w:cs="仿宋_GB2312"/>
                <w:kern w:val="0"/>
                <w:sz w:val="24"/>
                <w:szCs w:val="24"/>
              </w:rPr>
              <w:t>土地流转面积</w:t>
            </w:r>
            <w:r>
              <w:rPr>
                <w:rFonts w:hint="eastAsia" w:ascii="仿宋_GB2312" w:hAnsi="仿宋_GB2312" w:eastAsia="仿宋_GB2312" w:cs="仿宋_GB2312"/>
                <w:kern w:val="0"/>
                <w:sz w:val="24"/>
                <w:szCs w:val="24"/>
                <w:lang w:val="en-US" w:eastAsia="zh-CN"/>
              </w:rPr>
              <w:t>10万</w:t>
            </w:r>
            <w:r>
              <w:rPr>
                <w:rFonts w:hint="eastAsia" w:ascii="仿宋_GB2312" w:hAnsi="仿宋_GB2312" w:eastAsia="仿宋_GB2312" w:cs="仿宋_GB2312"/>
                <w:kern w:val="0"/>
                <w:sz w:val="24"/>
                <w:szCs w:val="24"/>
              </w:rPr>
              <w:t>亩，</w:t>
            </w:r>
            <w:r>
              <w:rPr>
                <w:rFonts w:hint="eastAsia" w:ascii="仿宋_GB2312" w:hAnsi="仿宋_GB2312" w:eastAsia="仿宋_GB2312" w:cs="仿宋_GB2312"/>
                <w:kern w:val="0"/>
                <w:sz w:val="24"/>
                <w:szCs w:val="24"/>
                <w:lang w:val="en-US" w:eastAsia="zh-CN"/>
              </w:rPr>
              <w:t>土地托管面积10万亩，配方施肥服务32万亩次，统防统治服务28万亩次，农机作业服务20万亩次，</w:t>
            </w:r>
            <w:r>
              <w:rPr>
                <w:rFonts w:hint="eastAsia" w:ascii="仿宋_GB2312" w:hAnsi="仿宋_GB2312" w:eastAsia="仿宋_GB2312" w:cs="仿宋_GB2312"/>
                <w:kern w:val="0"/>
                <w:sz w:val="24"/>
                <w:szCs w:val="24"/>
              </w:rPr>
              <w:t>智慧农业生产服务面积</w:t>
            </w:r>
            <w:r>
              <w:rPr>
                <w:rFonts w:hint="eastAsia" w:ascii="仿宋_GB2312" w:hAnsi="仿宋_GB2312" w:eastAsia="仿宋_GB2312" w:cs="仿宋_GB2312"/>
                <w:kern w:val="0"/>
                <w:sz w:val="24"/>
                <w:szCs w:val="24"/>
                <w:lang w:val="en-US" w:eastAsia="zh-CN"/>
              </w:rPr>
              <w:t>5084亩。</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D9282D7">
            <w:pPr>
              <w:widowControl/>
              <w:ind w:firstLine="420" w:firstLineChars="2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2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DBA66D1">
            <w:pPr>
              <w:widowControl/>
              <w:ind w:firstLine="210" w:firstLineChars="10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EEA45B2">
            <w:pPr>
              <w:widowControl/>
              <w:jc w:val="left"/>
              <w:rPr>
                <w:rFonts w:ascii="Times New Roman" w:hAnsi="Times New Roman" w:eastAsia="仿宋_GB2312"/>
                <w:color w:val="000000"/>
                <w:kern w:val="0"/>
                <w:szCs w:val="21"/>
              </w:rPr>
            </w:pPr>
          </w:p>
        </w:tc>
      </w:tr>
      <w:tr w14:paraId="51C4602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EECC774">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D8CFF93">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65EFD796">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DA6EF8F">
            <w:pPr>
              <w:widowControl/>
              <w:jc w:val="left"/>
              <w:rPr>
                <w:rFonts w:ascii="Times New Roman" w:hAnsi="Times New Roman" w:eastAsia="仿宋_GB2312"/>
                <w:color w:val="000000"/>
                <w:kern w:val="0"/>
                <w:szCs w:val="21"/>
              </w:rPr>
            </w:pPr>
            <w:r>
              <w:rPr>
                <w:rFonts w:hint="eastAsia" w:eastAsia="仿宋_GB2312"/>
                <w:kern w:val="0"/>
                <w:sz w:val="24"/>
                <w:lang w:eastAsia="zh-CN"/>
              </w:rPr>
              <w:t>农村人居环境整治</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E6EBAAB">
            <w:pPr>
              <w:widowControl/>
              <w:jc w:val="left"/>
              <w:rPr>
                <w:rFonts w:ascii="Times New Roman" w:hAnsi="Times New Roman" w:eastAsia="仿宋_GB2312"/>
                <w:color w:val="000000"/>
                <w:kern w:val="0"/>
                <w:szCs w:val="21"/>
              </w:rPr>
            </w:pPr>
            <w:r>
              <w:rPr>
                <w:rFonts w:hint="eastAsia" w:eastAsia="仿宋_GB2312"/>
                <w:kern w:val="0"/>
                <w:sz w:val="24"/>
                <w:lang w:eastAsia="zh-CN"/>
              </w:rPr>
              <w:t>生活垃圾回收、</w:t>
            </w:r>
            <w:r>
              <w:rPr>
                <w:rFonts w:hint="eastAsia" w:eastAsia="仿宋_GB2312"/>
                <w:kern w:val="0"/>
                <w:sz w:val="24"/>
                <w:lang w:val="en-US" w:eastAsia="zh-CN"/>
              </w:rPr>
              <w:t xml:space="preserve">废旧农膜、农药包装废弃物回收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6F53A0A">
            <w:pPr>
              <w:widowControl/>
              <w:jc w:val="left"/>
              <w:rPr>
                <w:rFonts w:ascii="Times New Roman" w:hAnsi="Times New Roman" w:eastAsia="仿宋_GB2312"/>
                <w:color w:val="000000"/>
                <w:kern w:val="0"/>
                <w:szCs w:val="21"/>
              </w:rPr>
            </w:pPr>
            <w:r>
              <w:rPr>
                <w:rFonts w:hint="eastAsia" w:eastAsia="仿宋_GB2312"/>
                <w:kern w:val="0"/>
                <w:sz w:val="24"/>
                <w:lang w:eastAsia="zh-CN"/>
              </w:rPr>
              <w:t>农村生活垃圾回收</w:t>
            </w:r>
            <w:r>
              <w:rPr>
                <w:rFonts w:hint="eastAsia" w:eastAsia="仿宋_GB2312"/>
                <w:kern w:val="0"/>
                <w:sz w:val="24"/>
                <w:lang w:val="en-US" w:eastAsia="zh-CN"/>
              </w:rPr>
              <w:t>1000吨，废旧农膜回收100吨，农药包装废弃物回收 1000吨</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C2A89E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2</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436F97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2</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4EBE7EE">
            <w:pPr>
              <w:widowControl/>
              <w:jc w:val="left"/>
              <w:rPr>
                <w:rFonts w:ascii="Times New Roman" w:hAnsi="Times New Roman" w:eastAsia="仿宋_GB2312"/>
                <w:color w:val="000000"/>
                <w:kern w:val="0"/>
                <w:szCs w:val="21"/>
              </w:rPr>
            </w:pPr>
          </w:p>
        </w:tc>
      </w:tr>
      <w:tr w14:paraId="6AFF29F7">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7B1D0C6">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2D2F60E2">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03B195FF">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EFDDF32">
            <w:pPr>
              <w:widowControl/>
              <w:jc w:val="left"/>
              <w:rPr>
                <w:rFonts w:ascii="Times New Roman" w:hAnsi="Times New Roman" w:eastAsia="仿宋_GB2312"/>
                <w:color w:val="000000"/>
                <w:kern w:val="0"/>
                <w:szCs w:val="21"/>
              </w:rPr>
            </w:pPr>
            <w:r>
              <w:rPr>
                <w:rFonts w:hint="eastAsia" w:eastAsia="仿宋_GB2312"/>
                <w:kern w:val="0"/>
                <w:sz w:val="24"/>
                <w:lang w:eastAsia="zh-CN"/>
              </w:rPr>
              <w:t>农民专业合作社</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6183615">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40个及以上</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F102EA4">
            <w:pPr>
              <w:widowControl/>
              <w:jc w:val="left"/>
              <w:rPr>
                <w:rFonts w:hint="eastAsia"/>
                <w:lang w:val="en-US" w:eastAsia="zh-CN"/>
              </w:rPr>
            </w:pPr>
            <w:r>
              <w:rPr>
                <w:rFonts w:hint="eastAsia"/>
                <w:lang w:eastAsia="zh-CN"/>
              </w:rPr>
              <w:t>专业合作社</w:t>
            </w:r>
            <w:r>
              <w:rPr>
                <w:rFonts w:hint="eastAsia"/>
                <w:lang w:val="en-US" w:eastAsia="zh-CN"/>
              </w:rPr>
              <w:t>42个</w:t>
            </w:r>
          </w:p>
          <w:p w14:paraId="7737D5EC">
            <w:pPr>
              <w:pStyle w:val="2"/>
            </w:pP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3D697A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2</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BB4106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2</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18FA510">
            <w:pPr>
              <w:widowControl/>
              <w:jc w:val="left"/>
              <w:rPr>
                <w:rFonts w:ascii="Times New Roman" w:hAnsi="Times New Roman" w:eastAsia="仿宋_GB2312"/>
                <w:color w:val="000000"/>
                <w:kern w:val="0"/>
                <w:szCs w:val="21"/>
              </w:rPr>
            </w:pPr>
          </w:p>
        </w:tc>
      </w:tr>
      <w:tr w14:paraId="703C6BC9">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8242985">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B54E348">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6109E1B4">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14D2C46E">
            <w:pPr>
              <w:widowControl/>
              <w:jc w:val="left"/>
              <w:rPr>
                <w:rFonts w:ascii="Times New Roman" w:hAnsi="Times New Roman" w:eastAsia="仿宋_GB2312"/>
                <w:color w:val="000000"/>
                <w:kern w:val="0"/>
                <w:szCs w:val="21"/>
              </w:rPr>
            </w:pPr>
            <w:r>
              <w:rPr>
                <w:rFonts w:hint="eastAsia" w:eastAsia="仿宋_GB2312"/>
                <w:kern w:val="0"/>
                <w:sz w:val="24"/>
                <w:lang w:eastAsia="zh-CN"/>
              </w:rPr>
              <w:t>基层供销合作社</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4774CC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150个及以上</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25C96B1">
            <w:pPr>
              <w:widowControl/>
              <w:jc w:val="left"/>
              <w:rPr>
                <w:rFonts w:ascii="Times New Roman" w:hAnsi="Times New Roman" w:eastAsia="仿宋_GB2312"/>
                <w:color w:val="000000"/>
                <w:kern w:val="0"/>
                <w:szCs w:val="21"/>
              </w:rPr>
            </w:pPr>
            <w:r>
              <w:rPr>
                <w:rFonts w:hint="eastAsia" w:eastAsia="仿宋_GB2312"/>
                <w:kern w:val="0"/>
                <w:sz w:val="24"/>
                <w:lang w:val="en-US" w:eastAsia="zh-CN"/>
              </w:rPr>
              <w:t>基层供销合作社155个</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B96ECC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2</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65F6BDB">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2</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390D85C">
            <w:pPr>
              <w:widowControl/>
              <w:jc w:val="left"/>
              <w:rPr>
                <w:rFonts w:ascii="Times New Roman" w:hAnsi="Times New Roman" w:eastAsia="仿宋_GB2312"/>
                <w:color w:val="000000"/>
                <w:kern w:val="0"/>
                <w:szCs w:val="21"/>
              </w:rPr>
            </w:pPr>
          </w:p>
        </w:tc>
      </w:tr>
      <w:tr w14:paraId="1503F348">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487BEF9">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58B8DA34">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61F3DE7C">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6111510">
            <w:pPr>
              <w:widowControl/>
              <w:jc w:val="left"/>
              <w:rPr>
                <w:rFonts w:ascii="Times New Roman" w:hAnsi="Times New Roman" w:eastAsia="仿宋_GB2312"/>
                <w:color w:val="000000"/>
                <w:kern w:val="0"/>
                <w:szCs w:val="21"/>
              </w:rPr>
            </w:pPr>
            <w:r>
              <w:rPr>
                <w:rFonts w:hint="eastAsia" w:eastAsia="仿宋_GB2312"/>
                <w:kern w:val="0"/>
                <w:sz w:val="24"/>
                <w:lang w:eastAsia="zh-CN"/>
              </w:rPr>
              <w:t>社会组织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43964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100个及以上</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2343B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eastAsia="仿宋_GB2312"/>
                <w:kern w:val="0"/>
                <w:sz w:val="24"/>
                <w:lang w:val="en-US" w:eastAsia="zh-CN"/>
              </w:rPr>
              <w:t>农村合作经济组织联合会110个</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28AB41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2</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24E214A">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w:t>
            </w: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64C27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0CE4A9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7A4D523">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733DF01">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771E38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A61F615">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kern w:val="0"/>
                <w:sz w:val="24"/>
                <w:lang w:eastAsia="zh-CN"/>
              </w:rPr>
              <w:t>基层供销社覆盖率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20991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eastAsia="宋体" w:cs="宋体"/>
                <w:kern w:val="0"/>
                <w:sz w:val="24"/>
                <w:lang w:val="en-US" w:eastAsia="zh-CN"/>
              </w:rPr>
              <w:t>≧</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0B8839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B816B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4.5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432DD4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 4.5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664F7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C9D678C">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BF7224F">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4793F74F">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57065CAE">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25E2D93">
            <w:pPr>
              <w:widowControl/>
              <w:jc w:val="left"/>
              <w:rPr>
                <w:rFonts w:ascii="Times New Roman" w:hAnsi="Times New Roman" w:eastAsia="仿宋_GB2312"/>
                <w:color w:val="000000"/>
                <w:kern w:val="0"/>
                <w:szCs w:val="21"/>
              </w:rPr>
            </w:pPr>
            <w:r>
              <w:rPr>
                <w:rFonts w:hint="eastAsia" w:eastAsia="仿宋_GB2312"/>
                <w:kern w:val="0"/>
                <w:sz w:val="24"/>
                <w:lang w:eastAsia="zh-CN"/>
              </w:rPr>
              <w:t>农民专业合作社增长率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22FD67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w:t>
            </w:r>
            <w:r>
              <w:rPr>
                <w:rFonts w:hint="eastAsia" w:ascii="宋体" w:hAnsi="宋体" w:eastAsia="宋体" w:cs="宋体"/>
                <w:kern w:val="0"/>
                <w:sz w:val="24"/>
                <w:lang w:val="en-US" w:eastAsia="zh-CN"/>
              </w:rPr>
              <w:t>≧</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C30B5ED">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C9EA13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4</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83B0CE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CCAED2C">
            <w:pPr>
              <w:widowControl/>
              <w:jc w:val="left"/>
              <w:rPr>
                <w:rFonts w:ascii="Times New Roman" w:hAnsi="Times New Roman" w:eastAsia="仿宋_GB2312"/>
                <w:color w:val="000000"/>
                <w:kern w:val="0"/>
                <w:szCs w:val="21"/>
              </w:rPr>
            </w:pPr>
          </w:p>
        </w:tc>
      </w:tr>
      <w:tr w14:paraId="4599A2E6">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2745EB2">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52FEEC05">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734ECDCE">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13BE7F60">
            <w:pPr>
              <w:widowControl/>
              <w:jc w:val="left"/>
              <w:rPr>
                <w:rFonts w:ascii="Times New Roman" w:hAnsi="Times New Roman" w:eastAsia="仿宋_GB2312"/>
                <w:color w:val="000000"/>
                <w:kern w:val="0"/>
                <w:szCs w:val="21"/>
              </w:rPr>
            </w:pPr>
            <w:r>
              <w:rPr>
                <w:rFonts w:hint="eastAsia" w:eastAsia="仿宋_GB2312"/>
                <w:kern w:val="0"/>
                <w:sz w:val="24"/>
                <w:lang w:eastAsia="zh-CN"/>
              </w:rPr>
              <w:t>农业生产社会化服务增长率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AFAE1E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eastAsia="宋体" w:cs="宋体"/>
                <w:kern w:val="0"/>
                <w:sz w:val="24"/>
                <w:lang w:val="en-US" w:eastAsia="zh-CN"/>
              </w:rPr>
              <w:t>≧</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37671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02FEA90">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14D586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043513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629A856">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0EFEB07">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B24E3AA">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42C9D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6ED59DB">
            <w:pPr>
              <w:widowControl/>
              <w:jc w:val="left"/>
              <w:rPr>
                <w:rFonts w:ascii="Times New Roman" w:hAnsi="Times New Roman" w:eastAsia="仿宋_GB2312"/>
                <w:color w:val="000000"/>
                <w:kern w:val="0"/>
                <w:szCs w:val="21"/>
              </w:rPr>
            </w:pPr>
            <w:r>
              <w:rPr>
                <w:rFonts w:hint="eastAsia" w:eastAsia="仿宋_GB2312"/>
                <w:kern w:val="0"/>
                <w:sz w:val="24"/>
                <w:lang w:eastAsia="zh-CN"/>
              </w:rPr>
              <w:t>年度主要任务完成情况</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FF705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定性</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9B8595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仿宋_GB2312" w:hAnsi="仿宋_GB2312" w:eastAsia="仿宋_GB2312" w:cs="仿宋_GB2312"/>
                <w:kern w:val="0"/>
                <w:sz w:val="24"/>
                <w:szCs w:val="24"/>
              </w:rPr>
              <w:t>20</w:t>
            </w:r>
            <w:r>
              <w:rPr>
                <w:rFonts w:hint="eastAsia" w:ascii="仿宋_GB2312" w:hAnsi="仿宋_GB2312" w:eastAsia="仿宋_GB2312" w:cs="仿宋_GB2312"/>
                <w:kern w:val="0"/>
                <w:sz w:val="24"/>
                <w:szCs w:val="24"/>
                <w:lang w:val="en-US" w:eastAsia="zh-CN"/>
              </w:rPr>
              <w:t>21</w:t>
            </w:r>
            <w:r>
              <w:rPr>
                <w:rFonts w:hint="eastAsia" w:ascii="仿宋_GB2312" w:hAnsi="仿宋_GB2312" w:eastAsia="仿宋_GB2312" w:cs="仿宋_GB2312"/>
                <w:kern w:val="0"/>
                <w:sz w:val="24"/>
                <w:szCs w:val="24"/>
              </w:rPr>
              <w:t>年底完成</w:t>
            </w:r>
            <w:r>
              <w:rPr>
                <w:rFonts w:hint="eastAsia" w:ascii="仿宋_GB2312" w:hAnsi="仿宋_GB2312" w:eastAsia="仿宋_GB2312" w:cs="仿宋_GB2312"/>
                <w:kern w:val="0"/>
                <w:sz w:val="24"/>
                <w:szCs w:val="24"/>
                <w:lang w:eastAsia="zh-CN"/>
              </w:rPr>
              <w:t>市委市政府下达的考核</w:t>
            </w:r>
            <w:r>
              <w:rPr>
                <w:rFonts w:hint="eastAsia" w:ascii="仿宋_GB2312" w:hAnsi="仿宋_GB2312" w:eastAsia="仿宋_GB2312" w:cs="仿宋_GB2312"/>
                <w:kern w:val="0"/>
                <w:sz w:val="24"/>
                <w:szCs w:val="24"/>
              </w:rPr>
              <w:t>目标</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EA77C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12.5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0E7667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12.5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07080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37BBFC">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CD91041">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36520BA">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7510A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9C5AC12">
            <w:pPr>
              <w:widowControl/>
              <w:jc w:val="left"/>
              <w:rPr>
                <w:rFonts w:ascii="Times New Roman" w:hAnsi="Times New Roman" w:eastAsia="仿宋_GB2312"/>
                <w:color w:val="000000"/>
                <w:kern w:val="0"/>
                <w:szCs w:val="21"/>
              </w:rPr>
            </w:pPr>
            <w:r>
              <w:rPr>
                <w:rFonts w:hint="eastAsia" w:eastAsia="仿宋_GB2312"/>
                <w:kern w:val="0"/>
                <w:sz w:val="24"/>
                <w:lang w:eastAsia="zh-CN"/>
              </w:rPr>
              <w:t>预算控制</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82F7C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定性</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E1284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仿宋_GB2312" w:hAnsi="仿宋_GB2312" w:eastAsia="仿宋_GB2312" w:cs="仿宋_GB2312"/>
                <w:kern w:val="0"/>
                <w:sz w:val="24"/>
                <w:szCs w:val="24"/>
                <w:lang w:val="en-US" w:eastAsia="zh-CN"/>
              </w:rPr>
              <w:t>已</w:t>
            </w:r>
            <w:r>
              <w:rPr>
                <w:rFonts w:hint="eastAsia" w:ascii="仿宋_GB2312" w:hAnsi="仿宋_GB2312" w:eastAsia="仿宋_GB2312" w:cs="仿宋_GB2312"/>
                <w:kern w:val="0"/>
                <w:sz w:val="24"/>
                <w:szCs w:val="24"/>
              </w:rPr>
              <w:t>做到预算支出不超标</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0475DD5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12.5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12F10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12.5</w:t>
            </w: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FB5FC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479E51C">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6606D32">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19D00AA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18704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6AE082F">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3595F369">
            <w:pPr>
              <w:jc w:val="left"/>
              <w:rPr>
                <w:rFonts w:ascii="Times New Roman" w:hAnsi="Times New Roman" w:eastAsia="仿宋_GB2312"/>
                <w:color w:val="000000"/>
                <w:kern w:val="0"/>
                <w:szCs w:val="21"/>
              </w:rPr>
            </w:pPr>
          </w:p>
          <w:p w14:paraId="22FC19A5">
            <w:pPr>
              <w:widowControl/>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70716B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85E224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1E074603">
            <w:pPr>
              <w:widowControl/>
              <w:jc w:val="left"/>
              <w:rPr>
                <w:rFonts w:ascii="Times New Roman" w:hAnsi="Times New Roman" w:eastAsia="仿宋_GB2312"/>
                <w:color w:val="000000"/>
                <w:kern w:val="0"/>
                <w:szCs w:val="21"/>
              </w:rPr>
            </w:pPr>
            <w:r>
              <w:rPr>
                <w:rFonts w:hint="eastAsia" w:eastAsia="仿宋_GB2312"/>
                <w:kern w:val="0"/>
                <w:sz w:val="24"/>
                <w:lang w:eastAsia="zh-CN"/>
              </w:rPr>
              <w:t>一二三产业深度融合</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A6017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定性</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3BAE2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较好</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69A5A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E9EAC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0E511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仿宋_GB2312" w:hAnsi="仿宋_GB2312" w:eastAsia="仿宋_GB2312" w:cs="仿宋_GB2312"/>
                <w:kern w:val="0"/>
                <w:sz w:val="24"/>
                <w:szCs w:val="24"/>
              </w:rPr>
              <w:t>提升为农服务能力，整合资源，打造为农服务支柱产业</w:t>
            </w:r>
          </w:p>
        </w:tc>
      </w:tr>
      <w:tr w14:paraId="6C86EC0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9A540B6">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48C7D625">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E47464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D56717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1FA9FBE3">
            <w:pPr>
              <w:widowControl/>
              <w:jc w:val="left"/>
              <w:rPr>
                <w:rFonts w:ascii="Times New Roman" w:hAnsi="Times New Roman" w:eastAsia="仿宋_GB2312"/>
                <w:color w:val="000000"/>
                <w:kern w:val="0"/>
                <w:szCs w:val="21"/>
              </w:rPr>
            </w:pPr>
            <w:r>
              <w:rPr>
                <w:rFonts w:hint="eastAsia" w:eastAsia="仿宋_GB2312"/>
                <w:kern w:val="0"/>
                <w:sz w:val="24"/>
                <w:lang w:eastAsia="zh-CN"/>
              </w:rPr>
              <w:t>农业现代化</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B4BDA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定性</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73BBF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较好</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59102A7D">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221F4FD">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2C8378C">
            <w:pPr>
              <w:widowControl/>
              <w:rPr>
                <w:rFonts w:hint="eastAsia" w:ascii="仿宋_GB2312" w:hAnsi="仿宋_GB2312" w:eastAsia="仿宋_GB2312" w:cs="仿宋_GB2312"/>
                <w:sz w:val="24"/>
                <w:szCs w:val="24"/>
              </w:rPr>
            </w:pPr>
            <w:r>
              <w:rPr>
                <w:rFonts w:ascii="Times New Roman" w:hAnsi="Times New Roman" w:eastAsia="仿宋_GB2312"/>
                <w:color w:val="000000"/>
                <w:kern w:val="0"/>
                <w:szCs w:val="21"/>
              </w:rPr>
              <w:t>　</w:t>
            </w:r>
            <w:r>
              <w:rPr>
                <w:rFonts w:hint="eastAsia" w:ascii="仿宋_GB2312" w:hAnsi="仿宋_GB2312" w:eastAsia="仿宋_GB2312" w:cs="仿宋_GB2312"/>
                <w:sz w:val="24"/>
                <w:szCs w:val="24"/>
              </w:rPr>
              <w:t>在促进全市农业现代化担当起更大责任</w:t>
            </w:r>
          </w:p>
          <w:p w14:paraId="1BBA0E73">
            <w:pPr>
              <w:widowControl/>
              <w:jc w:val="left"/>
              <w:rPr>
                <w:rFonts w:ascii="Times New Roman" w:hAnsi="Times New Roman" w:eastAsia="仿宋_GB2312"/>
                <w:color w:val="000000"/>
                <w:kern w:val="0"/>
                <w:szCs w:val="21"/>
              </w:rPr>
            </w:pPr>
          </w:p>
        </w:tc>
      </w:tr>
      <w:tr w14:paraId="660DEFE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2EEF97B">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4FAB5A54">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1B48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2952914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DCA59F7">
            <w:pPr>
              <w:widowControl/>
              <w:jc w:val="left"/>
              <w:rPr>
                <w:rFonts w:ascii="Times New Roman" w:hAnsi="Times New Roman" w:eastAsia="仿宋_GB2312"/>
                <w:color w:val="000000"/>
                <w:kern w:val="0"/>
                <w:szCs w:val="21"/>
              </w:rPr>
            </w:pPr>
            <w:r>
              <w:rPr>
                <w:rFonts w:hint="eastAsia" w:eastAsia="仿宋_GB2312"/>
                <w:kern w:val="0"/>
                <w:sz w:val="24"/>
                <w:lang w:eastAsia="zh-CN"/>
              </w:rPr>
              <w:t>乡村振兴、农村人居环境整治</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7B718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定性</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546981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较好</w:t>
            </w:r>
          </w:p>
        </w:tc>
        <w:tc>
          <w:tcPr>
            <w:tcW w:w="1170" w:type="dxa"/>
            <w:gridSpan w:val="2"/>
            <w:tcBorders>
              <w:top w:val="nil"/>
              <w:left w:val="nil"/>
              <w:bottom w:val="single" w:color="auto" w:sz="4" w:space="0"/>
              <w:right w:val="single" w:color="auto" w:sz="4" w:space="0"/>
            </w:tcBorders>
            <w:shd w:val="clear" w:color="auto" w:fill="auto"/>
            <w:noWrap/>
            <w:vAlign w:val="center"/>
          </w:tcPr>
          <w:p w14:paraId="236DAE78">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765" w:type="dxa"/>
            <w:tcBorders>
              <w:top w:val="nil"/>
              <w:left w:val="nil"/>
              <w:bottom w:val="single" w:color="auto" w:sz="4" w:space="0"/>
              <w:right w:val="single" w:color="auto" w:sz="4" w:space="0"/>
            </w:tcBorders>
            <w:shd w:val="clear" w:color="auto" w:fill="auto"/>
            <w:noWrap/>
            <w:vAlign w:val="center"/>
          </w:tcPr>
          <w:p w14:paraId="0A846B89">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1271" w:type="dxa"/>
            <w:gridSpan w:val="2"/>
            <w:tcBorders>
              <w:top w:val="nil"/>
              <w:left w:val="nil"/>
              <w:bottom w:val="single" w:color="auto" w:sz="4" w:space="0"/>
              <w:right w:val="single" w:color="auto" w:sz="4" w:space="0"/>
            </w:tcBorders>
            <w:shd w:val="clear" w:color="auto" w:fill="auto"/>
            <w:noWrap/>
            <w:vAlign w:val="center"/>
          </w:tcPr>
          <w:p w14:paraId="452F72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仿宋_GB2312" w:hAnsi="仿宋_GB2312" w:eastAsia="仿宋_GB2312" w:cs="仿宋_GB2312"/>
                <w:kern w:val="0"/>
                <w:sz w:val="24"/>
                <w:szCs w:val="24"/>
              </w:rPr>
              <w:t>抓住国家大力推进绿色发展战略机遇，调整优化再生资源经营品种</w:t>
            </w:r>
          </w:p>
        </w:tc>
      </w:tr>
      <w:tr w14:paraId="1A8C1274">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4E8D782">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32DC6D2">
            <w:pPr>
              <w:widowControl/>
              <w:jc w:val="left"/>
              <w:rPr>
                <w:rFonts w:ascii="Times New Roman" w:hAnsi="Times New Roman" w:eastAsia="仿宋_GB2312"/>
                <w:color w:val="000000"/>
                <w:kern w:val="0"/>
                <w:szCs w:val="21"/>
              </w:rPr>
            </w:pPr>
          </w:p>
        </w:tc>
        <w:tc>
          <w:tcPr>
            <w:tcW w:w="1110" w:type="dxa"/>
            <w:tcBorders>
              <w:top w:val="single" w:color="auto" w:sz="4" w:space="0"/>
              <w:left w:val="single" w:color="auto" w:sz="4" w:space="0"/>
              <w:right w:val="single" w:color="auto" w:sz="4" w:space="0"/>
            </w:tcBorders>
            <w:shd w:val="clear" w:color="auto" w:fill="auto"/>
            <w:noWrap/>
            <w:vAlign w:val="center"/>
          </w:tcPr>
          <w:p w14:paraId="19B1308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nil"/>
              <w:left w:val="nil"/>
              <w:bottom w:val="single" w:color="auto" w:sz="4" w:space="0"/>
              <w:right w:val="single" w:color="auto" w:sz="4" w:space="0"/>
            </w:tcBorders>
            <w:shd w:val="clear" w:color="auto" w:fill="auto"/>
            <w:noWrap/>
            <w:vAlign w:val="center"/>
          </w:tcPr>
          <w:p w14:paraId="509AC765">
            <w:pPr>
              <w:widowControl/>
              <w:jc w:val="left"/>
              <w:rPr>
                <w:rFonts w:ascii="Times New Roman" w:hAnsi="Times New Roman" w:eastAsia="仿宋_GB2312"/>
                <w:color w:val="000000"/>
                <w:kern w:val="0"/>
                <w:szCs w:val="21"/>
              </w:rPr>
            </w:pPr>
            <w:r>
              <w:rPr>
                <w:rFonts w:hint="eastAsia" w:ascii="仿宋_GB2312" w:hAnsi="仿宋_GB2312" w:eastAsia="仿宋_GB2312" w:cs="仿宋_GB2312"/>
                <w:kern w:val="0"/>
                <w:sz w:val="24"/>
                <w:lang w:eastAsia="zh-CN"/>
              </w:rPr>
              <w:t>惠农服务体系</w:t>
            </w:r>
          </w:p>
        </w:tc>
        <w:tc>
          <w:tcPr>
            <w:tcW w:w="1110" w:type="dxa"/>
            <w:tcBorders>
              <w:top w:val="nil"/>
              <w:left w:val="nil"/>
              <w:bottom w:val="single" w:color="auto" w:sz="4" w:space="0"/>
              <w:right w:val="single" w:color="auto" w:sz="4" w:space="0"/>
            </w:tcBorders>
            <w:shd w:val="clear" w:color="auto" w:fill="auto"/>
            <w:noWrap/>
            <w:vAlign w:val="center"/>
          </w:tcPr>
          <w:p w14:paraId="655DFA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定性</w:t>
            </w:r>
          </w:p>
        </w:tc>
        <w:tc>
          <w:tcPr>
            <w:tcW w:w="1065" w:type="dxa"/>
            <w:gridSpan w:val="2"/>
            <w:tcBorders>
              <w:top w:val="nil"/>
              <w:left w:val="nil"/>
              <w:bottom w:val="single" w:color="auto" w:sz="4" w:space="0"/>
              <w:right w:val="single" w:color="auto" w:sz="4" w:space="0"/>
            </w:tcBorders>
            <w:shd w:val="clear" w:color="auto" w:fill="auto"/>
            <w:noWrap/>
            <w:vAlign w:val="center"/>
          </w:tcPr>
          <w:p w14:paraId="7FA518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建成</w:t>
            </w:r>
          </w:p>
        </w:tc>
        <w:tc>
          <w:tcPr>
            <w:tcW w:w="1170" w:type="dxa"/>
            <w:gridSpan w:val="2"/>
            <w:tcBorders>
              <w:top w:val="nil"/>
              <w:left w:val="nil"/>
              <w:bottom w:val="single" w:color="auto" w:sz="4" w:space="0"/>
              <w:right w:val="single" w:color="auto" w:sz="4" w:space="0"/>
            </w:tcBorders>
            <w:shd w:val="clear" w:color="auto" w:fill="auto"/>
            <w:noWrap/>
            <w:vAlign w:val="center"/>
          </w:tcPr>
          <w:p w14:paraId="46D7CBE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765" w:type="dxa"/>
            <w:tcBorders>
              <w:top w:val="nil"/>
              <w:left w:val="nil"/>
              <w:bottom w:val="single" w:color="auto" w:sz="4" w:space="0"/>
              <w:right w:val="single" w:color="auto" w:sz="4" w:space="0"/>
            </w:tcBorders>
            <w:shd w:val="clear" w:color="auto" w:fill="auto"/>
            <w:noWrap/>
            <w:vAlign w:val="center"/>
          </w:tcPr>
          <w:p w14:paraId="408D9BC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1271" w:type="dxa"/>
            <w:gridSpan w:val="2"/>
            <w:tcBorders>
              <w:top w:val="nil"/>
              <w:left w:val="nil"/>
              <w:bottom w:val="single" w:color="auto" w:sz="4" w:space="0"/>
              <w:right w:val="single" w:color="auto" w:sz="4" w:space="0"/>
            </w:tcBorders>
            <w:shd w:val="clear" w:color="auto" w:fill="auto"/>
            <w:noWrap/>
            <w:vAlign w:val="center"/>
          </w:tcPr>
          <w:p w14:paraId="46AC2A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D8437DF">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E451F12">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44F7337B">
            <w:pPr>
              <w:widowControl/>
              <w:jc w:val="center"/>
              <w:rPr>
                <w:rFonts w:ascii="Times New Roman" w:hAnsi="Times New Roman" w:eastAsia="仿宋_GB2312"/>
                <w:color w:val="000000"/>
                <w:kern w:val="0"/>
                <w:szCs w:val="21"/>
              </w:rPr>
            </w:pPr>
          </w:p>
        </w:tc>
        <w:tc>
          <w:tcPr>
            <w:tcW w:w="1110" w:type="dxa"/>
            <w:tcBorders>
              <w:top w:val="nil"/>
              <w:left w:val="nil"/>
              <w:right w:val="single" w:color="auto" w:sz="4" w:space="0"/>
            </w:tcBorders>
            <w:shd w:val="clear" w:color="auto" w:fill="auto"/>
            <w:noWrap/>
            <w:vAlign w:val="center"/>
          </w:tcPr>
          <w:p w14:paraId="40F590F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nil"/>
              <w:left w:val="nil"/>
              <w:bottom w:val="single" w:color="auto" w:sz="4" w:space="0"/>
              <w:right w:val="single" w:color="auto" w:sz="4" w:space="0"/>
            </w:tcBorders>
            <w:shd w:val="clear" w:color="auto" w:fill="auto"/>
            <w:noWrap/>
            <w:vAlign w:val="center"/>
          </w:tcPr>
          <w:p w14:paraId="19F3634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社会公众满意度</w:t>
            </w:r>
          </w:p>
        </w:tc>
        <w:tc>
          <w:tcPr>
            <w:tcW w:w="1110" w:type="dxa"/>
            <w:tcBorders>
              <w:top w:val="nil"/>
              <w:left w:val="nil"/>
              <w:bottom w:val="single" w:color="auto" w:sz="4" w:space="0"/>
              <w:right w:val="single" w:color="auto" w:sz="4" w:space="0"/>
            </w:tcBorders>
            <w:shd w:val="clear" w:color="auto" w:fill="auto"/>
            <w:noWrap/>
            <w:vAlign w:val="center"/>
          </w:tcPr>
          <w:p w14:paraId="39230E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eastAsia="宋体" w:cs="宋体"/>
                <w:kern w:val="0"/>
                <w:sz w:val="24"/>
                <w:lang w:val="en-US" w:eastAsia="zh-CN"/>
              </w:rPr>
              <w:t>≧</w:t>
            </w:r>
          </w:p>
        </w:tc>
        <w:tc>
          <w:tcPr>
            <w:tcW w:w="1065" w:type="dxa"/>
            <w:gridSpan w:val="2"/>
            <w:tcBorders>
              <w:top w:val="nil"/>
              <w:left w:val="nil"/>
              <w:bottom w:val="single" w:color="auto" w:sz="4" w:space="0"/>
              <w:right w:val="single" w:color="auto" w:sz="4" w:space="0"/>
            </w:tcBorders>
            <w:shd w:val="clear" w:color="auto" w:fill="auto"/>
            <w:noWrap/>
            <w:vAlign w:val="center"/>
          </w:tcPr>
          <w:p w14:paraId="1BEB2B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170" w:type="dxa"/>
            <w:gridSpan w:val="2"/>
            <w:tcBorders>
              <w:top w:val="nil"/>
              <w:left w:val="nil"/>
              <w:bottom w:val="single" w:color="auto" w:sz="4" w:space="0"/>
              <w:right w:val="single" w:color="auto" w:sz="4" w:space="0"/>
            </w:tcBorders>
            <w:shd w:val="clear" w:color="auto" w:fill="auto"/>
            <w:noWrap/>
            <w:vAlign w:val="center"/>
          </w:tcPr>
          <w:p w14:paraId="54724D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765" w:type="dxa"/>
            <w:tcBorders>
              <w:top w:val="nil"/>
              <w:left w:val="nil"/>
              <w:bottom w:val="single" w:color="auto" w:sz="4" w:space="0"/>
              <w:right w:val="single" w:color="auto" w:sz="4" w:space="0"/>
            </w:tcBorders>
            <w:shd w:val="clear" w:color="auto" w:fill="auto"/>
            <w:noWrap/>
            <w:vAlign w:val="center"/>
          </w:tcPr>
          <w:p w14:paraId="2A4547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1271" w:type="dxa"/>
            <w:gridSpan w:val="2"/>
            <w:tcBorders>
              <w:top w:val="nil"/>
              <w:left w:val="nil"/>
              <w:bottom w:val="single" w:color="auto" w:sz="4" w:space="0"/>
              <w:right w:val="single" w:color="auto" w:sz="4" w:space="0"/>
            </w:tcBorders>
            <w:shd w:val="clear" w:color="auto" w:fill="auto"/>
            <w:noWrap/>
            <w:vAlign w:val="center"/>
          </w:tcPr>
          <w:p w14:paraId="7DA40D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提高社会公众对供销社的认识及满意度</w:t>
            </w:r>
          </w:p>
        </w:tc>
      </w:tr>
      <w:tr w14:paraId="1A90ECC2">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13BC4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5F6E73">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6BCD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100</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6B17F6">
            <w:pPr>
              <w:widowControl/>
              <w:jc w:val="left"/>
              <w:rPr>
                <w:rFonts w:ascii="Times New Roman" w:hAnsi="Times New Roman" w:eastAsia="仿宋_GB2312"/>
                <w:color w:val="000000"/>
                <w:kern w:val="0"/>
                <w:szCs w:val="21"/>
              </w:rPr>
            </w:pPr>
          </w:p>
        </w:tc>
      </w:tr>
    </w:tbl>
    <w:p w14:paraId="389B1255">
      <w:pPr>
        <w:spacing w:beforeLines="50"/>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lang w:val="en-US" w:eastAsia="zh-CN"/>
        </w:rPr>
        <w:t>高雅君</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18670084801</w:t>
      </w:r>
    </w:p>
    <w:p w14:paraId="597CEE26">
      <w:pPr>
        <w:rPr>
          <w:rFonts w:ascii="Times New Roman" w:hAnsi="Times New Roman" w:eastAsia="黑体"/>
          <w:sz w:val="32"/>
          <w:szCs w:val="32"/>
        </w:rPr>
      </w:pPr>
    </w:p>
    <w:p w14:paraId="14072700">
      <w:pPr>
        <w:rPr>
          <w:rFonts w:ascii="Times New Roman" w:hAnsi="Times New Roman" w:eastAsia="黑体"/>
          <w:sz w:val="32"/>
          <w:szCs w:val="32"/>
        </w:rPr>
      </w:pPr>
    </w:p>
    <w:p w14:paraId="771344F6">
      <w:pPr>
        <w:rPr>
          <w:rFonts w:ascii="Times New Roman" w:hAnsi="Times New Roman" w:eastAsia="黑体"/>
          <w:sz w:val="32"/>
          <w:szCs w:val="32"/>
        </w:rPr>
      </w:pPr>
    </w:p>
    <w:p w14:paraId="10E949D0">
      <w:pPr>
        <w:rPr>
          <w:rFonts w:ascii="Times New Roman" w:hAnsi="Times New Roman" w:eastAsia="黑体"/>
          <w:sz w:val="32"/>
          <w:szCs w:val="32"/>
        </w:rPr>
      </w:pPr>
    </w:p>
    <w:p w14:paraId="06E6D0CB">
      <w:pPr>
        <w:rPr>
          <w:rFonts w:ascii="Times New Roman" w:hAnsi="Times New Roman" w:eastAsia="黑体"/>
          <w:sz w:val="32"/>
          <w:szCs w:val="32"/>
        </w:rPr>
      </w:pPr>
    </w:p>
    <w:p w14:paraId="6F5370A3">
      <w:pPr>
        <w:rPr>
          <w:rFonts w:ascii="Times New Roman" w:hAnsi="Times New Roman" w:eastAsia="黑体"/>
          <w:sz w:val="32"/>
          <w:szCs w:val="32"/>
        </w:rPr>
      </w:pPr>
    </w:p>
    <w:p w14:paraId="336DEF5E">
      <w:pPr>
        <w:rPr>
          <w:rFonts w:ascii="Times New Roman" w:hAnsi="Times New Roman" w:eastAsia="黑体"/>
          <w:sz w:val="32"/>
          <w:szCs w:val="32"/>
        </w:rPr>
      </w:pPr>
    </w:p>
    <w:p w14:paraId="3023EC68">
      <w:pPr>
        <w:rPr>
          <w:rFonts w:ascii="Times New Roman" w:hAnsi="Times New Roman" w:eastAsia="黑体"/>
          <w:sz w:val="32"/>
          <w:szCs w:val="32"/>
        </w:rPr>
      </w:pPr>
    </w:p>
    <w:p w14:paraId="48AA4425">
      <w:pPr>
        <w:rPr>
          <w:rFonts w:ascii="Times New Roman" w:hAnsi="Times New Roman" w:eastAsia="黑体"/>
          <w:sz w:val="32"/>
          <w:szCs w:val="32"/>
        </w:rPr>
      </w:pPr>
    </w:p>
    <w:p w14:paraId="212C04D8">
      <w:pPr>
        <w:rPr>
          <w:rFonts w:ascii="Times New Roman" w:hAnsi="Times New Roman" w:eastAsia="黑体"/>
          <w:sz w:val="32"/>
          <w:szCs w:val="32"/>
        </w:rPr>
      </w:pPr>
    </w:p>
    <w:p w14:paraId="7E9699C5">
      <w:pPr>
        <w:rPr>
          <w:rFonts w:ascii="Times New Roman" w:hAnsi="Times New Roman" w:eastAsia="黑体"/>
          <w:sz w:val="32"/>
          <w:szCs w:val="32"/>
        </w:rPr>
      </w:pPr>
    </w:p>
    <w:p w14:paraId="784010B3">
      <w:pPr>
        <w:rPr>
          <w:rFonts w:ascii="Times New Roman" w:hAnsi="Times New Roman" w:eastAsia="黑体"/>
          <w:sz w:val="32"/>
          <w:szCs w:val="32"/>
        </w:rPr>
      </w:pPr>
    </w:p>
    <w:p w14:paraId="6C0EC093">
      <w:pPr>
        <w:rPr>
          <w:rFonts w:ascii="Times New Roman" w:hAnsi="Times New Roman" w:eastAsia="黑体"/>
          <w:sz w:val="32"/>
          <w:szCs w:val="32"/>
        </w:rPr>
      </w:pPr>
    </w:p>
    <w:p w14:paraId="0EA487CC">
      <w:pPr>
        <w:rPr>
          <w:rFonts w:ascii="Times New Roman" w:hAnsi="Times New Roman" w:eastAsia="黑体"/>
          <w:sz w:val="32"/>
          <w:szCs w:val="32"/>
        </w:rPr>
      </w:pPr>
    </w:p>
    <w:p w14:paraId="13DC1602">
      <w:pPr>
        <w:rPr>
          <w:rFonts w:ascii="Times New Roman" w:hAnsi="Times New Roman" w:eastAsia="黑体"/>
          <w:sz w:val="32"/>
          <w:szCs w:val="32"/>
        </w:rPr>
      </w:pPr>
    </w:p>
    <w:p w14:paraId="6085D367">
      <w:pPr>
        <w:rPr>
          <w:rFonts w:ascii="Times New Roman" w:hAnsi="Times New Roman" w:eastAsia="黑体"/>
          <w:sz w:val="32"/>
          <w:szCs w:val="32"/>
        </w:rPr>
      </w:pPr>
    </w:p>
    <w:p w14:paraId="63F140D0">
      <w:pPr>
        <w:rPr>
          <w:rFonts w:ascii="Times New Roman" w:hAnsi="Times New Roman" w:eastAsia="黑体"/>
          <w:sz w:val="32"/>
          <w:szCs w:val="32"/>
        </w:rPr>
      </w:pPr>
    </w:p>
    <w:p w14:paraId="1DDBF2AB">
      <w:pPr>
        <w:rPr>
          <w:rFonts w:ascii="Times New Roman" w:hAnsi="Times New Roman" w:eastAsia="黑体"/>
        </w:rPr>
      </w:pPr>
      <w:r>
        <w:rPr>
          <w:rFonts w:ascii="Times New Roman" w:hAnsi="Times New Roman" w:eastAsia="黑体"/>
          <w:sz w:val="32"/>
          <w:szCs w:val="32"/>
        </w:rPr>
        <w:t>附件4</w:t>
      </w:r>
    </w:p>
    <w:tbl>
      <w:tblPr>
        <w:tblStyle w:val="13"/>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09DFD07">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08031BBE">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F36EB97">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158AFF4E">
            <w:pPr>
              <w:widowControl/>
              <w:rPr>
                <w:rFonts w:ascii="Times New Roman" w:hAnsi="Times New Roman"/>
                <w:color w:val="000000"/>
                <w:kern w:val="0"/>
                <w:sz w:val="22"/>
              </w:rPr>
            </w:pPr>
            <w:r>
              <w:rPr>
                <w:rFonts w:hint="eastAsia" w:ascii="Times New Roman" w:hAnsi="Times New Roman"/>
                <w:color w:val="000000"/>
                <w:kern w:val="0"/>
                <w:sz w:val="22"/>
                <w:lang w:val="en-US" w:eastAsia="zh-CN"/>
              </w:rPr>
              <w:t xml:space="preserve">                              </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75D6A11E">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637FA2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27EAD92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62BC883">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eastAsia="zh-CN"/>
              </w:rPr>
              <w:t>供销社综合改革经费</w:t>
            </w:r>
            <w:r>
              <w:rPr>
                <w:rFonts w:ascii="Times New Roman" w:hAnsi="Times New Roman" w:eastAsia="仿宋_GB2312"/>
                <w:color w:val="000000"/>
                <w:kern w:val="0"/>
                <w:szCs w:val="21"/>
              </w:rPr>
              <w:t>　</w:t>
            </w:r>
          </w:p>
        </w:tc>
      </w:tr>
      <w:tr w14:paraId="29FA03B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733C4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3CC1E7B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color w:val="000000"/>
                <w:kern w:val="0"/>
                <w:szCs w:val="21"/>
                <w:lang w:eastAsia="zh-CN"/>
              </w:rPr>
              <w:t>衡阳市供销合作总社</w:t>
            </w:r>
            <w:r>
              <w:rPr>
                <w:rFonts w:hint="eastAsia" w:ascii="Times New Roman" w:hAnsi="Times New Roman"/>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0A3D28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398B5A8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衡南、衡山、衡阳、耒阳供销社</w:t>
            </w:r>
          </w:p>
        </w:tc>
      </w:tr>
      <w:tr w14:paraId="39115B23">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52A9D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6630A3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264BE57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C99AF5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5F7A67E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F113C6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1D8AC1F">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02839C7B">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593FE069">
            <w:pPr>
              <w:spacing w:line="240" w:lineRule="exact"/>
              <w:jc w:val="center"/>
              <w:rPr>
                <w:rFonts w:ascii="Times New Roman" w:hAnsi="Times New Roman" w:eastAsia="仿宋_GB2312"/>
                <w:szCs w:val="21"/>
              </w:rPr>
            </w:pPr>
          </w:p>
          <w:p w14:paraId="111993D5">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41FC6BB1">
            <w:pPr>
              <w:spacing w:line="240" w:lineRule="exact"/>
              <w:jc w:val="center"/>
              <w:rPr>
                <w:rFonts w:ascii="Times New Roman" w:hAnsi="Times New Roman" w:eastAsia="仿宋_GB2312"/>
                <w:szCs w:val="21"/>
              </w:rPr>
            </w:pPr>
          </w:p>
          <w:p w14:paraId="234A06B0">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4A997960">
            <w:pPr>
              <w:spacing w:line="240" w:lineRule="exact"/>
              <w:jc w:val="center"/>
              <w:rPr>
                <w:rFonts w:ascii="Times New Roman" w:hAnsi="Times New Roman" w:eastAsia="仿宋_GB2312"/>
                <w:szCs w:val="21"/>
              </w:rPr>
            </w:pPr>
          </w:p>
          <w:p w14:paraId="33F48703">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45A9EE9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82CE99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35271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11DAD71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130</w:t>
            </w:r>
          </w:p>
        </w:tc>
        <w:tc>
          <w:tcPr>
            <w:tcW w:w="1230" w:type="dxa"/>
            <w:tcBorders>
              <w:top w:val="nil"/>
              <w:left w:val="nil"/>
              <w:bottom w:val="single" w:color="auto" w:sz="4" w:space="0"/>
              <w:right w:val="single" w:color="auto" w:sz="4" w:space="0"/>
            </w:tcBorders>
            <w:shd w:val="clear" w:color="auto" w:fill="auto"/>
            <w:noWrap/>
            <w:vAlign w:val="center"/>
          </w:tcPr>
          <w:p w14:paraId="55B22AF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130</w:t>
            </w:r>
          </w:p>
        </w:tc>
        <w:tc>
          <w:tcPr>
            <w:tcW w:w="1107" w:type="dxa"/>
            <w:tcBorders>
              <w:top w:val="nil"/>
              <w:left w:val="nil"/>
              <w:bottom w:val="single" w:color="auto" w:sz="4" w:space="0"/>
              <w:right w:val="single" w:color="auto" w:sz="4" w:space="0"/>
            </w:tcBorders>
            <w:shd w:val="clear" w:color="auto" w:fill="auto"/>
            <w:noWrap/>
            <w:vAlign w:val="center"/>
          </w:tcPr>
          <w:p w14:paraId="2AD76BD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130</w:t>
            </w:r>
          </w:p>
        </w:tc>
        <w:tc>
          <w:tcPr>
            <w:tcW w:w="993" w:type="dxa"/>
            <w:tcBorders>
              <w:top w:val="nil"/>
              <w:left w:val="nil"/>
              <w:bottom w:val="single" w:color="auto" w:sz="4" w:space="0"/>
              <w:right w:val="single" w:color="auto" w:sz="4" w:space="0"/>
            </w:tcBorders>
            <w:shd w:val="clear" w:color="auto" w:fill="auto"/>
            <w:noWrap/>
            <w:vAlign w:val="center"/>
          </w:tcPr>
          <w:p w14:paraId="22AA6C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136CBC1F">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34DDD7B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0052EB8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8938D9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B7DDC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58A1017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130</w:t>
            </w:r>
          </w:p>
        </w:tc>
        <w:tc>
          <w:tcPr>
            <w:tcW w:w="1230" w:type="dxa"/>
            <w:tcBorders>
              <w:top w:val="nil"/>
              <w:left w:val="nil"/>
              <w:bottom w:val="single" w:color="auto" w:sz="4" w:space="0"/>
              <w:right w:val="single" w:color="auto" w:sz="4" w:space="0"/>
            </w:tcBorders>
            <w:shd w:val="clear" w:color="auto" w:fill="auto"/>
            <w:noWrap/>
            <w:vAlign w:val="center"/>
          </w:tcPr>
          <w:p w14:paraId="6A2D845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130</w:t>
            </w:r>
          </w:p>
        </w:tc>
        <w:tc>
          <w:tcPr>
            <w:tcW w:w="1107" w:type="dxa"/>
            <w:tcBorders>
              <w:top w:val="nil"/>
              <w:left w:val="nil"/>
              <w:bottom w:val="single" w:color="auto" w:sz="4" w:space="0"/>
              <w:right w:val="single" w:color="auto" w:sz="4" w:space="0"/>
            </w:tcBorders>
            <w:shd w:val="clear" w:color="auto" w:fill="auto"/>
            <w:noWrap/>
            <w:vAlign w:val="center"/>
          </w:tcPr>
          <w:p w14:paraId="0AF716B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130</w:t>
            </w:r>
          </w:p>
        </w:tc>
        <w:tc>
          <w:tcPr>
            <w:tcW w:w="993" w:type="dxa"/>
            <w:tcBorders>
              <w:top w:val="nil"/>
              <w:left w:val="nil"/>
              <w:bottom w:val="single" w:color="auto" w:sz="4" w:space="0"/>
              <w:right w:val="single" w:color="auto" w:sz="4" w:space="0"/>
            </w:tcBorders>
            <w:shd w:val="clear" w:color="auto" w:fill="auto"/>
            <w:noWrap/>
            <w:vAlign w:val="center"/>
          </w:tcPr>
          <w:p w14:paraId="5EFB8D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5327B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07AEA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58437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B9BDA8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70C53E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F6F2C4F">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14:paraId="2244445A">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5A71F3C3">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14:paraId="613E0E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27052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834ED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A6E97F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CA0D9D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AF407C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3273CEF">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14:paraId="5FF990C6">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20425E31">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14:paraId="6FCB58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52437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841AF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B456E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5CCA6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83A4F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CD7FD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97400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1C997E43">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519F608">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84A559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深入推进改革强社、服务立社、夯基建社、以企兴社的发展思路</w:t>
            </w: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，做强为农服务平台健全基层组织服务功能。</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F0D43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深入推进改革强社、服务立社、夯基建社、以企兴社的发展思路</w:t>
            </w: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，做强为农服务平台健全基层组织服务功能。</w:t>
            </w:r>
            <w:r>
              <w:rPr>
                <w:rFonts w:ascii="Times New Roman" w:hAnsi="Times New Roman" w:eastAsia="仿宋_GB2312"/>
                <w:color w:val="000000"/>
                <w:kern w:val="0"/>
                <w:szCs w:val="21"/>
              </w:rPr>
              <w:t>　</w:t>
            </w:r>
          </w:p>
        </w:tc>
      </w:tr>
      <w:tr w14:paraId="7353E6B6">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1EF1BC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9C992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577515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6BCFC3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395531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6120A4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A7CA0C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A219D4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7B0ACB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3F046E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1074EC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A8A736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301BA6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B94DD6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ACB3E5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41E7543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81C2CB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40C3C85">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134567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9CBE5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8142C93">
            <w:pPr>
              <w:widowControl/>
              <w:jc w:val="center"/>
              <w:rPr>
                <w:rFonts w:ascii="Times New Roman" w:hAnsi="Times New Roman" w:eastAsia="仿宋_GB2312"/>
                <w:color w:val="000000"/>
                <w:kern w:val="0"/>
                <w:szCs w:val="21"/>
              </w:rPr>
            </w:pPr>
          </w:p>
          <w:p w14:paraId="49A5826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686560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B19D4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建立</w:t>
            </w:r>
            <w:r>
              <w:rPr>
                <w:rFonts w:hint="eastAsia" w:ascii="仿宋_GB2312" w:hAnsi="仿宋_GB2312" w:eastAsia="仿宋_GB2312" w:cs="仿宋_GB2312"/>
                <w:sz w:val="24"/>
                <w:szCs w:val="24"/>
                <w:lang w:val="en-US" w:eastAsia="zh-CN"/>
              </w:rPr>
              <w:t>乡村车间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6D734F4">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6E3278E">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C9089D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A72B19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1CBC4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58F3E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7B132C9">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EE489D1">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147F0F89">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416796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示范县仓储</w:t>
            </w:r>
            <w:r>
              <w:rPr>
                <w:rFonts w:hint="eastAsia" w:ascii="Times New Roman" w:hAnsi="Times New Roman" w:eastAsia="仿宋_GB2312"/>
                <w:color w:val="000000"/>
                <w:kern w:val="0"/>
                <w:szCs w:val="21"/>
                <w:lang w:val="en-US" w:eastAsia="zh-CN"/>
              </w:rPr>
              <w:t>（个）</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DC804E4">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EEAC1F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CB162B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C22464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4A89D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5558BC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456835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929305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71388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A960061">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硬件设备升级</w:t>
            </w:r>
            <w:r>
              <w:rPr>
                <w:rFonts w:hint="eastAsia" w:ascii="Times New Roman" w:hAnsi="Times New Roman" w:eastAsia="仿宋_GB2312"/>
                <w:color w:val="000000"/>
                <w:kern w:val="0"/>
                <w:szCs w:val="21"/>
                <w:lang w:val="en-US" w:eastAsia="zh-CN"/>
              </w:rPr>
              <w:t>（套）</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666EA3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E38479B">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2B8CCF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B6BCA9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6F03FC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54735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26174E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640EAC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FC693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51E4D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服务时间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4713EA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D2C9D84">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1F5CD3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E52DA3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46714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547586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D1A8D8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B48A1C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A127A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6FBD6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经费控制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4AAEAE2">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3A96C96">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25E7A6F">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CD7ED6">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FCA56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A6EE6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4EAFEEE">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504F725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7670D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30051B3">
            <w:pPr>
              <w:widowControl/>
              <w:jc w:val="left"/>
              <w:rPr>
                <w:rFonts w:ascii="Times New Roman" w:hAnsi="Times New Roman" w:eastAsia="仿宋_GB2312"/>
                <w:color w:val="000000"/>
                <w:kern w:val="0"/>
                <w:szCs w:val="21"/>
              </w:rPr>
            </w:pPr>
          </w:p>
          <w:p w14:paraId="498E2C7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60230951">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FD57F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F1A70F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C7688A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净利润复合增长率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A1DA3AB">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　20%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701B4DE">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2</w:t>
            </w:r>
            <w:r>
              <w:rPr>
                <w:rFonts w:hint="eastAsia" w:ascii="Times New Roman" w:hAnsi="Times New Roman" w:eastAsia="仿宋_GB2312"/>
                <w:color w:val="000000"/>
                <w:kern w:val="0"/>
                <w:szCs w:val="21"/>
                <w:lang w:val="en-US" w:eastAsia="zh-CN"/>
              </w:rPr>
              <w:t>5</w:t>
            </w:r>
            <w:r>
              <w:rPr>
                <w:rFonts w:hint="eastAsia" w:ascii="Times New Roman" w:hAnsi="Times New Roman" w:eastAsia="仿宋_GB2312"/>
                <w:color w:val="000000"/>
                <w:kern w:val="0"/>
                <w:szCs w:val="21"/>
                <w:lang w:eastAsia="zh-CN"/>
              </w:rPr>
              <w:t>%</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05C37E5">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E5CBFA0">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45A2C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F809F6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7CE8774">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E1402E2">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230196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DB4D7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5B9C970">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带动就业人数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63434EC">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3AA6C82">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55</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66470AE">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9569C91">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88C09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9DA2B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EA494E4">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CF53EA7">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423DC169">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0961930">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带动农户数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895BD47">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9A3076F">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635C184">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F82DAE7">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0028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000235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331C1E9">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6F2CF7D2">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F35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B7BF9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BB0F4">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农村环境整治</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1E77B">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定性</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75DA0">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较好</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3D6AC">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C347C26">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9B39B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3038F55">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72694538">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72540806">
            <w:pPr>
              <w:widowControl/>
              <w:jc w:val="left"/>
              <w:rPr>
                <w:rFonts w:ascii="Times New Roman" w:hAnsi="Times New Roman" w:eastAsia="仿宋_GB2312"/>
                <w:color w:val="000000"/>
                <w:kern w:val="0"/>
                <w:szCs w:val="21"/>
              </w:rPr>
            </w:pPr>
          </w:p>
        </w:tc>
        <w:tc>
          <w:tcPr>
            <w:tcW w:w="1261" w:type="dxa"/>
            <w:tcBorders>
              <w:left w:val="single" w:color="auto" w:sz="4" w:space="0"/>
              <w:bottom w:val="single" w:color="auto" w:sz="4" w:space="0"/>
              <w:right w:val="single" w:color="auto" w:sz="4" w:space="0"/>
            </w:tcBorders>
            <w:shd w:val="clear" w:color="auto" w:fill="auto"/>
            <w:noWrap/>
            <w:vAlign w:val="center"/>
          </w:tcPr>
          <w:p w14:paraId="5C447C8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nil"/>
              <w:left w:val="nil"/>
              <w:bottom w:val="single" w:color="auto" w:sz="4" w:space="0"/>
              <w:right w:val="single" w:color="auto" w:sz="4" w:space="0"/>
            </w:tcBorders>
            <w:shd w:val="clear" w:color="auto" w:fill="auto"/>
            <w:noWrap/>
            <w:vAlign w:val="center"/>
          </w:tcPr>
          <w:p w14:paraId="12C8EA4D">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 w:val="20"/>
                <w:szCs w:val="20"/>
                <w:lang w:eastAsia="zh-CN"/>
              </w:rPr>
              <w:t>项目建成后可持续为当地农户创收增产户数</w:t>
            </w:r>
          </w:p>
        </w:tc>
        <w:tc>
          <w:tcPr>
            <w:tcW w:w="1230" w:type="dxa"/>
            <w:tcBorders>
              <w:top w:val="nil"/>
              <w:left w:val="nil"/>
              <w:bottom w:val="single" w:color="auto" w:sz="4" w:space="0"/>
              <w:right w:val="single" w:color="auto" w:sz="4" w:space="0"/>
            </w:tcBorders>
            <w:shd w:val="clear" w:color="auto" w:fill="auto"/>
            <w:noWrap/>
            <w:vAlign w:val="center"/>
          </w:tcPr>
          <w:p w14:paraId="4778A1DB">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107" w:type="dxa"/>
            <w:tcBorders>
              <w:top w:val="nil"/>
              <w:left w:val="nil"/>
              <w:bottom w:val="single" w:color="auto" w:sz="4" w:space="0"/>
              <w:right w:val="single" w:color="auto" w:sz="4" w:space="0"/>
            </w:tcBorders>
            <w:shd w:val="clear" w:color="auto" w:fill="auto"/>
            <w:noWrap/>
            <w:vAlign w:val="center"/>
          </w:tcPr>
          <w:p w14:paraId="42577D68">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120</w:t>
            </w:r>
          </w:p>
        </w:tc>
        <w:tc>
          <w:tcPr>
            <w:tcW w:w="993" w:type="dxa"/>
            <w:tcBorders>
              <w:top w:val="nil"/>
              <w:left w:val="nil"/>
              <w:bottom w:val="single" w:color="auto" w:sz="4" w:space="0"/>
              <w:right w:val="single" w:color="auto" w:sz="4" w:space="0"/>
            </w:tcBorders>
            <w:shd w:val="clear" w:color="auto" w:fill="auto"/>
            <w:noWrap/>
            <w:vAlign w:val="center"/>
          </w:tcPr>
          <w:p w14:paraId="778383A9">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855" w:type="dxa"/>
            <w:tcBorders>
              <w:top w:val="nil"/>
              <w:left w:val="nil"/>
              <w:bottom w:val="single" w:color="auto" w:sz="4" w:space="0"/>
              <w:right w:val="single" w:color="auto" w:sz="4" w:space="0"/>
            </w:tcBorders>
            <w:shd w:val="clear" w:color="auto" w:fill="auto"/>
            <w:noWrap/>
            <w:vAlign w:val="center"/>
          </w:tcPr>
          <w:p w14:paraId="6E5E9682">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1271" w:type="dxa"/>
            <w:tcBorders>
              <w:top w:val="nil"/>
              <w:left w:val="nil"/>
              <w:bottom w:val="single" w:color="auto" w:sz="4" w:space="0"/>
              <w:right w:val="single" w:color="auto" w:sz="4" w:space="0"/>
            </w:tcBorders>
            <w:shd w:val="clear" w:color="auto" w:fill="auto"/>
            <w:noWrap/>
            <w:vAlign w:val="center"/>
          </w:tcPr>
          <w:p w14:paraId="1D4050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F20E11E">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39E2AA8D">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14:paraId="75C9DA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57B03B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572C8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14:paraId="7657D9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58AB14C7">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目标群体满意度</w:t>
            </w:r>
          </w:p>
        </w:tc>
        <w:tc>
          <w:tcPr>
            <w:tcW w:w="1230" w:type="dxa"/>
            <w:tcBorders>
              <w:top w:val="nil"/>
              <w:left w:val="nil"/>
              <w:bottom w:val="single" w:color="auto" w:sz="4" w:space="0"/>
              <w:right w:val="single" w:color="auto" w:sz="4" w:space="0"/>
            </w:tcBorders>
            <w:shd w:val="clear" w:color="auto" w:fill="auto"/>
            <w:noWrap/>
            <w:vAlign w:val="center"/>
          </w:tcPr>
          <w:p w14:paraId="3B2B4D62">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7F6887EE">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645CE602">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438EC1CD">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63F9C4F4">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r>
      <w:tr w14:paraId="5BF26CCA">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8748C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11DC81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170FC82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2A9020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66754BD3">
      <w:pPr>
        <w:spacing w:beforeLines="50"/>
      </w:pPr>
      <w:r>
        <w:rPr>
          <w:rFonts w:ascii="Times New Roman" w:hAnsi="Times New Roman" w:eastAsia="仿宋_GB2312"/>
          <w:sz w:val="24"/>
        </w:rPr>
        <w:t>填表人：</w:t>
      </w:r>
      <w:r>
        <w:rPr>
          <w:rFonts w:hint="eastAsia" w:ascii="Times New Roman" w:hAnsi="Times New Roman" w:eastAsia="仿宋_GB2312"/>
          <w:sz w:val="24"/>
          <w:lang w:val="en-US" w:eastAsia="zh-CN"/>
        </w:rPr>
        <w:t>高雅君</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lang w:val="en-US" w:eastAsia="zh-CN"/>
        </w:rPr>
        <w:tab/>
      </w:r>
      <w:r>
        <w:rPr>
          <w:rFonts w:hint="eastAsia" w:ascii="Times New Roman" w:hAnsi="Times New Roman" w:eastAsia="仿宋_GB2312"/>
          <w:sz w:val="24"/>
          <w:lang w:val="en-US" w:eastAsia="zh-CN"/>
        </w:rPr>
        <w:tab/>
      </w:r>
      <w:r>
        <w:rPr>
          <w:rFonts w:hint="eastAsia" w:ascii="Times New Roman" w:hAnsi="Times New Roman" w:eastAsia="仿宋_GB2312"/>
          <w:sz w:val="24"/>
          <w:lang w:val="en-US" w:eastAsia="zh-CN"/>
        </w:rPr>
        <w:tab/>
      </w:r>
      <w:r>
        <w:rPr>
          <w:rFonts w:hint="eastAsia" w:ascii="Times New Roman" w:hAnsi="Times New Roman" w:eastAsia="仿宋_GB2312"/>
          <w:sz w:val="24"/>
          <w:lang w:val="en-US" w:eastAsia="zh-CN"/>
        </w:rPr>
        <w:tab/>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18670084801</w:t>
      </w: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Nimbus Roman No9 L">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99925">
    <w:pPr>
      <w:pStyle w:val="8"/>
      <w:framePr w:wrap="around" w:vAnchor="text" w:hAnchor="margin" w:xAlign="outside" w:y="1"/>
      <w:rPr>
        <w:rStyle w:val="15"/>
        <w:rFonts w:ascii="Times New Roman" w:hAnsi="Times New Roman"/>
        <w:sz w:val="28"/>
        <w:szCs w:val="28"/>
      </w:rPr>
    </w:pPr>
    <w:r>
      <w:rPr>
        <w:rStyle w:val="15"/>
        <w:rFonts w:ascii="Times New Roman" w:hAnsi="Times New Roman"/>
        <w:sz w:val="28"/>
        <w:szCs w:val="28"/>
      </w:rPr>
      <w:fldChar w:fldCharType="begin"/>
    </w:r>
    <w:r>
      <w:rPr>
        <w:rStyle w:val="15"/>
        <w:rFonts w:ascii="Times New Roman" w:hAnsi="Times New Roman"/>
        <w:sz w:val="28"/>
        <w:szCs w:val="28"/>
      </w:rPr>
      <w:instrText xml:space="preserve">PAGE  </w:instrText>
    </w:r>
    <w:r>
      <w:rPr>
        <w:rStyle w:val="15"/>
        <w:rFonts w:ascii="Times New Roman" w:hAnsi="Times New Roman"/>
        <w:sz w:val="28"/>
        <w:szCs w:val="28"/>
      </w:rPr>
      <w:fldChar w:fldCharType="separate"/>
    </w:r>
    <w:r>
      <w:rPr>
        <w:rStyle w:val="15"/>
        <w:rFonts w:ascii="Times New Roman" w:hAnsi="Times New Roman"/>
        <w:sz w:val="28"/>
        <w:szCs w:val="28"/>
      </w:rPr>
      <w:t>- 15 -</w:t>
    </w:r>
    <w:r>
      <w:rPr>
        <w:rStyle w:val="15"/>
        <w:rFonts w:ascii="Times New Roman" w:hAnsi="Times New Roman"/>
        <w:sz w:val="28"/>
        <w:szCs w:val="28"/>
      </w:rPr>
      <w:fldChar w:fldCharType="end"/>
    </w:r>
  </w:p>
  <w:p w14:paraId="5B195F3C">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A93DB">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14:paraId="791EB913">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FFDFC"/>
    <w:multiLevelType w:val="singleLevel"/>
    <w:tmpl w:val="974FFDFC"/>
    <w:lvl w:ilvl="0" w:tentative="0">
      <w:start w:val="2"/>
      <w:numFmt w:val="chineseCounting"/>
      <w:suff w:val="nothing"/>
      <w:lvlText w:val="（%1）"/>
      <w:lvlJc w:val="left"/>
      <w:pPr>
        <w:ind w:left="-13"/>
      </w:pPr>
      <w:rPr>
        <w:rFonts w:hint="eastAsia"/>
      </w:rPr>
    </w:lvl>
  </w:abstractNum>
  <w:abstractNum w:abstractNumId="1">
    <w:nsid w:val="9ED27A46"/>
    <w:multiLevelType w:val="singleLevel"/>
    <w:tmpl w:val="9ED27A46"/>
    <w:lvl w:ilvl="0" w:tentative="0">
      <w:start w:val="4"/>
      <w:numFmt w:val="chineseCounting"/>
      <w:suff w:val="nothing"/>
      <w:lvlText w:val="%1、"/>
      <w:lvlJc w:val="left"/>
      <w:rPr>
        <w:rFonts w:hint="eastAsia"/>
      </w:rPr>
    </w:lvl>
  </w:abstractNum>
  <w:abstractNum w:abstractNumId="2">
    <w:nsid w:val="CD8009BA"/>
    <w:multiLevelType w:val="singleLevel"/>
    <w:tmpl w:val="CD8009BA"/>
    <w:lvl w:ilvl="0" w:tentative="0">
      <w:start w:val="1"/>
      <w:numFmt w:val="chineseCounting"/>
      <w:suff w:val="nothing"/>
      <w:lvlText w:val="%1、"/>
      <w:lvlJc w:val="left"/>
      <w:rPr>
        <w:rFonts w:hint="eastAsia"/>
      </w:rPr>
    </w:lvl>
  </w:abstractNum>
  <w:abstractNum w:abstractNumId="3">
    <w:nsid w:val="D4CE37CC"/>
    <w:multiLevelType w:val="singleLevel"/>
    <w:tmpl w:val="D4CE37CC"/>
    <w:lvl w:ilvl="0" w:tentative="0">
      <w:start w:val="2"/>
      <w:numFmt w:val="decimal"/>
      <w:suff w:val="nothing"/>
      <w:lvlText w:val="%1．"/>
      <w:lvlJc w:val="left"/>
    </w:lvl>
  </w:abstractNum>
  <w:abstractNum w:abstractNumId="4">
    <w:nsid w:val="77611431"/>
    <w:multiLevelType w:val="singleLevel"/>
    <w:tmpl w:val="77611431"/>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E5ZTViYTM1Y2FiZTgxNGIyM2IyZmU1ZWRmMTFmOTM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73AA9"/>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7C71168"/>
    <w:rsid w:val="0F262ACD"/>
    <w:rsid w:val="134542FE"/>
    <w:rsid w:val="138C102F"/>
    <w:rsid w:val="156B4355"/>
    <w:rsid w:val="15DA6FC6"/>
    <w:rsid w:val="18934E7A"/>
    <w:rsid w:val="18F77F0C"/>
    <w:rsid w:val="217D46AD"/>
    <w:rsid w:val="26B50B51"/>
    <w:rsid w:val="2CA61530"/>
    <w:rsid w:val="2E660FDE"/>
    <w:rsid w:val="38B62526"/>
    <w:rsid w:val="398B5761"/>
    <w:rsid w:val="3A9248CD"/>
    <w:rsid w:val="3A987BA2"/>
    <w:rsid w:val="3BFC0501"/>
    <w:rsid w:val="3F52287D"/>
    <w:rsid w:val="3F6D750D"/>
    <w:rsid w:val="404D3DE2"/>
    <w:rsid w:val="416B7C26"/>
    <w:rsid w:val="41847DD8"/>
    <w:rsid w:val="41C61B6B"/>
    <w:rsid w:val="41CB2EBC"/>
    <w:rsid w:val="44A75419"/>
    <w:rsid w:val="4A6F6D2D"/>
    <w:rsid w:val="4E8B0B8F"/>
    <w:rsid w:val="54564029"/>
    <w:rsid w:val="5C2F64BB"/>
    <w:rsid w:val="609A4BD3"/>
    <w:rsid w:val="62882016"/>
    <w:rsid w:val="62F62474"/>
    <w:rsid w:val="640815D9"/>
    <w:rsid w:val="65B31738"/>
    <w:rsid w:val="66B91727"/>
    <w:rsid w:val="670F2C7E"/>
    <w:rsid w:val="6961360E"/>
    <w:rsid w:val="6AF80B9B"/>
    <w:rsid w:val="6BAD2A66"/>
    <w:rsid w:val="6CDE3E9F"/>
    <w:rsid w:val="6EF74444"/>
    <w:rsid w:val="71125845"/>
    <w:rsid w:val="73C41269"/>
    <w:rsid w:val="73D9089C"/>
    <w:rsid w:val="773A3B3B"/>
    <w:rsid w:val="77A24B7F"/>
    <w:rsid w:val="793622EC"/>
    <w:rsid w:val="79A2386E"/>
    <w:rsid w:val="7F20194F"/>
    <w:rsid w:val="7F4A2182"/>
    <w:rsid w:val="7F531EB8"/>
    <w:rsid w:val="7F910F9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locked/>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line="360" w:lineRule="auto"/>
      <w:ind w:firstLine="420" w:firstLineChars="200"/>
    </w:pPr>
    <w:rPr>
      <w:rFonts w:ascii="仿宋_GB2312" w:hAnsi="Times New Roman" w:eastAsia="仿宋_GB2312"/>
      <w:sz w:val="32"/>
    </w:rPr>
  </w:style>
  <w:style w:type="paragraph" w:styleId="5">
    <w:name w:val="index 5"/>
    <w:basedOn w:val="1"/>
    <w:next w:val="1"/>
    <w:qFormat/>
    <w:uiPriority w:val="0"/>
    <w:pPr>
      <w:ind w:left="1680"/>
    </w:pPr>
  </w:style>
  <w:style w:type="paragraph" w:styleId="6">
    <w:name w:val="annotation text"/>
    <w:basedOn w:val="1"/>
    <w:link w:val="17"/>
    <w:qFormat/>
    <w:uiPriority w:val="99"/>
    <w:pPr>
      <w:jc w:val="left"/>
    </w:pPr>
    <w:rPr>
      <w:rFonts w:ascii="Times New Roman" w:hAnsi="Times New Roman"/>
      <w:szCs w:val="24"/>
    </w:rPr>
  </w:style>
  <w:style w:type="paragraph" w:styleId="7">
    <w:name w:val="Body Text"/>
    <w:basedOn w:val="1"/>
    <w:next w:val="8"/>
    <w:qFormat/>
    <w:uiPriority w:val="0"/>
    <w:rPr>
      <w:sz w:val="32"/>
    </w:rPr>
  </w:style>
  <w:style w:type="paragraph" w:styleId="8">
    <w:name w:val="footer"/>
    <w:basedOn w:val="1"/>
    <w:next w:val="5"/>
    <w:link w:val="19"/>
    <w:qFormat/>
    <w:uiPriority w:val="99"/>
    <w:pPr>
      <w:tabs>
        <w:tab w:val="center" w:pos="4153"/>
        <w:tab w:val="right" w:pos="8306"/>
      </w:tabs>
      <w:snapToGrid w:val="0"/>
      <w:jc w:val="left"/>
    </w:pPr>
    <w:rPr>
      <w:sz w:val="18"/>
      <w:szCs w:val="18"/>
    </w:rPr>
  </w:style>
  <w:style w:type="paragraph" w:styleId="9">
    <w:name w:val="Plain Text"/>
    <w:basedOn w:val="1"/>
    <w:next w:val="1"/>
    <w:qFormat/>
    <w:uiPriority w:val="0"/>
    <w:pPr>
      <w:jc w:val="left"/>
      <w:outlineLvl w:val="2"/>
    </w:pPr>
    <w:rPr>
      <w:rFonts w:ascii="宋体" w:hAnsi="Courier New" w:cs="Courier New"/>
      <w:b/>
      <w:kern w:val="0"/>
      <w:szCs w:val="21"/>
    </w:rPr>
  </w:style>
  <w:style w:type="paragraph" w:styleId="10">
    <w:name w:val="Balloon Text"/>
    <w:basedOn w:val="1"/>
    <w:link w:val="18"/>
    <w:qFormat/>
    <w:uiPriority w:val="99"/>
    <w:rPr>
      <w:rFonts w:ascii="Times New Roman" w:hAnsi="Times New Roman"/>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99"/>
    <w:rPr>
      <w:rFonts w:cs="Times New Roman"/>
    </w:rPr>
  </w:style>
  <w:style w:type="character" w:styleId="16">
    <w:name w:val="annotation reference"/>
    <w:basedOn w:val="14"/>
    <w:qFormat/>
    <w:uiPriority w:val="99"/>
    <w:rPr>
      <w:rFonts w:cs="Times New Roman"/>
      <w:sz w:val="21"/>
      <w:szCs w:val="21"/>
    </w:rPr>
  </w:style>
  <w:style w:type="character" w:customStyle="1" w:styleId="17">
    <w:name w:val="批注文字 Char"/>
    <w:basedOn w:val="14"/>
    <w:link w:val="6"/>
    <w:qFormat/>
    <w:locked/>
    <w:uiPriority w:val="99"/>
    <w:rPr>
      <w:rFonts w:ascii="Times New Roman" w:hAnsi="Times New Roman" w:eastAsia="宋体" w:cs="Times New Roman"/>
      <w:sz w:val="24"/>
      <w:szCs w:val="24"/>
    </w:rPr>
  </w:style>
  <w:style w:type="character" w:customStyle="1" w:styleId="18">
    <w:name w:val="批注框文本 Char"/>
    <w:basedOn w:val="14"/>
    <w:link w:val="10"/>
    <w:qFormat/>
    <w:locked/>
    <w:uiPriority w:val="99"/>
    <w:rPr>
      <w:rFonts w:ascii="Times New Roman" w:hAnsi="Times New Roman" w:eastAsia="宋体" w:cs="Times New Roman"/>
      <w:sz w:val="18"/>
      <w:szCs w:val="18"/>
    </w:rPr>
  </w:style>
  <w:style w:type="character" w:customStyle="1" w:styleId="19">
    <w:name w:val="页脚 Char"/>
    <w:basedOn w:val="14"/>
    <w:link w:val="8"/>
    <w:qFormat/>
    <w:locked/>
    <w:uiPriority w:val="99"/>
    <w:rPr>
      <w:rFonts w:cs="Times New Roman"/>
      <w:sz w:val="18"/>
      <w:szCs w:val="18"/>
    </w:rPr>
  </w:style>
  <w:style w:type="character" w:customStyle="1" w:styleId="20">
    <w:name w:val="页眉 Char"/>
    <w:basedOn w:val="14"/>
    <w:link w:val="11"/>
    <w:qFormat/>
    <w:locked/>
    <w:uiPriority w:val="99"/>
    <w:rPr>
      <w:rFonts w:cs="Times New Roman"/>
      <w:sz w:val="18"/>
      <w:szCs w:val="18"/>
    </w:rPr>
  </w:style>
  <w:style w:type="paragraph" w:customStyle="1" w:styleId="21">
    <w:name w:val="列出段落1"/>
    <w:basedOn w:val="1"/>
    <w:qFormat/>
    <w:uiPriority w:val="99"/>
    <w:pPr>
      <w:ind w:firstLine="420" w:firstLineChars="200"/>
    </w:pPr>
    <w:rPr>
      <w:rFonts w:ascii="Times New Roman" w:hAnsi="Times New Roman"/>
      <w:szCs w:val="24"/>
    </w:rPr>
  </w:style>
  <w:style w:type="paragraph" w:styleId="22">
    <w:name w:val="List Paragraph"/>
    <w:basedOn w:val="1"/>
    <w:qFormat/>
    <w:uiPriority w:val="99"/>
    <w:pPr>
      <w:ind w:firstLine="420" w:firstLineChars="200"/>
    </w:pPr>
    <w:rPr>
      <w:rFonts w:ascii="Times New Roman" w:hAnsi="Times New Roman"/>
      <w:szCs w:val="24"/>
    </w:rPr>
  </w:style>
  <w:style w:type="paragraph" w:customStyle="1" w:styleId="23">
    <w:name w:val="修订1"/>
    <w:hidden/>
    <w:qFormat/>
    <w:uiPriority w:val="99"/>
    <w:rPr>
      <w:rFonts w:ascii="Times New Roman" w:hAnsi="Times New Roman" w:eastAsia="宋体" w:cs="Times New Roman"/>
      <w:kern w:val="2"/>
      <w:sz w:val="21"/>
      <w:szCs w:val="24"/>
      <w:lang w:val="en-US" w:eastAsia="zh-CN" w:bidi="ar-SA"/>
    </w:rPr>
  </w:style>
  <w:style w:type="character" w:customStyle="1" w:styleId="24">
    <w:name w:val="font21"/>
    <w:basedOn w:val="14"/>
    <w:qFormat/>
    <w:uiPriority w:val="0"/>
    <w:rPr>
      <w:rFonts w:hint="eastAsia" w:ascii="仿宋_GB2312" w:eastAsia="仿宋_GB2312" w:cs="仿宋_GB2312"/>
      <w:color w:val="000000"/>
      <w:sz w:val="22"/>
      <w:szCs w:val="22"/>
      <w:u w:val="none"/>
    </w:rPr>
  </w:style>
  <w:style w:type="character" w:customStyle="1" w:styleId="25">
    <w:name w:val="NormalCharacter"/>
    <w:link w:val="26"/>
    <w:semiHidden/>
    <w:qFormat/>
    <w:uiPriority w:val="0"/>
    <w:rPr>
      <w:rFonts w:ascii="Calibri" w:hAnsi="Calibri" w:eastAsia="宋体"/>
      <w:kern w:val="2"/>
      <w:sz w:val="21"/>
      <w:szCs w:val="24"/>
      <w:lang w:val="en-US" w:eastAsia="zh-CN" w:bidi="ar-SA"/>
    </w:rPr>
  </w:style>
  <w:style w:type="paragraph" w:customStyle="1" w:styleId="26">
    <w:name w:val="UserStyle_0"/>
    <w:basedOn w:val="1"/>
    <w:link w:val="25"/>
    <w:qFormat/>
    <w:uiPriority w:val="0"/>
    <w:pPr>
      <w:jc w:val="both"/>
      <w:textAlignment w:val="baseline"/>
    </w:pPr>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6199</Words>
  <Characters>6830</Characters>
  <Lines>36</Lines>
  <Paragraphs>10</Paragraphs>
  <TotalTime>95</TotalTime>
  <ScaleCrop>false</ScaleCrop>
  <LinksUpToDate>false</LinksUpToDate>
  <CharactersWithSpaces>7147</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邓婷</cp:lastModifiedBy>
  <cp:lastPrinted>2023-04-10T03:16:00Z</cp:lastPrinted>
  <dcterms:modified xsi:type="dcterms:W3CDTF">2024-11-06T02:00:33Z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05A3344A75BF4096A4DCE5DEC370004C</vt:lpwstr>
  </property>
</Properties>
</file>