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C8652">
      <w:pPr>
        <w:spacing w:afterLines="100"/>
        <w:rPr>
          <w:rFonts w:ascii="Times New Roman" w:hAnsi="Times New Roman" w:eastAsia="仿宋_GB2312"/>
          <w:kern w:val="0"/>
          <w:sz w:val="32"/>
          <w:szCs w:val="32"/>
        </w:rPr>
      </w:pPr>
    </w:p>
    <w:p w14:paraId="106E4662">
      <w:pPr>
        <w:spacing w:afterLines="100"/>
        <w:rPr>
          <w:rFonts w:ascii="Times New Roman" w:hAnsi="Times New Roman" w:eastAsia="仿宋_GB2312"/>
          <w:kern w:val="0"/>
          <w:sz w:val="32"/>
          <w:szCs w:val="32"/>
        </w:rPr>
      </w:pPr>
    </w:p>
    <w:p w14:paraId="1BFF5EED">
      <w:pPr>
        <w:ind w:firstLine="960"/>
        <w:rPr>
          <w:rFonts w:ascii="Times New Roman" w:hAnsi="Times New Roman" w:eastAsia="方正小标宋简体"/>
          <w:sz w:val="48"/>
          <w:szCs w:val="48"/>
        </w:rPr>
      </w:pPr>
    </w:p>
    <w:p w14:paraId="47308771">
      <w:pPr>
        <w:ind w:firstLine="960"/>
        <w:rPr>
          <w:rFonts w:ascii="Times New Roman" w:hAnsi="Times New Roman" w:eastAsia="方正小标宋简体"/>
          <w:sz w:val="48"/>
          <w:szCs w:val="48"/>
        </w:rPr>
      </w:pPr>
    </w:p>
    <w:p w14:paraId="307A5155">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6FBFF932">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6DC6284B">
      <w:pPr>
        <w:jc w:val="center"/>
        <w:rPr>
          <w:rFonts w:ascii="Times New Roman" w:hAnsi="Times New Roman" w:eastAsia="黑体"/>
          <w:sz w:val="32"/>
          <w:szCs w:val="32"/>
        </w:rPr>
      </w:pPr>
    </w:p>
    <w:p w14:paraId="6A2F14C2">
      <w:pPr>
        <w:jc w:val="center"/>
        <w:rPr>
          <w:rFonts w:ascii="Times New Roman" w:hAnsi="Times New Roman" w:eastAsia="黑体"/>
          <w:sz w:val="32"/>
          <w:szCs w:val="32"/>
        </w:rPr>
      </w:pPr>
    </w:p>
    <w:p w14:paraId="606B19D8">
      <w:pPr>
        <w:jc w:val="center"/>
        <w:rPr>
          <w:rFonts w:ascii="Times New Roman" w:hAnsi="Times New Roman" w:eastAsia="黑体"/>
          <w:sz w:val="32"/>
          <w:szCs w:val="32"/>
        </w:rPr>
      </w:pPr>
    </w:p>
    <w:p w14:paraId="260C53CA">
      <w:pPr>
        <w:jc w:val="center"/>
        <w:rPr>
          <w:rFonts w:ascii="Times New Roman" w:hAnsi="Times New Roman" w:eastAsia="黑体"/>
          <w:sz w:val="32"/>
          <w:szCs w:val="32"/>
        </w:rPr>
      </w:pPr>
    </w:p>
    <w:p w14:paraId="2D253C9D">
      <w:pPr>
        <w:rPr>
          <w:rFonts w:ascii="Times New Roman" w:hAnsi="Times New Roman" w:eastAsia="黑体"/>
          <w:sz w:val="32"/>
          <w:szCs w:val="32"/>
        </w:rPr>
      </w:pPr>
    </w:p>
    <w:p w14:paraId="471C8435">
      <w:pPr>
        <w:ind w:firstLine="720"/>
        <w:jc w:val="center"/>
        <w:rPr>
          <w:rFonts w:ascii="Times New Roman" w:hAnsi="Times New Roman"/>
          <w:sz w:val="36"/>
          <w:szCs w:val="36"/>
        </w:rPr>
      </w:pPr>
    </w:p>
    <w:p w14:paraId="04569C73">
      <w:pPr>
        <w:ind w:firstLine="720"/>
        <w:jc w:val="center"/>
        <w:rPr>
          <w:rFonts w:ascii="Times New Roman" w:hAnsi="Times New Roman"/>
          <w:sz w:val="36"/>
          <w:szCs w:val="36"/>
        </w:rPr>
      </w:pPr>
    </w:p>
    <w:p w14:paraId="57195B41">
      <w:pPr>
        <w:jc w:val="both"/>
        <w:rPr>
          <w:rFonts w:ascii="Times New Roman" w:hAnsi="Times New Roman"/>
          <w:sz w:val="36"/>
          <w:szCs w:val="36"/>
        </w:rPr>
      </w:pPr>
    </w:p>
    <w:p w14:paraId="299C1BB1">
      <w:pPr>
        <w:jc w:val="center"/>
        <w:rPr>
          <w:rFonts w:hint="eastAsia"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：衡阳市公路建设养护中心石鼓分中心</w:t>
      </w:r>
    </w:p>
    <w:p w14:paraId="739D3756">
      <w:pPr>
        <w:spacing w:line="600" w:lineRule="exact"/>
        <w:ind w:firstLine="880"/>
        <w:jc w:val="center"/>
        <w:rPr>
          <w:rFonts w:ascii="Times New Roman" w:hAnsi="Times New Roman" w:eastAsia="方正小标宋简体"/>
          <w:sz w:val="44"/>
          <w:szCs w:val="44"/>
        </w:rPr>
      </w:pPr>
    </w:p>
    <w:p w14:paraId="24523C6A">
      <w:pPr>
        <w:spacing w:line="600" w:lineRule="exact"/>
        <w:ind w:firstLine="880"/>
        <w:jc w:val="center"/>
        <w:rPr>
          <w:rFonts w:ascii="Times New Roman" w:hAnsi="Times New Roman" w:eastAsia="方正小标宋简体"/>
          <w:sz w:val="44"/>
          <w:szCs w:val="44"/>
        </w:rPr>
      </w:pPr>
    </w:p>
    <w:p w14:paraId="70C721C2">
      <w:pPr>
        <w:spacing w:line="600" w:lineRule="exact"/>
        <w:ind w:firstLine="880"/>
        <w:jc w:val="center"/>
        <w:rPr>
          <w:rFonts w:ascii="Times New Roman" w:hAnsi="Times New Roman" w:eastAsia="方正小标宋简体"/>
          <w:sz w:val="44"/>
          <w:szCs w:val="44"/>
        </w:rPr>
      </w:pPr>
    </w:p>
    <w:p w14:paraId="7197C51B">
      <w:pPr>
        <w:spacing w:line="600" w:lineRule="exact"/>
        <w:ind w:firstLine="880"/>
        <w:jc w:val="center"/>
        <w:rPr>
          <w:rFonts w:ascii="Times New Roman" w:hAnsi="Times New Roman" w:eastAsia="方正小标宋简体"/>
          <w:sz w:val="44"/>
          <w:szCs w:val="44"/>
        </w:rPr>
      </w:pPr>
    </w:p>
    <w:p w14:paraId="12107A40">
      <w:pPr>
        <w:spacing w:line="600" w:lineRule="exact"/>
        <w:ind w:firstLine="880"/>
        <w:jc w:val="center"/>
        <w:rPr>
          <w:rFonts w:ascii="Times New Roman" w:hAnsi="Times New Roman" w:eastAsia="方正小标宋简体"/>
          <w:sz w:val="44"/>
          <w:szCs w:val="44"/>
        </w:rPr>
      </w:pPr>
    </w:p>
    <w:p w14:paraId="1572FF47">
      <w:pPr>
        <w:spacing w:line="600" w:lineRule="exact"/>
        <w:ind w:firstLine="880"/>
        <w:jc w:val="center"/>
        <w:rPr>
          <w:rFonts w:ascii="Times New Roman" w:hAnsi="Times New Roman" w:eastAsia="方正小标宋简体"/>
          <w:sz w:val="44"/>
          <w:szCs w:val="44"/>
        </w:rPr>
      </w:pPr>
    </w:p>
    <w:p w14:paraId="54237ADB">
      <w:pPr>
        <w:spacing w:line="600" w:lineRule="exact"/>
        <w:ind w:firstLine="880"/>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46C016E9">
      <w:pPr>
        <w:rPr>
          <w:rFonts w:ascii="Times New Roman" w:hAnsi="Times New Roman" w:eastAsia="方正小标宋_GBK"/>
          <w:sz w:val="32"/>
          <w:szCs w:val="32"/>
        </w:rPr>
      </w:pPr>
    </w:p>
    <w:p w14:paraId="5F217217">
      <w:pPr>
        <w:pStyle w:val="4"/>
        <w:widowControl/>
        <w:numPr>
          <w:ilvl w:val="0"/>
          <w:numId w:val="1"/>
        </w:numPr>
        <w:ind w:firstLine="640"/>
        <w:rPr>
          <w:rFonts w:eastAsia="黑体"/>
          <w:sz w:val="32"/>
          <w:szCs w:val="32"/>
        </w:rPr>
      </w:pPr>
      <w:r>
        <w:rPr>
          <w:rFonts w:eastAsia="黑体"/>
          <w:sz w:val="32"/>
          <w:szCs w:val="32"/>
        </w:rPr>
        <w:t>部门、单位基本情况</w:t>
      </w:r>
    </w:p>
    <w:p w14:paraId="5905F02F">
      <w:pPr>
        <w:pStyle w:val="4"/>
        <w:widowControl/>
        <w:ind w:firstLine="640"/>
        <w:rPr>
          <w:rFonts w:ascii="Calibri" w:hAnsi="Calibri" w:eastAsia="仿宋"/>
          <w:sz w:val="32"/>
          <w:szCs w:val="32"/>
        </w:rPr>
      </w:pPr>
      <w:r>
        <w:rPr>
          <w:rFonts w:hint="eastAsia" w:ascii="Calibri" w:hAnsi="Calibri" w:eastAsia="仿宋"/>
          <w:sz w:val="32"/>
          <w:szCs w:val="32"/>
        </w:rPr>
        <w:t>2023年度我中心设11个内设机构，实有编制39名，现有在职职工34名，退休职工28名。</w:t>
      </w:r>
    </w:p>
    <w:p w14:paraId="7AE58265">
      <w:pPr>
        <w:pStyle w:val="4"/>
        <w:widowControl/>
        <w:ind w:firstLine="640"/>
        <w:rPr>
          <w:rFonts w:ascii="Calibri" w:hAnsi="Calibri" w:eastAsia="仿宋"/>
          <w:sz w:val="32"/>
          <w:szCs w:val="32"/>
        </w:rPr>
      </w:pPr>
      <w:r>
        <w:rPr>
          <w:rFonts w:hint="eastAsia" w:ascii="Calibri" w:hAnsi="Calibri" w:eastAsia="仿宋"/>
          <w:sz w:val="32"/>
          <w:szCs w:val="32"/>
        </w:rPr>
        <w:t>主要职能：</w:t>
      </w:r>
    </w:p>
    <w:p w14:paraId="2996444C">
      <w:pPr>
        <w:pStyle w:val="4"/>
        <w:widowControl/>
        <w:ind w:firstLine="640"/>
        <w:rPr>
          <w:rFonts w:ascii="Calibri" w:hAnsi="Calibri" w:eastAsia="仿宋"/>
          <w:sz w:val="32"/>
          <w:szCs w:val="32"/>
        </w:rPr>
      </w:pPr>
      <w:r>
        <w:rPr>
          <w:rFonts w:hint="eastAsia" w:ascii="Calibri" w:hAnsi="Calibri" w:eastAsia="仿宋"/>
          <w:sz w:val="32"/>
          <w:szCs w:val="32"/>
        </w:rPr>
        <w:t>1.贯彻执行国家和省、市关于公路建设、养护、管理工作的法律、规章和方针政策，承担所在行政区域内国省干线公路和农村公路、桥梁的建设、养护和管理职责。</w:t>
      </w:r>
    </w:p>
    <w:p w14:paraId="19613EB7">
      <w:pPr>
        <w:pStyle w:val="4"/>
        <w:widowControl/>
        <w:ind w:firstLine="640"/>
        <w:rPr>
          <w:rFonts w:ascii="Calibri" w:hAnsi="Calibri" w:eastAsia="仿宋"/>
          <w:sz w:val="32"/>
          <w:szCs w:val="32"/>
        </w:rPr>
      </w:pPr>
      <w:r>
        <w:rPr>
          <w:rFonts w:hint="eastAsia" w:ascii="Calibri" w:hAnsi="Calibri" w:eastAsia="仿宋"/>
          <w:sz w:val="32"/>
          <w:szCs w:val="32"/>
        </w:rPr>
        <w:t>2.负责编制并组织实施所在行政区域内管养公路的发展规划和养护计划。</w:t>
      </w:r>
    </w:p>
    <w:p w14:paraId="1D096286">
      <w:pPr>
        <w:pStyle w:val="4"/>
        <w:widowControl/>
        <w:ind w:firstLine="640"/>
        <w:rPr>
          <w:rFonts w:ascii="Calibri" w:hAnsi="Calibri" w:eastAsia="仿宋"/>
          <w:sz w:val="32"/>
          <w:szCs w:val="32"/>
        </w:rPr>
      </w:pPr>
      <w:r>
        <w:rPr>
          <w:rFonts w:hint="eastAsia" w:ascii="Calibri" w:hAnsi="Calibri" w:eastAsia="仿宋"/>
          <w:sz w:val="32"/>
          <w:szCs w:val="32"/>
        </w:rPr>
        <w:t>3.负责所管养公路及附属设施的建设、日常养护、改造升级；负责所管养公路的绿化；负责所管养公路大中修工程、危桥改造、公路安防工程、公路水毁抢修、灾害防治和灾后重建等工作。</w:t>
      </w:r>
    </w:p>
    <w:p w14:paraId="69637CEB">
      <w:pPr>
        <w:pStyle w:val="4"/>
        <w:widowControl/>
        <w:ind w:firstLine="640"/>
        <w:rPr>
          <w:rFonts w:ascii="Calibri" w:hAnsi="Calibri" w:eastAsia="仿宋"/>
          <w:sz w:val="32"/>
          <w:szCs w:val="32"/>
        </w:rPr>
      </w:pPr>
      <w:r>
        <w:rPr>
          <w:rFonts w:hint="eastAsia" w:ascii="Calibri" w:hAnsi="Calibri" w:eastAsia="仿宋"/>
          <w:sz w:val="32"/>
          <w:szCs w:val="32"/>
        </w:rPr>
        <w:t>4.协助所管养公路、桥梁的路政管理，参与、协助公路沿线户外广告设置管理；协助查处侵占公路用地、破坏公路设施等违法、违规、违章行为，依法维护公路产权。</w:t>
      </w:r>
    </w:p>
    <w:p w14:paraId="0E70F599">
      <w:pPr>
        <w:pStyle w:val="4"/>
        <w:widowControl/>
        <w:ind w:firstLine="640"/>
        <w:rPr>
          <w:rFonts w:ascii="Calibri" w:hAnsi="Calibri" w:eastAsia="仿宋"/>
          <w:sz w:val="32"/>
          <w:szCs w:val="32"/>
        </w:rPr>
      </w:pPr>
      <w:r>
        <w:rPr>
          <w:rFonts w:hint="eastAsia" w:ascii="Calibri" w:hAnsi="Calibri" w:eastAsia="仿宋"/>
          <w:sz w:val="32"/>
          <w:szCs w:val="32"/>
        </w:rPr>
        <w:t>5.负责公路建设、养护新技术、新工艺、新材料、新设备的开发、推广和应用工作。</w:t>
      </w:r>
    </w:p>
    <w:p w14:paraId="427E7247">
      <w:pPr>
        <w:pStyle w:val="4"/>
        <w:widowControl/>
        <w:ind w:firstLine="640"/>
        <w:rPr>
          <w:rFonts w:ascii="Calibri" w:hAnsi="Calibri" w:eastAsia="仿宋"/>
          <w:sz w:val="32"/>
          <w:szCs w:val="32"/>
        </w:rPr>
      </w:pPr>
      <w:r>
        <w:rPr>
          <w:rFonts w:hint="eastAsia" w:ascii="Calibri" w:hAnsi="Calibri" w:eastAsia="仿宋"/>
          <w:sz w:val="32"/>
          <w:szCs w:val="32"/>
        </w:rPr>
        <w:t>6.负责所管养公路、桥梁的交通战备工作。</w:t>
      </w:r>
    </w:p>
    <w:p w14:paraId="059B4209">
      <w:pPr>
        <w:pStyle w:val="4"/>
        <w:widowControl/>
        <w:ind w:firstLine="640"/>
        <w:rPr>
          <w:rFonts w:ascii="Calibri" w:hAnsi="Calibri" w:eastAsia="仿宋"/>
          <w:sz w:val="32"/>
          <w:szCs w:val="32"/>
        </w:rPr>
      </w:pPr>
      <w:r>
        <w:rPr>
          <w:rFonts w:hint="eastAsia" w:ascii="Calibri" w:hAnsi="Calibri" w:eastAsia="仿宋"/>
          <w:sz w:val="32"/>
          <w:szCs w:val="32"/>
        </w:rPr>
        <w:t>7.负责本单位干部职工人事、机构编制、劳动工资、教育培训、退休人员管理等工作；负责本单位党群和纪检监察工作；负责本单位精神文明建设和职工队伍建设。</w:t>
      </w:r>
    </w:p>
    <w:p w14:paraId="199C269A">
      <w:pPr>
        <w:pStyle w:val="4"/>
        <w:widowControl/>
        <w:ind w:firstLine="640"/>
        <w:rPr>
          <w:rFonts w:ascii="Calibri" w:hAnsi="Calibri" w:eastAsia="仿宋"/>
          <w:sz w:val="32"/>
          <w:szCs w:val="32"/>
        </w:rPr>
      </w:pPr>
      <w:r>
        <w:rPr>
          <w:rFonts w:hint="eastAsia" w:ascii="Calibri" w:hAnsi="Calibri" w:eastAsia="仿宋"/>
          <w:sz w:val="32"/>
          <w:szCs w:val="32"/>
        </w:rPr>
        <w:t>8.承担衡阳市公路建设养护中心和当地党委、政府交办的其它工作任务。</w:t>
      </w:r>
    </w:p>
    <w:p w14:paraId="4DB3425D">
      <w:pPr>
        <w:pStyle w:val="4"/>
        <w:widowControl/>
        <w:ind w:firstLine="640"/>
        <w:rPr>
          <w:rFonts w:eastAsia="黑体"/>
          <w:sz w:val="32"/>
          <w:szCs w:val="32"/>
        </w:rPr>
      </w:pPr>
      <w:r>
        <w:rPr>
          <w:rFonts w:eastAsia="黑体"/>
          <w:sz w:val="32"/>
          <w:szCs w:val="32"/>
        </w:rPr>
        <w:t>二、一般公共预算支出情况</w:t>
      </w:r>
    </w:p>
    <w:p w14:paraId="4EA6B920">
      <w:pPr>
        <w:pStyle w:val="4"/>
        <w:widowControl/>
        <w:ind w:firstLine="643"/>
        <w:rPr>
          <w:rFonts w:eastAsia="楷体"/>
          <w:b/>
          <w:sz w:val="32"/>
          <w:szCs w:val="32"/>
        </w:rPr>
      </w:pPr>
      <w:r>
        <w:rPr>
          <w:rFonts w:eastAsia="楷体"/>
          <w:b/>
          <w:sz w:val="32"/>
          <w:szCs w:val="32"/>
        </w:rPr>
        <w:t>（一）基本支出情况</w:t>
      </w:r>
    </w:p>
    <w:p w14:paraId="43CA15BE">
      <w:pPr>
        <w:pStyle w:val="4"/>
        <w:widowControl/>
        <w:ind w:firstLine="640"/>
        <w:rPr>
          <w:rFonts w:ascii="Calibri" w:hAnsi="Calibri" w:eastAsia="仿宋"/>
          <w:sz w:val="32"/>
          <w:szCs w:val="32"/>
        </w:rPr>
      </w:pPr>
      <w:r>
        <w:rPr>
          <w:rFonts w:hint="eastAsia" w:ascii="Calibri" w:hAnsi="Calibri" w:eastAsia="仿宋"/>
          <w:sz w:val="32"/>
          <w:szCs w:val="32"/>
        </w:rPr>
        <w:t>基本支出：工资福利支出585.77万元；商品和服务支出 79.78万元；</w:t>
      </w:r>
      <w:r>
        <w:rPr>
          <w:rFonts w:ascii="Calibri" w:hAnsi="Calibri" w:eastAsia="仿宋"/>
          <w:sz w:val="32"/>
          <w:szCs w:val="32"/>
        </w:rPr>
        <w:t>对个人和家庭的补助支出</w:t>
      </w:r>
      <w:r>
        <w:rPr>
          <w:rFonts w:hint="eastAsia" w:ascii="Calibri" w:hAnsi="Calibri" w:eastAsia="仿宋"/>
          <w:sz w:val="32"/>
          <w:szCs w:val="32"/>
        </w:rPr>
        <w:t>99.83万元；</w:t>
      </w:r>
      <w:r>
        <w:rPr>
          <w:rFonts w:ascii="Calibri" w:hAnsi="Calibri" w:eastAsia="仿宋"/>
          <w:sz w:val="32"/>
          <w:szCs w:val="32"/>
        </w:rPr>
        <w:t> </w:t>
      </w:r>
      <w:r>
        <w:rPr>
          <w:rFonts w:hint="eastAsia" w:ascii="Calibri" w:hAnsi="Calibri" w:eastAsia="仿宋"/>
          <w:sz w:val="32"/>
          <w:szCs w:val="32"/>
        </w:rPr>
        <w:t>资本性支出0.71万元，为办公设备购置0.71万元，合计766.09万元。</w:t>
      </w:r>
    </w:p>
    <w:p w14:paraId="5B098EBB">
      <w:pPr>
        <w:pStyle w:val="4"/>
        <w:widowControl/>
        <w:ind w:firstLine="643"/>
        <w:rPr>
          <w:rFonts w:eastAsia="楷体"/>
          <w:b/>
          <w:sz w:val="32"/>
          <w:szCs w:val="32"/>
        </w:rPr>
      </w:pPr>
      <w:r>
        <w:rPr>
          <w:rFonts w:eastAsia="楷体"/>
          <w:b/>
          <w:sz w:val="32"/>
          <w:szCs w:val="32"/>
        </w:rPr>
        <w:t>（二）项目支出情况</w:t>
      </w:r>
    </w:p>
    <w:p w14:paraId="57FDD52F">
      <w:pPr>
        <w:pStyle w:val="4"/>
        <w:widowControl/>
        <w:ind w:firstLine="640"/>
        <w:rPr>
          <w:rFonts w:ascii="Calibri" w:hAnsi="Calibri" w:eastAsia="仿宋"/>
          <w:sz w:val="32"/>
          <w:szCs w:val="32"/>
        </w:rPr>
      </w:pPr>
      <w:r>
        <w:rPr>
          <w:rFonts w:hint="eastAsia" w:ascii="Calibri" w:hAnsi="Calibri" w:eastAsia="仿宋"/>
          <w:sz w:val="32"/>
          <w:szCs w:val="32"/>
        </w:rPr>
        <w:t>项目支出：农村公路养护工程291.88万元，农村公路日常养护176.29万元，安防工程10.12万元；国省干线公路日常养护40.06万元，合计518.35万元。</w:t>
      </w:r>
    </w:p>
    <w:p w14:paraId="04F4BD3C">
      <w:pPr>
        <w:pStyle w:val="4"/>
        <w:widowControl/>
        <w:ind w:firstLine="640"/>
        <w:rPr>
          <w:rFonts w:ascii="Calibri" w:hAnsi="Calibri" w:eastAsia="仿宋"/>
          <w:sz w:val="32"/>
          <w:szCs w:val="32"/>
        </w:rPr>
      </w:pPr>
      <w:r>
        <w:rPr>
          <w:rFonts w:hint="eastAsia" w:ascii="Calibri" w:hAnsi="Calibri" w:eastAsia="仿宋"/>
          <w:sz w:val="32"/>
          <w:szCs w:val="32"/>
        </w:rPr>
        <w:t>年末全区干线公路优良率达90%以上，农村公路优良率达82%以上。</w:t>
      </w:r>
    </w:p>
    <w:p w14:paraId="442013E6">
      <w:pPr>
        <w:pStyle w:val="4"/>
        <w:widowControl/>
        <w:ind w:firstLine="640"/>
        <w:rPr>
          <w:rFonts w:ascii="Calibri" w:hAnsi="Calibri" w:eastAsia="仿宋"/>
          <w:sz w:val="32"/>
          <w:szCs w:val="32"/>
        </w:rPr>
      </w:pPr>
      <w:r>
        <w:rPr>
          <w:rFonts w:hint="eastAsia" w:ascii="Calibri" w:hAnsi="Calibri" w:eastAsia="仿宋"/>
          <w:sz w:val="32"/>
          <w:szCs w:val="32"/>
        </w:rPr>
        <w:t>全面完成年度大中修及预防性养护任务，工程质量合格率达100%</w:t>
      </w:r>
    </w:p>
    <w:p w14:paraId="74F74287">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、部门整体支出绩效情况</w:t>
      </w:r>
    </w:p>
    <w:p w14:paraId="198E7392">
      <w:pPr>
        <w:pStyle w:val="4"/>
        <w:widowControl/>
        <w:ind w:firstLine="640"/>
        <w:rPr>
          <w:rFonts w:ascii="Calibri" w:hAnsi="Calibri" w:eastAsia="仿宋"/>
          <w:sz w:val="32"/>
          <w:szCs w:val="32"/>
        </w:rPr>
      </w:pPr>
      <w:r>
        <w:rPr>
          <w:rFonts w:hint="eastAsia" w:ascii="Calibri" w:hAnsi="Calibri" w:eastAsia="仿宋"/>
          <w:sz w:val="32"/>
          <w:szCs w:val="32"/>
        </w:rPr>
        <w:t>2023年，在市公路建设养护中心、区委区政府的正确领导下，认真贯彻落实全市公路工作会议精神和区委经济工作会议精神，认真履职，求真务实，开拓创新，圆满地完成了年初制定的各项目标任务。现将2023年度整体支出状况的概述和分析如下：</w:t>
      </w:r>
    </w:p>
    <w:p w14:paraId="6F670A0F">
      <w:pPr>
        <w:pStyle w:val="4"/>
        <w:widowControl/>
        <w:ind w:firstLine="640"/>
        <w:rPr>
          <w:rFonts w:ascii="Calibri" w:hAnsi="Calibri" w:eastAsia="仿宋"/>
          <w:sz w:val="32"/>
          <w:szCs w:val="32"/>
        </w:rPr>
      </w:pPr>
      <w:r>
        <w:rPr>
          <w:rFonts w:hint="eastAsia" w:ascii="Calibri" w:hAnsi="Calibri" w:eastAsia="仿宋"/>
          <w:sz w:val="32"/>
          <w:szCs w:val="32"/>
        </w:rPr>
        <w:t>（一）经济效益评价</w:t>
      </w:r>
    </w:p>
    <w:p w14:paraId="717C7B14">
      <w:pPr>
        <w:pStyle w:val="4"/>
        <w:widowControl/>
        <w:ind w:firstLine="640"/>
        <w:rPr>
          <w:rFonts w:ascii="Calibri" w:hAnsi="Calibri" w:eastAsia="仿宋"/>
          <w:sz w:val="32"/>
          <w:szCs w:val="32"/>
        </w:rPr>
      </w:pPr>
      <w:r>
        <w:rPr>
          <w:rFonts w:hint="eastAsia" w:ascii="Calibri" w:hAnsi="Calibri" w:eastAsia="仿宋"/>
          <w:sz w:val="32"/>
          <w:szCs w:val="32"/>
        </w:rPr>
        <w:t>预算执行方面，支出总额控制在预算总额以内，本年部门预算未进行预算相关事项的调整；“三公”经费总体控制较好，未超本年预算。预算管理方面，制度执行总体较为有效，仍需进一步强化；资金使用管理需进一步加强。资产管理方面，建立了资产管理制度，定期进行了盘点和资产清理，总体执行较好。</w:t>
      </w:r>
    </w:p>
    <w:p w14:paraId="68BDFC88">
      <w:pPr>
        <w:pStyle w:val="4"/>
        <w:widowControl/>
        <w:ind w:firstLine="640"/>
        <w:rPr>
          <w:rFonts w:ascii="Calibri" w:hAnsi="Calibri" w:eastAsia="仿宋"/>
          <w:sz w:val="32"/>
          <w:szCs w:val="32"/>
        </w:rPr>
      </w:pPr>
      <w:r>
        <w:rPr>
          <w:rFonts w:hint="eastAsia" w:ascii="Calibri" w:hAnsi="Calibri" w:eastAsia="仿宋"/>
          <w:sz w:val="32"/>
          <w:szCs w:val="32"/>
        </w:rPr>
        <w:t>（二）效率性评价和有效性评价</w:t>
      </w:r>
    </w:p>
    <w:p w14:paraId="7352D787">
      <w:pPr>
        <w:pStyle w:val="4"/>
        <w:widowControl/>
        <w:ind w:firstLine="640"/>
        <w:rPr>
          <w:rFonts w:eastAsia="仿宋"/>
          <w:color w:val="0000FF"/>
          <w:sz w:val="32"/>
          <w:szCs w:val="32"/>
        </w:rPr>
      </w:pPr>
      <w:r>
        <w:rPr>
          <w:rFonts w:hint="eastAsia" w:ascii="Calibri" w:hAnsi="Calibri" w:eastAsia="仿宋"/>
          <w:sz w:val="32"/>
          <w:szCs w:val="32"/>
        </w:rPr>
        <w:t>2023年以来国省干线路况水平稳步提升，农路养护实现全区覆盖，日常养护、预防性养护力度加大，农村公路安防（民生实事）工程如期完成；努力加强党的建设，党建质量全面提升，党风廉政建设“两个责任”扎实推进；安全生产、综治、信访等底线工作态势平稳，社会公众或服务对象满意度持续提升。</w:t>
      </w:r>
    </w:p>
    <w:p w14:paraId="762CB677">
      <w:pPr>
        <w:pStyle w:val="4"/>
        <w:widowControl/>
        <w:ind w:firstLine="640"/>
        <w:rPr>
          <w:rFonts w:eastAsia="黑体"/>
          <w:sz w:val="32"/>
          <w:szCs w:val="32"/>
        </w:rPr>
      </w:pPr>
      <w:r>
        <w:rPr>
          <w:rFonts w:eastAsia="黑体"/>
          <w:sz w:val="32"/>
          <w:szCs w:val="32"/>
        </w:rPr>
        <w:t>七、存在的问题及原因分析</w:t>
      </w:r>
    </w:p>
    <w:p w14:paraId="7C643EE9">
      <w:pPr>
        <w:widowControl/>
        <w:ind w:firstLine="640" w:firstLineChars="200"/>
        <w:rPr>
          <w:rFonts w:eastAsia="仿宋"/>
          <w:sz w:val="32"/>
          <w:szCs w:val="32"/>
        </w:rPr>
      </w:pPr>
      <w:r>
        <w:rPr>
          <w:rFonts w:hint="eastAsia" w:eastAsia="仿宋"/>
          <w:sz w:val="32"/>
          <w:szCs w:val="32"/>
        </w:rPr>
        <w:t>（一）人员经费足额保障仍有差距。一方面由于基本支出中日常公用经费保障不足，造成部门预算编制与实际执行存在一定脱节和偏差；另一方面因单位无动态调整的可支配收入，收入来源比较单一。</w:t>
      </w:r>
    </w:p>
    <w:p w14:paraId="1BAEC2C4">
      <w:pPr>
        <w:widowControl/>
        <w:ind w:firstLine="640" w:firstLineChars="200"/>
        <w:rPr>
          <w:rFonts w:eastAsia="仿宋"/>
          <w:sz w:val="32"/>
          <w:szCs w:val="32"/>
        </w:rPr>
      </w:pPr>
      <w:r>
        <w:rPr>
          <w:rFonts w:hint="eastAsia" w:eastAsia="仿宋"/>
          <w:sz w:val="32"/>
          <w:szCs w:val="32"/>
        </w:rPr>
        <w:t>（二）预算管理水平有待进一步提高，绩效指标体系有待进一步科学设置，预算执行控制措施也需进一步加强。</w:t>
      </w:r>
    </w:p>
    <w:p w14:paraId="67949CFE">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bookmarkStart w:id="0" w:name="_GoBack"/>
      <w:bookmarkEnd w:id="0"/>
    </w:p>
    <w:p w14:paraId="4AA75CE2">
      <w:pPr>
        <w:pStyle w:val="4"/>
        <w:widowControl/>
        <w:ind w:firstLine="640"/>
        <w:rPr>
          <w:rFonts w:eastAsia="仿宋"/>
          <w:color w:val="000000"/>
          <w:sz w:val="32"/>
          <w:szCs w:val="32"/>
        </w:rPr>
      </w:pPr>
      <w:r>
        <w:rPr>
          <w:rFonts w:hint="eastAsia" w:eastAsia="仿宋"/>
          <w:color w:val="000000"/>
          <w:sz w:val="32"/>
          <w:szCs w:val="32"/>
        </w:rPr>
        <w:t>（一）加强预算管理，提高预算编制的完整性、准确性、规范性，强化预算执行约束。</w:t>
      </w:r>
    </w:p>
    <w:p w14:paraId="3442ADF8">
      <w:pPr>
        <w:pStyle w:val="4"/>
        <w:widowControl/>
        <w:ind w:firstLine="640"/>
        <w:rPr>
          <w:rFonts w:eastAsia="仿宋"/>
          <w:color w:val="000000"/>
          <w:sz w:val="32"/>
          <w:szCs w:val="32"/>
        </w:rPr>
      </w:pPr>
      <w:r>
        <w:rPr>
          <w:rFonts w:hint="eastAsia" w:eastAsia="仿宋"/>
          <w:color w:val="000000"/>
          <w:sz w:val="32"/>
          <w:szCs w:val="32"/>
        </w:rPr>
        <w:t>进一步加强预算管理，严格按照财政定额标准，编足编实基本支出，按照保重点和突出绩效的原则合理安排项目支出，压缩非必要、绩效不佳的项目支出，提升预算编制科学性和准确性；强化预算执行约束，坚持“先预算后支出、无预算不支出、不得超预算支出”的原则安排各项支出，严格控制预算调剂。</w:t>
      </w:r>
    </w:p>
    <w:p w14:paraId="51009A45">
      <w:pPr>
        <w:pStyle w:val="4"/>
        <w:widowControl/>
        <w:ind w:firstLine="640"/>
        <w:rPr>
          <w:rFonts w:eastAsia="仿宋"/>
          <w:color w:val="000000"/>
          <w:sz w:val="32"/>
          <w:szCs w:val="32"/>
        </w:rPr>
      </w:pPr>
      <w:r>
        <w:rPr>
          <w:rFonts w:hint="eastAsia" w:eastAsia="仿宋"/>
          <w:color w:val="000000"/>
          <w:sz w:val="32"/>
          <w:szCs w:val="32"/>
        </w:rPr>
        <w:t>（二）加强项目资金管理，确保资金尽快投入到位，提高专项资金使用效率。</w:t>
      </w:r>
    </w:p>
    <w:p w14:paraId="429DC0F7">
      <w:pPr>
        <w:pStyle w:val="4"/>
        <w:widowControl/>
        <w:ind w:firstLine="640"/>
        <w:rPr>
          <w:rFonts w:eastAsia="仿宋"/>
          <w:color w:val="000000"/>
          <w:sz w:val="32"/>
          <w:szCs w:val="32"/>
        </w:rPr>
      </w:pPr>
      <w:r>
        <w:rPr>
          <w:rFonts w:hint="eastAsia" w:eastAsia="仿宋"/>
          <w:color w:val="000000"/>
          <w:sz w:val="32"/>
          <w:szCs w:val="32"/>
        </w:rPr>
        <w:t>努力探索现代资金管理先进模式,严格管控资金的使用范围和资金的开支标准，使资金管理更具合理化、规范精细化、效率化。加快项目资金分配进度，在资金管理办法规定时限内完成资金投入；加强与本级财政部门的沟通衔接，尽早会商财政部门确定资金安排方案，加快资金拨付进度，避免出现资金闲置甚至挪用的情况。</w:t>
      </w:r>
    </w:p>
    <w:p w14:paraId="04AC6F6B">
      <w:pPr>
        <w:pStyle w:val="4"/>
        <w:widowControl/>
        <w:numPr>
          <w:ilvl w:val="0"/>
          <w:numId w:val="2"/>
        </w:numPr>
        <w:ind w:firstLine="640"/>
        <w:rPr>
          <w:rFonts w:eastAsia="仿宋"/>
          <w:color w:val="000000"/>
          <w:sz w:val="32"/>
          <w:szCs w:val="32"/>
        </w:rPr>
      </w:pPr>
      <w:r>
        <w:rPr>
          <w:rFonts w:hint="eastAsia" w:eastAsia="仿宋"/>
          <w:color w:val="000000"/>
          <w:sz w:val="32"/>
          <w:szCs w:val="32"/>
        </w:rPr>
        <w:t>加强绩效管理，重视绩效评估结论应用。</w:t>
      </w:r>
    </w:p>
    <w:p w14:paraId="53FE3D2A">
      <w:pPr>
        <w:pStyle w:val="4"/>
        <w:widowControl/>
        <w:ind w:firstLine="640"/>
        <w:rPr>
          <w:rFonts w:eastAsia="仿宋"/>
          <w:color w:val="000000"/>
          <w:sz w:val="32"/>
          <w:szCs w:val="32"/>
        </w:rPr>
      </w:pPr>
      <w:r>
        <w:rPr>
          <w:rFonts w:hint="eastAsia" w:eastAsia="仿宋"/>
          <w:color w:val="000000"/>
          <w:sz w:val="32"/>
          <w:szCs w:val="32"/>
        </w:rPr>
        <w:t>重视绩效评估结论应用，通过对评价结果进行反馈，有效改进管理措施,提高管理水平。完善绩效目标管理，加强分析研判，提高绩效目标设定的合理性和科学性；建立绩效运行监控机制，了解预算执行和绩效目标完成情况，对发现的问题及时予以纠正和处理；加强绩效评价结果应用，将绩效评价、审计等情况与预算安排相挂钩，进一步提升资金使用效益。</w:t>
      </w:r>
    </w:p>
    <w:p w14:paraId="7A082643">
      <w:pPr>
        <w:widowControl/>
        <w:numPr>
          <w:ilvl w:val="0"/>
          <w:numId w:val="3"/>
        </w:numPr>
        <w:ind w:firstLine="640" w:firstLineChars="200"/>
        <w:rPr>
          <w:rFonts w:ascii="Times New Roman" w:hAnsi="Times New Roman" w:eastAsia="黑体"/>
          <w:sz w:val="32"/>
          <w:szCs w:val="32"/>
        </w:rPr>
      </w:pPr>
      <w:r>
        <w:rPr>
          <w:rFonts w:ascii="Times New Roman" w:hAnsi="Times New Roman" w:eastAsia="黑体"/>
          <w:sz w:val="32"/>
          <w:szCs w:val="32"/>
        </w:rPr>
        <w:t>其他需要说明的情况</w:t>
      </w:r>
    </w:p>
    <w:p w14:paraId="038CCD6B">
      <w:pPr>
        <w:pStyle w:val="4"/>
        <w:widowControl/>
        <w:ind w:firstLine="640"/>
        <w:rPr>
          <w:rFonts w:eastAsia="仿宋"/>
          <w:color w:val="000000"/>
          <w:sz w:val="32"/>
          <w:szCs w:val="32"/>
        </w:rPr>
      </w:pPr>
      <w:r>
        <w:rPr>
          <w:rFonts w:hint="eastAsia" w:eastAsia="仿宋"/>
          <w:color w:val="000000"/>
          <w:sz w:val="32"/>
          <w:szCs w:val="32"/>
        </w:rPr>
        <w:t>无</w:t>
      </w:r>
    </w:p>
    <w:p w14:paraId="6477249B"/>
    <w:p w14:paraId="0853A546"/>
    <w:p w14:paraId="5B07B885"/>
    <w:p w14:paraId="06E0E16B"/>
    <w:p w14:paraId="25FF813E"/>
    <w:p w14:paraId="01C59EC6"/>
    <w:p w14:paraId="157BAF76"/>
    <w:p w14:paraId="4C89AA0B"/>
    <w:p w14:paraId="1B4D8C6E"/>
    <w:p w14:paraId="7C9DB1BF"/>
    <w:p w14:paraId="4064558E"/>
    <w:p w14:paraId="45FD2F0E"/>
    <w:p w14:paraId="6B42E294"/>
    <w:p w14:paraId="0CB8AA68"/>
    <w:p w14:paraId="0718F8B0"/>
    <w:p w14:paraId="5E65F419"/>
    <w:p w14:paraId="0E68EE71"/>
    <w:p w14:paraId="77E6C9F7"/>
    <w:p w14:paraId="7F301EB3"/>
    <w:p w14:paraId="57B0142C"/>
    <w:p w14:paraId="09A17E53"/>
    <w:p w14:paraId="78FA3936"/>
    <w:p w14:paraId="71862932"/>
    <w:p w14:paraId="66CA6A3D"/>
    <w:p w14:paraId="66DF1E00"/>
    <w:p w14:paraId="58964F18"/>
    <w:p w14:paraId="03F7DBC1"/>
    <w:p w14:paraId="267E5963"/>
    <w:p w14:paraId="388BE68E"/>
    <w:p w14:paraId="776B230B">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支出绩效自评报告</w:t>
      </w:r>
    </w:p>
    <w:p w14:paraId="4E09627D">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61E9AF9B">
      <w:pPr>
        <w:jc w:val="center"/>
        <w:rPr>
          <w:rFonts w:ascii="Times New Roman" w:hAnsi="Times New Roman" w:eastAsia="黑体"/>
          <w:sz w:val="32"/>
          <w:szCs w:val="32"/>
        </w:rPr>
      </w:pPr>
    </w:p>
    <w:p w14:paraId="0349BF26">
      <w:pPr>
        <w:jc w:val="center"/>
        <w:rPr>
          <w:rFonts w:ascii="Times New Roman" w:hAnsi="Times New Roman" w:eastAsia="黑体"/>
          <w:sz w:val="32"/>
          <w:szCs w:val="32"/>
        </w:rPr>
      </w:pPr>
    </w:p>
    <w:p w14:paraId="27EC19E8">
      <w:pPr>
        <w:jc w:val="center"/>
        <w:rPr>
          <w:rFonts w:ascii="Times New Roman" w:hAnsi="Times New Roman" w:eastAsia="黑体"/>
          <w:sz w:val="32"/>
          <w:szCs w:val="32"/>
        </w:rPr>
      </w:pPr>
    </w:p>
    <w:p w14:paraId="125F51ED">
      <w:pPr>
        <w:jc w:val="center"/>
        <w:rPr>
          <w:rFonts w:ascii="Times New Roman" w:hAnsi="Times New Roman" w:eastAsia="黑体"/>
          <w:sz w:val="32"/>
          <w:szCs w:val="32"/>
        </w:rPr>
      </w:pPr>
    </w:p>
    <w:p w14:paraId="475834BA">
      <w:pPr>
        <w:jc w:val="center"/>
        <w:rPr>
          <w:rFonts w:ascii="Times New Roman" w:hAnsi="Times New Roman" w:eastAsia="黑体"/>
          <w:sz w:val="32"/>
          <w:szCs w:val="32"/>
        </w:rPr>
      </w:pPr>
    </w:p>
    <w:p w14:paraId="63D13F93">
      <w:pPr>
        <w:jc w:val="center"/>
        <w:rPr>
          <w:rFonts w:ascii="Times New Roman" w:hAnsi="Times New Roman" w:eastAsia="黑体"/>
          <w:sz w:val="32"/>
          <w:szCs w:val="32"/>
        </w:rPr>
      </w:pPr>
    </w:p>
    <w:p w14:paraId="3A98F584">
      <w:pPr>
        <w:rPr>
          <w:rFonts w:ascii="Times New Roman" w:hAnsi="Times New Roman" w:eastAsia="黑体"/>
          <w:sz w:val="32"/>
          <w:szCs w:val="32"/>
        </w:rPr>
      </w:pPr>
    </w:p>
    <w:p w14:paraId="1FBD4BDE">
      <w:pPr>
        <w:ind w:firstLine="720"/>
        <w:jc w:val="center"/>
        <w:rPr>
          <w:rFonts w:ascii="Times New Roman" w:hAnsi="Times New Roman"/>
          <w:sz w:val="36"/>
          <w:szCs w:val="36"/>
        </w:rPr>
      </w:pPr>
    </w:p>
    <w:p w14:paraId="7CFB213C">
      <w:pPr>
        <w:ind w:firstLine="720"/>
        <w:jc w:val="center"/>
        <w:rPr>
          <w:rFonts w:hint="eastAsia"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：衡阳市公路建设养护中心石鼓分中心</w:t>
      </w:r>
    </w:p>
    <w:p w14:paraId="0C1564DB">
      <w:pPr>
        <w:ind w:firstLine="720"/>
        <w:jc w:val="center"/>
        <w:rPr>
          <w:rFonts w:hint="eastAsia" w:ascii="Times New Roman" w:hAnsi="Times New Roman"/>
          <w:sz w:val="36"/>
          <w:szCs w:val="36"/>
        </w:rPr>
      </w:pPr>
    </w:p>
    <w:p w14:paraId="1A8B65EB">
      <w:pPr>
        <w:ind w:firstLine="720"/>
        <w:jc w:val="center"/>
        <w:rPr>
          <w:rFonts w:hint="eastAsia" w:ascii="Times New Roman" w:hAnsi="Times New Roman"/>
          <w:sz w:val="36"/>
          <w:szCs w:val="36"/>
        </w:rPr>
      </w:pPr>
    </w:p>
    <w:p w14:paraId="77506CEF">
      <w:pPr>
        <w:ind w:firstLine="720"/>
        <w:jc w:val="center"/>
        <w:rPr>
          <w:rFonts w:hint="eastAsia" w:ascii="Times New Roman" w:hAnsi="Times New Roman"/>
          <w:sz w:val="36"/>
          <w:szCs w:val="36"/>
        </w:rPr>
      </w:pPr>
    </w:p>
    <w:p w14:paraId="19F003B9">
      <w:pPr>
        <w:ind w:firstLine="720"/>
        <w:jc w:val="center"/>
        <w:rPr>
          <w:rFonts w:hint="eastAsia" w:ascii="Times New Roman" w:hAnsi="Times New Roman"/>
          <w:sz w:val="36"/>
          <w:szCs w:val="36"/>
        </w:rPr>
      </w:pPr>
    </w:p>
    <w:p w14:paraId="4B9FAA2B">
      <w:pPr>
        <w:ind w:firstLine="720"/>
        <w:jc w:val="center"/>
        <w:rPr>
          <w:rFonts w:hint="eastAsia" w:ascii="Times New Roman" w:hAnsi="Times New Roman"/>
          <w:sz w:val="36"/>
          <w:szCs w:val="36"/>
        </w:rPr>
      </w:pPr>
    </w:p>
    <w:p w14:paraId="051B09F5">
      <w:pPr>
        <w:ind w:firstLine="720"/>
        <w:jc w:val="center"/>
        <w:rPr>
          <w:rFonts w:hint="eastAsia" w:ascii="Times New Roman" w:hAnsi="Times New Roman"/>
          <w:sz w:val="36"/>
          <w:szCs w:val="36"/>
        </w:rPr>
      </w:pPr>
    </w:p>
    <w:p w14:paraId="4EFA3151">
      <w:pPr>
        <w:ind w:firstLine="720"/>
        <w:jc w:val="center"/>
        <w:rPr>
          <w:rFonts w:hint="eastAsia" w:ascii="Times New Roman" w:hAnsi="Times New Roman"/>
          <w:sz w:val="36"/>
          <w:szCs w:val="36"/>
        </w:rPr>
      </w:pPr>
    </w:p>
    <w:p w14:paraId="6433DF85">
      <w:pPr>
        <w:ind w:firstLine="720"/>
        <w:jc w:val="center"/>
        <w:rPr>
          <w:rFonts w:hint="eastAsia" w:ascii="Times New Roman" w:hAnsi="Times New Roman"/>
          <w:sz w:val="36"/>
          <w:szCs w:val="36"/>
        </w:rPr>
      </w:pPr>
    </w:p>
    <w:p w14:paraId="4A1C5BCD">
      <w:pPr>
        <w:ind w:firstLine="720"/>
        <w:jc w:val="center"/>
        <w:rPr>
          <w:rFonts w:hint="eastAsia" w:ascii="Times New Roman" w:hAnsi="Times New Roman"/>
          <w:sz w:val="36"/>
          <w:szCs w:val="36"/>
        </w:rPr>
      </w:pPr>
    </w:p>
    <w:p w14:paraId="5A3AA7C7">
      <w:pPr>
        <w:ind w:firstLine="720"/>
        <w:jc w:val="center"/>
        <w:rPr>
          <w:rFonts w:hint="eastAsia" w:ascii="Times New Roman" w:hAnsi="Times New Roman"/>
          <w:sz w:val="36"/>
          <w:szCs w:val="36"/>
        </w:rPr>
      </w:pPr>
    </w:p>
    <w:p w14:paraId="19DC6E77">
      <w:pPr>
        <w:ind w:firstLine="720"/>
        <w:jc w:val="center"/>
        <w:rPr>
          <w:rFonts w:hint="eastAsia" w:ascii="Times New Roman" w:hAnsi="Times New Roman"/>
          <w:sz w:val="36"/>
          <w:szCs w:val="36"/>
        </w:rPr>
      </w:pPr>
    </w:p>
    <w:p w14:paraId="23D50040">
      <w:pPr>
        <w:spacing w:line="60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14:paraId="33CC524F">
      <w:pPr>
        <w:adjustRightInd w:val="0"/>
        <w:spacing w:line="600" w:lineRule="exact"/>
        <w:ind w:right="641"/>
        <w:rPr>
          <w:rFonts w:ascii="Times New Roman" w:hAnsi="Times New Roman" w:eastAsia="仿宋_GB2312"/>
          <w:sz w:val="32"/>
          <w:szCs w:val="32"/>
        </w:rPr>
      </w:pPr>
    </w:p>
    <w:p w14:paraId="780E5784">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709BBB56">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7511A721">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2023年度我中心设11个内设机构，实有编制39名，现有在职职工34名，退休职工28名。</w:t>
      </w:r>
    </w:p>
    <w:p w14:paraId="5E699D77">
      <w:pPr>
        <w:numPr>
          <w:ilvl w:val="0"/>
          <w:numId w:val="4"/>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项目资金基本情况</w:t>
      </w:r>
      <w:r>
        <w:rPr>
          <w:rFonts w:hint="eastAsia" w:ascii="Times New Roman" w:hAnsi="Times New Roman" w:eastAsia="仿宋_GB2312"/>
          <w:sz w:val="32"/>
          <w:szCs w:val="32"/>
        </w:rPr>
        <w:t>。</w:t>
      </w:r>
    </w:p>
    <w:p w14:paraId="09A55722">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我单位的项目资金主要用于农村公路养护工程、农村公路日常养护、安防工程、国省干道日常养护。项目资金性质为财政拨款和其他资金。</w:t>
      </w:r>
    </w:p>
    <w:p w14:paraId="3C46331E">
      <w:pPr>
        <w:numPr>
          <w:ilvl w:val="0"/>
          <w:numId w:val="4"/>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预算资金绩效目标</w:t>
      </w:r>
      <w:r>
        <w:rPr>
          <w:rFonts w:hint="eastAsia" w:ascii="Times New Roman" w:hAnsi="Times New Roman" w:eastAsia="仿宋_GB2312"/>
          <w:sz w:val="32"/>
          <w:szCs w:val="32"/>
        </w:rPr>
        <w:t>。</w:t>
      </w:r>
    </w:p>
    <w:p w14:paraId="5A9BCD70">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年末全区干线公路优良率达90%以上，农村公路优良率达82%以上。</w:t>
      </w:r>
    </w:p>
    <w:p w14:paraId="62B89001">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全面完成年度大中修及预防性养护任务，工程质量合格率达100%</w:t>
      </w:r>
    </w:p>
    <w:p w14:paraId="65A7A371">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30FC3918">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14:paraId="2252CC3E">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项目资金均于2023年内拨付到位，并按项目建设要求和进度投入到位。</w:t>
      </w:r>
    </w:p>
    <w:p w14:paraId="647D9184">
      <w:pPr>
        <w:numPr>
          <w:ilvl w:val="0"/>
          <w:numId w:val="5"/>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项目资金实际使用情况。</w:t>
      </w:r>
    </w:p>
    <w:p w14:paraId="399416B7">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项目支出：农村公路养护291.88万元，农村公路日常养护176.29万元，安防工程10.12万元；国省干线公路日常养护40.06万元，合计518.35万元。</w:t>
      </w:r>
    </w:p>
    <w:p w14:paraId="040C1D4E">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（三）项目资金管理情况分析，主要包括管理制度、办法的制订及执行情况。</w:t>
      </w:r>
    </w:p>
    <w:p w14:paraId="0815C862">
      <w:pPr>
        <w:adjustRightInd w:val="0"/>
        <w:snapToGrid w:val="0"/>
        <w:spacing w:line="600" w:lineRule="exact"/>
        <w:ind w:firstLine="640" w:firstLineChars="200"/>
        <w:rPr>
          <w:rFonts w:ascii="Times New Roman" w:hAnsi="Times New Roman" w:eastAsia="仿宋_GB2312"/>
          <w:color w:val="0000FF"/>
          <w:sz w:val="32"/>
          <w:szCs w:val="32"/>
        </w:rPr>
      </w:pPr>
      <w:r>
        <w:rPr>
          <w:rFonts w:hint="eastAsia" w:ascii="Times New Roman" w:hAnsi="Times New Roman" w:eastAsia="仿宋_GB2312"/>
          <w:sz w:val="32"/>
          <w:szCs w:val="32"/>
        </w:rPr>
        <w:t>我中心制定了《内控管理制度》《财务管理制度》《专项资金管理制度 》，采取有效措施，确保项目资金安全高质高效运行。严格按照相关会计制度进行会计核算和财务处理，做到财务处理及时、会计核算规范。</w:t>
      </w:r>
    </w:p>
    <w:p w14:paraId="46E8548A">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0E93DB00">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（一）项目资金使用管理情况，主要包括项目资金及项目管理制度建设、日常检查监督管理等情况。</w:t>
      </w:r>
    </w:p>
    <w:p w14:paraId="5EECF1B8">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在项目实施过程中，纪检及各业务部门技术人员定期不定期对项目施工过程进行督促、检查、指导，确保项目按时、按质完成；二是严格按照工程建设和政府采购有关规定执行，确保公开、公平、公正；三是项目验收由我中心会同各相关部门负责人综合检查、验收，并接受纪检、审计部门的审计和监督。</w:t>
      </w:r>
    </w:p>
    <w:p w14:paraId="3757F77D">
      <w:pPr>
        <w:numPr>
          <w:ilvl w:val="0"/>
          <w:numId w:val="6"/>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项目组织实施情况</w:t>
      </w:r>
      <w:r>
        <w:rPr>
          <w:rFonts w:hint="eastAsia" w:ascii="Times New Roman" w:hAnsi="Times New Roman" w:eastAsia="仿宋_GB2312"/>
          <w:sz w:val="32"/>
          <w:szCs w:val="32"/>
        </w:rPr>
        <w:t>。</w:t>
      </w:r>
    </w:p>
    <w:p w14:paraId="263AB6AE">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1、农村公路养护</w:t>
      </w:r>
    </w:p>
    <w:p w14:paraId="1499B0A8">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石鼓区农村公路养护工程项目为C012线、C011线等大中修项目，其中C012线实施1.587公里，主要施工内容为换板、白改黑；C011线实施2.5公里，主要施工内容为：换板、白改黑以上项目均已按时完工。按时按质完成年度农村公路养护工程任务，工程质量合格率达100%。</w:t>
      </w:r>
    </w:p>
    <w:p w14:paraId="593C0D7F">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2、农村公路安防工程</w:t>
      </w:r>
    </w:p>
    <w:p w14:paraId="66F7A11C">
      <w:pPr>
        <w:adjustRightInd w:val="0"/>
        <w:snapToGrid w:val="0"/>
        <w:spacing w:line="600" w:lineRule="exact"/>
        <w:ind w:firstLine="640" w:firstLineChars="200"/>
        <w:rPr>
          <w:rFonts w:ascii="Times New Roman" w:hAnsi="Times New Roman" w:eastAsia="仿宋_GB2312"/>
          <w:color w:val="0000FF"/>
          <w:sz w:val="32"/>
          <w:szCs w:val="32"/>
        </w:rPr>
      </w:pPr>
      <w:r>
        <w:rPr>
          <w:rFonts w:hint="eastAsia" w:ascii="Times New Roman" w:hAnsi="Times New Roman" w:eastAsia="仿宋_GB2312"/>
          <w:sz w:val="32"/>
          <w:szCs w:val="32"/>
        </w:rPr>
        <w:t>石鼓区农村公路生命安全防护工程项目为处治石鼓区农村公路安全隐患，2023年石鼓区农村公路生命安全防护工程项目实施数量5.6公里，2022年石鼓区农村公路生命安全防护工程项目实施数量1.25公里，项目完工验收合格率均为100%。主要施工内容为：钢护栏，示警桩，减速带反光镜等交通防护设施安装。项目全年绩效目标已完成</w:t>
      </w:r>
      <w:r>
        <w:rPr>
          <w:rFonts w:hint="eastAsia" w:ascii="Times New Roman" w:hAnsi="Times New Roman" w:eastAsia="仿宋_GB2312"/>
          <w:color w:val="0000FF"/>
          <w:sz w:val="32"/>
          <w:szCs w:val="32"/>
        </w:rPr>
        <w:t>。</w:t>
      </w:r>
    </w:p>
    <w:p w14:paraId="73118718">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3、农村公路日常养护</w:t>
      </w:r>
    </w:p>
    <w:p w14:paraId="55A1BD4A">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石鼓区农村公路日常养护项目实施193.59km。项目完工率均为100%，已按时完成，项目全年绩效目标已完成。</w:t>
      </w:r>
    </w:p>
    <w:p w14:paraId="79C33E7F">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中心在项目实施过程中，严格按照《内控管理制度》、和《财务管理制度》，建立健全资金项目管理。每个项目按照规定的程序申请设立，审批文件、材料符合相关要求，事前经过必要的集体决策，保证了项目实施的完整性，项目调整及竣工验收都有相应的申请审批报告。</w:t>
      </w:r>
    </w:p>
    <w:p w14:paraId="69DD4342">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72E37837">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14:paraId="2EB27F43">
      <w:pPr>
        <w:spacing w:line="560" w:lineRule="exact"/>
        <w:ind w:firstLine="640" w:firstLineChars="200"/>
        <w:rPr>
          <w:rFonts w:ascii="Times New Roman" w:hAnsi="Times New Roman" w:eastAsia="楷体_GB2312"/>
          <w:sz w:val="32"/>
          <w:szCs w:val="32"/>
        </w:rPr>
      </w:pPr>
      <w:r>
        <w:rPr>
          <w:rFonts w:hint="eastAsia" w:eastAsia="仿宋_GB2312"/>
          <w:sz w:val="32"/>
          <w:szCs w:val="32"/>
        </w:rPr>
        <w:t>项目建设流程、采购流程规范，材料符合相关要求，严格遵守内控管理制度和财务管理制度等，遵守相关法律法规和相关管理规定。</w:t>
      </w:r>
    </w:p>
    <w:p w14:paraId="16752287">
      <w:pPr>
        <w:numPr>
          <w:ilvl w:val="0"/>
          <w:numId w:val="7"/>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项目支出过程情况。</w:t>
      </w:r>
    </w:p>
    <w:p w14:paraId="60BF0CCB">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项目资金使用基本符合国家财经法规、会计准则的规定，资金的拨付有完整的审批程序和手续，不存在截留、挤占、挪用、虚列支出等情况。</w:t>
      </w:r>
    </w:p>
    <w:p w14:paraId="1AC794A3">
      <w:pPr>
        <w:numPr>
          <w:ilvl w:val="0"/>
          <w:numId w:val="7"/>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项目支出产出情况。</w:t>
      </w:r>
    </w:p>
    <w:p w14:paraId="499B586C">
      <w:pPr>
        <w:adjustRightInd w:val="0"/>
        <w:snapToGrid w:val="0"/>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年末全区干线公路优良率达</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，农村公路优良率达</w:t>
      </w:r>
      <w:r>
        <w:rPr>
          <w:rFonts w:hint="eastAsia" w:ascii="Times New Roman" w:hAnsi="Times New Roman" w:eastAsia="仿宋_GB2312"/>
          <w:color w:val="auto"/>
          <w:sz w:val="32"/>
          <w:szCs w:val="32"/>
          <w:lang w:val="en-US" w:eastAsia="zh-CN"/>
        </w:rPr>
        <w:t>97%</w:t>
      </w:r>
      <w:r>
        <w:rPr>
          <w:rFonts w:hint="eastAsia" w:ascii="Times New Roman" w:hAnsi="Times New Roman" w:eastAsia="仿宋_GB2312"/>
          <w:color w:val="auto"/>
          <w:sz w:val="32"/>
          <w:szCs w:val="32"/>
        </w:rPr>
        <w:t>。全面完成农村公路安防工程和养护任务，工程质量合格率达100%</w:t>
      </w:r>
    </w:p>
    <w:p w14:paraId="4ECF6740">
      <w:pPr>
        <w:numPr>
          <w:ilvl w:val="0"/>
          <w:numId w:val="7"/>
        </w:num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项目支出效益情况。</w:t>
      </w:r>
    </w:p>
    <w:p w14:paraId="5D19F78B">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项交通建设项目为道路沿线及运输站场附近的群众提供的收入增加，构建外畅内联、结构合理、安全高效公路网。将绿色发展要求贯穿公路规划、设计、建设、运营、管理、服务全过程，着力建设资源节约、生态环保、节能高效、服务提升的绿色公路。</w:t>
      </w:r>
    </w:p>
    <w:p w14:paraId="69E62B4B">
      <w:pPr>
        <w:numPr>
          <w:ilvl w:val="0"/>
          <w:numId w:val="8"/>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主要经验做法、存在的问题及原因分析</w:t>
      </w:r>
    </w:p>
    <w:p w14:paraId="020B8334">
      <w:pPr>
        <w:spacing w:line="560" w:lineRule="exact"/>
        <w:ind w:firstLine="640" w:firstLineChars="200"/>
        <w:rPr>
          <w:rFonts w:eastAsia="仿宋_GB2312"/>
          <w:sz w:val="32"/>
          <w:szCs w:val="32"/>
        </w:rPr>
      </w:pPr>
      <w:r>
        <w:rPr>
          <w:rFonts w:hint="eastAsia" w:eastAsia="仿宋_GB2312"/>
          <w:sz w:val="32"/>
          <w:szCs w:val="32"/>
        </w:rPr>
        <w:t>2023我分中心项目资金的使用，取得了一定的成绩，但仍存在着一些困难和问题。</w:t>
      </w:r>
    </w:p>
    <w:p w14:paraId="7475496D">
      <w:pPr>
        <w:adjustRightInd w:val="0"/>
        <w:snapToGrid w:val="0"/>
        <w:spacing w:line="600" w:lineRule="exact"/>
        <w:ind w:firstLine="640" w:firstLineChars="200"/>
        <w:rPr>
          <w:rFonts w:ascii="Times New Roman" w:hAnsi="Times New Roman" w:eastAsia="黑体"/>
          <w:sz w:val="32"/>
          <w:szCs w:val="32"/>
        </w:rPr>
      </w:pPr>
      <w:r>
        <w:rPr>
          <w:rFonts w:hint="eastAsia" w:eastAsia="仿宋_GB2312"/>
          <w:sz w:val="32"/>
          <w:szCs w:val="32"/>
        </w:rPr>
        <w:t>一是由于交通专项资金到位进度慢，部分资金拨付集中在年末，一定程度上影响项目进度；二是专项资金配套存在一定的缺口，只能采取先急后缓的方式进行；三是对绩效理解还不够深入，缺乏绩效评价专业人才。</w:t>
      </w:r>
    </w:p>
    <w:p w14:paraId="5F4ADBBF">
      <w:pPr>
        <w:numPr>
          <w:ilvl w:val="0"/>
          <w:numId w:val="8"/>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有关建议</w:t>
      </w:r>
    </w:p>
    <w:p w14:paraId="074DDB88">
      <w:pPr>
        <w:adjustRightInd w:val="0"/>
        <w:snapToGrid w:val="0"/>
        <w:spacing w:line="600" w:lineRule="exact"/>
        <w:ind w:firstLine="640" w:firstLineChars="200"/>
        <w:rPr>
          <w:rFonts w:ascii="Times New Roman" w:hAnsi="Times New Roman" w:eastAsia="黑体"/>
          <w:sz w:val="32"/>
          <w:szCs w:val="32"/>
        </w:rPr>
      </w:pPr>
      <w:r>
        <w:rPr>
          <w:rFonts w:hint="eastAsia" w:eastAsia="仿宋_GB2312"/>
          <w:sz w:val="32"/>
          <w:szCs w:val="32"/>
        </w:rPr>
        <w:t>资金及时拨付到位，加大工程资金投入，确保大中修工程和安防工程及时得到实施；加大日常养护经费投入；增加绩效评价工作专业培训，为改进绩效提供指导。</w:t>
      </w:r>
    </w:p>
    <w:p w14:paraId="5736347B"/>
    <w:p w14:paraId="094C7A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6B53E"/>
    <w:multiLevelType w:val="singleLevel"/>
    <w:tmpl w:val="8386B53E"/>
    <w:lvl w:ilvl="0" w:tentative="0">
      <w:start w:val="2"/>
      <w:numFmt w:val="chineseCounting"/>
      <w:suff w:val="nothing"/>
      <w:lvlText w:val="（%1）"/>
      <w:lvlJc w:val="left"/>
      <w:rPr>
        <w:rFonts w:hint="eastAsia"/>
      </w:rPr>
    </w:lvl>
  </w:abstractNum>
  <w:abstractNum w:abstractNumId="1">
    <w:nsid w:val="ADA25E80"/>
    <w:multiLevelType w:val="singleLevel"/>
    <w:tmpl w:val="ADA25E80"/>
    <w:lvl w:ilvl="0" w:tentative="0">
      <w:start w:val="1"/>
      <w:numFmt w:val="chineseCounting"/>
      <w:suff w:val="nothing"/>
      <w:lvlText w:val="%1、"/>
      <w:lvlJc w:val="left"/>
      <w:rPr>
        <w:rFonts w:hint="eastAsia"/>
      </w:rPr>
    </w:lvl>
  </w:abstractNum>
  <w:abstractNum w:abstractNumId="2">
    <w:nsid w:val="CDC55FE5"/>
    <w:multiLevelType w:val="singleLevel"/>
    <w:tmpl w:val="CDC55FE5"/>
    <w:lvl w:ilvl="0" w:tentative="0">
      <w:start w:val="2"/>
      <w:numFmt w:val="chineseCounting"/>
      <w:suff w:val="nothing"/>
      <w:lvlText w:val="（%1）"/>
      <w:lvlJc w:val="left"/>
      <w:rPr>
        <w:rFonts w:hint="eastAsia"/>
      </w:rPr>
    </w:lvl>
  </w:abstractNum>
  <w:abstractNum w:abstractNumId="3">
    <w:nsid w:val="D9BA35A7"/>
    <w:multiLevelType w:val="singleLevel"/>
    <w:tmpl w:val="D9BA35A7"/>
    <w:lvl w:ilvl="0" w:tentative="0">
      <w:start w:val="2"/>
      <w:numFmt w:val="chineseCounting"/>
      <w:suff w:val="nothing"/>
      <w:lvlText w:val="（%1）"/>
      <w:lvlJc w:val="left"/>
      <w:rPr>
        <w:rFonts w:hint="eastAsia"/>
      </w:rPr>
    </w:lvl>
  </w:abstractNum>
  <w:abstractNum w:abstractNumId="4">
    <w:nsid w:val="F526B338"/>
    <w:multiLevelType w:val="singleLevel"/>
    <w:tmpl w:val="F526B338"/>
    <w:lvl w:ilvl="0" w:tentative="0">
      <w:start w:val="5"/>
      <w:numFmt w:val="chineseCounting"/>
      <w:suff w:val="nothing"/>
      <w:lvlText w:val="%1、"/>
      <w:lvlJc w:val="left"/>
      <w:rPr>
        <w:rFonts w:hint="eastAsia"/>
      </w:rPr>
    </w:lvl>
  </w:abstractNum>
  <w:abstractNum w:abstractNumId="5">
    <w:nsid w:val="22A9FC85"/>
    <w:multiLevelType w:val="singleLevel"/>
    <w:tmpl w:val="22A9FC85"/>
    <w:lvl w:ilvl="0" w:tentative="0">
      <w:start w:val="3"/>
      <w:numFmt w:val="chineseCounting"/>
      <w:suff w:val="nothing"/>
      <w:lvlText w:val="（%1）"/>
      <w:lvlJc w:val="left"/>
      <w:rPr>
        <w:rFonts w:hint="eastAsia"/>
      </w:rPr>
    </w:lvl>
  </w:abstractNum>
  <w:abstractNum w:abstractNumId="6">
    <w:nsid w:val="26DA5024"/>
    <w:multiLevelType w:val="singleLevel"/>
    <w:tmpl w:val="26DA5024"/>
    <w:lvl w:ilvl="0" w:tentative="0">
      <w:start w:val="2"/>
      <w:numFmt w:val="chineseCounting"/>
      <w:suff w:val="nothing"/>
      <w:lvlText w:val="（%1）"/>
      <w:lvlJc w:val="left"/>
      <w:rPr>
        <w:rFonts w:hint="eastAsia"/>
      </w:rPr>
    </w:lvl>
  </w:abstractNum>
  <w:abstractNum w:abstractNumId="7">
    <w:nsid w:val="622FF807"/>
    <w:multiLevelType w:val="singleLevel"/>
    <w:tmpl w:val="622FF807"/>
    <w:lvl w:ilvl="0" w:tentative="0">
      <w:start w:val="9"/>
      <w:numFmt w:val="chineseCounting"/>
      <w:suff w:val="nothing"/>
      <w:lvlText w:val="%1、"/>
      <w:lvlJc w:val="left"/>
      <w:rPr>
        <w:rFonts w:hint="eastAsia"/>
      </w:rPr>
    </w:lvl>
  </w:abstractNum>
  <w:num w:numId="1">
    <w:abstractNumId w:val="1"/>
  </w:num>
  <w:num w:numId="2">
    <w:abstractNumId w:val="5"/>
  </w:num>
  <w:num w:numId="3">
    <w:abstractNumId w:val="7"/>
  </w:num>
  <w:num w:numId="4">
    <w:abstractNumId w:val="0"/>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Yzk2NTI1MzgyYzJkNzdlOTdiYTU5YTFlN2NjOWIifQ=="/>
  </w:docVars>
  <w:rsids>
    <w:rsidRoot w:val="16AE4284"/>
    <w:rsid w:val="16AE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2024-09-25T07:58:00Z</dcterms:created>
  <dc:creator>张ly</dc:creator>
  <cp:lastModifiedBy>张ly</cp:lastModifiedBy>
  <dcterms:modified xsi:type="dcterms:W3CDTF">2024-09-25T08:26:53Z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4E6F5EEF50154485A82617D591759CE1_11</vt:lpwstr>
  </property>
</Properties>
</file>