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FF346">
      <w:pPr>
        <w:spacing w:afterLines="100"/>
        <w:rPr>
          <w:rFonts w:hint="eastAsia" w:ascii="Times New Roman" w:hAnsi="Times New Roman" w:eastAsia="黑体"/>
          <w:kern w:val="0"/>
          <w:sz w:val="32"/>
          <w:szCs w:val="32"/>
          <w:lang w:val="en-US" w:eastAsia="zh-CN"/>
        </w:rPr>
      </w:pPr>
      <w:bookmarkStart w:id="2" w:name="_GoBack"/>
      <w:bookmarkEnd w:id="2"/>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14:paraId="21037950">
      <w:pPr>
        <w:spacing w:afterLines="100"/>
        <w:rPr>
          <w:rFonts w:ascii="Times New Roman" w:hAnsi="Times New Roman" w:eastAsia="仿宋_GB2312"/>
          <w:kern w:val="0"/>
          <w:sz w:val="32"/>
          <w:szCs w:val="32"/>
        </w:rPr>
      </w:pPr>
    </w:p>
    <w:p w14:paraId="351A4D49">
      <w:pPr>
        <w:spacing w:afterLines="100"/>
        <w:rPr>
          <w:rFonts w:ascii="Times New Roman" w:hAnsi="Times New Roman" w:eastAsia="仿宋_GB2312"/>
          <w:kern w:val="0"/>
          <w:sz w:val="32"/>
          <w:szCs w:val="32"/>
        </w:rPr>
      </w:pPr>
    </w:p>
    <w:p w14:paraId="3774F3CD">
      <w:pPr>
        <w:rPr>
          <w:rFonts w:ascii="Times New Roman" w:hAnsi="Times New Roman" w:eastAsia="方正小标宋简体"/>
          <w:sz w:val="48"/>
          <w:szCs w:val="48"/>
        </w:rPr>
      </w:pPr>
    </w:p>
    <w:p w14:paraId="504873D6">
      <w:pPr>
        <w:rPr>
          <w:rFonts w:ascii="Times New Roman" w:hAnsi="Times New Roman" w:eastAsia="方正小标宋简体"/>
          <w:sz w:val="48"/>
          <w:szCs w:val="48"/>
        </w:rPr>
      </w:pPr>
    </w:p>
    <w:p w14:paraId="4CACE2BD">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21CF5F21">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2874EB15">
      <w:pPr>
        <w:jc w:val="center"/>
        <w:rPr>
          <w:rFonts w:ascii="Times New Roman" w:hAnsi="Times New Roman" w:eastAsia="黑体"/>
          <w:sz w:val="32"/>
          <w:szCs w:val="32"/>
        </w:rPr>
      </w:pPr>
    </w:p>
    <w:p w14:paraId="7A9B7C8E">
      <w:pPr>
        <w:jc w:val="center"/>
        <w:rPr>
          <w:rFonts w:ascii="Times New Roman" w:hAnsi="Times New Roman" w:eastAsia="黑体"/>
          <w:sz w:val="32"/>
          <w:szCs w:val="32"/>
        </w:rPr>
      </w:pPr>
    </w:p>
    <w:p w14:paraId="06E3007A">
      <w:pPr>
        <w:jc w:val="center"/>
        <w:rPr>
          <w:rFonts w:ascii="Times New Roman" w:hAnsi="Times New Roman" w:eastAsia="黑体"/>
          <w:sz w:val="32"/>
          <w:szCs w:val="32"/>
        </w:rPr>
      </w:pPr>
    </w:p>
    <w:p w14:paraId="63915501">
      <w:pPr>
        <w:jc w:val="center"/>
        <w:rPr>
          <w:rFonts w:ascii="Times New Roman" w:hAnsi="Times New Roman" w:eastAsia="黑体"/>
          <w:sz w:val="32"/>
          <w:szCs w:val="32"/>
        </w:rPr>
      </w:pPr>
    </w:p>
    <w:p w14:paraId="47B2CF38">
      <w:pPr>
        <w:rPr>
          <w:rFonts w:ascii="Times New Roman" w:hAnsi="Times New Roman" w:eastAsia="黑体"/>
          <w:sz w:val="32"/>
          <w:szCs w:val="32"/>
        </w:rPr>
      </w:pPr>
    </w:p>
    <w:p w14:paraId="1CF18A91">
      <w:pPr>
        <w:jc w:val="both"/>
        <w:rPr>
          <w:rFonts w:ascii="Times New Roman" w:hAnsi="Times New Roman"/>
          <w:sz w:val="36"/>
          <w:szCs w:val="36"/>
        </w:rPr>
      </w:pPr>
    </w:p>
    <w:p w14:paraId="4CB6F806">
      <w:pPr>
        <w:jc w:val="center"/>
        <w:rPr>
          <w:rFonts w:ascii="Times New Roman" w:hAnsi="Times New Roman"/>
          <w:sz w:val="36"/>
          <w:szCs w:val="36"/>
        </w:rPr>
      </w:pPr>
    </w:p>
    <w:p w14:paraId="4A13DE00">
      <w:pPr>
        <w:jc w:val="center"/>
        <w:rPr>
          <w:rFonts w:hint="eastAsia" w:ascii="Times New Roman" w:hAnsi="Times New Roman"/>
          <w:sz w:val="36"/>
          <w:szCs w:val="36"/>
          <w:lang w:eastAsia="zh-CN"/>
        </w:rPr>
      </w:pPr>
      <w:r>
        <w:rPr>
          <w:rFonts w:ascii="Times New Roman" w:hAnsi="Times New Roman"/>
          <w:sz w:val="36"/>
          <w:szCs w:val="36"/>
        </w:rPr>
        <w:t>单位名称</w:t>
      </w:r>
      <w:r>
        <w:rPr>
          <w:rFonts w:hint="eastAsia" w:ascii="Times New Roman" w:hAnsi="Times New Roman"/>
          <w:sz w:val="36"/>
          <w:szCs w:val="36"/>
          <w:lang w:eastAsia="zh-CN"/>
        </w:rPr>
        <w:t>：衡阳市公路建设养护中心雁峰分中心</w:t>
      </w:r>
    </w:p>
    <w:p w14:paraId="2F645F78">
      <w:pPr>
        <w:ind w:firstLine="360" w:firstLineChars="100"/>
        <w:jc w:val="left"/>
        <w:rPr>
          <w:rFonts w:hint="eastAsia" w:ascii="Times New Roman" w:hAnsi="Times New Roman" w:eastAsia="宋体"/>
          <w:sz w:val="36"/>
          <w:szCs w:val="36"/>
          <w:lang w:eastAsia="zh-CN"/>
        </w:rPr>
      </w:pPr>
      <w:r>
        <w:rPr>
          <w:rFonts w:hint="eastAsia" w:ascii="Times New Roman" w:hAnsi="Times New Roman"/>
          <w:sz w:val="36"/>
          <w:szCs w:val="36"/>
          <w:lang w:val="en-US" w:eastAsia="zh-CN"/>
        </w:rPr>
        <w:t>主要负责人签字</w:t>
      </w:r>
      <w:r>
        <w:rPr>
          <w:rFonts w:ascii="Times New Roman" w:hAnsi="Times New Roman"/>
          <w:sz w:val="36"/>
          <w:szCs w:val="36"/>
        </w:rPr>
        <w:t>：</w:t>
      </w:r>
      <w:r>
        <w:rPr>
          <w:rFonts w:hint="eastAsia" w:ascii="Times New Roman" w:hAnsi="Times New Roman"/>
          <w:sz w:val="36"/>
          <w:szCs w:val="36"/>
          <w:lang w:eastAsia="zh-CN"/>
        </w:rPr>
        <w:t>陈述</w:t>
      </w:r>
    </w:p>
    <w:p w14:paraId="75893BFF">
      <w:pPr>
        <w:jc w:val="center"/>
        <w:rPr>
          <w:rFonts w:hint="eastAsia" w:ascii="Times New Roman" w:hAnsi="Times New Roman"/>
          <w:sz w:val="36"/>
          <w:szCs w:val="36"/>
          <w:lang w:eastAsia="zh-CN"/>
        </w:rPr>
      </w:pPr>
    </w:p>
    <w:p w14:paraId="7E8F5CAE">
      <w:pPr>
        <w:jc w:val="center"/>
        <w:rPr>
          <w:rFonts w:ascii="Times New Roman" w:hAnsi="Times New Roman" w:eastAsia="黑体"/>
          <w:sz w:val="36"/>
          <w:szCs w:val="36"/>
        </w:rPr>
      </w:pPr>
    </w:p>
    <w:p w14:paraId="7FBA77AF">
      <w:pPr>
        <w:tabs>
          <w:tab w:val="left" w:pos="2747"/>
          <w:tab w:val="center" w:pos="4155"/>
        </w:tabs>
        <w:jc w:val="left"/>
        <w:rPr>
          <w:rFonts w:ascii="Times New Roman" w:hAnsi="Times New Roman" w:eastAsia="黑体"/>
          <w:sz w:val="32"/>
          <w:szCs w:val="32"/>
        </w:rPr>
      </w:pPr>
      <w:r>
        <w:rPr>
          <w:rFonts w:hint="eastAsia" w:ascii="Times New Roman" w:hAnsi="Times New Roman" w:eastAsia="黑体"/>
          <w:sz w:val="32"/>
          <w:szCs w:val="32"/>
          <w:lang w:eastAsia="zh-CN"/>
        </w:rPr>
        <w:tab/>
      </w:r>
      <w:r>
        <w:rPr>
          <w:rFonts w:hint="eastAsia" w:ascii="Times New Roman" w:hAnsi="Times New Roman" w:eastAsia="黑体"/>
          <w:sz w:val="32"/>
          <w:szCs w:val="32"/>
          <w:lang w:val="en-US" w:eastAsia="zh-CN"/>
        </w:rPr>
        <w:t>2024</w:t>
      </w:r>
      <w:r>
        <w:rPr>
          <w:rFonts w:hint="eastAsia" w:ascii="Times New Roman" w:hAnsi="Times New Roman" w:eastAsia="黑体"/>
          <w:sz w:val="32"/>
          <w:szCs w:val="32"/>
          <w:lang w:eastAsia="zh-CN"/>
        </w:rPr>
        <w:tab/>
      </w:r>
      <w:r>
        <w:rPr>
          <w:rFonts w:ascii="Times New Roman" w:hAnsi="Times New Roman" w:eastAsia="黑体"/>
          <w:sz w:val="32"/>
          <w:szCs w:val="32"/>
        </w:rPr>
        <w:t>年</w:t>
      </w:r>
      <w:r>
        <w:rPr>
          <w:rFonts w:hint="eastAsia" w:ascii="Times New Roman" w:hAnsi="Times New Roman" w:eastAsia="黑体"/>
          <w:sz w:val="32"/>
          <w:szCs w:val="32"/>
          <w:lang w:val="en-US" w:eastAsia="zh-CN"/>
        </w:rPr>
        <w:t>3</w:t>
      </w:r>
      <w:r>
        <w:rPr>
          <w:rFonts w:ascii="Times New Roman" w:hAnsi="Times New Roman" w:eastAsia="黑体"/>
          <w:sz w:val="32"/>
          <w:szCs w:val="32"/>
        </w:rPr>
        <w:t xml:space="preserve">月 </w:t>
      </w:r>
      <w:r>
        <w:rPr>
          <w:rFonts w:hint="eastAsia" w:ascii="Times New Roman" w:hAnsi="Times New Roman" w:eastAsia="黑体"/>
          <w:sz w:val="32"/>
          <w:szCs w:val="32"/>
          <w:lang w:val="en-US" w:eastAsia="zh-CN"/>
        </w:rPr>
        <w:t>25</w:t>
      </w:r>
      <w:r>
        <w:rPr>
          <w:rFonts w:ascii="Times New Roman" w:hAnsi="Times New Roman" w:eastAsia="黑体"/>
          <w:sz w:val="32"/>
          <w:szCs w:val="32"/>
        </w:rPr>
        <w:t>日</w:t>
      </w:r>
    </w:p>
    <w:p w14:paraId="48D0E95B">
      <w:pPr>
        <w:jc w:val="center"/>
        <w:rPr>
          <w:rFonts w:ascii="Times New Roman" w:hAnsi="Times New Roman" w:eastAsia="黑体"/>
          <w:sz w:val="32"/>
          <w:szCs w:val="32"/>
        </w:rPr>
      </w:pPr>
    </w:p>
    <w:p w14:paraId="005E350C">
      <w:pPr>
        <w:spacing w:line="600" w:lineRule="exact"/>
        <w:rPr>
          <w:rFonts w:ascii="Times New Roman" w:hAnsi="Times New Roman" w:eastAsia="方正小标宋简体"/>
          <w:sz w:val="44"/>
          <w:szCs w:val="44"/>
        </w:rPr>
      </w:pPr>
    </w:p>
    <w:p w14:paraId="6ED1E9C8">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301A9639">
      <w:pPr>
        <w:spacing w:line="600" w:lineRule="exact"/>
        <w:jc w:val="center"/>
        <w:rPr>
          <w:rFonts w:hint="eastAsia" w:ascii="Times New Roman" w:hAnsi="Times New Roman" w:eastAsia="方正小标宋简体" w:cs="Times New Roman"/>
          <w:sz w:val="44"/>
          <w:szCs w:val="44"/>
          <w:lang w:val="en-US" w:eastAsia="en-US"/>
        </w:rPr>
      </w:pPr>
    </w:p>
    <w:p w14:paraId="4AFFAA1A">
      <w:pPr>
        <w:spacing w:line="600" w:lineRule="exact"/>
        <w:jc w:val="center"/>
        <w:rPr>
          <w:rFonts w:hint="eastAsia" w:ascii="Times New Roman" w:hAnsi="Times New Roman" w:eastAsia="方正小标宋简体" w:cs="Times New Roman"/>
          <w:sz w:val="44"/>
          <w:szCs w:val="44"/>
          <w:lang w:val="en-US" w:eastAsia="en-US"/>
        </w:rPr>
      </w:pPr>
    </w:p>
    <w:p w14:paraId="3D352B81">
      <w:pPr>
        <w:pStyle w:val="13"/>
        <w:widowControl/>
        <w:ind w:firstLine="640"/>
        <w:rPr>
          <w:rFonts w:hint="eastAsia" w:ascii="Times New Roman" w:hAnsi="Times New Roman" w:eastAsia="黑体" w:cs="Times New Roman"/>
          <w:sz w:val="32"/>
          <w:szCs w:val="32"/>
          <w:lang w:val="en-US" w:eastAsia="en-US"/>
        </w:rPr>
      </w:pPr>
      <w:r>
        <w:rPr>
          <w:rFonts w:hint="eastAsia" w:ascii="Times New Roman" w:hAnsi="Times New Roman" w:eastAsia="黑体" w:cs="Times New Roman"/>
          <w:sz w:val="32"/>
          <w:szCs w:val="32"/>
          <w:lang w:val="en-US" w:eastAsia="en-US"/>
        </w:rPr>
        <w:t xml:space="preserve">一、 </w:t>
      </w:r>
      <w:r>
        <w:rPr>
          <w:rFonts w:eastAsia="黑体"/>
          <w:sz w:val="32"/>
          <w:szCs w:val="32"/>
        </w:rPr>
        <w:t>部门、单位基本情况</w:t>
      </w:r>
    </w:p>
    <w:p w14:paraId="63DDBC35">
      <w:pPr>
        <w:wordWrap/>
        <w:adjustRightInd/>
        <w:snapToGrid/>
        <w:spacing w:before="305" w:after="0" w:line="40" w:lineRule="atLeast"/>
        <w:ind w:left="638" w:right="0" w:firstLine="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（一）单位主要职责</w:t>
      </w:r>
    </w:p>
    <w:p w14:paraId="6B6D9D82">
      <w:pPr>
        <w:wordWrap/>
        <w:adjustRightInd/>
        <w:snapToGrid/>
        <w:spacing w:before="283" w:after="0" w:line="40" w:lineRule="atLeast"/>
        <w:ind w:left="960" w:right="0" w:firstLine="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为经济社会发展提供公路交通保障。国省干线公路、</w:t>
      </w:r>
    </w:p>
    <w:p w14:paraId="181A9350">
      <w:pPr>
        <w:wordWrap/>
        <w:adjustRightInd/>
        <w:snapToGrid/>
        <w:spacing w:before="192" w:after="0" w:line="40" w:lineRule="atLeast"/>
        <w:ind w:left="0" w:right="0" w:firstLine="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农村公路建设与养护；公路抢修与保通公路绿化；路产路权</w:t>
      </w:r>
    </w:p>
    <w:p w14:paraId="6C4E1574">
      <w:pPr>
        <w:wordWrap/>
        <w:adjustRightInd/>
        <w:snapToGrid/>
        <w:spacing w:before="192" w:after="0" w:line="40" w:lineRule="atLeast"/>
        <w:ind w:left="0" w:right="0" w:firstLine="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维护；协助路政管理。</w:t>
      </w:r>
    </w:p>
    <w:p w14:paraId="30251BE9">
      <w:pPr>
        <w:wordWrap/>
        <w:adjustRightInd/>
        <w:snapToGrid/>
        <w:spacing w:before="189" w:after="0" w:line="40" w:lineRule="atLeast"/>
        <w:ind w:left="638" w:right="0" w:firstLine="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承担辖区内国省干线公路和农村公路、桥梁的建设、养</w:t>
      </w:r>
    </w:p>
    <w:p w14:paraId="74DF867F">
      <w:pPr>
        <w:wordWrap/>
        <w:adjustRightInd/>
        <w:snapToGrid/>
        <w:spacing w:before="192" w:after="0" w:line="40" w:lineRule="atLeast"/>
        <w:ind w:left="0" w:right="0" w:firstLine="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护和管理职责。</w:t>
      </w:r>
    </w:p>
    <w:p w14:paraId="283923E9">
      <w:pPr>
        <w:wordWrap/>
        <w:adjustRightInd/>
        <w:snapToGrid/>
        <w:spacing w:before="192" w:after="0" w:line="40" w:lineRule="atLeast"/>
        <w:ind w:left="638" w:right="0" w:firstLine="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负责编制并组织实施辖区内管养公路的发展规划和养</w:t>
      </w:r>
    </w:p>
    <w:p w14:paraId="7AF154CB">
      <w:pPr>
        <w:wordWrap/>
        <w:adjustRightInd/>
        <w:snapToGrid/>
        <w:spacing w:before="189" w:after="0" w:line="40" w:lineRule="atLeast"/>
        <w:ind w:left="0" w:right="0" w:firstLine="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护计划。</w:t>
      </w:r>
    </w:p>
    <w:p w14:paraId="68DFF646">
      <w:pPr>
        <w:wordWrap/>
        <w:adjustRightInd/>
        <w:snapToGrid/>
        <w:spacing w:before="192" w:after="0" w:line="40" w:lineRule="atLeast"/>
        <w:ind w:left="638" w:right="0" w:firstLine="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负责所管养公路及附属设施的建设、日常养护、改造升</w:t>
      </w:r>
    </w:p>
    <w:p w14:paraId="7A4428D4">
      <w:pPr>
        <w:wordWrap/>
        <w:adjustRightInd/>
        <w:snapToGrid/>
        <w:spacing w:before="192" w:after="0" w:line="40" w:lineRule="atLeast"/>
        <w:ind w:left="0" w:right="0" w:firstLine="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级、绿化工作、公路安防工程等。</w:t>
      </w:r>
    </w:p>
    <w:p w14:paraId="3904693A">
      <w:pPr>
        <w:widowControl w:val="0"/>
        <w:wordWrap/>
        <w:adjustRightInd/>
        <w:snapToGrid/>
        <w:spacing w:before="189" w:after="0" w:line="360" w:lineRule="auto"/>
        <w:ind w:right="0" w:firstLine="640" w:firstLineChars="20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协助所管养公路、桥梁的路政管理；参与、协助公路沿</w:t>
      </w:r>
    </w:p>
    <w:p w14:paraId="725233B7">
      <w:pPr>
        <w:widowControl w:val="0"/>
        <w:wordWrap/>
        <w:adjustRightInd/>
        <w:snapToGrid/>
        <w:spacing w:before="189" w:after="0" w:line="360" w:lineRule="auto"/>
        <w:ind w:right="0" w:firstLine="640" w:firstLineChars="20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线户外广告设置管理；协助查处侵占公路用地、破坏公路设</w:t>
      </w:r>
    </w:p>
    <w:p w14:paraId="4153F11B">
      <w:pPr>
        <w:widowControl w:val="0"/>
        <w:wordWrap/>
        <w:adjustRightInd/>
        <w:snapToGrid/>
        <w:spacing w:before="189" w:after="0" w:line="360" w:lineRule="auto"/>
        <w:ind w:right="0" w:firstLine="640" w:firstLineChars="200"/>
        <w:jc w:val="left"/>
        <w:textAlignment w:val="auto"/>
        <w:rPr>
          <w:rFonts w:hint="eastAsia" w:ascii="仿宋" w:hAnsi="仿宋" w:eastAsia="仿宋" w:cs="仿宋"/>
          <w:color w:val="000000"/>
          <w:kern w:val="2"/>
          <w:sz w:val="32"/>
          <w:szCs w:val="32"/>
          <w:highlight w:val="none"/>
          <w:lang w:val="en-US" w:eastAsia="en-US" w:bidi="ar-SA"/>
        </w:rPr>
      </w:pPr>
      <w:bookmarkStart w:id="0" w:name="br1_2"/>
      <w:bookmarkEnd w:id="0"/>
      <w:bookmarkStart w:id="1" w:name="br1_1"/>
      <w:bookmarkEnd w:id="1"/>
      <w:r>
        <w:rPr>
          <w:rFonts w:hint="eastAsia" w:ascii="仿宋" w:hAnsi="仿宋" w:eastAsia="仿宋" w:cs="仿宋"/>
          <w:color w:val="000000"/>
          <w:kern w:val="2"/>
          <w:sz w:val="32"/>
          <w:szCs w:val="32"/>
          <w:highlight w:val="none"/>
          <w:lang w:val="en-US" w:eastAsia="en-US" w:bidi="ar-SA"/>
        </w:rPr>
        <w:t>施等违法、违规、违章行为，依法维护公路产权等工作。</w:t>
      </w:r>
    </w:p>
    <w:p w14:paraId="2719F75E">
      <w:pPr>
        <w:widowControl w:val="0"/>
        <w:wordWrap/>
        <w:adjustRightInd/>
        <w:snapToGrid/>
        <w:spacing w:before="189" w:after="0" w:line="360" w:lineRule="auto"/>
        <w:ind w:right="0" w:firstLine="640" w:firstLineChars="200"/>
        <w:jc w:val="left"/>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（二）机构设置</w:t>
      </w:r>
    </w:p>
    <w:p w14:paraId="722B2C7B">
      <w:pPr>
        <w:widowControl w:val="0"/>
        <w:wordWrap/>
        <w:adjustRightInd/>
        <w:snapToGrid/>
        <w:spacing w:before="189" w:after="0" w:line="360" w:lineRule="auto"/>
        <w:ind w:right="0" w:firstLine="640" w:firstLineChars="20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我单位现有内设科室10个，在职人员</w:t>
      </w:r>
      <w:r>
        <w:rPr>
          <w:rFonts w:hint="eastAsia" w:ascii="仿宋" w:hAnsi="仿宋" w:eastAsia="仿宋" w:cs="仿宋"/>
          <w:color w:val="000000"/>
          <w:kern w:val="2"/>
          <w:sz w:val="32"/>
          <w:szCs w:val="32"/>
          <w:highlight w:val="none"/>
          <w:lang w:val="en-US" w:eastAsia="zh-CN" w:bidi="ar-SA"/>
        </w:rPr>
        <w:t>32</w:t>
      </w:r>
      <w:r>
        <w:rPr>
          <w:rFonts w:hint="eastAsia" w:ascii="仿宋" w:hAnsi="仿宋" w:eastAsia="仿宋" w:cs="仿宋"/>
          <w:color w:val="000000"/>
          <w:kern w:val="2"/>
          <w:sz w:val="32"/>
          <w:szCs w:val="32"/>
          <w:highlight w:val="none"/>
          <w:lang w:val="en-US" w:eastAsia="en-US" w:bidi="ar-SA"/>
        </w:rPr>
        <w:t>人，退休人员</w:t>
      </w:r>
      <w:r>
        <w:rPr>
          <w:rFonts w:hint="eastAsia" w:ascii="仿宋" w:hAnsi="仿宋" w:eastAsia="仿宋" w:cs="仿宋"/>
          <w:color w:val="000000"/>
          <w:kern w:val="2"/>
          <w:sz w:val="32"/>
          <w:szCs w:val="32"/>
          <w:highlight w:val="none"/>
          <w:lang w:val="en-US" w:eastAsia="zh-CN" w:bidi="ar-SA"/>
        </w:rPr>
        <w:t>31</w:t>
      </w:r>
      <w:r>
        <w:rPr>
          <w:rFonts w:hint="eastAsia" w:ascii="仿宋" w:hAnsi="仿宋" w:eastAsia="仿宋" w:cs="仿宋"/>
          <w:color w:val="000000"/>
          <w:kern w:val="2"/>
          <w:sz w:val="32"/>
          <w:szCs w:val="32"/>
          <w:highlight w:val="none"/>
          <w:lang w:val="en-US" w:eastAsia="en-US" w:bidi="ar-SA"/>
        </w:rPr>
        <w:t>人，属市</w:t>
      </w:r>
      <w:r>
        <w:rPr>
          <w:rFonts w:hint="eastAsia" w:ascii="仿宋" w:hAnsi="仿宋" w:eastAsia="仿宋" w:cs="仿宋"/>
          <w:color w:val="000000"/>
          <w:kern w:val="2"/>
          <w:sz w:val="32"/>
          <w:szCs w:val="32"/>
          <w:highlight w:val="none"/>
          <w:lang w:val="en-US" w:eastAsia="zh-CN" w:bidi="ar-SA"/>
        </w:rPr>
        <w:t>二</w:t>
      </w:r>
      <w:r>
        <w:rPr>
          <w:rFonts w:hint="eastAsia" w:ascii="仿宋" w:hAnsi="仿宋" w:eastAsia="仿宋" w:cs="仿宋"/>
          <w:color w:val="000000"/>
          <w:kern w:val="2"/>
          <w:sz w:val="32"/>
          <w:szCs w:val="32"/>
          <w:highlight w:val="none"/>
          <w:lang w:val="en-US" w:eastAsia="en-US" w:bidi="ar-SA"/>
        </w:rPr>
        <w:t>级预算单位。</w:t>
      </w:r>
    </w:p>
    <w:p w14:paraId="6152A75A">
      <w:pPr>
        <w:pStyle w:val="13"/>
        <w:widowControl/>
        <w:numPr>
          <w:ilvl w:val="0"/>
          <w:numId w:val="1"/>
        </w:numPr>
        <w:ind w:firstLine="64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一般公共预算支出情况</w:t>
      </w:r>
    </w:p>
    <w:p w14:paraId="267827AD">
      <w:pPr>
        <w:spacing w:line="520" w:lineRule="exact"/>
        <w:ind w:firstLine="560"/>
        <w:rPr>
          <w:rFonts w:hint="eastAsia" w:ascii="Times New Roman" w:hAnsi="Times New Roman" w:eastAsia="黑体" w:cs="Times New Roman"/>
          <w:sz w:val="32"/>
          <w:szCs w:val="32"/>
        </w:rPr>
      </w:pPr>
      <w:r>
        <w:rPr>
          <w:rFonts w:hint="eastAsia" w:ascii="仿宋" w:hAnsi="仿宋" w:eastAsia="仿宋" w:cs="仿宋_GB2312"/>
          <w:kern w:val="1"/>
          <w:sz w:val="32"/>
          <w:szCs w:val="32"/>
        </w:rPr>
        <w:t>202</w:t>
      </w:r>
      <w:r>
        <w:rPr>
          <w:rFonts w:hint="eastAsia" w:ascii="仿宋" w:hAnsi="仿宋" w:eastAsia="仿宋" w:cs="仿宋_GB2312"/>
          <w:kern w:val="1"/>
          <w:sz w:val="32"/>
          <w:szCs w:val="32"/>
          <w:lang w:val="en-US" w:eastAsia="zh-CN"/>
        </w:rPr>
        <w:t>3</w:t>
      </w:r>
      <w:r>
        <w:rPr>
          <w:rFonts w:hint="eastAsia" w:ascii="仿宋" w:hAnsi="仿宋" w:eastAsia="仿宋" w:cs="仿宋_GB2312"/>
          <w:kern w:val="1"/>
          <w:sz w:val="32"/>
          <w:szCs w:val="32"/>
        </w:rPr>
        <w:t>年我</w:t>
      </w:r>
      <w:r>
        <w:rPr>
          <w:rFonts w:hint="eastAsia" w:ascii="仿宋" w:hAnsi="仿宋" w:eastAsia="仿宋" w:cs="仿宋_GB2312"/>
          <w:kern w:val="1"/>
          <w:sz w:val="32"/>
          <w:szCs w:val="32"/>
          <w:lang w:eastAsia="zh-CN"/>
        </w:rPr>
        <w:t>雁峰分中心</w:t>
      </w:r>
      <w:r>
        <w:rPr>
          <w:rFonts w:hint="eastAsia" w:ascii="仿宋" w:hAnsi="仿宋" w:eastAsia="仿宋" w:cs="仿宋_GB2312"/>
          <w:kern w:val="1"/>
          <w:sz w:val="32"/>
          <w:szCs w:val="32"/>
          <w:lang w:val="en-US" w:eastAsia="zh-CN"/>
        </w:rPr>
        <w:t>一般公共预算数1180.76万元,全部来源于财政拨款</w:t>
      </w:r>
      <w:r>
        <w:rPr>
          <w:rFonts w:hint="eastAsia" w:ascii="仿宋" w:hAnsi="仿宋" w:eastAsia="仿宋" w:cs="仿宋_GB2312"/>
          <w:kern w:val="1"/>
          <w:sz w:val="32"/>
          <w:szCs w:val="32"/>
        </w:rPr>
        <w:t>资金</w:t>
      </w:r>
      <w:r>
        <w:rPr>
          <w:rFonts w:hint="eastAsia" w:ascii="仿宋" w:hAnsi="仿宋" w:eastAsia="仿宋" w:cs="仿宋_GB2312"/>
          <w:kern w:val="1"/>
          <w:sz w:val="32"/>
          <w:szCs w:val="32"/>
          <w:lang w:val="en-US" w:eastAsia="zh-CN"/>
        </w:rPr>
        <w:t>。</w:t>
      </w:r>
    </w:p>
    <w:p w14:paraId="4532B0C2">
      <w:pPr>
        <w:pStyle w:val="13"/>
        <w:widowControl/>
        <w:wordWrap/>
        <w:adjustRightInd/>
        <w:snapToGrid/>
        <w:spacing w:line="40" w:lineRule="atLeast"/>
        <w:ind w:firstLine="643"/>
        <w:textAlignment w:val="auto"/>
        <w:rPr>
          <w:rFonts w:eastAsia="楷体"/>
          <w:b/>
          <w:color w:val="000000"/>
          <w:sz w:val="32"/>
          <w:szCs w:val="32"/>
          <w:highlight w:val="none"/>
        </w:rPr>
      </w:pPr>
      <w:r>
        <w:rPr>
          <w:rFonts w:hint="eastAsia" w:eastAsia="楷体"/>
          <w:b/>
          <w:color w:val="000000"/>
          <w:sz w:val="32"/>
          <w:szCs w:val="32"/>
          <w:highlight w:val="none"/>
        </w:rPr>
        <w:t>（</w:t>
      </w:r>
      <w:r>
        <w:rPr>
          <w:rFonts w:hint="eastAsia" w:ascii="Times New Roman" w:hAnsi="Times New Roman" w:eastAsia="楷体" w:cs="Times New Roman"/>
          <w:b/>
          <w:sz w:val="32"/>
          <w:szCs w:val="32"/>
        </w:rPr>
        <w:t>一）基本支出情况</w:t>
      </w:r>
    </w:p>
    <w:p w14:paraId="63FAD7A0">
      <w:pPr>
        <w:widowControl w:val="0"/>
        <w:wordWrap/>
        <w:adjustRightInd/>
        <w:snapToGrid/>
        <w:spacing w:before="189" w:after="0" w:line="360" w:lineRule="auto"/>
        <w:ind w:right="0" w:firstLine="640" w:firstLineChars="20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202</w:t>
      </w:r>
      <w:r>
        <w:rPr>
          <w:rFonts w:hint="eastAsia" w:ascii="仿宋" w:hAnsi="仿宋" w:eastAsia="仿宋" w:cs="仿宋"/>
          <w:color w:val="000000"/>
          <w:kern w:val="2"/>
          <w:sz w:val="32"/>
          <w:szCs w:val="32"/>
          <w:highlight w:val="none"/>
          <w:lang w:val="en-US" w:eastAsia="zh-CN" w:bidi="ar-SA"/>
        </w:rPr>
        <w:t>3</w:t>
      </w:r>
      <w:r>
        <w:rPr>
          <w:rFonts w:hint="eastAsia" w:ascii="仿宋" w:hAnsi="仿宋" w:eastAsia="仿宋" w:cs="仿宋"/>
          <w:color w:val="000000"/>
          <w:kern w:val="2"/>
          <w:sz w:val="32"/>
          <w:szCs w:val="32"/>
          <w:highlight w:val="none"/>
          <w:lang w:val="en-US" w:eastAsia="en-US" w:bidi="ar-SA"/>
        </w:rPr>
        <w:t>年全年基本支出总计</w:t>
      </w:r>
      <w:r>
        <w:rPr>
          <w:rFonts w:hint="eastAsia" w:ascii="仿宋" w:hAnsi="仿宋" w:eastAsia="仿宋" w:cs="仿宋"/>
          <w:color w:val="000000"/>
          <w:kern w:val="2"/>
          <w:sz w:val="32"/>
          <w:szCs w:val="32"/>
          <w:highlight w:val="none"/>
          <w:lang w:val="en-US" w:eastAsia="zh-CN" w:bidi="ar-SA"/>
        </w:rPr>
        <w:t>724.73万</w:t>
      </w:r>
      <w:r>
        <w:rPr>
          <w:rFonts w:hint="eastAsia" w:ascii="仿宋" w:hAnsi="仿宋" w:eastAsia="仿宋" w:cs="仿宋"/>
          <w:color w:val="000000"/>
          <w:kern w:val="2"/>
          <w:sz w:val="32"/>
          <w:szCs w:val="32"/>
          <w:highlight w:val="none"/>
          <w:lang w:val="en-US" w:eastAsia="en-US" w:bidi="ar-SA"/>
        </w:rPr>
        <w:t>元，其中包括以下几个方面：</w:t>
      </w:r>
    </w:p>
    <w:p w14:paraId="651F6A56">
      <w:pPr>
        <w:widowControl w:val="0"/>
        <w:wordWrap/>
        <w:adjustRightInd/>
        <w:snapToGrid/>
        <w:spacing w:before="189" w:after="0" w:line="360" w:lineRule="auto"/>
        <w:ind w:right="0" w:firstLine="640" w:firstLineChars="200"/>
        <w:jc w:val="left"/>
        <w:textAlignment w:val="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en-US" w:bidi="ar-SA"/>
        </w:rPr>
        <w:t>1、工资福利支出</w:t>
      </w:r>
      <w:r>
        <w:rPr>
          <w:rFonts w:hint="eastAsia" w:ascii="仿宋" w:hAnsi="仿宋" w:eastAsia="仿宋" w:cs="仿宋"/>
          <w:color w:val="000000"/>
          <w:kern w:val="2"/>
          <w:sz w:val="32"/>
          <w:szCs w:val="32"/>
          <w:highlight w:val="none"/>
          <w:lang w:val="en-US" w:eastAsia="zh-CN" w:bidi="ar-SA"/>
        </w:rPr>
        <w:t>566.93</w:t>
      </w:r>
      <w:r>
        <w:rPr>
          <w:rFonts w:hint="eastAsia" w:ascii="仿宋" w:hAnsi="仿宋" w:eastAsia="仿宋" w:cs="仿宋"/>
          <w:color w:val="000000"/>
          <w:kern w:val="2"/>
          <w:sz w:val="32"/>
          <w:szCs w:val="32"/>
          <w:highlight w:val="none"/>
          <w:lang w:val="en-US" w:eastAsia="en-US" w:bidi="ar-SA"/>
        </w:rPr>
        <w:t>万元，占基本支出的</w:t>
      </w:r>
      <w:r>
        <w:rPr>
          <w:rFonts w:hint="eastAsia" w:ascii="仿宋" w:hAnsi="仿宋" w:eastAsia="仿宋" w:cs="仿宋"/>
          <w:color w:val="000000"/>
          <w:kern w:val="2"/>
          <w:sz w:val="32"/>
          <w:szCs w:val="32"/>
          <w:highlight w:val="none"/>
          <w:lang w:val="en-US" w:eastAsia="zh-CN" w:bidi="ar-SA"/>
        </w:rPr>
        <w:t>78.23</w:t>
      </w:r>
      <w:r>
        <w:rPr>
          <w:rFonts w:hint="eastAsia" w:ascii="仿宋" w:hAnsi="仿宋" w:eastAsia="仿宋" w:cs="仿宋"/>
          <w:color w:val="000000"/>
          <w:kern w:val="2"/>
          <w:sz w:val="32"/>
          <w:szCs w:val="32"/>
          <w:highlight w:val="none"/>
          <w:lang w:val="en-US" w:eastAsia="en-US" w:bidi="ar-SA"/>
        </w:rPr>
        <w:t>%</w:t>
      </w:r>
      <w:r>
        <w:rPr>
          <w:rFonts w:hint="eastAsia" w:ascii="仿宋" w:hAnsi="仿宋" w:eastAsia="仿宋" w:cs="仿宋"/>
          <w:color w:val="000000"/>
          <w:kern w:val="2"/>
          <w:sz w:val="32"/>
          <w:szCs w:val="32"/>
          <w:highlight w:val="none"/>
          <w:lang w:val="en-US" w:eastAsia="zh-CN" w:bidi="ar-SA"/>
        </w:rPr>
        <w:t>，</w:t>
      </w:r>
      <w:r>
        <w:rPr>
          <w:rFonts w:hint="eastAsia" w:ascii="仿宋" w:hAnsi="仿宋" w:eastAsia="仿宋" w:cs="仿宋"/>
          <w:color w:val="000000"/>
          <w:kern w:val="2"/>
          <w:sz w:val="32"/>
          <w:szCs w:val="32"/>
          <w:highlight w:val="none"/>
          <w:lang w:val="en-US" w:eastAsia="en-US" w:bidi="ar-SA"/>
        </w:rPr>
        <w:t>主要用于在职干部职工工资、绩效奖励、养老保险、医疗保险等保障缴费等。</w:t>
      </w:r>
    </w:p>
    <w:p w14:paraId="1E6717F2">
      <w:pPr>
        <w:widowControl w:val="0"/>
        <w:wordWrap/>
        <w:adjustRightInd/>
        <w:snapToGrid/>
        <w:spacing w:before="189" w:after="0" w:line="360" w:lineRule="auto"/>
        <w:ind w:right="0" w:firstLine="640" w:firstLineChars="20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2、商品和服务支出</w:t>
      </w:r>
      <w:r>
        <w:rPr>
          <w:rFonts w:hint="eastAsia" w:ascii="仿宋" w:hAnsi="仿宋" w:eastAsia="仿宋" w:cs="仿宋"/>
          <w:color w:val="000000"/>
          <w:kern w:val="2"/>
          <w:sz w:val="32"/>
          <w:szCs w:val="32"/>
          <w:highlight w:val="none"/>
          <w:lang w:val="en-US" w:eastAsia="zh-CN" w:bidi="ar-SA"/>
        </w:rPr>
        <w:t>59.75</w:t>
      </w:r>
      <w:r>
        <w:rPr>
          <w:rFonts w:hint="eastAsia" w:ascii="仿宋" w:hAnsi="仿宋" w:eastAsia="仿宋" w:cs="仿宋"/>
          <w:color w:val="000000"/>
          <w:kern w:val="2"/>
          <w:sz w:val="32"/>
          <w:szCs w:val="32"/>
          <w:highlight w:val="none"/>
          <w:lang w:val="en-US" w:eastAsia="en-US" w:bidi="ar-SA"/>
        </w:rPr>
        <w:t>万元，占基本支出的</w:t>
      </w:r>
      <w:r>
        <w:rPr>
          <w:rFonts w:hint="eastAsia" w:ascii="仿宋" w:hAnsi="仿宋" w:eastAsia="仿宋" w:cs="仿宋"/>
          <w:color w:val="000000"/>
          <w:kern w:val="2"/>
          <w:sz w:val="32"/>
          <w:szCs w:val="32"/>
          <w:highlight w:val="none"/>
          <w:lang w:val="en-US" w:eastAsia="zh-CN" w:bidi="ar-SA"/>
        </w:rPr>
        <w:t>8.24</w:t>
      </w:r>
      <w:r>
        <w:rPr>
          <w:rFonts w:hint="eastAsia" w:ascii="仿宋" w:hAnsi="仿宋" w:eastAsia="仿宋" w:cs="仿宋"/>
          <w:color w:val="000000"/>
          <w:kern w:val="2"/>
          <w:sz w:val="32"/>
          <w:szCs w:val="32"/>
          <w:highlight w:val="none"/>
          <w:lang w:val="en-US" w:eastAsia="en-US" w:bidi="ar-SA"/>
        </w:rPr>
        <w:t>%，主要用于为保障基本运行而发生的水费、电费、物业管理费、办公费、印刷费、邮电费、维修费、差旅费等。</w:t>
      </w:r>
    </w:p>
    <w:p w14:paraId="28F5C823">
      <w:pPr>
        <w:wordWrap/>
        <w:adjustRightInd/>
        <w:snapToGrid/>
        <w:spacing w:before="189" w:after="0" w:line="360" w:lineRule="auto"/>
        <w:ind w:right="0" w:firstLine="640" w:firstLineChars="20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3、对个人及家庭的补助</w:t>
      </w:r>
      <w:r>
        <w:rPr>
          <w:rFonts w:hint="eastAsia" w:ascii="仿宋" w:hAnsi="仿宋" w:eastAsia="仿宋" w:cs="仿宋"/>
          <w:color w:val="000000"/>
          <w:kern w:val="2"/>
          <w:sz w:val="32"/>
          <w:szCs w:val="32"/>
          <w:highlight w:val="none"/>
          <w:lang w:val="en-US" w:eastAsia="zh-CN" w:bidi="ar-SA"/>
        </w:rPr>
        <w:t>98.05</w:t>
      </w:r>
      <w:r>
        <w:rPr>
          <w:rFonts w:hint="eastAsia" w:ascii="仿宋" w:hAnsi="仿宋" w:eastAsia="仿宋" w:cs="仿宋"/>
          <w:color w:val="000000"/>
          <w:kern w:val="2"/>
          <w:sz w:val="32"/>
          <w:szCs w:val="32"/>
          <w:highlight w:val="none"/>
          <w:lang w:val="en-US" w:eastAsia="en-US" w:bidi="ar-SA"/>
        </w:rPr>
        <w:t>万元。占基本</w:t>
      </w:r>
      <w:r>
        <w:rPr>
          <w:rFonts w:hint="eastAsia" w:ascii="仿宋" w:hAnsi="仿宋" w:eastAsia="仿宋" w:cs="仿宋"/>
          <w:color w:val="000000"/>
          <w:kern w:val="2"/>
          <w:sz w:val="32"/>
          <w:szCs w:val="32"/>
          <w:highlight w:val="none"/>
          <w:lang w:val="en-US" w:eastAsia="zh-CN" w:bidi="ar-SA"/>
        </w:rPr>
        <w:t>支出13.53</w:t>
      </w:r>
      <w:r>
        <w:rPr>
          <w:rFonts w:hint="eastAsia" w:ascii="仿宋" w:hAnsi="仿宋" w:eastAsia="仿宋" w:cs="仿宋"/>
          <w:color w:val="000000"/>
          <w:kern w:val="2"/>
          <w:sz w:val="32"/>
          <w:szCs w:val="32"/>
          <w:highlight w:val="none"/>
          <w:lang w:val="en-US" w:eastAsia="en-US" w:bidi="ar-SA"/>
        </w:rPr>
        <w:t>%，主要用于发放离退休人员绩效奖、抚恤金等。</w:t>
      </w:r>
    </w:p>
    <w:p w14:paraId="5EAF0A50">
      <w:pPr>
        <w:pStyle w:val="13"/>
        <w:widowControl/>
        <w:ind w:firstLine="643"/>
        <w:rPr>
          <w:rFonts w:hint="eastAsia" w:ascii="Times New Roman" w:hAnsi="Times New Roman" w:eastAsia="楷体" w:cs="Times New Roman"/>
          <w:b/>
          <w:sz w:val="32"/>
          <w:szCs w:val="32"/>
          <w:lang w:val="en-US" w:eastAsia="zh-CN"/>
        </w:rPr>
      </w:pPr>
      <w:r>
        <w:rPr>
          <w:rFonts w:hint="eastAsia" w:ascii="Times New Roman" w:hAnsi="Times New Roman" w:eastAsia="楷体" w:cs="Times New Roman"/>
          <w:b/>
          <w:sz w:val="32"/>
          <w:szCs w:val="32"/>
          <w:lang w:val="en-US" w:eastAsia="en-US"/>
        </w:rPr>
        <w:t>（二）项目支出</w:t>
      </w:r>
      <w:r>
        <w:rPr>
          <w:rFonts w:hint="eastAsia" w:eastAsia="楷体" w:cs="Times New Roman"/>
          <w:b/>
          <w:sz w:val="32"/>
          <w:szCs w:val="32"/>
          <w:lang w:val="en-US" w:eastAsia="zh-CN"/>
        </w:rPr>
        <w:t>情况</w:t>
      </w:r>
    </w:p>
    <w:p w14:paraId="034EEFEF">
      <w:pPr>
        <w:widowControl w:val="0"/>
        <w:wordWrap/>
        <w:adjustRightInd/>
        <w:snapToGrid/>
        <w:spacing w:before="189" w:after="0" w:line="360" w:lineRule="auto"/>
        <w:ind w:right="0" w:firstLine="640" w:firstLineChars="200"/>
        <w:jc w:val="left"/>
        <w:textAlignment w:val="auto"/>
        <w:rPr>
          <w:rFonts w:hint="eastAsia" w:ascii="Times New Roman" w:hAnsi="Times New Roman" w:eastAsia="楷体" w:cs="Times New Roman"/>
          <w:color w:val="000000"/>
          <w:kern w:val="2"/>
          <w:sz w:val="32"/>
          <w:szCs w:val="32"/>
          <w:highlight w:val="none"/>
          <w:lang w:val="en-US" w:eastAsia="en-US" w:bidi="ar-SA"/>
        </w:rPr>
      </w:pPr>
      <w:r>
        <w:rPr>
          <w:rFonts w:hint="eastAsia" w:ascii="仿宋" w:hAnsi="仿宋" w:eastAsia="仿宋" w:cs="仿宋_GB2312"/>
          <w:kern w:val="1"/>
          <w:sz w:val="32"/>
          <w:szCs w:val="32"/>
          <w:lang w:val="en-US" w:eastAsia="en-US"/>
        </w:rPr>
        <w:t>202</w:t>
      </w:r>
      <w:r>
        <w:rPr>
          <w:rFonts w:hint="eastAsia" w:ascii="仿宋" w:hAnsi="仿宋" w:eastAsia="仿宋" w:cs="仿宋_GB2312"/>
          <w:kern w:val="1"/>
          <w:sz w:val="32"/>
          <w:szCs w:val="32"/>
          <w:lang w:val="en-US" w:eastAsia="zh-CN"/>
        </w:rPr>
        <w:t>3</w:t>
      </w:r>
      <w:r>
        <w:rPr>
          <w:rFonts w:hint="eastAsia" w:ascii="仿宋" w:hAnsi="仿宋" w:eastAsia="仿宋" w:cs="仿宋_GB2312"/>
          <w:kern w:val="1"/>
          <w:sz w:val="32"/>
          <w:szCs w:val="32"/>
          <w:lang w:val="en-US" w:eastAsia="en-US"/>
        </w:rPr>
        <w:t>年全年项目总支出为</w:t>
      </w:r>
      <w:r>
        <w:rPr>
          <w:rFonts w:hint="eastAsia" w:ascii="仿宋" w:hAnsi="仿宋" w:eastAsia="仿宋" w:cs="仿宋_GB2312"/>
          <w:kern w:val="1"/>
          <w:sz w:val="32"/>
          <w:szCs w:val="32"/>
          <w:lang w:val="en-US" w:eastAsia="zh-CN"/>
        </w:rPr>
        <w:t>456.03</w:t>
      </w:r>
      <w:r>
        <w:rPr>
          <w:rFonts w:hint="eastAsia" w:ascii="仿宋" w:hAnsi="仿宋" w:eastAsia="仿宋" w:cs="仿宋_GB2312"/>
          <w:kern w:val="1"/>
          <w:sz w:val="32"/>
          <w:szCs w:val="32"/>
          <w:lang w:val="en-US" w:eastAsia="en-US"/>
        </w:rPr>
        <w:t>万元</w:t>
      </w:r>
      <w:r>
        <w:rPr>
          <w:rFonts w:hint="eastAsia" w:ascii="仿宋" w:hAnsi="仿宋" w:eastAsia="仿宋" w:cs="仿宋_GB2312"/>
          <w:kern w:val="1"/>
          <w:sz w:val="32"/>
          <w:szCs w:val="32"/>
          <w:lang w:val="en-US" w:eastAsia="zh-CN"/>
        </w:rPr>
        <w:t>。</w:t>
      </w:r>
      <w:r>
        <w:rPr>
          <w:rFonts w:hint="eastAsia" w:ascii="仿宋" w:hAnsi="仿宋" w:eastAsia="仿宋" w:cs="仿宋_GB2312"/>
          <w:kern w:val="1"/>
          <w:sz w:val="32"/>
          <w:szCs w:val="32"/>
        </w:rPr>
        <w:t>S219线破板处治</w:t>
      </w:r>
      <w:r>
        <w:rPr>
          <w:rFonts w:hint="eastAsia" w:ascii="仿宋" w:hAnsi="仿宋" w:eastAsia="仿宋" w:cs="仿宋_GB2312"/>
          <w:kern w:val="1"/>
          <w:sz w:val="32"/>
          <w:szCs w:val="32"/>
          <w:lang w:val="en-US" w:eastAsia="zh-CN"/>
        </w:rPr>
        <w:t>26.46万元，S219线安防设施精细化提升工程53.54万元，国省干线公路日常</w:t>
      </w:r>
      <w:r>
        <w:rPr>
          <w:rFonts w:hint="eastAsia" w:ascii="仿宋" w:hAnsi="仿宋" w:eastAsia="仿宋" w:cs="仿宋_GB2312"/>
          <w:kern w:val="1"/>
          <w:sz w:val="32"/>
          <w:szCs w:val="32"/>
        </w:rPr>
        <w:t>养护</w:t>
      </w:r>
      <w:r>
        <w:rPr>
          <w:rFonts w:hint="eastAsia" w:ascii="仿宋" w:hAnsi="仿宋" w:eastAsia="仿宋" w:cs="仿宋_GB2312"/>
          <w:kern w:val="1"/>
          <w:sz w:val="32"/>
          <w:szCs w:val="32"/>
          <w:lang w:val="en-US" w:eastAsia="zh-CN"/>
        </w:rPr>
        <w:t>55.46</w:t>
      </w:r>
      <w:r>
        <w:rPr>
          <w:rFonts w:hint="eastAsia" w:ascii="仿宋" w:hAnsi="仿宋" w:eastAsia="仿宋" w:cs="仿宋_GB2312"/>
          <w:kern w:val="1"/>
          <w:sz w:val="32"/>
          <w:szCs w:val="32"/>
        </w:rPr>
        <w:t>万元，</w:t>
      </w:r>
      <w:r>
        <w:rPr>
          <w:rFonts w:hint="eastAsia" w:ascii="仿宋" w:hAnsi="仿宋" w:eastAsia="仿宋" w:cs="仿宋_GB2312"/>
          <w:kern w:val="1"/>
          <w:sz w:val="32"/>
          <w:szCs w:val="32"/>
          <w:lang w:eastAsia="zh-CN"/>
        </w:rPr>
        <w:t>农村公路建设</w:t>
      </w:r>
      <w:r>
        <w:rPr>
          <w:rFonts w:hint="eastAsia" w:ascii="仿宋" w:hAnsi="仿宋" w:eastAsia="仿宋" w:cs="仿宋_GB2312"/>
          <w:kern w:val="1"/>
          <w:sz w:val="32"/>
          <w:szCs w:val="32"/>
          <w:lang w:val="en-US" w:eastAsia="zh-CN"/>
        </w:rPr>
        <w:t>42.50万元，</w:t>
      </w:r>
      <w:r>
        <w:rPr>
          <w:rFonts w:hint="eastAsia" w:ascii="仿宋" w:hAnsi="仿宋" w:eastAsia="仿宋" w:cs="仿宋_GB2312"/>
          <w:kern w:val="1"/>
          <w:sz w:val="32"/>
          <w:szCs w:val="32"/>
          <w:lang w:eastAsia="zh-CN"/>
        </w:rPr>
        <w:t>农村公路</w:t>
      </w:r>
      <w:r>
        <w:rPr>
          <w:rFonts w:hint="eastAsia" w:ascii="仿宋" w:hAnsi="仿宋" w:eastAsia="仿宋" w:cs="仿宋_GB2312"/>
          <w:kern w:val="1"/>
          <w:sz w:val="32"/>
          <w:szCs w:val="32"/>
        </w:rPr>
        <w:t>安防</w:t>
      </w:r>
      <w:r>
        <w:rPr>
          <w:rFonts w:hint="eastAsia" w:ascii="仿宋" w:hAnsi="仿宋" w:eastAsia="仿宋" w:cs="仿宋_GB2312"/>
          <w:kern w:val="1"/>
          <w:sz w:val="32"/>
          <w:szCs w:val="32"/>
          <w:lang w:val="en-US" w:eastAsia="zh-CN"/>
        </w:rPr>
        <w:t>工程41.75</w:t>
      </w:r>
      <w:r>
        <w:rPr>
          <w:rFonts w:hint="eastAsia" w:ascii="仿宋" w:hAnsi="仿宋" w:eastAsia="仿宋" w:cs="仿宋_GB2312"/>
          <w:kern w:val="1"/>
          <w:sz w:val="32"/>
          <w:szCs w:val="32"/>
        </w:rPr>
        <w:t>万元，</w:t>
      </w:r>
      <w:r>
        <w:rPr>
          <w:rFonts w:hint="eastAsia" w:ascii="仿宋" w:hAnsi="仿宋" w:eastAsia="仿宋" w:cs="仿宋_GB2312"/>
          <w:kern w:val="1"/>
          <w:sz w:val="32"/>
          <w:szCs w:val="32"/>
          <w:lang w:eastAsia="zh-CN"/>
        </w:rPr>
        <w:t>农村公路养护</w:t>
      </w:r>
      <w:r>
        <w:rPr>
          <w:rFonts w:hint="eastAsia" w:ascii="仿宋" w:hAnsi="仿宋" w:eastAsia="仿宋" w:cs="仿宋_GB2312"/>
          <w:kern w:val="1"/>
          <w:sz w:val="32"/>
          <w:szCs w:val="32"/>
          <w:lang w:val="en-US" w:eastAsia="zh-CN"/>
        </w:rPr>
        <w:t>180.72万元，</w:t>
      </w:r>
      <w:r>
        <w:rPr>
          <w:rFonts w:hint="eastAsia" w:ascii="仿宋" w:hAnsi="仿宋" w:eastAsia="仿宋" w:cs="仿宋_GB2312"/>
          <w:kern w:val="1"/>
          <w:sz w:val="32"/>
          <w:szCs w:val="32"/>
        </w:rPr>
        <w:t>危桥改造</w:t>
      </w:r>
      <w:r>
        <w:rPr>
          <w:rFonts w:hint="eastAsia" w:ascii="仿宋" w:hAnsi="仿宋" w:eastAsia="仿宋" w:cs="仿宋_GB2312"/>
          <w:kern w:val="1"/>
          <w:sz w:val="32"/>
          <w:szCs w:val="32"/>
          <w:lang w:val="en-US" w:eastAsia="zh-CN"/>
        </w:rPr>
        <w:t>55.60</w:t>
      </w:r>
      <w:r>
        <w:rPr>
          <w:rFonts w:hint="eastAsia" w:ascii="仿宋" w:hAnsi="仿宋" w:eastAsia="仿宋" w:cs="仿宋_GB2312"/>
          <w:kern w:val="1"/>
          <w:sz w:val="32"/>
          <w:szCs w:val="32"/>
        </w:rPr>
        <w:t>万元，合计</w:t>
      </w:r>
      <w:r>
        <w:rPr>
          <w:rFonts w:hint="eastAsia" w:ascii="仿宋" w:hAnsi="仿宋" w:eastAsia="仿宋" w:cs="仿宋_GB2312"/>
          <w:kern w:val="1"/>
          <w:sz w:val="32"/>
          <w:szCs w:val="32"/>
          <w:lang w:val="en-US" w:eastAsia="zh-CN"/>
        </w:rPr>
        <w:t>456.03</w:t>
      </w:r>
      <w:r>
        <w:rPr>
          <w:rFonts w:hint="eastAsia" w:ascii="仿宋" w:hAnsi="仿宋" w:eastAsia="仿宋" w:cs="仿宋_GB2312"/>
          <w:kern w:val="1"/>
          <w:sz w:val="32"/>
          <w:szCs w:val="32"/>
        </w:rPr>
        <w:t>万元。</w:t>
      </w:r>
    </w:p>
    <w:p w14:paraId="43BFA04E">
      <w:pPr>
        <w:pStyle w:val="13"/>
        <w:widowControl/>
        <w:wordWrap/>
        <w:adjustRightInd/>
        <w:snapToGrid/>
        <w:spacing w:line="40" w:lineRule="atLeast"/>
        <w:ind w:firstLine="640"/>
        <w:textAlignment w:val="auto"/>
        <w:rPr>
          <w:rFonts w:eastAsia="黑体"/>
          <w:color w:val="000000"/>
          <w:sz w:val="32"/>
          <w:szCs w:val="32"/>
          <w:highlight w:val="none"/>
        </w:rPr>
      </w:pPr>
      <w:r>
        <w:rPr>
          <w:rFonts w:hint="eastAsia" w:eastAsia="黑体"/>
          <w:color w:val="000000"/>
          <w:sz w:val="32"/>
          <w:szCs w:val="32"/>
          <w:highlight w:val="none"/>
        </w:rPr>
        <w:t>三、政府性基金预算支出情况</w:t>
      </w:r>
    </w:p>
    <w:p w14:paraId="7728E6AB">
      <w:pPr>
        <w:pStyle w:val="13"/>
        <w:widowControl/>
        <w:wordWrap/>
        <w:adjustRightInd/>
        <w:snapToGrid/>
        <w:spacing w:line="40" w:lineRule="atLeast"/>
        <w:ind w:firstLine="640"/>
        <w:textAlignment w:val="auto"/>
        <w:rPr>
          <w:rFonts w:eastAsia="黑体"/>
          <w:color w:val="000000"/>
          <w:sz w:val="32"/>
          <w:szCs w:val="32"/>
          <w:highlight w:val="none"/>
        </w:rPr>
      </w:pPr>
      <w:r>
        <w:rPr>
          <w:rFonts w:hint="eastAsia" w:eastAsia="黑体"/>
          <w:color w:val="000000"/>
          <w:sz w:val="32"/>
          <w:szCs w:val="32"/>
          <w:highlight w:val="none"/>
        </w:rPr>
        <w:t>政府性基金预算支出情况无</w:t>
      </w:r>
    </w:p>
    <w:p w14:paraId="33717189">
      <w:pPr>
        <w:pStyle w:val="13"/>
        <w:widowControl/>
        <w:wordWrap/>
        <w:adjustRightInd/>
        <w:snapToGrid/>
        <w:spacing w:line="40" w:lineRule="atLeast"/>
        <w:ind w:firstLine="640"/>
        <w:textAlignment w:val="auto"/>
        <w:rPr>
          <w:rFonts w:eastAsia="黑体"/>
          <w:color w:val="000000"/>
          <w:sz w:val="32"/>
          <w:szCs w:val="32"/>
          <w:highlight w:val="none"/>
        </w:rPr>
      </w:pPr>
      <w:r>
        <w:rPr>
          <w:rFonts w:hint="eastAsia" w:eastAsia="黑体"/>
          <w:color w:val="000000"/>
          <w:sz w:val="32"/>
          <w:szCs w:val="32"/>
          <w:highlight w:val="none"/>
        </w:rPr>
        <w:t>四、国有资本经营预算支出情况</w:t>
      </w:r>
    </w:p>
    <w:p w14:paraId="1C2FADF4">
      <w:pPr>
        <w:pStyle w:val="13"/>
        <w:widowControl/>
        <w:wordWrap/>
        <w:adjustRightInd/>
        <w:snapToGrid/>
        <w:spacing w:line="40" w:lineRule="atLeast"/>
        <w:ind w:firstLine="640"/>
        <w:textAlignment w:val="auto"/>
        <w:rPr>
          <w:rFonts w:eastAsia="黑体"/>
          <w:color w:val="000000"/>
          <w:sz w:val="32"/>
          <w:szCs w:val="32"/>
          <w:highlight w:val="none"/>
        </w:rPr>
      </w:pPr>
      <w:r>
        <w:rPr>
          <w:rFonts w:hint="eastAsia" w:eastAsia="黑体"/>
          <w:color w:val="000000"/>
          <w:sz w:val="32"/>
          <w:szCs w:val="32"/>
          <w:highlight w:val="none"/>
        </w:rPr>
        <w:t>国有资本经营预算支出情况无</w:t>
      </w:r>
    </w:p>
    <w:p w14:paraId="130538BC">
      <w:pPr>
        <w:pStyle w:val="13"/>
        <w:widowControl/>
        <w:wordWrap/>
        <w:adjustRightInd/>
        <w:snapToGrid/>
        <w:spacing w:line="40" w:lineRule="atLeast"/>
        <w:ind w:firstLine="640"/>
        <w:textAlignment w:val="auto"/>
        <w:rPr>
          <w:rFonts w:eastAsia="黑体"/>
          <w:color w:val="000000"/>
          <w:sz w:val="32"/>
          <w:szCs w:val="32"/>
          <w:highlight w:val="none"/>
        </w:rPr>
      </w:pPr>
      <w:r>
        <w:rPr>
          <w:rFonts w:hint="eastAsia" w:eastAsia="黑体"/>
          <w:color w:val="000000"/>
          <w:sz w:val="32"/>
          <w:szCs w:val="32"/>
          <w:highlight w:val="none"/>
        </w:rPr>
        <w:t>五、社会保险基金预算支出情况</w:t>
      </w:r>
    </w:p>
    <w:p w14:paraId="21A5D46D">
      <w:pPr>
        <w:pStyle w:val="13"/>
        <w:widowControl/>
        <w:wordWrap/>
        <w:adjustRightInd/>
        <w:snapToGrid/>
        <w:spacing w:line="40" w:lineRule="atLeast"/>
        <w:ind w:firstLine="640"/>
        <w:textAlignment w:val="auto"/>
        <w:rPr>
          <w:rFonts w:eastAsia="黑体"/>
          <w:color w:val="000000"/>
          <w:sz w:val="32"/>
          <w:szCs w:val="32"/>
          <w:highlight w:val="none"/>
        </w:rPr>
      </w:pPr>
      <w:r>
        <w:rPr>
          <w:rFonts w:hint="eastAsia" w:eastAsia="黑体"/>
          <w:color w:val="000000"/>
          <w:sz w:val="32"/>
          <w:szCs w:val="32"/>
          <w:highlight w:val="none"/>
        </w:rPr>
        <w:t>社会保险基金预算支出情况无</w:t>
      </w:r>
    </w:p>
    <w:p w14:paraId="3E5A380B">
      <w:pPr>
        <w:widowControl/>
        <w:wordWrap/>
        <w:adjustRightInd/>
        <w:snapToGrid/>
        <w:spacing w:line="40" w:lineRule="atLeast"/>
        <w:ind w:firstLine="640" w:firstLineChars="200"/>
        <w:textAlignment w:val="auto"/>
        <w:rPr>
          <w:rFonts w:ascii="Times New Roman" w:hAnsi="Times New Roman" w:eastAsia="黑体"/>
          <w:color w:val="000000"/>
          <w:sz w:val="32"/>
          <w:szCs w:val="32"/>
          <w:highlight w:val="none"/>
        </w:rPr>
      </w:pPr>
      <w:r>
        <w:rPr>
          <w:rFonts w:hint="eastAsia" w:ascii="Times New Roman" w:hAnsi="Times New Roman" w:eastAsia="黑体"/>
          <w:color w:val="000000"/>
          <w:sz w:val="32"/>
          <w:szCs w:val="32"/>
          <w:highlight w:val="none"/>
        </w:rPr>
        <w:t>六、部门整体支出绩效情况</w:t>
      </w:r>
    </w:p>
    <w:p w14:paraId="2AA09F0C">
      <w:pPr>
        <w:widowControl w:val="0"/>
        <w:wordWrap/>
        <w:adjustRightInd/>
        <w:snapToGrid/>
        <w:spacing w:before="189" w:after="0" w:line="360" w:lineRule="auto"/>
        <w:ind w:right="0" w:firstLine="640" w:firstLineChars="20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过去的一年，在市公路建设养护中心、区委区政府的正确领导下，认真贯彻落实全市公路工作会议精神和区委经济工作会议精神，立足实际、主动作为、建章立制、规范管理、重在强基，各项工作稳步推进，圆满完成了全年各项目标任务，实现了良好开局。</w:t>
      </w:r>
    </w:p>
    <w:p w14:paraId="15757D27">
      <w:pPr>
        <w:ind w:firstLine="640" w:firstLineChars="20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en-US" w:bidi="ar-SA"/>
        </w:rPr>
        <w:t>各项管理制度不断完善，干部职工各项待遇基本落实；国省干线路况水平稳步提升，农路养护实现全区覆盖，日常养护、预防性养护力度加大，危桥改造项目稳步推进，农村公路安防（民生实事）工程如期完成</w:t>
      </w:r>
      <w:r>
        <w:rPr>
          <w:rFonts w:hint="eastAsia" w:ascii="仿宋" w:hAnsi="仿宋" w:eastAsia="仿宋" w:cs="仿宋"/>
          <w:color w:val="000000"/>
          <w:kern w:val="2"/>
          <w:sz w:val="32"/>
          <w:szCs w:val="32"/>
          <w:highlight w:val="none"/>
          <w:lang w:val="en-US" w:eastAsia="zh-CN" w:bidi="ar-SA"/>
        </w:rPr>
        <w:t>。</w:t>
      </w:r>
    </w:p>
    <w:p w14:paraId="7568506E">
      <w:pPr>
        <w:ind w:firstLine="640" w:firstLineChars="200"/>
        <w:rPr>
          <w:rFonts w:hint="eastAsia" w:ascii="仿宋" w:hAnsi="仿宋" w:eastAsia="仿宋" w:cs="Arial"/>
          <w:color w:val="333333"/>
          <w:sz w:val="32"/>
          <w:szCs w:val="32"/>
          <w:lang w:val="en-US" w:eastAsia="zh-CN"/>
        </w:rPr>
      </w:pPr>
      <w:r>
        <w:rPr>
          <w:rFonts w:hint="eastAsia" w:ascii="仿宋" w:hAnsi="仿宋" w:eastAsia="仿宋" w:cs="仿宋_GB2312"/>
          <w:kern w:val="1"/>
          <w:sz w:val="32"/>
          <w:szCs w:val="32"/>
          <w:lang w:eastAsia="zh-CN"/>
        </w:rPr>
        <w:t>我分中心</w:t>
      </w:r>
      <w:r>
        <w:rPr>
          <w:rFonts w:hint="eastAsia" w:ascii="仿宋" w:hAnsi="仿宋" w:eastAsia="仿宋" w:cs="仿宋_GB2312"/>
          <w:kern w:val="1"/>
          <w:sz w:val="32"/>
          <w:szCs w:val="32"/>
        </w:rPr>
        <w:t>严格执行财政预算安排，采取项目合同管理和专款专用管理，不存在挤占挪用等违法违规行为</w:t>
      </w:r>
      <w:r>
        <w:rPr>
          <w:rFonts w:hint="eastAsia" w:ascii="仿宋" w:hAnsi="仿宋" w:eastAsia="仿宋" w:cs="仿宋_GB2312"/>
          <w:kern w:val="1"/>
          <w:sz w:val="32"/>
          <w:szCs w:val="32"/>
          <w:lang w:eastAsia="zh-CN"/>
        </w:rPr>
        <w:t>，实事求是，</w:t>
      </w:r>
      <w:r>
        <w:rPr>
          <w:rFonts w:hint="eastAsia" w:ascii="仿宋" w:hAnsi="仿宋" w:eastAsia="仿宋" w:cs="仿宋_GB2312"/>
          <w:kern w:val="1"/>
          <w:sz w:val="32"/>
          <w:szCs w:val="32"/>
        </w:rPr>
        <w:t>严格按照工程量对公支付</w:t>
      </w:r>
      <w:r>
        <w:rPr>
          <w:rFonts w:hint="eastAsia" w:ascii="仿宋" w:hAnsi="仿宋" w:eastAsia="仿宋" w:cs="仿宋_GB2312"/>
          <w:kern w:val="1"/>
          <w:sz w:val="32"/>
          <w:szCs w:val="32"/>
          <w:lang w:eastAsia="zh-CN"/>
        </w:rPr>
        <w:t>。</w:t>
      </w:r>
    </w:p>
    <w:p w14:paraId="58000CBE">
      <w:pPr>
        <w:widowControl w:val="0"/>
        <w:wordWrap/>
        <w:adjustRightInd/>
        <w:snapToGrid/>
        <w:spacing w:before="189" w:after="0" w:line="360" w:lineRule="auto"/>
        <w:ind w:right="0" w:firstLine="640" w:firstLineChars="200"/>
        <w:jc w:val="left"/>
        <w:textAlignment w:val="auto"/>
        <w:rPr>
          <w:rFonts w:hint="eastAsia" w:ascii="仿宋" w:hAnsi="仿宋" w:eastAsia="仿宋" w:cs="仿宋"/>
          <w:color w:val="000000"/>
          <w:kern w:val="2"/>
          <w:sz w:val="32"/>
          <w:szCs w:val="32"/>
          <w:highlight w:val="none"/>
          <w:lang w:val="en-US" w:eastAsia="zh-CN" w:bidi="ar-SA"/>
        </w:rPr>
      </w:pPr>
      <w:r>
        <w:rPr>
          <w:rFonts w:hint="default" w:ascii="仿宋" w:hAnsi="仿宋" w:eastAsia="仿宋" w:cs="仿宋"/>
          <w:color w:val="000000"/>
          <w:kern w:val="2"/>
          <w:sz w:val="32"/>
          <w:szCs w:val="32"/>
          <w:highlight w:val="none"/>
          <w:lang w:val="en-US" w:eastAsia="zh-CN" w:bidi="ar-SA"/>
        </w:rPr>
        <w:t>项目实施对经济效益、社会效益产生了良性影响，是发展民生、改善民生的需要。专项资金使用的经济性强、公平性高，可持续地对当地经济发展与民生生活水平产生良性影响，社会公众的满意度非常高。</w:t>
      </w:r>
    </w:p>
    <w:p w14:paraId="6CB0453C">
      <w:pPr>
        <w:pStyle w:val="13"/>
        <w:widowControl/>
        <w:wordWrap/>
        <w:adjustRightInd/>
        <w:snapToGrid/>
        <w:spacing w:line="40" w:lineRule="atLeast"/>
        <w:ind w:firstLine="640"/>
        <w:textAlignment w:val="auto"/>
        <w:rPr>
          <w:rFonts w:hint="eastAsia" w:ascii="Times New Roman" w:hAnsi="Times New Roman" w:eastAsia="黑体" w:cs="Times New Roman"/>
          <w:color w:val="000000"/>
          <w:kern w:val="2"/>
          <w:sz w:val="32"/>
          <w:szCs w:val="32"/>
          <w:highlight w:val="none"/>
          <w:lang w:val="en-US" w:eastAsia="zh-CN" w:bidi="ar-SA"/>
        </w:rPr>
      </w:pPr>
      <w:r>
        <w:rPr>
          <w:rFonts w:hint="eastAsia" w:ascii="Times New Roman" w:hAnsi="Times New Roman" w:eastAsia="黑体" w:cs="Times New Roman"/>
          <w:color w:val="000000"/>
          <w:kern w:val="2"/>
          <w:sz w:val="32"/>
          <w:szCs w:val="32"/>
          <w:highlight w:val="none"/>
          <w:lang w:val="en-US" w:eastAsia="zh-CN" w:bidi="ar-SA"/>
        </w:rPr>
        <w:t>七、存在的问题及原因分析</w:t>
      </w:r>
    </w:p>
    <w:p w14:paraId="4E83B45A">
      <w:pPr>
        <w:widowControl w:val="0"/>
        <w:wordWrap/>
        <w:adjustRightInd/>
        <w:snapToGrid/>
        <w:spacing w:before="189" w:after="0" w:line="360" w:lineRule="auto"/>
        <w:ind w:right="0" w:firstLine="640" w:firstLineChars="20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预算编制工作有待细化。预算编制不够明确和细化，预算编制不能只按编制人员数，而应按实际工作任务的多少、大小、强弱来定预算，预算编制的合理性需要提高，预算执行力度还要进一步加强。</w:t>
      </w:r>
    </w:p>
    <w:p w14:paraId="5A0975F7">
      <w:pPr>
        <w:widowControl w:val="0"/>
        <w:wordWrap/>
        <w:adjustRightInd/>
        <w:snapToGrid/>
        <w:spacing w:before="189" w:after="0" w:line="360" w:lineRule="auto"/>
        <w:ind w:right="0" w:firstLine="640" w:firstLineChars="200"/>
        <w:jc w:val="left"/>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我中心主要负责所在行政区域内的国省干线公路及农村公路的建设、养护和管理工作，公路养护</w:t>
      </w:r>
      <w:r>
        <w:rPr>
          <w:rFonts w:hint="eastAsia" w:ascii="仿宋" w:hAnsi="仿宋" w:eastAsia="仿宋" w:cs="仿宋"/>
          <w:color w:val="000000"/>
          <w:kern w:val="2"/>
          <w:sz w:val="32"/>
          <w:szCs w:val="32"/>
          <w:highlight w:val="none"/>
          <w:lang w:val="en-US" w:eastAsia="zh-CN" w:bidi="ar-SA"/>
        </w:rPr>
        <w:t>和建设虽</w:t>
      </w:r>
      <w:r>
        <w:rPr>
          <w:rFonts w:hint="eastAsia" w:ascii="仿宋" w:hAnsi="仿宋" w:eastAsia="仿宋" w:cs="仿宋"/>
          <w:color w:val="000000"/>
          <w:kern w:val="2"/>
          <w:sz w:val="32"/>
          <w:szCs w:val="32"/>
          <w:highlight w:val="none"/>
          <w:lang w:val="en-US" w:eastAsia="en-US" w:bidi="ar-SA"/>
        </w:rPr>
        <w:t>安排了经费，</w:t>
      </w:r>
      <w:r>
        <w:rPr>
          <w:rFonts w:hint="eastAsia" w:ascii="仿宋" w:hAnsi="仿宋" w:eastAsia="仿宋" w:cs="仿宋"/>
          <w:color w:val="000000"/>
          <w:kern w:val="2"/>
          <w:sz w:val="32"/>
          <w:szCs w:val="32"/>
          <w:highlight w:val="none"/>
          <w:lang w:val="en-US" w:eastAsia="zh-CN" w:bidi="ar-SA"/>
        </w:rPr>
        <w:t>但实际</w:t>
      </w:r>
      <w:r>
        <w:rPr>
          <w:rFonts w:hint="eastAsia" w:ascii="仿宋" w:hAnsi="仿宋" w:eastAsia="仿宋" w:cs="仿宋"/>
          <w:color w:val="000000"/>
          <w:kern w:val="2"/>
          <w:sz w:val="32"/>
          <w:szCs w:val="32"/>
          <w:highlight w:val="none"/>
          <w:lang w:val="en-US" w:eastAsia="en-US" w:bidi="ar-SA"/>
        </w:rPr>
        <w:t>经费</w:t>
      </w:r>
      <w:r>
        <w:rPr>
          <w:rFonts w:hint="eastAsia" w:ascii="仿宋" w:hAnsi="仿宋" w:eastAsia="仿宋" w:cs="仿宋"/>
          <w:color w:val="000000"/>
          <w:kern w:val="2"/>
          <w:sz w:val="32"/>
          <w:szCs w:val="32"/>
          <w:highlight w:val="none"/>
          <w:lang w:val="en-US" w:eastAsia="zh-CN" w:bidi="ar-SA"/>
        </w:rPr>
        <w:t>不足</w:t>
      </w:r>
      <w:r>
        <w:rPr>
          <w:rFonts w:hint="eastAsia" w:ascii="仿宋" w:hAnsi="仿宋" w:eastAsia="仿宋" w:cs="仿宋"/>
          <w:color w:val="000000"/>
          <w:kern w:val="2"/>
          <w:sz w:val="32"/>
          <w:szCs w:val="32"/>
          <w:highlight w:val="none"/>
          <w:lang w:val="en-US" w:eastAsia="en-US" w:bidi="ar-SA"/>
        </w:rPr>
        <w:t>，路面病害不能及时处治，存在较大安全隐患。</w:t>
      </w:r>
    </w:p>
    <w:p w14:paraId="6711B4EB">
      <w:pPr>
        <w:pStyle w:val="13"/>
        <w:widowControl/>
        <w:wordWrap/>
        <w:adjustRightInd/>
        <w:snapToGrid/>
        <w:spacing w:line="40" w:lineRule="atLeast"/>
        <w:ind w:firstLine="640"/>
        <w:textAlignment w:val="auto"/>
        <w:rPr>
          <w:rFonts w:hint="eastAsia" w:ascii="Times New Roman" w:hAnsi="Times New Roman" w:eastAsia="黑体" w:cs="Times New Roman"/>
          <w:color w:val="000000"/>
          <w:kern w:val="2"/>
          <w:sz w:val="32"/>
          <w:szCs w:val="32"/>
          <w:highlight w:val="none"/>
          <w:lang w:val="en-US" w:eastAsia="zh-CN" w:bidi="ar-SA"/>
        </w:rPr>
      </w:pPr>
      <w:r>
        <w:rPr>
          <w:rFonts w:hint="eastAsia" w:ascii="Times New Roman" w:hAnsi="Times New Roman" w:eastAsia="黑体" w:cs="Times New Roman"/>
          <w:color w:val="000000"/>
          <w:kern w:val="2"/>
          <w:sz w:val="32"/>
          <w:szCs w:val="32"/>
          <w:highlight w:val="none"/>
          <w:lang w:val="en-US" w:eastAsia="zh-CN" w:bidi="ar-SA"/>
        </w:rPr>
        <w:t>八、改进措施和有关建议</w:t>
      </w:r>
    </w:p>
    <w:p w14:paraId="6031BF69">
      <w:pPr>
        <w:pStyle w:val="13"/>
        <w:widowControl/>
        <w:wordWrap/>
        <w:adjustRightInd/>
        <w:snapToGrid/>
        <w:spacing w:line="40" w:lineRule="atLeast"/>
        <w:ind w:firstLine="640"/>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1.科学合理编制预算，严格执行预算。</w:t>
      </w:r>
    </w:p>
    <w:p w14:paraId="741D7191">
      <w:pPr>
        <w:pStyle w:val="13"/>
        <w:widowControl/>
        <w:wordWrap/>
        <w:adjustRightInd/>
        <w:snapToGrid/>
        <w:spacing w:line="40" w:lineRule="atLeast"/>
        <w:ind w:firstLine="640"/>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1C34CE3D">
      <w:pPr>
        <w:pStyle w:val="13"/>
        <w:widowControl/>
        <w:wordWrap/>
        <w:adjustRightInd/>
        <w:snapToGrid/>
        <w:spacing w:line="40" w:lineRule="atLeast"/>
        <w:ind w:firstLine="640"/>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2.完善管理制度，进一步加强资产管理。</w:t>
      </w:r>
    </w:p>
    <w:p w14:paraId="6079B1FE">
      <w:pPr>
        <w:pStyle w:val="13"/>
        <w:widowControl/>
        <w:wordWrap/>
        <w:adjustRightInd/>
        <w:snapToGrid/>
        <w:spacing w:line="40" w:lineRule="atLeast"/>
        <w:ind w:firstLine="640"/>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进一步贯彻落实中央</w:t>
      </w:r>
      <w:r>
        <w:rPr>
          <w:rFonts w:hint="eastAsia" w:ascii="仿宋" w:hAnsi="仿宋" w:eastAsia="仿宋" w:cs="仿宋"/>
          <w:color w:val="000000"/>
          <w:kern w:val="2"/>
          <w:sz w:val="32"/>
          <w:szCs w:val="32"/>
          <w:highlight w:val="none"/>
          <w:lang w:val="en-US" w:eastAsia="zh-CN" w:bidi="ar-SA"/>
        </w:rPr>
        <w:t>八项规定</w:t>
      </w:r>
      <w:r>
        <w:rPr>
          <w:rFonts w:hint="eastAsia" w:ascii="仿宋" w:hAnsi="仿宋" w:eastAsia="仿宋" w:cs="仿宋"/>
          <w:color w:val="000000"/>
          <w:kern w:val="2"/>
          <w:sz w:val="32"/>
          <w:szCs w:val="32"/>
          <w:highlight w:val="none"/>
          <w:lang w:val="en-US" w:eastAsia="en-US" w:bidi="ar-SA"/>
        </w:rPr>
        <w:t>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5A37ECF1">
      <w:pPr>
        <w:pStyle w:val="13"/>
        <w:widowControl/>
        <w:wordWrap/>
        <w:adjustRightInd/>
        <w:snapToGrid/>
        <w:spacing w:line="40" w:lineRule="atLeast"/>
        <w:ind w:firstLine="640"/>
        <w:textAlignment w:val="auto"/>
        <w:rPr>
          <w:rFonts w:hint="eastAsia" w:ascii="仿宋" w:hAnsi="仿宋" w:eastAsia="仿宋" w:cs="仿宋"/>
          <w:color w:val="000000"/>
          <w:kern w:val="2"/>
          <w:sz w:val="32"/>
          <w:szCs w:val="32"/>
          <w:highlight w:val="none"/>
          <w:lang w:val="en-US" w:eastAsia="en-US" w:bidi="ar-SA"/>
        </w:rPr>
      </w:pPr>
      <w:r>
        <w:rPr>
          <w:rFonts w:hint="eastAsia" w:ascii="仿宋" w:hAnsi="仿宋" w:eastAsia="仿宋" w:cs="仿宋"/>
          <w:color w:val="000000"/>
          <w:kern w:val="2"/>
          <w:sz w:val="32"/>
          <w:szCs w:val="32"/>
          <w:highlight w:val="none"/>
          <w:lang w:val="en-US" w:eastAsia="en-US" w:bidi="ar-SA"/>
        </w:rPr>
        <w:t>3.加强新行政单位会计制度和新预算法学习培训。</w:t>
      </w:r>
    </w:p>
    <w:p w14:paraId="46C76061">
      <w:pPr>
        <w:pStyle w:val="13"/>
        <w:widowControl/>
        <w:wordWrap/>
        <w:adjustRightInd/>
        <w:snapToGrid/>
        <w:spacing w:line="40" w:lineRule="atLeast"/>
        <w:ind w:firstLine="640"/>
        <w:textAlignment w:val="auto"/>
        <w:rPr>
          <w:rFonts w:eastAsia="黑体"/>
          <w:color w:val="000000"/>
          <w:sz w:val="32"/>
          <w:szCs w:val="32"/>
          <w:highlight w:val="none"/>
        </w:rPr>
      </w:pPr>
      <w:r>
        <w:rPr>
          <w:rFonts w:hint="eastAsia" w:ascii="仿宋" w:hAnsi="仿宋" w:eastAsia="仿宋" w:cs="仿宋"/>
          <w:color w:val="000000"/>
          <w:kern w:val="2"/>
          <w:sz w:val="32"/>
          <w:szCs w:val="32"/>
          <w:highlight w:val="none"/>
          <w:lang w:val="en-US" w:eastAsia="en-US" w:bidi="ar-SA"/>
        </w:rPr>
        <w:t xml:space="preserve">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r>
        <w:rPr>
          <w:rFonts w:hint="eastAsia" w:ascii="仿宋_GB2312" w:hAnsi="宋体" w:eastAsia="仿宋_GB2312"/>
          <w:color w:val="000000"/>
          <w:sz w:val="32"/>
          <w:szCs w:val="32"/>
          <w:highlight w:val="none"/>
        </w:rPr>
        <w:t xml:space="preserve">      </w:t>
      </w:r>
    </w:p>
    <w:p w14:paraId="793DA6DD">
      <w:pPr>
        <w:widowControl/>
        <w:wordWrap/>
        <w:adjustRightInd/>
        <w:snapToGrid/>
        <w:spacing w:line="40" w:lineRule="atLeast"/>
        <w:ind w:firstLine="640" w:firstLineChars="200"/>
        <w:textAlignment w:val="auto"/>
        <w:rPr>
          <w:rFonts w:ascii="Times New Roman" w:hAnsi="Times New Roman" w:eastAsia="黑体"/>
          <w:color w:val="000000"/>
          <w:sz w:val="32"/>
          <w:szCs w:val="32"/>
          <w:highlight w:val="none"/>
        </w:rPr>
      </w:pPr>
      <w:r>
        <w:rPr>
          <w:rFonts w:hint="eastAsia" w:ascii="Times New Roman" w:hAnsi="Times New Roman" w:eastAsia="黑体"/>
          <w:color w:val="000000"/>
          <w:sz w:val="32"/>
          <w:szCs w:val="32"/>
          <w:highlight w:val="none"/>
        </w:rPr>
        <w:t>九、其他需要说明的情况</w:t>
      </w:r>
    </w:p>
    <w:p w14:paraId="16AB8371">
      <w:pPr>
        <w:keepNext w:val="0"/>
        <w:keepLines w:val="0"/>
        <w:pageBreakBefore w:val="0"/>
        <w:widowControl w:val="0"/>
        <w:kinsoku/>
        <w:wordWrap/>
        <w:overflowPunct/>
        <w:topLinePunct w:val="0"/>
        <w:autoSpaceDE/>
        <w:autoSpaceDN/>
        <w:bidi w:val="0"/>
        <w:adjustRightInd/>
        <w:snapToGrid/>
        <w:spacing w:line="40" w:lineRule="atLeast"/>
        <w:ind w:firstLine="640" w:firstLineChars="200"/>
        <w:textAlignment w:val="auto"/>
        <w:rPr>
          <w:rFonts w:hint="eastAsia" w:ascii="Times New Roman" w:hAnsi="Times New Roman" w:eastAsia="仿宋"/>
          <w:color w:val="000000"/>
          <w:sz w:val="32"/>
          <w:szCs w:val="32"/>
          <w:highlight w:val="none"/>
          <w:lang w:eastAsia="zh-CN"/>
        </w:rPr>
      </w:pPr>
      <w:r>
        <w:rPr>
          <w:rFonts w:hint="eastAsia" w:ascii="Times New Roman" w:hAnsi="Times New Roman" w:eastAsia="仿宋"/>
          <w:color w:val="000000"/>
          <w:sz w:val="32"/>
          <w:szCs w:val="32"/>
          <w:highlight w:val="none"/>
          <w:lang w:eastAsia="zh-CN"/>
        </w:rPr>
        <w:t>无</w:t>
      </w:r>
    </w:p>
    <w:p w14:paraId="536E86F3">
      <w:pPr>
        <w:wordWrap/>
        <w:adjustRightInd/>
        <w:snapToGrid/>
        <w:spacing w:line="40" w:lineRule="atLeast"/>
        <w:textAlignment w:val="auto"/>
        <w:rPr>
          <w:rFonts w:hint="eastAsia" w:ascii="Times New Roman" w:hAnsi="Times New Roman" w:eastAsia="仿宋"/>
          <w:color w:val="000000"/>
          <w:sz w:val="32"/>
          <w:szCs w:val="32"/>
          <w:highlight w:val="none"/>
          <w:lang w:eastAsia="zh-CN"/>
        </w:rPr>
      </w:pPr>
    </w:p>
    <w:p w14:paraId="249AC554">
      <w:pPr>
        <w:wordWrap/>
        <w:adjustRightInd/>
        <w:snapToGrid/>
        <w:spacing w:line="40" w:lineRule="atLeast"/>
        <w:textAlignment w:val="auto"/>
        <w:rPr>
          <w:rFonts w:hint="eastAsia" w:ascii="Times New Roman" w:hAnsi="Times New Roman" w:eastAsia="仿宋"/>
          <w:color w:val="000000"/>
          <w:sz w:val="32"/>
          <w:szCs w:val="32"/>
          <w:highlight w:val="none"/>
          <w:lang w:eastAsia="zh-CN"/>
        </w:rPr>
      </w:pPr>
    </w:p>
    <w:p w14:paraId="788C180F">
      <w:pPr>
        <w:wordWrap/>
        <w:adjustRightInd/>
        <w:snapToGrid/>
        <w:spacing w:line="40" w:lineRule="atLeast"/>
        <w:ind w:firstLine="640" w:firstLineChars="200"/>
        <w:textAlignment w:val="auto"/>
        <w:rPr>
          <w:rFonts w:ascii="Times New Roman" w:hAnsi="Times New Roman" w:eastAsia="仿宋"/>
          <w:color w:val="000000"/>
          <w:sz w:val="32"/>
          <w:szCs w:val="32"/>
          <w:highlight w:val="none"/>
        </w:rPr>
      </w:pPr>
    </w:p>
    <w:p w14:paraId="183E6236">
      <w:pPr>
        <w:wordWrap/>
        <w:adjustRightInd/>
        <w:snapToGrid/>
        <w:spacing w:line="40" w:lineRule="atLeast"/>
        <w:textAlignment w:val="auto"/>
        <w:rPr>
          <w:rFonts w:ascii="Times New Roman" w:hAnsi="Times New Roman" w:eastAsia="仿宋"/>
          <w:color w:val="000000"/>
          <w:sz w:val="32"/>
          <w:szCs w:val="32"/>
          <w:highlight w:val="none"/>
        </w:rPr>
      </w:pPr>
    </w:p>
    <w:p w14:paraId="2BE97172">
      <w:pPr>
        <w:spacing w:line="600" w:lineRule="exact"/>
        <w:jc w:val="center"/>
        <w:rPr>
          <w:rFonts w:ascii="Times New Roman" w:hAnsi="Times New Roman" w:eastAsia="仿宋_GB2312"/>
          <w:sz w:val="32"/>
          <w:szCs w:val="32"/>
        </w:rPr>
      </w:pPr>
      <w:r>
        <w:rPr>
          <w:rFonts w:hint="eastAsia" w:ascii="方正小标宋简体" w:hAnsi="方正小标宋简体" w:eastAsia="方正小标宋简体" w:cs="方正小标宋简体"/>
          <w:sz w:val="44"/>
          <w:szCs w:val="44"/>
        </w:rPr>
        <w:t>项目支出绩效自评报告</w:t>
      </w:r>
    </w:p>
    <w:p w14:paraId="2D7142EB">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39BB0712">
      <w:pPr>
        <w:spacing w:line="520" w:lineRule="exact"/>
        <w:ind w:firstLine="560"/>
        <w:rPr>
          <w:rFonts w:hint="eastAsia"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2023年</w:t>
      </w:r>
      <w:r>
        <w:rPr>
          <w:rFonts w:hint="eastAsia" w:ascii="仿宋" w:hAnsi="仿宋" w:eastAsia="仿宋" w:cs="仿宋_GB2312"/>
          <w:kern w:val="1"/>
          <w:sz w:val="32"/>
          <w:szCs w:val="32"/>
        </w:rPr>
        <w:t>项目支出：S219线破板处治</w:t>
      </w:r>
      <w:r>
        <w:rPr>
          <w:rFonts w:hint="eastAsia" w:ascii="仿宋" w:hAnsi="仿宋" w:eastAsia="仿宋" w:cs="仿宋_GB2312"/>
          <w:kern w:val="1"/>
          <w:sz w:val="32"/>
          <w:szCs w:val="32"/>
          <w:lang w:val="en-US" w:eastAsia="zh-CN"/>
        </w:rPr>
        <w:t>26.46万元，S219线安防设施精细化提升工程53.54万元，国省干线公路日常</w:t>
      </w:r>
      <w:r>
        <w:rPr>
          <w:rFonts w:hint="eastAsia" w:ascii="仿宋" w:hAnsi="仿宋" w:eastAsia="仿宋" w:cs="仿宋_GB2312"/>
          <w:kern w:val="1"/>
          <w:sz w:val="32"/>
          <w:szCs w:val="32"/>
        </w:rPr>
        <w:t>养护</w:t>
      </w:r>
      <w:r>
        <w:rPr>
          <w:rFonts w:hint="eastAsia" w:ascii="仿宋" w:hAnsi="仿宋" w:eastAsia="仿宋" w:cs="仿宋_GB2312"/>
          <w:kern w:val="1"/>
          <w:sz w:val="32"/>
          <w:szCs w:val="32"/>
          <w:lang w:val="en-US" w:eastAsia="zh-CN"/>
        </w:rPr>
        <w:t>55.46</w:t>
      </w:r>
      <w:r>
        <w:rPr>
          <w:rFonts w:hint="eastAsia" w:ascii="仿宋" w:hAnsi="仿宋" w:eastAsia="仿宋" w:cs="仿宋_GB2312"/>
          <w:kern w:val="1"/>
          <w:sz w:val="32"/>
          <w:szCs w:val="32"/>
        </w:rPr>
        <w:t>万元，</w:t>
      </w:r>
      <w:r>
        <w:rPr>
          <w:rFonts w:hint="eastAsia" w:ascii="仿宋" w:hAnsi="仿宋" w:eastAsia="仿宋" w:cs="仿宋_GB2312"/>
          <w:kern w:val="1"/>
          <w:sz w:val="32"/>
          <w:szCs w:val="32"/>
          <w:lang w:eastAsia="zh-CN"/>
        </w:rPr>
        <w:t>农村公路建设</w:t>
      </w:r>
      <w:r>
        <w:rPr>
          <w:rFonts w:hint="eastAsia" w:ascii="仿宋" w:hAnsi="仿宋" w:eastAsia="仿宋" w:cs="仿宋_GB2312"/>
          <w:kern w:val="1"/>
          <w:sz w:val="32"/>
          <w:szCs w:val="32"/>
          <w:lang w:val="en-US" w:eastAsia="zh-CN"/>
        </w:rPr>
        <w:t>42.50万元，</w:t>
      </w:r>
      <w:r>
        <w:rPr>
          <w:rFonts w:hint="eastAsia" w:ascii="仿宋" w:hAnsi="仿宋" w:eastAsia="仿宋" w:cs="仿宋_GB2312"/>
          <w:kern w:val="1"/>
          <w:sz w:val="32"/>
          <w:szCs w:val="32"/>
          <w:lang w:eastAsia="zh-CN"/>
        </w:rPr>
        <w:t>农村公路</w:t>
      </w:r>
      <w:r>
        <w:rPr>
          <w:rFonts w:hint="eastAsia" w:ascii="仿宋" w:hAnsi="仿宋" w:eastAsia="仿宋" w:cs="仿宋_GB2312"/>
          <w:kern w:val="1"/>
          <w:sz w:val="32"/>
          <w:szCs w:val="32"/>
        </w:rPr>
        <w:t>安防</w:t>
      </w:r>
      <w:r>
        <w:rPr>
          <w:rFonts w:hint="eastAsia" w:ascii="仿宋" w:hAnsi="仿宋" w:eastAsia="仿宋" w:cs="仿宋_GB2312"/>
          <w:kern w:val="1"/>
          <w:sz w:val="32"/>
          <w:szCs w:val="32"/>
          <w:lang w:val="en-US" w:eastAsia="zh-CN"/>
        </w:rPr>
        <w:t>工程41.75</w:t>
      </w:r>
      <w:r>
        <w:rPr>
          <w:rFonts w:hint="eastAsia" w:ascii="仿宋" w:hAnsi="仿宋" w:eastAsia="仿宋" w:cs="仿宋_GB2312"/>
          <w:kern w:val="1"/>
          <w:sz w:val="32"/>
          <w:szCs w:val="32"/>
        </w:rPr>
        <w:t>万元，</w:t>
      </w:r>
      <w:r>
        <w:rPr>
          <w:rFonts w:hint="eastAsia" w:ascii="仿宋" w:hAnsi="仿宋" w:eastAsia="仿宋" w:cs="仿宋_GB2312"/>
          <w:kern w:val="1"/>
          <w:sz w:val="32"/>
          <w:szCs w:val="32"/>
          <w:lang w:eastAsia="zh-CN"/>
        </w:rPr>
        <w:t>农村公路养护</w:t>
      </w:r>
      <w:r>
        <w:rPr>
          <w:rFonts w:hint="eastAsia" w:ascii="仿宋" w:hAnsi="仿宋" w:eastAsia="仿宋" w:cs="仿宋_GB2312"/>
          <w:kern w:val="1"/>
          <w:sz w:val="32"/>
          <w:szCs w:val="32"/>
          <w:lang w:val="en-US" w:eastAsia="zh-CN"/>
        </w:rPr>
        <w:t>199.93万元，</w:t>
      </w:r>
      <w:r>
        <w:rPr>
          <w:rFonts w:hint="eastAsia" w:ascii="仿宋" w:hAnsi="仿宋" w:eastAsia="仿宋" w:cs="仿宋_GB2312"/>
          <w:kern w:val="1"/>
          <w:sz w:val="32"/>
          <w:szCs w:val="32"/>
        </w:rPr>
        <w:t>危桥改造</w:t>
      </w:r>
      <w:r>
        <w:rPr>
          <w:rFonts w:hint="eastAsia" w:ascii="仿宋" w:hAnsi="仿宋" w:eastAsia="仿宋" w:cs="仿宋_GB2312"/>
          <w:kern w:val="1"/>
          <w:sz w:val="32"/>
          <w:szCs w:val="32"/>
          <w:lang w:val="en-US" w:eastAsia="zh-CN"/>
        </w:rPr>
        <w:t>55.60</w:t>
      </w:r>
      <w:r>
        <w:rPr>
          <w:rFonts w:hint="eastAsia" w:ascii="仿宋" w:hAnsi="仿宋" w:eastAsia="仿宋" w:cs="仿宋_GB2312"/>
          <w:kern w:val="1"/>
          <w:sz w:val="32"/>
          <w:szCs w:val="32"/>
        </w:rPr>
        <w:t>万元</w:t>
      </w:r>
      <w:r>
        <w:rPr>
          <w:rFonts w:hint="eastAsia" w:ascii="仿宋" w:hAnsi="仿宋" w:eastAsia="仿宋" w:cs="仿宋_GB2312"/>
          <w:kern w:val="1"/>
          <w:sz w:val="32"/>
          <w:szCs w:val="32"/>
          <w:lang w:val="en-US" w:eastAsia="zh-CN"/>
        </w:rPr>
        <w:t>,</w:t>
      </w:r>
      <w:r>
        <w:rPr>
          <w:rFonts w:hint="eastAsia" w:ascii="仿宋" w:hAnsi="仿宋" w:eastAsia="仿宋" w:cs="仿宋_GB2312"/>
          <w:kern w:val="1"/>
          <w:sz w:val="32"/>
          <w:szCs w:val="32"/>
          <w:lang w:eastAsia="zh-CN"/>
        </w:rPr>
        <w:t>。</w:t>
      </w:r>
    </w:p>
    <w:p w14:paraId="0B946DE9">
      <w:pPr>
        <w:numPr>
          <w:ilvl w:val="0"/>
          <w:numId w:val="0"/>
        </w:numPr>
        <w:adjustRightInd w:val="0"/>
        <w:snapToGrid w:val="0"/>
        <w:spacing w:line="600" w:lineRule="exact"/>
        <w:ind w:leftChars="200" w:firstLine="320" w:firstLineChars="100"/>
        <w:rPr>
          <w:rFonts w:ascii="Times New Roman" w:hAnsi="Times New Roman" w:eastAsia="黑体"/>
          <w:sz w:val="32"/>
          <w:szCs w:val="32"/>
        </w:rPr>
      </w:pPr>
      <w:r>
        <w:rPr>
          <w:rFonts w:hint="eastAsia" w:ascii="Times New Roman" w:hAnsi="Times New Roman" w:eastAsia="黑体"/>
          <w:sz w:val="32"/>
          <w:szCs w:val="32"/>
          <w:lang w:eastAsia="zh-CN"/>
        </w:rPr>
        <w:t>二、</w:t>
      </w:r>
      <w:r>
        <w:rPr>
          <w:rFonts w:ascii="Times New Roman" w:hAnsi="Times New Roman" w:eastAsia="黑体"/>
          <w:sz w:val="32"/>
          <w:szCs w:val="32"/>
        </w:rPr>
        <w:t>项目资金使用及管理情况</w:t>
      </w:r>
    </w:p>
    <w:p w14:paraId="27C2ACBD">
      <w:pPr>
        <w:spacing w:line="520" w:lineRule="exact"/>
        <w:ind w:firstLine="560"/>
        <w:rPr>
          <w:rFonts w:hint="eastAsia"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（一）项目资金的安排落实、总投入等情况。</w:t>
      </w:r>
    </w:p>
    <w:p w14:paraId="00293788">
      <w:pPr>
        <w:numPr>
          <w:ilvl w:val="0"/>
          <w:numId w:val="0"/>
        </w:numPr>
        <w:adjustRightInd w:val="0"/>
        <w:snapToGrid w:val="0"/>
        <w:spacing w:line="600" w:lineRule="exact"/>
        <w:ind w:firstLine="960" w:firstLineChars="300"/>
        <w:rPr>
          <w:rFonts w:hint="eastAsia" w:ascii="仿宋" w:hAnsi="仿宋" w:eastAsia="仿宋" w:cs="仿宋_GB2312"/>
          <w:kern w:val="1"/>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_GB2312"/>
          <w:kern w:val="1"/>
          <w:sz w:val="32"/>
          <w:szCs w:val="32"/>
          <w:lang w:val="en-US" w:eastAsia="zh-CN"/>
        </w:rPr>
        <w:t>S219</w:t>
      </w:r>
      <w:r>
        <w:rPr>
          <w:rFonts w:hint="eastAsia" w:ascii="仿宋" w:hAnsi="仿宋" w:eastAsia="仿宋" w:cs="仿宋_GB2312"/>
          <w:kern w:val="1"/>
          <w:sz w:val="32"/>
          <w:szCs w:val="32"/>
        </w:rPr>
        <w:t>线破板处治</w:t>
      </w:r>
      <w:r>
        <w:rPr>
          <w:rFonts w:hint="eastAsia" w:ascii="仿宋" w:hAnsi="仿宋" w:eastAsia="仿宋" w:cs="仿宋_GB2312"/>
          <w:kern w:val="1"/>
          <w:sz w:val="32"/>
          <w:szCs w:val="32"/>
          <w:lang w:val="en-US" w:eastAsia="zh-CN"/>
        </w:rPr>
        <w:t>2</w:t>
      </w:r>
      <w:r>
        <w:rPr>
          <w:rFonts w:hint="eastAsia" w:ascii="仿宋" w:hAnsi="仿宋" w:eastAsia="仿宋" w:cs="仿宋"/>
          <w:sz w:val="32"/>
          <w:szCs w:val="32"/>
          <w:lang w:val="en-US" w:eastAsia="zh-CN"/>
        </w:rPr>
        <w:t>023</w:t>
      </w:r>
      <w:r>
        <w:rPr>
          <w:rFonts w:hint="eastAsia" w:ascii="仿宋" w:hAnsi="仿宋" w:eastAsia="仿宋" w:cs="仿宋_GB2312"/>
          <w:kern w:val="1"/>
          <w:sz w:val="32"/>
          <w:szCs w:val="32"/>
          <w:lang w:val="en-US" w:eastAsia="zh-CN"/>
        </w:rPr>
        <w:t>年项目资金到位26.46万元，已支付使用26.46万元，全部来源于当年财政拨款。</w:t>
      </w:r>
    </w:p>
    <w:p w14:paraId="497C35E2">
      <w:pPr>
        <w:numPr>
          <w:ilvl w:val="0"/>
          <w:numId w:val="0"/>
        </w:numPr>
        <w:adjustRightInd w:val="0"/>
        <w:snapToGrid w:val="0"/>
        <w:spacing w:line="600" w:lineRule="exact"/>
        <w:ind w:firstLine="960" w:firstLineChars="300"/>
        <w:rPr>
          <w:rFonts w:hint="default"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2.S219线安防设施精细化提升工程2</w:t>
      </w:r>
      <w:r>
        <w:rPr>
          <w:rFonts w:hint="eastAsia" w:ascii="仿宋" w:hAnsi="仿宋" w:eastAsia="仿宋" w:cs="仿宋"/>
          <w:sz w:val="32"/>
          <w:szCs w:val="32"/>
          <w:lang w:val="en-US" w:eastAsia="zh-CN"/>
        </w:rPr>
        <w:t>023</w:t>
      </w:r>
      <w:r>
        <w:rPr>
          <w:rFonts w:hint="eastAsia" w:ascii="仿宋" w:hAnsi="仿宋" w:eastAsia="仿宋" w:cs="仿宋_GB2312"/>
          <w:kern w:val="1"/>
          <w:sz w:val="32"/>
          <w:szCs w:val="32"/>
          <w:lang w:val="en-US" w:eastAsia="zh-CN"/>
        </w:rPr>
        <w:t>年项目资金到位53.54万元，已支付使用53.54万元，全部来源于当年财政拨款.</w:t>
      </w:r>
    </w:p>
    <w:p w14:paraId="7DD5569C">
      <w:pPr>
        <w:numPr>
          <w:ilvl w:val="0"/>
          <w:numId w:val="0"/>
        </w:numPr>
        <w:adjustRightInd w:val="0"/>
        <w:snapToGrid w:val="0"/>
        <w:spacing w:line="600" w:lineRule="exact"/>
        <w:ind w:firstLine="960" w:firstLineChars="300"/>
        <w:rPr>
          <w:rFonts w:hint="eastAsia"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3.国省干线公路日常</w:t>
      </w:r>
      <w:r>
        <w:rPr>
          <w:rFonts w:hint="eastAsia" w:ascii="仿宋" w:hAnsi="仿宋" w:eastAsia="仿宋" w:cs="仿宋_GB2312"/>
          <w:kern w:val="1"/>
          <w:sz w:val="32"/>
          <w:szCs w:val="32"/>
        </w:rPr>
        <w:t>养护</w:t>
      </w:r>
      <w:r>
        <w:rPr>
          <w:rFonts w:hint="eastAsia" w:ascii="仿宋" w:hAnsi="仿宋" w:eastAsia="仿宋" w:cs="仿宋_GB2312"/>
          <w:kern w:val="1"/>
          <w:sz w:val="32"/>
          <w:szCs w:val="32"/>
          <w:lang w:val="en-US" w:eastAsia="zh-CN"/>
        </w:rPr>
        <w:t>2023年项目资金到位55.46万元，已支付使用55.46万元，其中上年结转资金支付了9.98万元；当年财政拨款支付了31.54万元；其他资金支付了13.94万元。</w:t>
      </w:r>
    </w:p>
    <w:p w14:paraId="4B23C205">
      <w:pPr>
        <w:numPr>
          <w:ilvl w:val="0"/>
          <w:numId w:val="0"/>
        </w:numPr>
        <w:adjustRightInd w:val="0"/>
        <w:snapToGrid w:val="0"/>
        <w:spacing w:line="600" w:lineRule="exact"/>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_GB2312"/>
          <w:kern w:val="1"/>
          <w:sz w:val="32"/>
          <w:szCs w:val="32"/>
          <w:lang w:eastAsia="zh-CN"/>
        </w:rPr>
        <w:t>农村公路建设</w:t>
      </w:r>
      <w:r>
        <w:rPr>
          <w:rFonts w:hint="eastAsia" w:ascii="仿宋" w:hAnsi="仿宋" w:eastAsia="仿宋" w:cs="仿宋_GB2312"/>
          <w:kern w:val="1"/>
          <w:sz w:val="32"/>
          <w:szCs w:val="32"/>
          <w:lang w:val="en-US" w:eastAsia="zh-CN"/>
        </w:rPr>
        <w:t>2023年项目资金到位42.50万元，已支付使用42.50万元，其中上年结转资金支付了14.50万元；当年财政拨款支付了28万元。</w:t>
      </w:r>
    </w:p>
    <w:p w14:paraId="0A7729C5">
      <w:pPr>
        <w:numPr>
          <w:ilvl w:val="0"/>
          <w:numId w:val="0"/>
        </w:numPr>
        <w:adjustRightInd w:val="0"/>
        <w:snapToGrid w:val="0"/>
        <w:spacing w:line="600" w:lineRule="exact"/>
        <w:ind w:firstLine="960" w:firstLineChars="300"/>
        <w:rPr>
          <w:rFonts w:hint="eastAsia" w:ascii="仿宋" w:hAnsi="仿宋" w:eastAsia="仿宋" w:cs="仿宋_GB2312"/>
          <w:kern w:val="1"/>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_GB2312"/>
          <w:kern w:val="1"/>
          <w:sz w:val="32"/>
          <w:szCs w:val="32"/>
          <w:lang w:eastAsia="zh-CN"/>
        </w:rPr>
        <w:t>农村公路生命安全防护工程</w:t>
      </w:r>
      <w:r>
        <w:rPr>
          <w:rFonts w:hint="eastAsia" w:ascii="仿宋" w:hAnsi="仿宋" w:eastAsia="仿宋" w:cs="仿宋"/>
          <w:sz w:val="32"/>
          <w:szCs w:val="32"/>
          <w:lang w:val="en-US" w:eastAsia="zh-CN"/>
        </w:rPr>
        <w:t>2023</w:t>
      </w:r>
      <w:r>
        <w:rPr>
          <w:rFonts w:hint="eastAsia" w:ascii="仿宋" w:hAnsi="仿宋" w:eastAsia="仿宋" w:cs="仿宋_GB2312"/>
          <w:kern w:val="1"/>
          <w:sz w:val="32"/>
          <w:szCs w:val="32"/>
          <w:lang w:val="en-US" w:eastAsia="zh-CN"/>
        </w:rPr>
        <w:t>年项目资金到位41.75万元，已支付使用41.75万元，全部来源于当年财政拨款。</w:t>
      </w:r>
    </w:p>
    <w:p w14:paraId="5E61AB50">
      <w:pPr>
        <w:numPr>
          <w:ilvl w:val="0"/>
          <w:numId w:val="0"/>
        </w:numPr>
        <w:adjustRightInd w:val="0"/>
        <w:snapToGrid w:val="0"/>
        <w:spacing w:line="600" w:lineRule="exact"/>
        <w:ind w:firstLine="960" w:firstLineChars="300"/>
        <w:rPr>
          <w:rFonts w:hint="default"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6.</w:t>
      </w:r>
      <w:r>
        <w:rPr>
          <w:rFonts w:hint="eastAsia" w:ascii="仿宋" w:hAnsi="仿宋" w:eastAsia="仿宋" w:cs="仿宋_GB2312"/>
          <w:kern w:val="1"/>
          <w:sz w:val="32"/>
          <w:szCs w:val="32"/>
          <w:lang w:eastAsia="zh-CN"/>
        </w:rPr>
        <w:t>农村公路养护</w:t>
      </w:r>
      <w:r>
        <w:rPr>
          <w:rFonts w:hint="eastAsia" w:ascii="仿宋" w:hAnsi="仿宋" w:eastAsia="仿宋" w:cs="仿宋_GB2312"/>
          <w:kern w:val="1"/>
          <w:sz w:val="32"/>
          <w:szCs w:val="32"/>
          <w:lang w:val="en-US" w:eastAsia="zh-CN"/>
        </w:rPr>
        <w:t>2023年项目资金到位199.93万元，已支付使用199.93万元，其中上年结转资金支付了168.99万元；当年财政拨款支付了30.94万元。</w:t>
      </w:r>
    </w:p>
    <w:p w14:paraId="713E7D6D">
      <w:pPr>
        <w:numPr>
          <w:ilvl w:val="0"/>
          <w:numId w:val="0"/>
        </w:numPr>
        <w:adjustRightInd w:val="0"/>
        <w:snapToGrid w:val="0"/>
        <w:spacing w:line="600" w:lineRule="exact"/>
        <w:ind w:firstLine="960" w:firstLineChars="300"/>
        <w:rPr>
          <w:rFonts w:hint="eastAsia" w:ascii="仿宋" w:hAnsi="仿宋" w:eastAsia="仿宋" w:cs="仿宋_GB2312"/>
          <w:kern w:val="1"/>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_GB2312"/>
          <w:kern w:val="1"/>
          <w:sz w:val="32"/>
          <w:szCs w:val="32"/>
          <w:lang w:val="en-US" w:eastAsia="zh-CN"/>
        </w:rPr>
        <w:t>危桥改造2023年项目资金到位55.60万元，已支付使用55.60万元，全部来源于上年结转资金。</w:t>
      </w:r>
    </w:p>
    <w:p w14:paraId="65FA30C9">
      <w:pPr>
        <w:spacing w:line="520" w:lineRule="exact"/>
        <w:ind w:firstLine="560"/>
        <w:rPr>
          <w:rFonts w:hint="eastAsia"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（二）项目资金实际使用情况。</w:t>
      </w:r>
    </w:p>
    <w:p w14:paraId="5D746E72">
      <w:pPr>
        <w:adjustRightInd w:val="0"/>
        <w:snapToGrid w:val="0"/>
        <w:spacing w:line="600" w:lineRule="exact"/>
        <w:ind w:firstLine="960" w:firstLineChars="300"/>
        <w:rPr>
          <w:rFonts w:hint="eastAsia" w:ascii="仿宋" w:hAnsi="仿宋" w:eastAsia="仿宋" w:cs="仿宋_GB2312"/>
          <w:kern w:val="1"/>
          <w:sz w:val="32"/>
          <w:szCs w:val="32"/>
          <w:lang w:val="en-US" w:eastAsia="zh-CN"/>
        </w:rPr>
      </w:pPr>
      <w:r>
        <w:rPr>
          <w:rFonts w:hint="eastAsia" w:ascii="Times New Roman" w:hAnsi="Times New Roman" w:eastAsia="仿宋_GB2312"/>
          <w:sz w:val="32"/>
          <w:szCs w:val="32"/>
          <w:lang w:val="en-US" w:eastAsia="zh-CN"/>
        </w:rPr>
        <w:t>1.</w:t>
      </w:r>
      <w:r>
        <w:rPr>
          <w:rFonts w:hint="eastAsia" w:ascii="仿宋" w:hAnsi="仿宋" w:eastAsia="仿宋" w:cs="仿宋_GB2312"/>
          <w:kern w:val="1"/>
          <w:sz w:val="32"/>
          <w:szCs w:val="32"/>
        </w:rPr>
        <w:t>S219线破板处治</w:t>
      </w:r>
      <w:r>
        <w:rPr>
          <w:rFonts w:hint="eastAsia" w:ascii="Times New Roman" w:hAnsi="Times New Roman" w:eastAsia="仿宋_GB2312"/>
          <w:sz w:val="32"/>
          <w:szCs w:val="32"/>
          <w:lang w:val="en-US" w:eastAsia="zh-CN"/>
        </w:rPr>
        <w:t>：项目全年预算数</w:t>
      </w:r>
      <w:r>
        <w:rPr>
          <w:rFonts w:hint="eastAsia" w:ascii="仿宋" w:hAnsi="仿宋" w:eastAsia="仿宋" w:cs="仿宋_GB2312"/>
          <w:kern w:val="1"/>
          <w:sz w:val="32"/>
          <w:szCs w:val="32"/>
          <w:lang w:val="en-US" w:eastAsia="zh-CN"/>
        </w:rPr>
        <w:t>26.46万元，执行数26.46万元，执行率100%。</w:t>
      </w:r>
    </w:p>
    <w:p w14:paraId="6E106D4D">
      <w:pPr>
        <w:adjustRightInd w:val="0"/>
        <w:snapToGrid w:val="0"/>
        <w:spacing w:line="600" w:lineRule="exact"/>
        <w:ind w:firstLine="960" w:firstLineChars="300"/>
        <w:rPr>
          <w:rFonts w:hint="eastAsia" w:ascii="仿宋" w:hAnsi="仿宋" w:eastAsia="仿宋" w:cs="仿宋_GB2312"/>
          <w:kern w:val="1"/>
          <w:sz w:val="32"/>
          <w:szCs w:val="32"/>
          <w:lang w:val="en-US" w:eastAsia="zh-CN"/>
        </w:rPr>
      </w:pPr>
      <w:r>
        <w:rPr>
          <w:rFonts w:hint="eastAsia" w:ascii="Times New Roman" w:hAnsi="Times New Roman" w:eastAsia="仿宋_GB2312"/>
          <w:sz w:val="32"/>
          <w:szCs w:val="32"/>
          <w:lang w:val="en-US" w:eastAsia="zh-CN"/>
        </w:rPr>
        <w:t>2.</w:t>
      </w:r>
      <w:r>
        <w:rPr>
          <w:rFonts w:hint="eastAsia" w:ascii="仿宋" w:hAnsi="仿宋" w:eastAsia="仿宋" w:cs="仿宋_GB2312"/>
          <w:kern w:val="1"/>
          <w:sz w:val="32"/>
          <w:szCs w:val="32"/>
          <w:lang w:val="en-US" w:eastAsia="zh-CN"/>
        </w:rPr>
        <w:t>S219线安防设施精细化提升工程</w:t>
      </w:r>
      <w:r>
        <w:rPr>
          <w:rFonts w:hint="eastAsia" w:ascii="Times New Roman" w:hAnsi="Times New Roman" w:eastAsia="仿宋_GB2312"/>
          <w:sz w:val="32"/>
          <w:szCs w:val="32"/>
          <w:lang w:val="en-US" w:eastAsia="zh-CN"/>
        </w:rPr>
        <w:t>：项目全年预算数</w:t>
      </w:r>
      <w:r>
        <w:rPr>
          <w:rFonts w:hint="eastAsia" w:ascii="仿宋" w:hAnsi="仿宋" w:eastAsia="仿宋" w:cs="仿宋_GB2312"/>
          <w:kern w:val="1"/>
          <w:sz w:val="32"/>
          <w:szCs w:val="32"/>
          <w:lang w:val="en-US" w:eastAsia="zh-CN"/>
        </w:rPr>
        <w:t>53.54万元，执行数53.54万元，执行率100%。</w:t>
      </w:r>
    </w:p>
    <w:p w14:paraId="3896EC2B">
      <w:pPr>
        <w:adjustRightInd w:val="0"/>
        <w:snapToGrid w:val="0"/>
        <w:spacing w:line="600" w:lineRule="exact"/>
        <w:ind w:firstLine="960" w:firstLineChars="300"/>
        <w:rPr>
          <w:rFonts w:hint="eastAsia" w:ascii="仿宋" w:hAnsi="仿宋" w:eastAsia="仿宋" w:cs="仿宋_GB2312"/>
          <w:kern w:val="1"/>
          <w:sz w:val="32"/>
          <w:szCs w:val="32"/>
          <w:lang w:val="en-US" w:eastAsia="zh-CN"/>
        </w:rPr>
      </w:pPr>
      <w:r>
        <w:rPr>
          <w:rFonts w:hint="eastAsia" w:ascii="Times New Roman" w:hAnsi="Times New Roman" w:eastAsia="仿宋_GB2312"/>
          <w:sz w:val="32"/>
          <w:szCs w:val="32"/>
          <w:lang w:val="en-US" w:eastAsia="zh-CN"/>
        </w:rPr>
        <w:t>3.</w:t>
      </w:r>
      <w:r>
        <w:rPr>
          <w:rFonts w:hint="eastAsia" w:ascii="仿宋" w:hAnsi="仿宋" w:eastAsia="仿宋" w:cs="仿宋_GB2312"/>
          <w:kern w:val="1"/>
          <w:sz w:val="32"/>
          <w:szCs w:val="32"/>
          <w:lang w:val="en-US" w:eastAsia="zh-CN"/>
        </w:rPr>
        <w:t>国省干线公路日常</w:t>
      </w:r>
      <w:r>
        <w:rPr>
          <w:rFonts w:hint="eastAsia" w:ascii="仿宋" w:hAnsi="仿宋" w:eastAsia="仿宋" w:cs="仿宋_GB2312"/>
          <w:kern w:val="1"/>
          <w:sz w:val="32"/>
          <w:szCs w:val="32"/>
        </w:rPr>
        <w:t>养护</w:t>
      </w:r>
      <w:r>
        <w:rPr>
          <w:rFonts w:hint="eastAsia" w:ascii="Times New Roman" w:hAnsi="Times New Roman" w:eastAsia="仿宋_GB2312"/>
          <w:sz w:val="32"/>
          <w:szCs w:val="32"/>
          <w:lang w:val="en-US" w:eastAsia="zh-CN"/>
        </w:rPr>
        <w:t>：项目全年预算数</w:t>
      </w:r>
      <w:r>
        <w:rPr>
          <w:rFonts w:hint="eastAsia" w:ascii="仿宋" w:hAnsi="仿宋" w:eastAsia="仿宋" w:cs="仿宋_GB2312"/>
          <w:kern w:val="1"/>
          <w:sz w:val="32"/>
          <w:szCs w:val="32"/>
          <w:lang w:val="en-US" w:eastAsia="zh-CN"/>
        </w:rPr>
        <w:t>55.46万元，执行数55.46万元，执行率100%。</w:t>
      </w:r>
    </w:p>
    <w:p w14:paraId="41B2A788">
      <w:pPr>
        <w:adjustRightInd w:val="0"/>
        <w:snapToGrid w:val="0"/>
        <w:spacing w:line="600" w:lineRule="exact"/>
        <w:ind w:firstLine="960" w:firstLineChars="300"/>
        <w:rPr>
          <w:rFonts w:hint="eastAsia" w:ascii="仿宋" w:hAnsi="仿宋" w:eastAsia="仿宋" w:cs="仿宋_GB2312"/>
          <w:kern w:val="1"/>
          <w:sz w:val="32"/>
          <w:szCs w:val="32"/>
          <w:lang w:val="en-US" w:eastAsia="zh-CN"/>
        </w:rPr>
      </w:pPr>
      <w:r>
        <w:rPr>
          <w:rFonts w:hint="eastAsia" w:ascii="Times New Roman" w:hAnsi="Times New Roman" w:eastAsia="仿宋_GB2312"/>
          <w:sz w:val="32"/>
          <w:szCs w:val="32"/>
          <w:lang w:val="en-US" w:eastAsia="zh-CN"/>
        </w:rPr>
        <w:t>4.</w:t>
      </w:r>
      <w:r>
        <w:rPr>
          <w:rFonts w:hint="eastAsia" w:ascii="仿宋" w:hAnsi="仿宋" w:eastAsia="仿宋" w:cs="仿宋_GB2312"/>
          <w:kern w:val="1"/>
          <w:sz w:val="32"/>
          <w:szCs w:val="32"/>
          <w:lang w:eastAsia="zh-CN"/>
        </w:rPr>
        <w:t>农村公路建设</w:t>
      </w:r>
      <w:r>
        <w:rPr>
          <w:rFonts w:hint="eastAsia" w:ascii="Times New Roman" w:hAnsi="Times New Roman" w:eastAsia="仿宋_GB2312"/>
          <w:sz w:val="32"/>
          <w:szCs w:val="32"/>
          <w:lang w:val="en-US" w:eastAsia="zh-CN"/>
        </w:rPr>
        <w:t>：项目全年预算数</w:t>
      </w:r>
      <w:r>
        <w:rPr>
          <w:rFonts w:hint="eastAsia" w:ascii="仿宋" w:hAnsi="仿宋" w:eastAsia="仿宋" w:cs="仿宋_GB2312"/>
          <w:kern w:val="1"/>
          <w:sz w:val="32"/>
          <w:szCs w:val="32"/>
          <w:lang w:val="en-US" w:eastAsia="zh-CN"/>
        </w:rPr>
        <w:t>42.50万元，执行数42.50万元，执行率100%。</w:t>
      </w:r>
    </w:p>
    <w:p w14:paraId="48A7BBB6">
      <w:pPr>
        <w:adjustRightInd w:val="0"/>
        <w:snapToGrid w:val="0"/>
        <w:spacing w:line="600" w:lineRule="exact"/>
        <w:ind w:firstLine="960" w:firstLineChars="300"/>
        <w:rPr>
          <w:rFonts w:hint="eastAsia" w:ascii="仿宋" w:hAnsi="仿宋" w:eastAsia="仿宋" w:cs="仿宋_GB2312"/>
          <w:kern w:val="1"/>
          <w:sz w:val="32"/>
          <w:szCs w:val="32"/>
          <w:lang w:val="en-US" w:eastAsia="zh-CN"/>
        </w:rPr>
      </w:pPr>
      <w:r>
        <w:rPr>
          <w:rFonts w:hint="eastAsia" w:ascii="Times New Roman" w:hAnsi="Times New Roman" w:eastAsia="仿宋_GB2312"/>
          <w:sz w:val="32"/>
          <w:szCs w:val="32"/>
          <w:lang w:val="en-US" w:eastAsia="zh-CN"/>
        </w:rPr>
        <w:t>5.</w:t>
      </w:r>
      <w:r>
        <w:rPr>
          <w:rFonts w:hint="eastAsia" w:ascii="仿宋" w:hAnsi="仿宋" w:eastAsia="仿宋" w:cs="仿宋_GB2312"/>
          <w:kern w:val="1"/>
          <w:sz w:val="32"/>
          <w:szCs w:val="32"/>
          <w:lang w:eastAsia="zh-CN"/>
        </w:rPr>
        <w:t>农村公路生命安全防护工程</w:t>
      </w:r>
      <w:r>
        <w:rPr>
          <w:rFonts w:hint="eastAsia" w:ascii="Times New Roman" w:hAnsi="Times New Roman" w:eastAsia="仿宋_GB2312"/>
          <w:sz w:val="32"/>
          <w:szCs w:val="32"/>
          <w:lang w:val="en-US" w:eastAsia="zh-CN"/>
        </w:rPr>
        <w:t>：项目全年预算数</w:t>
      </w:r>
      <w:r>
        <w:rPr>
          <w:rFonts w:hint="eastAsia" w:ascii="仿宋" w:hAnsi="仿宋" w:eastAsia="仿宋" w:cs="仿宋_GB2312"/>
          <w:kern w:val="1"/>
          <w:sz w:val="32"/>
          <w:szCs w:val="32"/>
          <w:lang w:val="en-US" w:eastAsia="zh-CN"/>
        </w:rPr>
        <w:t>41.75万元，执行数41.75万元，执行率100%。</w:t>
      </w:r>
    </w:p>
    <w:p w14:paraId="1F64C29C">
      <w:pPr>
        <w:adjustRightInd w:val="0"/>
        <w:snapToGrid w:val="0"/>
        <w:spacing w:line="600" w:lineRule="exact"/>
        <w:ind w:firstLine="960" w:firstLineChars="300"/>
        <w:rPr>
          <w:rFonts w:hint="eastAsia" w:ascii="仿宋" w:hAnsi="仿宋" w:eastAsia="仿宋" w:cs="仿宋_GB2312"/>
          <w:kern w:val="1"/>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_GB2312"/>
          <w:kern w:val="1"/>
          <w:sz w:val="32"/>
          <w:szCs w:val="32"/>
          <w:lang w:eastAsia="zh-CN"/>
        </w:rPr>
        <w:t>农村公路养护</w:t>
      </w:r>
      <w:r>
        <w:rPr>
          <w:rFonts w:hint="eastAsia" w:ascii="Times New Roman" w:hAnsi="Times New Roman" w:eastAsia="仿宋_GB2312"/>
          <w:sz w:val="32"/>
          <w:szCs w:val="32"/>
          <w:lang w:val="en-US" w:eastAsia="zh-CN"/>
        </w:rPr>
        <w:t>：项目全年预算数</w:t>
      </w:r>
      <w:r>
        <w:rPr>
          <w:rFonts w:hint="eastAsia" w:ascii="仿宋" w:hAnsi="仿宋" w:eastAsia="仿宋" w:cs="仿宋_GB2312"/>
          <w:kern w:val="1"/>
          <w:sz w:val="32"/>
          <w:szCs w:val="32"/>
          <w:lang w:val="en-US" w:eastAsia="zh-CN"/>
        </w:rPr>
        <w:t>199.93万元，执行数199.93万元，执行率100%。</w:t>
      </w:r>
    </w:p>
    <w:p w14:paraId="19D49AEA">
      <w:pPr>
        <w:numPr>
          <w:ilvl w:val="0"/>
          <w:numId w:val="0"/>
        </w:numPr>
        <w:adjustRightInd w:val="0"/>
        <w:snapToGrid w:val="0"/>
        <w:spacing w:line="600" w:lineRule="exact"/>
        <w:rPr>
          <w:rFonts w:hint="default" w:ascii="仿宋" w:hAnsi="仿宋" w:eastAsia="仿宋" w:cs="仿宋_GB2312"/>
          <w:kern w:val="1"/>
          <w:sz w:val="32"/>
          <w:szCs w:val="32"/>
          <w:lang w:val="en-US" w:eastAsia="zh-CN"/>
        </w:rPr>
      </w:pPr>
      <w:r>
        <w:rPr>
          <w:rFonts w:hint="eastAsia" w:ascii="宋体" w:hAnsi="宋体" w:cs="宋体"/>
          <w:kern w:val="0"/>
          <w:sz w:val="32"/>
          <w:szCs w:val="32"/>
          <w:lang w:val="en-US" w:eastAsia="zh-CN"/>
        </w:rPr>
        <w:t xml:space="preserve">      7</w:t>
      </w:r>
      <w:r>
        <w:rPr>
          <w:rFonts w:hint="eastAsia" w:ascii="Times New Roman" w:hAnsi="Times New Roman" w:eastAsia="仿宋_GB2312"/>
          <w:sz w:val="32"/>
          <w:szCs w:val="32"/>
          <w:lang w:val="en-US" w:eastAsia="zh-CN"/>
        </w:rPr>
        <w:t>.危桥改造：项目全年预算数</w:t>
      </w:r>
      <w:r>
        <w:rPr>
          <w:rFonts w:hint="eastAsia" w:ascii="仿宋" w:hAnsi="仿宋" w:eastAsia="仿宋" w:cs="仿宋_GB2312"/>
          <w:kern w:val="1"/>
          <w:sz w:val="32"/>
          <w:szCs w:val="32"/>
          <w:lang w:val="en-US" w:eastAsia="zh-CN"/>
        </w:rPr>
        <w:t>55.60万元，执行数55.60万元，执行率100%。</w:t>
      </w:r>
    </w:p>
    <w:p w14:paraId="3CA7EFF2">
      <w:pPr>
        <w:spacing w:line="520" w:lineRule="exact"/>
        <w:ind w:firstLine="560"/>
        <w:rPr>
          <w:rFonts w:hint="eastAsia"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（三）项目资金管理情况分析。</w:t>
      </w:r>
    </w:p>
    <w:p w14:paraId="5C969087">
      <w:pPr>
        <w:spacing w:line="520" w:lineRule="exact"/>
        <w:ind w:firstLine="560"/>
        <w:rPr>
          <w:rFonts w:hint="eastAsia"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项目资金管理由衡阳市公路建设养护中心雁峰分中心负责，项目预期目标已完成，严格执行财政预算安排，采取项目合同管理和专款专用管理，不存在挤占挪用等违法违规行为，严格按照工程量对公支付，不存在超范围超标准支出、转移资金、挤占挪用等违法违规问题，接受上级主管单位财政审计。</w:t>
      </w:r>
    </w:p>
    <w:p w14:paraId="104EA88E">
      <w:pPr>
        <w:numPr>
          <w:ilvl w:val="0"/>
          <w:numId w:val="1"/>
        </w:numPr>
        <w:adjustRightInd w:val="0"/>
        <w:snapToGrid w:val="0"/>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项目支出组织实施情况</w:t>
      </w:r>
    </w:p>
    <w:p w14:paraId="1A4DFD42">
      <w:pPr>
        <w:numPr>
          <w:ilvl w:val="0"/>
          <w:numId w:val="2"/>
        </w:numPr>
        <w:adjustRightInd w:val="0"/>
        <w:snapToGrid w:val="0"/>
        <w:spacing w:line="600" w:lineRule="exact"/>
        <w:ind w:firstLine="640" w:firstLineChars="200"/>
        <w:rPr>
          <w:rFonts w:hint="eastAsia" w:ascii="Times New Roman" w:hAnsi="Times New Roman" w:eastAsia="仿宋_GB2312"/>
          <w:sz w:val="32"/>
          <w:szCs w:val="32"/>
        </w:rPr>
      </w:pPr>
      <w:r>
        <w:rPr>
          <w:rFonts w:hint="eastAsia" w:ascii="仿宋" w:hAnsi="仿宋" w:eastAsia="仿宋" w:cs="仿宋_GB2312"/>
          <w:kern w:val="1"/>
          <w:sz w:val="32"/>
          <w:szCs w:val="32"/>
        </w:rPr>
        <w:t>S219线破板处治</w:t>
      </w:r>
      <w:r>
        <w:rPr>
          <w:rFonts w:hint="eastAsia" w:ascii="Times New Roman" w:hAnsi="Times New Roman" w:eastAsia="仿宋_GB2312"/>
          <w:sz w:val="32"/>
          <w:szCs w:val="32"/>
        </w:rPr>
        <w:t>：</w:t>
      </w:r>
    </w:p>
    <w:p w14:paraId="48A43309">
      <w:pPr>
        <w:spacing w:line="520" w:lineRule="exact"/>
        <w:ind w:firstLine="560"/>
        <w:rPr>
          <w:rFonts w:hint="eastAsia" w:ascii="Times New Roman" w:hAnsi="Times New Roman" w:eastAsia="仿宋_GB2312"/>
          <w:sz w:val="32"/>
          <w:szCs w:val="32"/>
        </w:rPr>
      </w:pPr>
      <w:r>
        <w:rPr>
          <w:rFonts w:hint="eastAsia" w:ascii="仿宋" w:hAnsi="仿宋" w:eastAsia="仿宋" w:cs="仿宋_GB2312"/>
          <w:kern w:val="1"/>
          <w:sz w:val="32"/>
          <w:szCs w:val="32"/>
        </w:rPr>
        <w:t>S219线破板处治</w:t>
      </w:r>
      <w:r>
        <w:rPr>
          <w:rFonts w:hint="eastAsia" w:ascii="仿宋" w:hAnsi="仿宋" w:eastAsia="仿宋" w:cs="仿宋_GB2312"/>
          <w:kern w:val="1"/>
          <w:sz w:val="32"/>
          <w:szCs w:val="32"/>
          <w:lang w:val="en-US" w:eastAsia="zh-CN"/>
        </w:rPr>
        <w:t>为</w:t>
      </w:r>
      <w:r>
        <w:rPr>
          <w:rFonts w:hint="eastAsia" w:ascii="仿宋" w:hAnsi="仿宋" w:eastAsia="仿宋" w:cs="仿宋_GB2312"/>
          <w:kern w:val="1"/>
          <w:sz w:val="32"/>
          <w:szCs w:val="32"/>
          <w:lang w:eastAsia="zh-CN"/>
        </w:rPr>
        <w:t>主要施工内容为破板</w:t>
      </w:r>
      <w:r>
        <w:rPr>
          <w:rFonts w:hint="eastAsia" w:ascii="仿宋" w:hAnsi="仿宋" w:eastAsia="仿宋" w:cs="仿宋_GB2312"/>
          <w:kern w:val="1"/>
          <w:sz w:val="32"/>
          <w:szCs w:val="32"/>
          <w:lang w:val="en-US" w:eastAsia="zh-CN"/>
        </w:rPr>
        <w:t>970</w:t>
      </w:r>
      <w:r>
        <w:rPr>
          <w:rFonts w:hint="eastAsia" w:ascii="宋体" w:hAnsi="宋体" w:eastAsia="宋体" w:cs="宋体"/>
          <w:kern w:val="1"/>
          <w:sz w:val="32"/>
          <w:szCs w:val="32"/>
          <w:lang w:val="en-US" w:eastAsia="zh-CN"/>
        </w:rPr>
        <w:t>㎡</w:t>
      </w:r>
      <w:r>
        <w:rPr>
          <w:rFonts w:hint="eastAsia" w:ascii="仿宋" w:hAnsi="仿宋" w:eastAsia="仿宋" w:cs="仿宋_GB2312"/>
          <w:kern w:val="1"/>
          <w:sz w:val="32"/>
          <w:szCs w:val="32"/>
          <w:lang w:eastAsia="zh-CN"/>
        </w:rPr>
        <w:t>。</w:t>
      </w:r>
      <w:r>
        <w:rPr>
          <w:rFonts w:hint="eastAsia" w:ascii="仿宋" w:hAnsi="仿宋" w:eastAsia="仿宋" w:cs="仿宋_GB2312"/>
          <w:kern w:val="1"/>
          <w:sz w:val="32"/>
          <w:szCs w:val="32"/>
          <w:lang w:val="en-US" w:eastAsia="zh-CN"/>
        </w:rPr>
        <w:t>项目完工率均为100%，已</w:t>
      </w:r>
      <w:r>
        <w:rPr>
          <w:rFonts w:hint="eastAsia" w:ascii="仿宋" w:hAnsi="仿宋" w:eastAsia="仿宋" w:cs="仿宋_GB2312"/>
          <w:kern w:val="1"/>
          <w:sz w:val="32"/>
          <w:szCs w:val="32"/>
          <w:lang w:eastAsia="zh-CN"/>
        </w:rPr>
        <w:t>按时完成。</w:t>
      </w:r>
    </w:p>
    <w:p w14:paraId="266EA1AC">
      <w:pPr>
        <w:numPr>
          <w:ilvl w:val="0"/>
          <w:numId w:val="2"/>
        </w:numPr>
        <w:adjustRightInd w:val="0"/>
        <w:snapToGrid w:val="0"/>
        <w:spacing w:line="600" w:lineRule="exact"/>
        <w:ind w:left="0" w:leftChars="0" w:firstLine="640" w:firstLineChars="200"/>
        <w:rPr>
          <w:rFonts w:hint="eastAsia" w:ascii="Times New Roman" w:hAnsi="Times New Roman" w:eastAsia="仿宋_GB2312"/>
          <w:sz w:val="32"/>
          <w:szCs w:val="32"/>
        </w:rPr>
      </w:pPr>
      <w:r>
        <w:rPr>
          <w:rFonts w:hint="eastAsia" w:ascii="仿宋" w:hAnsi="仿宋" w:eastAsia="仿宋" w:cs="仿宋_GB2312"/>
          <w:kern w:val="1"/>
          <w:sz w:val="32"/>
          <w:szCs w:val="32"/>
          <w:lang w:val="en-US" w:eastAsia="zh-CN"/>
        </w:rPr>
        <w:t>S219线安防设施精细化提升工程</w:t>
      </w:r>
      <w:r>
        <w:rPr>
          <w:rFonts w:hint="eastAsia" w:ascii="Times New Roman" w:hAnsi="Times New Roman" w:eastAsia="仿宋_GB2312"/>
          <w:sz w:val="32"/>
          <w:szCs w:val="32"/>
        </w:rPr>
        <w:t>：</w:t>
      </w:r>
    </w:p>
    <w:p w14:paraId="117AC7B7">
      <w:pPr>
        <w:spacing w:line="520" w:lineRule="exact"/>
        <w:ind w:firstLine="560"/>
        <w:rPr>
          <w:rFonts w:hint="eastAsia" w:ascii="Times New Roman" w:hAnsi="Times New Roman" w:eastAsia="仿宋_GB2312"/>
          <w:sz w:val="32"/>
          <w:szCs w:val="32"/>
        </w:rPr>
      </w:pPr>
      <w:r>
        <w:rPr>
          <w:rFonts w:hint="eastAsia" w:ascii="仿宋" w:hAnsi="仿宋" w:eastAsia="仿宋" w:cs="仿宋_GB2312"/>
          <w:kern w:val="1"/>
          <w:sz w:val="32"/>
          <w:szCs w:val="32"/>
          <w:lang w:val="en-US" w:eastAsia="zh-CN"/>
        </w:rPr>
        <w:t>S219线安防设施精细化提升工程</w:t>
      </w:r>
      <w:r>
        <w:rPr>
          <w:rFonts w:hint="eastAsia" w:ascii="仿宋" w:hAnsi="仿宋" w:eastAsia="仿宋" w:cs="仿宋_GB2312"/>
          <w:kern w:val="1"/>
          <w:sz w:val="32"/>
          <w:szCs w:val="32"/>
          <w:lang w:eastAsia="zh-CN"/>
        </w:rPr>
        <w:t>主要施工内容为：拆除既有钢护栏</w:t>
      </w:r>
      <w:r>
        <w:rPr>
          <w:rFonts w:hint="eastAsia" w:ascii="仿宋" w:hAnsi="仿宋" w:eastAsia="仿宋" w:cs="仿宋_GB2312"/>
          <w:kern w:val="1"/>
          <w:sz w:val="32"/>
          <w:szCs w:val="32"/>
          <w:lang w:val="en-US" w:eastAsia="zh-CN"/>
        </w:rPr>
        <w:t>1630米，新增A级安护栏1736米。项目完工率均为100%，已</w:t>
      </w:r>
      <w:r>
        <w:rPr>
          <w:rFonts w:hint="eastAsia" w:ascii="仿宋" w:hAnsi="仿宋" w:eastAsia="仿宋" w:cs="仿宋_GB2312"/>
          <w:kern w:val="1"/>
          <w:sz w:val="32"/>
          <w:szCs w:val="32"/>
          <w:lang w:eastAsia="zh-CN"/>
        </w:rPr>
        <w:t>按时完成。</w:t>
      </w:r>
    </w:p>
    <w:p w14:paraId="101F8224">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w:t>
      </w:r>
      <w:r>
        <w:rPr>
          <w:rFonts w:hint="eastAsia" w:ascii="仿宋" w:hAnsi="仿宋" w:eastAsia="仿宋" w:cs="仿宋_GB2312"/>
          <w:kern w:val="1"/>
          <w:sz w:val="32"/>
          <w:szCs w:val="32"/>
          <w:lang w:eastAsia="zh-CN"/>
        </w:rPr>
        <w:t>农村公路建设</w:t>
      </w:r>
      <w:r>
        <w:rPr>
          <w:rFonts w:hint="eastAsia" w:ascii="Times New Roman" w:hAnsi="Times New Roman" w:eastAsia="仿宋_GB2312"/>
          <w:sz w:val="32"/>
          <w:szCs w:val="32"/>
        </w:rPr>
        <w:t>：</w:t>
      </w:r>
    </w:p>
    <w:p w14:paraId="4452D69A">
      <w:pPr>
        <w:spacing w:line="520" w:lineRule="exact"/>
        <w:ind w:firstLine="560"/>
        <w:rPr>
          <w:rFonts w:hint="eastAsia" w:ascii="Times New Roman" w:hAnsi="Times New Roman" w:eastAsia="仿宋_GB2312"/>
          <w:sz w:val="32"/>
          <w:szCs w:val="32"/>
        </w:rPr>
      </w:pPr>
      <w:r>
        <w:rPr>
          <w:rFonts w:hint="eastAsia" w:ascii="仿宋" w:hAnsi="仿宋" w:eastAsia="仿宋" w:cs="仿宋_GB2312"/>
          <w:kern w:val="1"/>
          <w:sz w:val="32"/>
          <w:szCs w:val="32"/>
          <w:lang w:val="en-US" w:eastAsia="zh-CN"/>
        </w:rPr>
        <w:t>雁峰区农村公路生命安全防护工程项目为处治雁峰区C08A</w:t>
      </w:r>
      <w:r>
        <w:rPr>
          <w:rFonts w:hint="eastAsia" w:ascii="仿宋" w:hAnsi="仿宋" w:eastAsia="仿宋" w:cs="仿宋_GB2312"/>
          <w:kern w:val="1"/>
          <w:sz w:val="32"/>
          <w:szCs w:val="32"/>
          <w:lang w:eastAsia="zh-CN"/>
        </w:rPr>
        <w:t>等农村公路安全隐患，主要施工内容为：原</w:t>
      </w:r>
      <w:r>
        <w:rPr>
          <w:rFonts w:hint="eastAsia" w:ascii="仿宋" w:hAnsi="仿宋" w:eastAsia="仿宋" w:cs="仿宋_GB2312"/>
          <w:kern w:val="1"/>
          <w:sz w:val="32"/>
          <w:szCs w:val="32"/>
          <w:lang w:val="en-US" w:eastAsia="zh-CN"/>
        </w:rPr>
        <w:t>4.5米宽水泥硂路面加宽至0.6米，4cm沥青硂面层铺筑及交通工程项目</w:t>
      </w:r>
      <w:r>
        <w:rPr>
          <w:rFonts w:hint="eastAsia" w:ascii="仿宋" w:hAnsi="仿宋" w:eastAsia="仿宋" w:cs="仿宋_GB2312"/>
          <w:kern w:val="1"/>
          <w:sz w:val="32"/>
          <w:szCs w:val="32"/>
          <w:lang w:eastAsia="zh-CN"/>
        </w:rPr>
        <w:t>。</w:t>
      </w:r>
      <w:r>
        <w:rPr>
          <w:rFonts w:hint="eastAsia" w:ascii="仿宋" w:hAnsi="仿宋" w:eastAsia="仿宋" w:cs="仿宋_GB2312"/>
          <w:kern w:val="1"/>
          <w:sz w:val="32"/>
          <w:szCs w:val="32"/>
          <w:lang w:val="en-US" w:eastAsia="zh-CN"/>
        </w:rPr>
        <w:t>项目完工率均为100%，已</w:t>
      </w:r>
      <w:r>
        <w:rPr>
          <w:rFonts w:hint="eastAsia" w:ascii="仿宋" w:hAnsi="仿宋" w:eastAsia="仿宋" w:cs="仿宋_GB2312"/>
          <w:kern w:val="1"/>
          <w:sz w:val="32"/>
          <w:szCs w:val="32"/>
          <w:lang w:eastAsia="zh-CN"/>
        </w:rPr>
        <w:t>按时完成。</w:t>
      </w:r>
    </w:p>
    <w:p w14:paraId="00A565C4">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rPr>
        <w:t>）公路养护：</w:t>
      </w:r>
    </w:p>
    <w:p w14:paraId="6379A036">
      <w:pPr>
        <w:widowControl w:val="0"/>
        <w:wordWrap/>
        <w:adjustRightInd/>
        <w:snapToGrid/>
        <w:spacing w:line="600" w:lineRule="exact"/>
        <w:ind w:firstLine="640" w:firstLineChars="200"/>
        <w:textAlignment w:val="auto"/>
        <w:rPr>
          <w:rFonts w:hint="eastAsia" w:ascii="仿宋" w:hAnsi="仿宋" w:eastAsia="仿宋" w:cs="仿宋_GB2312"/>
          <w:kern w:val="1"/>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_GB2312"/>
          <w:kern w:val="1"/>
          <w:sz w:val="32"/>
          <w:szCs w:val="32"/>
          <w:lang w:val="en-US" w:eastAsia="zh-CN"/>
        </w:rPr>
        <w:t>日常养护：</w:t>
      </w:r>
      <w:r>
        <w:rPr>
          <w:rFonts w:hint="eastAsia" w:ascii="仿宋" w:hAnsi="仿宋" w:eastAsia="仿宋" w:cs="仿宋_GB2312"/>
          <w:kern w:val="1"/>
          <w:sz w:val="32"/>
          <w:szCs w:val="32"/>
        </w:rPr>
        <w:t>完成国省干线及农村公路路面清扫、行道树修枝及刷白、水沟清理、清理路肩反坡</w:t>
      </w:r>
      <w:r>
        <w:rPr>
          <w:rFonts w:hint="eastAsia" w:ascii="仿宋" w:hAnsi="仿宋" w:eastAsia="仿宋" w:cs="仿宋_GB2312"/>
          <w:kern w:val="1"/>
          <w:sz w:val="32"/>
          <w:szCs w:val="32"/>
          <w:lang w:eastAsia="zh-CN"/>
        </w:rPr>
        <w:t>等日常养护工作，</w:t>
      </w:r>
      <w:r>
        <w:rPr>
          <w:rFonts w:hint="eastAsia" w:ascii="仿宋" w:hAnsi="仿宋" w:eastAsia="仿宋" w:cs="仿宋_GB2312"/>
          <w:kern w:val="1"/>
          <w:sz w:val="32"/>
          <w:szCs w:val="32"/>
          <w:lang w:val="en-US" w:eastAsia="zh-CN"/>
        </w:rPr>
        <w:t>项目完工率100%，已</w:t>
      </w:r>
      <w:r>
        <w:rPr>
          <w:rFonts w:hint="eastAsia" w:ascii="仿宋" w:hAnsi="仿宋" w:eastAsia="仿宋" w:cs="仿宋_GB2312"/>
          <w:kern w:val="1"/>
          <w:sz w:val="32"/>
          <w:szCs w:val="32"/>
          <w:lang w:eastAsia="zh-CN"/>
        </w:rPr>
        <w:t>按时完成。</w:t>
      </w:r>
    </w:p>
    <w:p w14:paraId="4E55468E">
      <w:pPr>
        <w:widowControl w:val="0"/>
        <w:wordWrap/>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Times New Roman" w:hAnsi="Times New Roman" w:eastAsia="仿宋_GB2312"/>
          <w:sz w:val="32"/>
          <w:szCs w:val="32"/>
          <w:lang w:val="en-US" w:eastAsia="zh-CN"/>
        </w:rPr>
        <w:t>2.</w:t>
      </w:r>
      <w:r>
        <w:rPr>
          <w:rFonts w:hint="eastAsia" w:ascii="仿宋" w:hAnsi="仿宋" w:eastAsia="仿宋" w:cs="仿宋_GB2312"/>
          <w:kern w:val="1"/>
          <w:sz w:val="32"/>
          <w:szCs w:val="32"/>
          <w:lang w:val="en-US" w:eastAsia="zh-CN"/>
        </w:rPr>
        <w:t>养护工程：完成</w:t>
      </w:r>
      <w:r>
        <w:rPr>
          <w:rFonts w:hint="eastAsia" w:ascii="仿宋" w:hAnsi="仿宋" w:eastAsia="仿宋" w:cs="仿宋_GB2312"/>
          <w:kern w:val="1"/>
          <w:sz w:val="32"/>
          <w:szCs w:val="32"/>
        </w:rPr>
        <w:t>202</w:t>
      </w:r>
      <w:r>
        <w:rPr>
          <w:rFonts w:hint="eastAsia" w:ascii="仿宋" w:hAnsi="仿宋" w:eastAsia="仿宋" w:cs="仿宋_GB2312"/>
          <w:kern w:val="1"/>
          <w:sz w:val="32"/>
          <w:szCs w:val="32"/>
          <w:lang w:val="en-US" w:eastAsia="zh-CN"/>
        </w:rPr>
        <w:t>3</w:t>
      </w:r>
      <w:r>
        <w:rPr>
          <w:rFonts w:hint="eastAsia" w:ascii="仿宋" w:hAnsi="仿宋" w:eastAsia="仿宋" w:cs="仿宋_GB2312"/>
          <w:kern w:val="1"/>
          <w:sz w:val="32"/>
          <w:szCs w:val="32"/>
        </w:rPr>
        <w:t>年</w:t>
      </w:r>
      <w:r>
        <w:rPr>
          <w:rFonts w:hint="eastAsia" w:ascii="仿宋" w:hAnsi="仿宋" w:eastAsia="仿宋" w:cs="仿宋_GB2312"/>
          <w:kern w:val="1"/>
          <w:sz w:val="32"/>
          <w:szCs w:val="32"/>
          <w:lang w:val="en-US" w:eastAsia="zh-CN"/>
        </w:rPr>
        <w:t>农村公路养护工程</w:t>
      </w:r>
      <w:r>
        <w:rPr>
          <w:rFonts w:hint="eastAsia" w:ascii="仿宋" w:hAnsi="仿宋" w:eastAsia="仿宋" w:cs="仿宋_GB2312"/>
          <w:kern w:val="1"/>
          <w:sz w:val="32"/>
          <w:szCs w:val="32"/>
          <w:lang w:eastAsia="zh-CN"/>
        </w:rPr>
        <w:t>包括</w:t>
      </w:r>
      <w:r>
        <w:rPr>
          <w:rFonts w:hint="eastAsia" w:ascii="仿宋" w:hAnsi="仿宋" w:eastAsia="仿宋" w:cs="仿宋_GB2312"/>
          <w:kern w:val="1"/>
          <w:sz w:val="32"/>
          <w:szCs w:val="32"/>
          <w:lang w:val="en-US" w:eastAsia="zh-CN"/>
        </w:rPr>
        <w:t>CX56线、C19A线、CY05线、Y100线、C034线、CJJ3线、C21A线、XOO2线等。</w:t>
      </w:r>
      <w:r>
        <w:rPr>
          <w:rFonts w:hint="eastAsia" w:ascii="仿宋" w:hAnsi="仿宋" w:eastAsia="仿宋" w:cs="仿宋_GB2312"/>
          <w:kern w:val="1"/>
          <w:sz w:val="32"/>
          <w:szCs w:val="32"/>
        </w:rPr>
        <w:t>主要</w:t>
      </w:r>
      <w:r>
        <w:rPr>
          <w:rFonts w:hint="eastAsia" w:ascii="仿宋" w:hAnsi="仿宋" w:eastAsia="仿宋" w:cs="仿宋_GB2312"/>
          <w:kern w:val="1"/>
          <w:sz w:val="32"/>
          <w:szCs w:val="32"/>
          <w:lang w:eastAsia="zh-CN"/>
        </w:rPr>
        <w:t>工程内容</w:t>
      </w:r>
      <w:r>
        <w:rPr>
          <w:rFonts w:hint="eastAsia" w:ascii="仿宋" w:hAnsi="仿宋" w:eastAsia="仿宋" w:cs="仿宋_GB2312"/>
          <w:kern w:val="1"/>
          <w:sz w:val="32"/>
          <w:szCs w:val="32"/>
        </w:rPr>
        <w:t>为</w:t>
      </w:r>
      <w:r>
        <w:rPr>
          <w:rFonts w:hint="eastAsia" w:ascii="仿宋" w:hAnsi="仿宋" w:eastAsia="仿宋" w:cs="仿宋_GB2312"/>
          <w:kern w:val="1"/>
          <w:sz w:val="32"/>
          <w:szCs w:val="32"/>
          <w:lang w:eastAsia="zh-CN"/>
        </w:rPr>
        <w:t>修复养护中修白加黑项目以及大修白改黑项目，</w:t>
      </w:r>
      <w:r>
        <w:rPr>
          <w:rFonts w:hint="eastAsia" w:ascii="仿宋" w:hAnsi="仿宋" w:eastAsia="仿宋" w:cs="仿宋_GB2312"/>
          <w:kern w:val="1"/>
          <w:sz w:val="32"/>
          <w:szCs w:val="32"/>
          <w:lang w:val="en-US" w:eastAsia="zh-CN"/>
        </w:rPr>
        <w:t>项目完工率100%，已</w:t>
      </w:r>
      <w:r>
        <w:rPr>
          <w:rFonts w:hint="eastAsia" w:ascii="仿宋" w:hAnsi="仿宋" w:eastAsia="仿宋" w:cs="仿宋_GB2312"/>
          <w:kern w:val="1"/>
          <w:sz w:val="32"/>
          <w:szCs w:val="32"/>
          <w:lang w:eastAsia="zh-CN"/>
        </w:rPr>
        <w:t>按时完成。</w:t>
      </w:r>
    </w:p>
    <w:p w14:paraId="63F3B992">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（五）农村公路生命安全防护工程：</w:t>
      </w:r>
    </w:p>
    <w:p w14:paraId="7C9DEEBA">
      <w:pPr>
        <w:spacing w:line="520" w:lineRule="exact"/>
        <w:ind w:firstLine="560"/>
        <w:rPr>
          <w:rFonts w:hint="eastAsia" w:ascii="仿宋" w:hAnsi="仿宋" w:eastAsia="仿宋" w:cs="仿宋_GB2312"/>
          <w:kern w:val="1"/>
          <w:sz w:val="32"/>
          <w:szCs w:val="32"/>
          <w:lang w:eastAsia="zh-CN"/>
        </w:rPr>
      </w:pPr>
      <w:r>
        <w:rPr>
          <w:rFonts w:hint="eastAsia" w:ascii="仿宋" w:hAnsi="仿宋" w:eastAsia="仿宋" w:cs="仿宋_GB2312"/>
          <w:kern w:val="1"/>
          <w:sz w:val="32"/>
          <w:szCs w:val="32"/>
          <w:lang w:val="en-US" w:eastAsia="zh-CN"/>
        </w:rPr>
        <w:t>雁峰区农村公路生命安全防护工程项目为处治雁峰区C08A等农村公路安全隐患，主要施工内容为：钢护栏、标志牌、减速带、反光镜等交通防护设施安装。项目完工率均为100%，已按时完成。</w:t>
      </w:r>
    </w:p>
    <w:p w14:paraId="63312A46">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（六）危桥改造：</w:t>
      </w:r>
    </w:p>
    <w:p w14:paraId="460FDB94">
      <w:pPr>
        <w:widowControl w:val="0"/>
        <w:wordWrap/>
        <w:adjustRightInd/>
        <w:snapToGrid/>
        <w:spacing w:line="600" w:lineRule="exact"/>
        <w:ind w:firstLine="640" w:firstLineChars="200"/>
        <w:textAlignment w:val="auto"/>
        <w:rPr>
          <w:rFonts w:hint="eastAsia"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雁峰区茶园桥桥梁全长43.9m,桥梁全宽为18.5m,由于桥梁承载力不足，已对桥梁进行维修加固，项目完工率100%，已按时完成。</w:t>
      </w:r>
    </w:p>
    <w:p w14:paraId="2083333E">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0103B44D">
      <w:pPr>
        <w:widowControl w:val="0"/>
        <w:wordWrap/>
        <w:adjustRightInd/>
        <w:snapToGrid/>
        <w:spacing w:line="600" w:lineRule="exact"/>
        <w:ind w:firstLine="640" w:firstLineChars="200"/>
        <w:textAlignment w:val="auto"/>
        <w:rPr>
          <w:rFonts w:hint="eastAsia"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雁峰分中心认真贯彻落实全市公路工作会议精神和区委经济工作会议精神，立足实际、主动作为、建章立制、规范管理、重在强基，各项工作稳步推进，圆满完成了全年各项目标任务，实现了良好开局，2023年各项目增强了雁峰路段的养护能力，提高了公路养护标准，促进了雁峰区公路路况可持续发展。项目绩效自评结果为良好，已向社会公示，社会公众及周边群众满意度较高。</w:t>
      </w:r>
    </w:p>
    <w:p w14:paraId="5D2901DB">
      <w:pPr>
        <w:numPr>
          <w:ilvl w:val="0"/>
          <w:numId w:val="3"/>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主要经验做法、存在的问题及原因分析</w:t>
      </w:r>
    </w:p>
    <w:p w14:paraId="1F9A4654">
      <w:pPr>
        <w:widowControl w:val="0"/>
        <w:wordWrap/>
        <w:adjustRightInd/>
        <w:snapToGrid/>
        <w:spacing w:line="600" w:lineRule="exact"/>
        <w:ind w:firstLine="640" w:firstLineChars="200"/>
        <w:textAlignment w:val="auto"/>
        <w:rPr>
          <w:rFonts w:hint="eastAsia"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公路建设养护资金投入不足，与公路实际建养需求有差距。</w:t>
      </w:r>
    </w:p>
    <w:p w14:paraId="18189C22">
      <w:pPr>
        <w:numPr>
          <w:ilvl w:val="0"/>
          <w:numId w:val="3"/>
        </w:numPr>
        <w:adjustRightInd w:val="0"/>
        <w:snapToGrid w:val="0"/>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有关建议</w:t>
      </w:r>
    </w:p>
    <w:p w14:paraId="6CF8991F">
      <w:pPr>
        <w:widowControl w:val="0"/>
        <w:wordWrap/>
        <w:adjustRightInd/>
        <w:snapToGrid/>
        <w:spacing w:line="600" w:lineRule="exact"/>
        <w:ind w:firstLine="640" w:firstLineChars="200"/>
        <w:textAlignment w:val="auto"/>
        <w:rPr>
          <w:rFonts w:hint="eastAsia"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建议财政部门解决公路养护经费；按中央、省里要求安排专项经费，加大公路养护费的投入；采取“一事一议”的形式安排大中修计划，便于及时、更好、更大范围进行公路、桥梁的养护，使道路设施得到长效管理，持续发展。</w:t>
      </w:r>
    </w:p>
    <w:p w14:paraId="37CE564B">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24CC652D">
      <w:pPr>
        <w:adjustRightInd w:val="0"/>
        <w:snapToGrid w:val="0"/>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14:paraId="0BF3A451">
      <w:pPr>
        <w:adjustRightInd w:val="0"/>
        <w:snapToGrid w:val="0"/>
        <w:spacing w:line="600" w:lineRule="exact"/>
        <w:ind w:firstLine="640" w:firstLineChars="200"/>
        <w:rPr>
          <w:rFonts w:ascii="Times New Roman" w:hAnsi="Times New Roman" w:eastAsia="仿宋_GB2312"/>
          <w:sz w:val="32"/>
          <w:szCs w:val="32"/>
        </w:rPr>
      </w:pPr>
    </w:p>
    <w:p w14:paraId="7EACC858">
      <w:pPr>
        <w:adjustRightInd w:val="0"/>
        <w:snapToGrid w:val="0"/>
        <w:spacing w:line="600" w:lineRule="exact"/>
        <w:ind w:firstLine="640" w:firstLineChars="200"/>
        <w:rPr>
          <w:rFonts w:ascii="Times New Roman" w:hAnsi="Times New Roman" w:eastAsia="仿宋_GB2312"/>
          <w:sz w:val="32"/>
          <w:szCs w:val="32"/>
        </w:rPr>
      </w:pPr>
    </w:p>
    <w:p w14:paraId="430FB7F9">
      <w:pPr>
        <w:wordWrap/>
        <w:adjustRightInd/>
        <w:snapToGrid/>
        <w:spacing w:line="40" w:lineRule="atLeast"/>
        <w:textAlignment w:val="auto"/>
        <w:rPr>
          <w:rFonts w:hint="eastAsia" w:ascii="Times New Roman" w:hAnsi="Times New Roman"/>
          <w:kern w:val="0"/>
          <w:sz w:val="22"/>
        </w:rPr>
      </w:pPr>
    </w:p>
    <w:sectPr>
      <w:footerReference r:id="rId3" w:type="default"/>
      <w:footerReference r:id="rId4" w:type="even"/>
      <w:pgSz w:w="11906" w:h="16838"/>
      <w:pgMar w:top="1440" w:right="1797" w:bottom="1440" w:left="1797" w:header="851" w:footer="992" w:gutter="0"/>
      <w:pgNumType w:fmt="numberInDash"/>
      <w:cols w:space="720"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1ED0D">
    <w:pPr>
      <w:pStyle w:val="4"/>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- 10 -</w:t>
    </w:r>
    <w:r>
      <w:rPr>
        <w:rStyle w:val="10"/>
        <w:rFonts w:ascii="Times New Roman" w:hAnsi="Times New Roman"/>
        <w:sz w:val="28"/>
        <w:szCs w:val="28"/>
      </w:rPr>
      <w:fldChar w:fldCharType="end"/>
    </w:r>
  </w:p>
  <w:p w14:paraId="44C3F6AC">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44DE">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fldChar w:fldCharType="end"/>
    </w:r>
  </w:p>
  <w:p w14:paraId="030A1170">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A7BFF"/>
    <w:multiLevelType w:val="singleLevel"/>
    <w:tmpl w:val="921A7BFF"/>
    <w:lvl w:ilvl="0" w:tentative="0">
      <w:start w:val="1"/>
      <w:numFmt w:val="chineseCounting"/>
      <w:suff w:val="nothing"/>
      <w:lvlText w:val="(%1）"/>
      <w:lvlJc w:val="left"/>
      <w:rPr>
        <w:rFonts w:hint="eastAsia"/>
      </w:rPr>
    </w:lvl>
  </w:abstractNum>
  <w:abstractNum w:abstractNumId="1">
    <w:nsid w:val="BAFEA21F"/>
    <w:multiLevelType w:val="singleLevel"/>
    <w:tmpl w:val="BAFEA21F"/>
    <w:lvl w:ilvl="0" w:tentative="0">
      <w:start w:val="5"/>
      <w:numFmt w:val="chineseCounting"/>
      <w:suff w:val="nothing"/>
      <w:lvlText w:val="%1、"/>
      <w:lvlJc w:val="left"/>
      <w:rPr>
        <w:rFonts w:hint="eastAsia"/>
      </w:rPr>
    </w:lvl>
  </w:abstractNum>
  <w:abstractNum w:abstractNumId="2">
    <w:nsid w:val="02EB05C7"/>
    <w:multiLevelType w:val="singleLevel"/>
    <w:tmpl w:val="02EB05C7"/>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MWEwMjlhMTY0ZDYyMzBlZjI5NGYyMTkyMGYwMjgifQ=="/>
  </w:docVars>
  <w:rsids>
    <w:rsidRoot w:val="00000000"/>
    <w:rsid w:val="2393640A"/>
    <w:rsid w:val="33920BDB"/>
    <w:rsid w:val="45BB1A43"/>
    <w:rsid w:val="500E3EF0"/>
    <w:rsid w:val="62AB2892"/>
    <w:rsid w:val="7A4E13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rPr>
      <w:rFonts w:ascii="Times New Roman" w:hAnsi="Times New Roman"/>
      <w:szCs w:val="24"/>
    </w:rPr>
  </w:style>
  <w:style w:type="paragraph" w:styleId="3">
    <w:name w:val="Balloon Text"/>
    <w:basedOn w:val="1"/>
    <w:link w:val="16"/>
    <w:qFormat/>
    <w:uiPriority w:val="99"/>
    <w:rPr>
      <w:rFonts w:ascii="Times New Roman" w:hAnsi="Times New Roman"/>
      <w:sz w:val="18"/>
      <w:szCs w:val="18"/>
    </w:rPr>
  </w:style>
  <w:style w:type="paragraph" w:styleId="4">
    <w:name w:val="footer"/>
    <w:basedOn w:val="1"/>
    <w:link w:val="17"/>
    <w:qFormat/>
    <w:uiPriority w:val="99"/>
    <w:pPr>
      <w:tabs>
        <w:tab w:val="center" w:pos="4153"/>
        <w:tab w:val="right" w:pos="8306"/>
      </w:tabs>
      <w:snapToGrid w:val="0"/>
      <w:jc w:val="left"/>
    </w:pPr>
    <w:rPr>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locked/>
    <w:uiPriority w:val="22"/>
    <w:rPr>
      <w:b/>
      <w:bCs/>
    </w:rPr>
  </w:style>
  <w:style w:type="character" w:styleId="10">
    <w:name w:val="page number"/>
    <w:basedOn w:val="8"/>
    <w:qFormat/>
    <w:uiPriority w:val="99"/>
    <w:rPr>
      <w:rFonts w:cs="Times New Roman"/>
    </w:rPr>
  </w:style>
  <w:style w:type="character" w:styleId="11">
    <w:name w:val="annotation reference"/>
    <w:basedOn w:val="8"/>
    <w:qFormat/>
    <w:uiPriority w:val="99"/>
    <w:rPr>
      <w:rFonts w:cs="Times New Roman"/>
      <w:sz w:val="21"/>
      <w:szCs w:val="21"/>
    </w:rPr>
  </w:style>
  <w:style w:type="paragraph" w:customStyle="1" w:styleId="12">
    <w:name w:val="列出段落1"/>
    <w:basedOn w:val="1"/>
    <w:qFormat/>
    <w:uiPriority w:val="99"/>
    <w:pPr>
      <w:ind w:firstLine="420" w:firstLineChars="200"/>
    </w:pPr>
    <w:rPr>
      <w:rFonts w:ascii="Times New Roman" w:hAnsi="Times New Roman"/>
      <w:szCs w:val="24"/>
    </w:rPr>
  </w:style>
  <w:style w:type="paragraph" w:customStyle="1" w:styleId="13">
    <w:name w:val="List Paragraph"/>
    <w:basedOn w:val="1"/>
    <w:qFormat/>
    <w:uiPriority w:val="99"/>
    <w:pPr>
      <w:ind w:firstLine="420" w:firstLineChars="200"/>
    </w:pPr>
    <w:rPr>
      <w:rFonts w:ascii="Times New Roman" w:hAnsi="Times New Roman"/>
      <w:szCs w:val="24"/>
    </w:rPr>
  </w:style>
  <w:style w:type="paragraph" w:customStyle="1" w:styleId="14">
    <w:name w:val="修订1"/>
    <w:hidden/>
    <w:qFormat/>
    <w:uiPriority w:val="99"/>
    <w:rPr>
      <w:rFonts w:ascii="Times New Roman" w:hAnsi="Times New Roman" w:eastAsia="宋体" w:cs="Times New Roman"/>
      <w:kern w:val="2"/>
      <w:sz w:val="21"/>
      <w:szCs w:val="24"/>
      <w:lang w:val="en-US" w:eastAsia="zh-CN" w:bidi="ar-SA"/>
    </w:rPr>
  </w:style>
  <w:style w:type="character" w:customStyle="1" w:styleId="15">
    <w:name w:val="批注文字 Char"/>
    <w:basedOn w:val="8"/>
    <w:link w:val="2"/>
    <w:qFormat/>
    <w:locked/>
    <w:uiPriority w:val="99"/>
    <w:rPr>
      <w:rFonts w:ascii="Times New Roman" w:hAnsi="Times New Roman" w:eastAsia="宋体" w:cs="Times New Roman"/>
      <w:sz w:val="24"/>
      <w:szCs w:val="24"/>
    </w:rPr>
  </w:style>
  <w:style w:type="character" w:customStyle="1" w:styleId="16">
    <w:name w:val="批注框文本 Char"/>
    <w:basedOn w:val="8"/>
    <w:link w:val="3"/>
    <w:qFormat/>
    <w:locked/>
    <w:uiPriority w:val="99"/>
    <w:rPr>
      <w:rFonts w:ascii="Times New Roman" w:hAnsi="Times New Roman" w:eastAsia="宋体" w:cs="Times New Roman"/>
      <w:sz w:val="18"/>
      <w:szCs w:val="18"/>
    </w:rPr>
  </w:style>
  <w:style w:type="character" w:customStyle="1" w:styleId="17">
    <w:name w:val="页脚 Char"/>
    <w:basedOn w:val="8"/>
    <w:link w:val="4"/>
    <w:qFormat/>
    <w:locked/>
    <w:uiPriority w:val="99"/>
    <w:rPr>
      <w:rFonts w:cs="Times New Roman"/>
      <w:sz w:val="18"/>
      <w:szCs w:val="18"/>
    </w:rPr>
  </w:style>
  <w:style w:type="character" w:customStyle="1" w:styleId="18">
    <w:name w:val="页眉 Char"/>
    <w:basedOn w:val="8"/>
    <w:link w:val="5"/>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3604</Words>
  <Characters>4055</Characters>
  <Lines>45</Lines>
  <Paragraphs>12</Paragraphs>
  <TotalTime>4</TotalTime>
  <ScaleCrop>false</ScaleCrop>
  <LinksUpToDate>false</LinksUpToDate>
  <CharactersWithSpaces>4087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2021-03-04T00:24:00Z</dcterms:created>
  <dc:creator>lenovo</dc:creator>
  <cp:lastModifiedBy>邓婷</cp:lastModifiedBy>
  <cp:lastPrinted>2023-04-04T03:25:00Z</cp:lastPrinted>
  <dcterms:modified xsi:type="dcterms:W3CDTF">2024-12-09T01:54:34Z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C3F3EAC197604E8C9BA30E510F012C1C_13</vt:lpwstr>
  </property>
</Properties>
</file>