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0B8171">
      <w:pPr>
        <w:spacing w:afterLines="100"/>
        <w:rPr>
          <w:rFonts w:hint="eastAsia" w:ascii="Times New Roman" w:hAnsi="Times New Roman" w:eastAsia="黑体"/>
          <w:kern w:val="0"/>
          <w:sz w:val="32"/>
          <w:szCs w:val="32"/>
          <w:lang w:val="en-US" w:eastAsia="zh-CN"/>
        </w:rPr>
      </w:pPr>
      <w:r>
        <w:rPr>
          <w:rFonts w:hint="eastAsia" w:ascii="黑体" w:hAnsi="黑体" w:eastAsia="黑体" w:cs="黑体"/>
          <w:kern w:val="0"/>
          <w:sz w:val="32"/>
          <w:szCs w:val="32"/>
        </w:rPr>
        <w:t>附件</w:t>
      </w:r>
      <w:r>
        <w:rPr>
          <w:rFonts w:hint="eastAsia" w:ascii="黑体" w:hAnsi="黑体" w:eastAsia="黑体" w:cs="黑体"/>
          <w:kern w:val="0"/>
          <w:sz w:val="32"/>
          <w:szCs w:val="32"/>
          <w:lang w:val="en-US" w:eastAsia="zh-CN"/>
        </w:rPr>
        <w:t>2</w:t>
      </w:r>
    </w:p>
    <w:p w14:paraId="306B640E">
      <w:pPr>
        <w:spacing w:afterLines="100"/>
        <w:rPr>
          <w:rFonts w:ascii="Times New Roman" w:hAnsi="Times New Roman" w:eastAsia="仿宋_GB2312"/>
          <w:kern w:val="0"/>
          <w:sz w:val="32"/>
          <w:szCs w:val="32"/>
        </w:rPr>
      </w:pPr>
    </w:p>
    <w:p w14:paraId="6E2E834E">
      <w:pPr>
        <w:spacing w:afterLines="100"/>
        <w:rPr>
          <w:rFonts w:ascii="Times New Roman" w:hAnsi="Times New Roman" w:eastAsia="仿宋_GB2312"/>
          <w:kern w:val="0"/>
          <w:sz w:val="32"/>
          <w:szCs w:val="32"/>
        </w:rPr>
      </w:pPr>
    </w:p>
    <w:p w14:paraId="0C769CA1">
      <w:pPr>
        <w:rPr>
          <w:rFonts w:ascii="Times New Roman" w:hAnsi="Times New Roman" w:eastAsia="方正小标宋简体"/>
          <w:sz w:val="48"/>
          <w:szCs w:val="48"/>
        </w:rPr>
      </w:pPr>
      <w:bookmarkStart w:id="0" w:name="_GoBack"/>
      <w:bookmarkEnd w:id="0"/>
    </w:p>
    <w:p w14:paraId="71E99F75">
      <w:pPr>
        <w:rPr>
          <w:rFonts w:ascii="Times New Roman" w:hAnsi="Times New Roman" w:eastAsia="方正小标宋简体"/>
          <w:sz w:val="48"/>
          <w:szCs w:val="48"/>
        </w:rPr>
      </w:pPr>
    </w:p>
    <w:p w14:paraId="4D158616">
      <w:pPr>
        <w:jc w:val="center"/>
        <w:rPr>
          <w:rFonts w:ascii="Times New Roman" w:hAnsi="Times New Roman" w:eastAsia="方正小标宋简体"/>
          <w:sz w:val="48"/>
          <w:szCs w:val="48"/>
        </w:rPr>
      </w:pPr>
      <w:r>
        <w:rPr>
          <w:rFonts w:ascii="Times New Roman" w:hAnsi="Times New Roman" w:eastAsia="方正小标宋简体"/>
          <w:sz w:val="48"/>
          <w:szCs w:val="48"/>
        </w:rPr>
        <w:t>部门整体支出绩效自评报告</w:t>
      </w:r>
    </w:p>
    <w:p w14:paraId="7B80BB83">
      <w:pPr>
        <w:jc w:val="center"/>
        <w:rPr>
          <w:rFonts w:ascii="Times New Roman" w:hAnsi="Times New Roman" w:eastAsia="方正小标宋简体"/>
          <w:sz w:val="36"/>
          <w:szCs w:val="36"/>
        </w:rPr>
      </w:pPr>
      <w:r>
        <w:rPr>
          <w:rFonts w:hint="eastAsia" w:ascii="Times New Roman" w:hAnsi="Times New Roman" w:eastAsia="方正小标宋简体"/>
          <w:sz w:val="36"/>
          <w:szCs w:val="36"/>
        </w:rPr>
        <w:t>（</w:t>
      </w:r>
      <w:r>
        <w:rPr>
          <w:rFonts w:ascii="Times New Roman" w:hAnsi="Times New Roman" w:eastAsia="方正小标宋简体"/>
          <w:sz w:val="36"/>
          <w:szCs w:val="36"/>
        </w:rPr>
        <w:t>202</w:t>
      </w:r>
      <w:r>
        <w:rPr>
          <w:rFonts w:hint="eastAsia" w:ascii="Times New Roman" w:hAnsi="Times New Roman" w:eastAsia="方正小标宋简体"/>
          <w:sz w:val="36"/>
          <w:szCs w:val="36"/>
          <w:lang w:val="en-US" w:eastAsia="zh-CN"/>
        </w:rPr>
        <w:t>3</w:t>
      </w:r>
      <w:r>
        <w:rPr>
          <w:rFonts w:ascii="Times New Roman" w:hAnsi="Times New Roman" w:eastAsia="方正小标宋简体"/>
          <w:sz w:val="36"/>
          <w:szCs w:val="36"/>
        </w:rPr>
        <w:t>年度</w:t>
      </w:r>
      <w:r>
        <w:rPr>
          <w:rFonts w:hint="eastAsia" w:ascii="Times New Roman" w:hAnsi="Times New Roman" w:eastAsia="方正小标宋简体"/>
          <w:sz w:val="36"/>
          <w:szCs w:val="36"/>
        </w:rPr>
        <w:t>）</w:t>
      </w:r>
    </w:p>
    <w:p w14:paraId="138DC1E7">
      <w:pPr>
        <w:jc w:val="center"/>
        <w:rPr>
          <w:rFonts w:ascii="Times New Roman" w:hAnsi="Times New Roman" w:eastAsia="黑体"/>
          <w:sz w:val="32"/>
          <w:szCs w:val="32"/>
        </w:rPr>
      </w:pPr>
    </w:p>
    <w:p w14:paraId="6F5E5E52">
      <w:pPr>
        <w:jc w:val="center"/>
        <w:rPr>
          <w:rFonts w:ascii="Times New Roman" w:hAnsi="Times New Roman" w:eastAsia="黑体"/>
          <w:sz w:val="32"/>
          <w:szCs w:val="32"/>
        </w:rPr>
      </w:pPr>
    </w:p>
    <w:p w14:paraId="24BA8A36">
      <w:pPr>
        <w:jc w:val="center"/>
        <w:rPr>
          <w:rFonts w:ascii="Times New Roman" w:hAnsi="Times New Roman" w:eastAsia="黑体"/>
          <w:sz w:val="32"/>
          <w:szCs w:val="32"/>
        </w:rPr>
      </w:pPr>
    </w:p>
    <w:p w14:paraId="2AEF069A">
      <w:pPr>
        <w:jc w:val="center"/>
        <w:rPr>
          <w:rFonts w:ascii="Times New Roman" w:hAnsi="Times New Roman" w:eastAsia="黑体"/>
          <w:sz w:val="32"/>
          <w:szCs w:val="32"/>
        </w:rPr>
      </w:pPr>
    </w:p>
    <w:p w14:paraId="4CD54183">
      <w:pPr>
        <w:rPr>
          <w:rFonts w:ascii="Times New Roman" w:hAnsi="Times New Roman" w:eastAsia="黑体"/>
          <w:sz w:val="32"/>
          <w:szCs w:val="32"/>
        </w:rPr>
      </w:pPr>
    </w:p>
    <w:p w14:paraId="2D26A398">
      <w:pPr>
        <w:jc w:val="center"/>
        <w:rPr>
          <w:rFonts w:ascii="Times New Roman" w:hAnsi="Times New Roman"/>
          <w:sz w:val="36"/>
          <w:szCs w:val="36"/>
        </w:rPr>
      </w:pPr>
    </w:p>
    <w:p w14:paraId="0AD6ABDF">
      <w:pPr>
        <w:jc w:val="center"/>
        <w:rPr>
          <w:rFonts w:ascii="Times New Roman" w:hAnsi="Times New Roman"/>
          <w:sz w:val="36"/>
          <w:szCs w:val="36"/>
        </w:rPr>
      </w:pPr>
    </w:p>
    <w:p w14:paraId="25374B10">
      <w:pPr>
        <w:jc w:val="center"/>
        <w:rPr>
          <w:rFonts w:ascii="Times New Roman" w:hAnsi="Times New Roman"/>
          <w:sz w:val="36"/>
          <w:szCs w:val="36"/>
        </w:rPr>
      </w:pPr>
    </w:p>
    <w:p w14:paraId="19A68D2A">
      <w:pPr>
        <w:jc w:val="center"/>
        <w:rPr>
          <w:rFonts w:ascii="Times New Roman" w:hAnsi="Times New Roman"/>
          <w:sz w:val="36"/>
          <w:szCs w:val="36"/>
        </w:rPr>
      </w:pPr>
      <w:r>
        <w:rPr>
          <w:rFonts w:ascii="Times New Roman" w:hAnsi="Times New Roman"/>
          <w:sz w:val="36"/>
          <w:szCs w:val="36"/>
        </w:rPr>
        <w:t>单位名称</w:t>
      </w:r>
      <w:r>
        <w:rPr>
          <w:rFonts w:hint="eastAsia" w:ascii="Times New Roman" w:hAnsi="Times New Roman"/>
          <w:sz w:val="36"/>
          <w:szCs w:val="36"/>
        </w:rPr>
        <w:t>：</w:t>
      </w:r>
      <w:r>
        <w:rPr>
          <w:rFonts w:hint="eastAsia" w:ascii="Times New Roman" w:hAnsi="Times New Roman"/>
          <w:sz w:val="36"/>
          <w:szCs w:val="36"/>
          <w:lang w:eastAsia="zh-CN"/>
        </w:rPr>
        <w:t>衡阳市公路建设养护中心蒸湘分中心</w:t>
      </w:r>
    </w:p>
    <w:p w14:paraId="100BBD1A">
      <w:pPr>
        <w:jc w:val="center"/>
        <w:rPr>
          <w:rFonts w:hint="default" w:ascii="Times New Roman" w:hAnsi="Times New Roman" w:eastAsia="宋体"/>
          <w:sz w:val="36"/>
          <w:szCs w:val="36"/>
          <w:lang w:val="en-US" w:eastAsia="zh-CN"/>
        </w:rPr>
      </w:pPr>
      <w:r>
        <w:rPr>
          <w:rFonts w:hint="eastAsia" w:ascii="Times New Roman" w:hAnsi="Times New Roman"/>
          <w:sz w:val="36"/>
          <w:szCs w:val="36"/>
        </w:rPr>
        <w:t>主要负责人签字</w:t>
      </w:r>
      <w:r>
        <w:rPr>
          <w:rFonts w:ascii="Times New Roman" w:hAnsi="Times New Roman"/>
          <w:sz w:val="36"/>
          <w:szCs w:val="36"/>
        </w:rPr>
        <w:t>：</w:t>
      </w:r>
      <w:r>
        <w:rPr>
          <w:rFonts w:hint="eastAsia" w:ascii="Times New Roman" w:hAnsi="Times New Roman"/>
          <w:sz w:val="36"/>
          <w:szCs w:val="36"/>
          <w:lang w:eastAsia="zh-CN"/>
        </w:rPr>
        <w:t>段宜海</w:t>
      </w:r>
    </w:p>
    <w:p w14:paraId="57231C12">
      <w:pPr>
        <w:jc w:val="center"/>
        <w:rPr>
          <w:rFonts w:ascii="Times New Roman" w:hAnsi="Times New Roman" w:eastAsia="黑体"/>
          <w:sz w:val="36"/>
          <w:szCs w:val="36"/>
        </w:rPr>
      </w:pPr>
    </w:p>
    <w:p w14:paraId="1F57F61D">
      <w:pPr>
        <w:jc w:val="center"/>
        <w:rPr>
          <w:rFonts w:ascii="Times New Roman" w:hAnsi="Times New Roman" w:eastAsia="黑体"/>
          <w:sz w:val="32"/>
          <w:szCs w:val="32"/>
        </w:rPr>
      </w:pPr>
      <w:r>
        <w:rPr>
          <w:rFonts w:hint="eastAsia" w:ascii="Times New Roman" w:hAnsi="Times New Roman" w:eastAsia="黑体"/>
          <w:sz w:val="32"/>
          <w:szCs w:val="32"/>
          <w:lang w:val="en-US" w:eastAsia="zh-CN"/>
        </w:rPr>
        <w:t>2024</w:t>
      </w:r>
      <w:r>
        <w:rPr>
          <w:rFonts w:ascii="Times New Roman" w:hAnsi="Times New Roman" w:eastAsia="黑体"/>
          <w:sz w:val="32"/>
          <w:szCs w:val="32"/>
        </w:rPr>
        <w:t xml:space="preserve">年  </w:t>
      </w:r>
      <w:r>
        <w:rPr>
          <w:rFonts w:hint="eastAsia" w:ascii="Times New Roman" w:hAnsi="Times New Roman" w:eastAsia="黑体"/>
          <w:sz w:val="32"/>
          <w:szCs w:val="32"/>
          <w:lang w:val="en-US" w:eastAsia="zh-CN"/>
        </w:rPr>
        <w:t>4</w:t>
      </w:r>
      <w:r>
        <w:rPr>
          <w:rFonts w:hint="eastAsia" w:ascii="Times New Roman" w:hAnsi="Times New Roman" w:eastAsia="黑体"/>
          <w:sz w:val="32"/>
          <w:szCs w:val="32"/>
        </w:rPr>
        <w:t xml:space="preserve"> </w:t>
      </w:r>
      <w:r>
        <w:rPr>
          <w:rFonts w:ascii="Times New Roman" w:hAnsi="Times New Roman" w:eastAsia="黑体"/>
          <w:sz w:val="32"/>
          <w:szCs w:val="32"/>
        </w:rPr>
        <w:t xml:space="preserve"> 月  </w:t>
      </w:r>
      <w:r>
        <w:rPr>
          <w:rFonts w:hint="eastAsia" w:ascii="Times New Roman" w:hAnsi="Times New Roman" w:eastAsia="黑体"/>
          <w:sz w:val="32"/>
          <w:szCs w:val="32"/>
          <w:lang w:val="en-US" w:eastAsia="zh-CN"/>
        </w:rPr>
        <w:t>2</w:t>
      </w:r>
      <w:r>
        <w:rPr>
          <w:rFonts w:hint="eastAsia" w:ascii="Times New Roman" w:hAnsi="Times New Roman" w:eastAsia="黑体"/>
          <w:sz w:val="32"/>
          <w:szCs w:val="32"/>
        </w:rPr>
        <w:t xml:space="preserve">  </w:t>
      </w:r>
      <w:r>
        <w:rPr>
          <w:rFonts w:ascii="Times New Roman" w:hAnsi="Times New Roman" w:eastAsia="黑体"/>
          <w:sz w:val="32"/>
          <w:szCs w:val="32"/>
        </w:rPr>
        <w:t>日</w:t>
      </w:r>
    </w:p>
    <w:p w14:paraId="3522C90E">
      <w:pPr>
        <w:jc w:val="center"/>
        <w:rPr>
          <w:rFonts w:ascii="Times New Roman" w:hAnsi="Times New Roman" w:eastAsia="黑体"/>
          <w:sz w:val="32"/>
          <w:szCs w:val="32"/>
        </w:rPr>
      </w:pPr>
    </w:p>
    <w:p w14:paraId="0393C204">
      <w:pPr>
        <w:spacing w:line="600" w:lineRule="exact"/>
        <w:rPr>
          <w:rFonts w:ascii="Times New Roman" w:hAnsi="Times New Roman" w:eastAsia="方正小标宋简体"/>
          <w:sz w:val="44"/>
          <w:szCs w:val="44"/>
        </w:rPr>
      </w:pPr>
    </w:p>
    <w:p w14:paraId="584C28CD">
      <w:pPr>
        <w:spacing w:line="600" w:lineRule="exact"/>
        <w:jc w:val="center"/>
        <w:rPr>
          <w:rFonts w:ascii="Times New Roman" w:hAnsi="Times New Roman" w:eastAsia="方正小标宋简体"/>
          <w:sz w:val="44"/>
          <w:szCs w:val="44"/>
        </w:rPr>
      </w:pPr>
    </w:p>
    <w:p w14:paraId="68B85BDC">
      <w:pPr>
        <w:spacing w:line="600" w:lineRule="exact"/>
        <w:jc w:val="center"/>
        <w:rPr>
          <w:rFonts w:ascii="Times New Roman" w:hAnsi="Times New Roman" w:eastAsia="方正小标宋简体"/>
          <w:sz w:val="44"/>
          <w:szCs w:val="44"/>
        </w:rPr>
      </w:pPr>
    </w:p>
    <w:p w14:paraId="3D23338F">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部门整体支出绩效自评报告</w:t>
      </w:r>
    </w:p>
    <w:p w14:paraId="372EBD0C">
      <w:pPr>
        <w:spacing w:line="600" w:lineRule="exact"/>
        <w:jc w:val="center"/>
        <w:rPr>
          <w:rFonts w:ascii="Times New Roman" w:hAnsi="Times New Roman" w:eastAsia="楷体_GB2312"/>
          <w:sz w:val="32"/>
          <w:szCs w:val="32"/>
        </w:rPr>
      </w:pPr>
      <w:r>
        <w:rPr>
          <w:rFonts w:ascii="Times New Roman" w:hAnsi="Times New Roman" w:eastAsia="楷体_GB2312"/>
          <w:sz w:val="32"/>
          <w:szCs w:val="32"/>
        </w:rPr>
        <w:t>（参考提纲）</w:t>
      </w:r>
    </w:p>
    <w:p w14:paraId="76A1B796">
      <w:pPr>
        <w:keepNext w:val="0"/>
        <w:keepLines w:val="0"/>
        <w:pageBreakBefore w:val="0"/>
        <w:widowControl/>
        <w:kinsoku/>
        <w:wordWrap/>
        <w:overflowPunct/>
        <w:topLinePunct w:val="0"/>
        <w:autoSpaceDE/>
        <w:autoSpaceDN/>
        <w:bidi w:val="0"/>
        <w:adjustRightInd/>
        <w:snapToGrid/>
        <w:spacing w:line="360" w:lineRule="auto"/>
        <w:ind w:firstLine="640" w:firstLineChars="200"/>
        <w:jc w:val="left"/>
        <w:textAlignment w:val="auto"/>
        <w:rPr>
          <w:rFonts w:ascii="Times New Roman" w:hAnsi="Times New Roman" w:eastAsia="方正小标宋_GBK"/>
          <w:b/>
          <w:bCs/>
          <w:sz w:val="32"/>
          <w:szCs w:val="32"/>
        </w:rPr>
      </w:pPr>
      <w:r>
        <w:rPr>
          <w:rFonts w:hint="default" w:ascii="仿宋" w:hAnsi="仿宋" w:eastAsia="仿宋" w:cs="仿宋"/>
          <w:color w:val="auto"/>
          <w:kern w:val="0"/>
          <w:sz w:val="32"/>
          <w:szCs w:val="32"/>
          <w:lang w:val="zh-CN" w:eastAsia="zh-CN" w:bidi="zh-CN"/>
        </w:rPr>
        <w:t>为</w:t>
      </w:r>
      <w:r>
        <w:rPr>
          <w:rFonts w:ascii="Times New Roman" w:hAnsi="Times New Roman" w:eastAsia="仿宋_GB2312"/>
          <w:kern w:val="0"/>
          <w:sz w:val="32"/>
          <w:szCs w:val="32"/>
        </w:rPr>
        <w:t>进一步规范财政资金管理</w:t>
      </w:r>
      <w:r>
        <w:rPr>
          <w:rFonts w:hint="default" w:ascii="仿宋" w:hAnsi="仿宋" w:eastAsia="仿宋" w:cs="仿宋"/>
          <w:color w:val="auto"/>
          <w:kern w:val="0"/>
          <w:sz w:val="32"/>
          <w:szCs w:val="32"/>
          <w:lang w:val="zh-CN" w:eastAsia="zh-CN" w:bidi="zh-CN"/>
        </w:rPr>
        <w:t>，提高财政资源配置效率和财政资金使用效益，根据</w:t>
      </w:r>
      <w:r>
        <w:rPr>
          <w:rFonts w:hint="eastAsia" w:ascii="Times New Roman" w:hAnsi="Times New Roman" w:eastAsia="仿宋_GB2312"/>
          <w:sz w:val="32"/>
          <w:szCs w:val="32"/>
        </w:rPr>
        <w:t>省委省政府</w:t>
      </w:r>
      <w:r>
        <w:rPr>
          <w:rFonts w:ascii="Times New Roman" w:hAnsi="Times New Roman" w:eastAsia="仿宋_GB2312"/>
          <w:sz w:val="32"/>
          <w:szCs w:val="32"/>
        </w:rPr>
        <w:t>《关于全面实施预算绩效管理的实施意见》（湘办发〔2019〕10号）和《衡阳市预算绩效管理实施办法》(衡办发〔2021〕13号)</w:t>
      </w:r>
      <w:r>
        <w:rPr>
          <w:rFonts w:hint="default" w:ascii="仿宋" w:hAnsi="仿宋" w:eastAsia="仿宋" w:cs="仿宋"/>
          <w:color w:val="auto"/>
          <w:kern w:val="0"/>
          <w:sz w:val="32"/>
          <w:szCs w:val="32"/>
          <w:lang w:val="zh-CN" w:eastAsia="zh-CN" w:bidi="zh-CN"/>
        </w:rPr>
        <w:t>的文件精神，我</w:t>
      </w:r>
      <w:r>
        <w:rPr>
          <w:rFonts w:hint="eastAsia" w:ascii="仿宋" w:hAnsi="仿宋" w:eastAsia="仿宋" w:cs="仿宋"/>
          <w:color w:val="auto"/>
          <w:kern w:val="0"/>
          <w:sz w:val="32"/>
          <w:szCs w:val="32"/>
          <w:lang w:val="en-US" w:eastAsia="zh-CN" w:bidi="zh-CN"/>
        </w:rPr>
        <w:t>中心</w:t>
      </w:r>
      <w:r>
        <w:rPr>
          <w:rFonts w:hint="default" w:ascii="仿宋" w:hAnsi="仿宋" w:eastAsia="仿宋" w:cs="仿宋"/>
          <w:color w:val="auto"/>
          <w:kern w:val="0"/>
          <w:sz w:val="32"/>
          <w:szCs w:val="32"/>
          <w:lang w:val="zh-CN" w:eastAsia="zh-CN" w:bidi="zh-CN"/>
        </w:rPr>
        <w:t>对部门整体支出进行了绩效评价，现报告如下：</w:t>
      </w:r>
    </w:p>
    <w:p w14:paraId="5D57F195">
      <w:pPr>
        <w:pStyle w:val="5"/>
        <w:widowControl/>
        <w:numPr>
          <w:ilvl w:val="0"/>
          <w:numId w:val="1"/>
        </w:numPr>
        <w:ind w:firstLine="640"/>
        <w:rPr>
          <w:rFonts w:eastAsia="黑体"/>
          <w:sz w:val="32"/>
          <w:szCs w:val="32"/>
        </w:rPr>
      </w:pPr>
      <w:r>
        <w:rPr>
          <w:rFonts w:eastAsia="黑体"/>
          <w:sz w:val="32"/>
          <w:szCs w:val="32"/>
        </w:rPr>
        <w:t>部门、单位基本情况</w:t>
      </w:r>
    </w:p>
    <w:p w14:paraId="62BD6FFD">
      <w:pPr>
        <w:pStyle w:val="2"/>
        <w:keepNext w:val="0"/>
        <w:keepLines w:val="0"/>
        <w:pageBreakBefore w:val="0"/>
        <w:widowControl w:val="0"/>
        <w:numPr>
          <w:ilvl w:val="0"/>
          <w:numId w:val="2"/>
        </w:numPr>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lang w:val="en-US" w:eastAsia="zh-CN"/>
        </w:rPr>
      </w:pPr>
      <w:r>
        <w:rPr>
          <w:rFonts w:hint="eastAsia" w:ascii="仿宋" w:hAnsi="仿宋" w:eastAsia="仿宋" w:cs="仿宋"/>
          <w:b/>
          <w:bCs/>
          <w:color w:val="auto"/>
          <w:lang w:val="en-US" w:eastAsia="zh-CN"/>
        </w:rPr>
        <w:t>机构设置。</w:t>
      </w:r>
    </w:p>
    <w:p w14:paraId="56C4F946">
      <w:pPr>
        <w:keepNext w:val="0"/>
        <w:keepLines w:val="0"/>
        <w:pageBreakBefore w:val="0"/>
        <w:widowControl w:val="0"/>
        <w:numPr>
          <w:ilvl w:val="0"/>
          <w:numId w:val="0"/>
        </w:numPr>
        <w:kinsoku/>
        <w:wordWrap/>
        <w:overflowPunct/>
        <w:topLinePunct w:val="0"/>
        <w:autoSpaceDE w:val="0"/>
        <w:autoSpaceDN/>
        <w:bidi w:val="0"/>
        <w:adjustRightInd/>
        <w:snapToGrid/>
        <w:spacing w:line="360" w:lineRule="auto"/>
        <w:ind w:leftChars="98" w:firstLine="640" w:firstLineChars="200"/>
        <w:textAlignment w:val="auto"/>
        <w:rPr>
          <w:rFonts w:hint="eastAsia" w:ascii="仿宋" w:hAnsi="仿宋" w:eastAsia="仿宋" w:cs="仿宋"/>
          <w:color w:val="auto"/>
          <w:kern w:val="0"/>
          <w:lang w:val="en-US" w:bidi="zh-CN"/>
        </w:rPr>
      </w:pPr>
      <w:r>
        <w:rPr>
          <w:rFonts w:hint="eastAsia" w:ascii="仿宋" w:hAnsi="仿宋" w:eastAsia="仿宋"/>
          <w:sz w:val="32"/>
          <w:szCs w:val="32"/>
        </w:rPr>
        <w:t>衡阳市公路建设养护中心蒸湘分中心于2017年成立，内设9个机构：计划统计股、财务审计股、人事股、法制安全股、工会、工程股、养护股、办公室和纪检监察室。现有在职人员3</w:t>
      </w:r>
      <w:r>
        <w:rPr>
          <w:rFonts w:hint="eastAsia" w:ascii="仿宋" w:hAnsi="仿宋" w:eastAsia="仿宋"/>
          <w:sz w:val="32"/>
          <w:szCs w:val="32"/>
          <w:lang w:val="en-US" w:eastAsia="zh-CN"/>
        </w:rPr>
        <w:t>6</w:t>
      </w:r>
      <w:r>
        <w:rPr>
          <w:rFonts w:hint="eastAsia" w:ascii="仿宋" w:hAnsi="仿宋" w:eastAsia="仿宋"/>
          <w:sz w:val="32"/>
          <w:szCs w:val="32"/>
        </w:rPr>
        <w:t>人，退休人员2</w:t>
      </w:r>
      <w:r>
        <w:rPr>
          <w:rFonts w:hint="eastAsia" w:ascii="仿宋" w:hAnsi="仿宋" w:eastAsia="仿宋"/>
          <w:sz w:val="32"/>
          <w:szCs w:val="32"/>
          <w:lang w:val="en-US" w:eastAsia="zh-CN"/>
        </w:rPr>
        <w:t>8</w:t>
      </w:r>
      <w:r>
        <w:rPr>
          <w:rFonts w:hint="eastAsia" w:ascii="仿宋" w:hAnsi="仿宋" w:eastAsia="仿宋"/>
          <w:sz w:val="32"/>
          <w:szCs w:val="32"/>
        </w:rPr>
        <w:t>人。属市二级预算单位。</w:t>
      </w:r>
    </w:p>
    <w:p w14:paraId="7ABFCE29">
      <w:pPr>
        <w:pStyle w:val="2"/>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b/>
          <w:bCs/>
          <w:color w:val="auto"/>
          <w:kern w:val="0"/>
          <w:lang w:val="en-US" w:bidi="zh-CN"/>
        </w:rPr>
      </w:pPr>
      <w:r>
        <w:rPr>
          <w:rFonts w:hint="eastAsia" w:ascii="仿宋" w:hAnsi="仿宋" w:eastAsia="仿宋" w:cs="仿宋"/>
          <w:b/>
          <w:bCs/>
          <w:color w:val="auto"/>
          <w:kern w:val="0"/>
          <w:lang w:val="en-US" w:bidi="zh-CN"/>
        </w:rPr>
        <w:t>（二）职能职责。</w:t>
      </w:r>
    </w:p>
    <w:p w14:paraId="5B644BFD">
      <w:pPr>
        <w:pStyle w:val="2"/>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为经济社会发展提供公路交通保障。国省干线公路、农村公路建设与养护；公路抢修与保通公路绿化；路产路权维护；协助路政管理。</w:t>
      </w:r>
    </w:p>
    <w:p w14:paraId="48644C8C">
      <w:pPr>
        <w:pStyle w:val="2"/>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承担辖区内国省干线公路和农村公路、桥梁的建设、养护和管理职责。</w:t>
      </w:r>
    </w:p>
    <w:p w14:paraId="47353AF1">
      <w:pPr>
        <w:pStyle w:val="2"/>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负责编制并组织实施辖区内管养公路的发展规划和养护计划。</w:t>
      </w:r>
    </w:p>
    <w:p w14:paraId="09AAFFFE">
      <w:pPr>
        <w:pStyle w:val="2"/>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hint="eastAsia" w:ascii="仿宋" w:hAnsi="仿宋" w:eastAsia="仿宋" w:cs="仿宋"/>
          <w:color w:val="auto"/>
          <w:kern w:val="0"/>
          <w:lang w:val="en-US" w:bidi="zh-CN"/>
        </w:rPr>
      </w:pPr>
      <w:r>
        <w:rPr>
          <w:rFonts w:ascii="仿宋" w:hAnsi="仿宋" w:eastAsia="仿宋" w:cs="仿宋"/>
          <w:color w:val="auto"/>
        </w:rPr>
        <w:t>负责所管养公路及附属设施的建设、日常养护、改造升级、绿化工作、公路安防工程等。</w:t>
      </w:r>
    </w:p>
    <w:p w14:paraId="57764111">
      <w:pPr>
        <w:pStyle w:val="2"/>
        <w:keepNext w:val="0"/>
        <w:keepLines w:val="0"/>
        <w:pageBreakBefore w:val="0"/>
        <w:widowControl w:val="0"/>
        <w:suppressAutoHyphens/>
        <w:kinsoku/>
        <w:wordWrap/>
        <w:overflowPunct/>
        <w:topLinePunct w:val="0"/>
        <w:autoSpaceDE/>
        <w:autoSpaceDN/>
        <w:bidi w:val="0"/>
        <w:adjustRightInd/>
        <w:snapToGrid/>
        <w:spacing w:before="0" w:after="0" w:line="360" w:lineRule="auto"/>
        <w:ind w:left="420" w:leftChars="200" w:right="481" w:rightChars="229" w:firstLine="658" w:firstLineChars="0"/>
        <w:jc w:val="both"/>
        <w:textAlignment w:val="auto"/>
        <w:rPr>
          <w:rFonts w:eastAsia="黑体"/>
          <w:sz w:val="32"/>
          <w:szCs w:val="32"/>
        </w:rPr>
      </w:pPr>
      <w:r>
        <w:rPr>
          <w:rFonts w:ascii="仿宋" w:hAnsi="仿宋" w:eastAsia="仿宋" w:cs="仿宋"/>
          <w:color w:val="auto"/>
        </w:rPr>
        <w:t>协助所管养公路、桥梁的路政管理；参与、协助公路沿线户外广告设置管理；协助查处侵占公路用地、破坏公路设施等违法、违规、违章行为，依法维护公路产权等工作。</w:t>
      </w:r>
    </w:p>
    <w:p w14:paraId="5B4682BA">
      <w:pPr>
        <w:pStyle w:val="5"/>
        <w:widowControl/>
        <w:ind w:firstLine="640"/>
        <w:rPr>
          <w:rFonts w:eastAsia="黑体"/>
          <w:sz w:val="32"/>
          <w:szCs w:val="32"/>
        </w:rPr>
      </w:pPr>
      <w:r>
        <w:rPr>
          <w:rFonts w:eastAsia="黑体"/>
          <w:sz w:val="32"/>
          <w:szCs w:val="32"/>
        </w:rPr>
        <w:t>二、一般公共预算支出情况</w:t>
      </w:r>
    </w:p>
    <w:p w14:paraId="41ACDB13">
      <w:pPr>
        <w:pStyle w:val="5"/>
        <w:widowControl/>
        <w:ind w:firstLine="643"/>
        <w:rPr>
          <w:rFonts w:eastAsia="楷体"/>
          <w:b/>
          <w:sz w:val="32"/>
          <w:szCs w:val="32"/>
        </w:rPr>
      </w:pPr>
      <w:r>
        <w:rPr>
          <w:rFonts w:eastAsia="楷体"/>
          <w:b/>
          <w:sz w:val="32"/>
          <w:szCs w:val="32"/>
        </w:rPr>
        <w:t>（一）基本支出情况</w:t>
      </w:r>
    </w:p>
    <w:p w14:paraId="6EF8BCF3">
      <w:pPr>
        <w:widowControl/>
        <w:spacing w:line="360" w:lineRule="auto"/>
        <w:ind w:firstLine="640"/>
        <w:jc w:val="left"/>
        <w:rPr>
          <w:rFonts w:eastAsia="楷体"/>
          <w:b/>
          <w:sz w:val="32"/>
          <w:szCs w:val="32"/>
        </w:rPr>
      </w:pPr>
      <w:r>
        <w:rPr>
          <w:rFonts w:hint="eastAsia" w:ascii="仿宋" w:hAnsi="仿宋" w:eastAsia="仿宋" w:cs="仿宋"/>
          <w:sz w:val="32"/>
          <w:szCs w:val="32"/>
        </w:rPr>
        <w:t>2023年基本支出868.6万元，较上年增加86.81万元。其中：工资福利支出559.53万元，占基本支出的64.42%，主要用于在职干部职工工资、绩效奖励、养老保险、医疗保险等保障缴费等。一般商品和服务支出108.8万元，占基本支出的12.53%，主要用于为保障基本运行而发生的水费、电费、物业管理费、办公费、印刷费、邮电费、维修费、差旅费等。对个人和家庭补助支出166.36万元，占基本支出的19.15%，主要用于发放离退休人员绩效奖、综治奖、抚恤金等。资本性支出33.91万元，占基本支出的3.9%，主要用于办公设备购置、专用设备购置以及公务用车购置。</w:t>
      </w:r>
    </w:p>
    <w:p w14:paraId="174AC9F0">
      <w:pPr>
        <w:pStyle w:val="5"/>
        <w:widowControl/>
        <w:ind w:firstLine="643"/>
        <w:rPr>
          <w:rFonts w:eastAsia="楷体"/>
          <w:b/>
          <w:sz w:val="32"/>
          <w:szCs w:val="32"/>
        </w:rPr>
      </w:pPr>
      <w:r>
        <w:rPr>
          <w:rFonts w:eastAsia="楷体"/>
          <w:b/>
          <w:sz w:val="32"/>
          <w:szCs w:val="32"/>
        </w:rPr>
        <w:t>（二）项目支出情况</w:t>
      </w:r>
    </w:p>
    <w:p w14:paraId="332D8BF1">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ascii="Times New Roman" w:hAnsi="Times New Roman" w:eastAsia="仿宋"/>
          <w:sz w:val="32"/>
          <w:szCs w:val="32"/>
        </w:rPr>
      </w:pPr>
      <w:r>
        <w:rPr>
          <w:rFonts w:hint="eastAsia" w:ascii="仿宋" w:hAnsi="仿宋" w:eastAsia="仿宋" w:cs="仿宋"/>
          <w:sz w:val="32"/>
          <w:szCs w:val="32"/>
        </w:rPr>
        <w:t>2023年项目支出1888.57万元，较上年降低62.13万元</w:t>
      </w:r>
      <w:r>
        <w:rPr>
          <w:rFonts w:hint="eastAsia" w:ascii="仿宋" w:hAnsi="仿宋" w:eastAsia="仿宋" w:cs="仿宋"/>
          <w:sz w:val="32"/>
          <w:szCs w:val="32"/>
          <w:lang w:val="en-US" w:eastAsia="zh-CN"/>
        </w:rPr>
        <w:t>,</w:t>
      </w:r>
      <w:r>
        <w:rPr>
          <w:rFonts w:hint="eastAsia" w:ascii="仿宋" w:hAnsi="仿宋" w:eastAsia="仿宋" w:cs="仿宋"/>
          <w:color w:val="auto"/>
          <w:kern w:val="0"/>
          <w:sz w:val="32"/>
          <w:szCs w:val="32"/>
          <w:lang w:val="zh-CN" w:eastAsia="zh-CN" w:bidi="zh-CN"/>
        </w:rPr>
        <w:t>主要用于X009线十里荷塘段旅游公路提质改造、Y044线土桥村段提质改造、2023年民生实事项目黄花村（临江村）生态养殖园区资源产业连接路项目等方面支出。</w:t>
      </w:r>
    </w:p>
    <w:p w14:paraId="12FCD5CE">
      <w:pPr>
        <w:pStyle w:val="5"/>
        <w:widowControl/>
        <w:ind w:firstLine="640"/>
        <w:rPr>
          <w:rFonts w:hint="eastAsia" w:eastAsia="黑体"/>
          <w:sz w:val="32"/>
          <w:szCs w:val="32"/>
          <w:lang w:val="en-US" w:eastAsia="zh-CN"/>
        </w:rPr>
      </w:pPr>
      <w:r>
        <w:rPr>
          <w:rFonts w:eastAsia="黑体"/>
          <w:sz w:val="32"/>
          <w:szCs w:val="32"/>
        </w:rPr>
        <w:t>三、政府性基金预算支出情况</w:t>
      </w:r>
      <w:r>
        <w:rPr>
          <w:rFonts w:hint="eastAsia" w:eastAsia="黑体"/>
          <w:sz w:val="32"/>
          <w:szCs w:val="32"/>
          <w:lang w:eastAsia="zh-CN"/>
        </w:rPr>
        <w:t>（无）</w:t>
      </w:r>
    </w:p>
    <w:p w14:paraId="0D877810">
      <w:pPr>
        <w:pStyle w:val="5"/>
        <w:widowControl/>
        <w:ind w:firstLine="640"/>
        <w:rPr>
          <w:rFonts w:eastAsia="黑体"/>
          <w:sz w:val="32"/>
          <w:szCs w:val="32"/>
        </w:rPr>
      </w:pPr>
      <w:r>
        <w:rPr>
          <w:rFonts w:eastAsia="黑体"/>
          <w:sz w:val="32"/>
          <w:szCs w:val="32"/>
        </w:rPr>
        <w:t>四、国有资本经营预算支出情况</w:t>
      </w:r>
      <w:r>
        <w:rPr>
          <w:rFonts w:hint="eastAsia" w:eastAsia="黑体"/>
          <w:sz w:val="32"/>
          <w:szCs w:val="32"/>
          <w:lang w:eastAsia="zh-CN"/>
        </w:rPr>
        <w:t>（无）</w:t>
      </w:r>
    </w:p>
    <w:p w14:paraId="2632C13A">
      <w:pPr>
        <w:pStyle w:val="5"/>
        <w:widowControl/>
        <w:ind w:firstLine="640"/>
        <w:rPr>
          <w:rFonts w:eastAsia="黑体"/>
          <w:sz w:val="32"/>
          <w:szCs w:val="32"/>
        </w:rPr>
      </w:pPr>
      <w:r>
        <w:rPr>
          <w:rFonts w:eastAsia="黑体"/>
          <w:sz w:val="32"/>
          <w:szCs w:val="32"/>
        </w:rPr>
        <w:t>五、社会保险基金预算支出情况</w:t>
      </w:r>
      <w:r>
        <w:rPr>
          <w:rFonts w:hint="eastAsia" w:eastAsia="黑体"/>
          <w:sz w:val="32"/>
          <w:szCs w:val="32"/>
          <w:lang w:eastAsia="zh-CN"/>
        </w:rPr>
        <w:t>（无）</w:t>
      </w:r>
    </w:p>
    <w:p w14:paraId="61385F8B">
      <w:pPr>
        <w:widowControl/>
        <w:ind w:firstLine="640" w:firstLineChars="200"/>
        <w:rPr>
          <w:rFonts w:ascii="Times New Roman" w:hAnsi="Times New Roman" w:eastAsia="黑体"/>
          <w:sz w:val="32"/>
          <w:szCs w:val="32"/>
        </w:rPr>
      </w:pPr>
      <w:r>
        <w:rPr>
          <w:rFonts w:ascii="Times New Roman" w:hAnsi="Times New Roman" w:eastAsia="黑体"/>
          <w:sz w:val="32"/>
          <w:szCs w:val="32"/>
        </w:rPr>
        <w:t>六、部门整体支出绩效情况</w:t>
      </w:r>
    </w:p>
    <w:p w14:paraId="696AC4EA">
      <w:pPr>
        <w:keepNext w:val="0"/>
        <w:keepLines w:val="0"/>
        <w:pageBreakBefore w:val="0"/>
        <w:numPr>
          <w:ilvl w:val="0"/>
          <w:numId w:val="3"/>
        </w:numPr>
        <w:wordWrap/>
        <w:overflowPunct/>
        <w:topLinePunct w:val="0"/>
        <w:autoSpaceDE w:val="0"/>
        <w:bidi w:val="0"/>
        <w:ind w:left="0" w:leftChars="0" w:firstLine="420" w:firstLineChars="0"/>
        <w:rPr>
          <w:rFonts w:hint="default"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落实安全保建设</w:t>
      </w:r>
    </w:p>
    <w:p w14:paraId="6BC91A23">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今年来，我分中心坚决落实上级关于2023年度安全生产工作部署安排，全面压实安全生产责任，严守安全生产底线，认真贯彻落实党政领导干部安全生产责任制有关规定，严格执行安全生产要求，着力加强安全生产监管，持之以恒加强安全隐患排查整治，不断提升应急处置能力。</w:t>
      </w:r>
    </w:p>
    <w:p w14:paraId="533E6367">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1.抓好公路安全隐患处置工作。</w:t>
      </w:r>
      <w:r>
        <w:rPr>
          <w:rFonts w:hint="eastAsia" w:ascii="方正仿宋_GB2312" w:hAnsi="方正仿宋_GB2312" w:eastAsia="方正仿宋_GB2312" w:cs="方正仿宋_GB2312"/>
          <w:sz w:val="32"/>
          <w:szCs w:val="32"/>
          <w:highlight w:val="none"/>
          <w:lang w:val="en-US" w:eastAsia="zh-CN"/>
        </w:rPr>
        <w:t>坚持常态化安全巡查，特别是恶劣天气，事故多发路段及重点部位的高频率安全巡查。发现问题及时处治，确保公路安全畅通。全年共处理公路安全隐患26处，其中临水临崖地段9处，增设护栏700米，急转陡坡2处，桥面护栏重建1处，整改1处，开展“荧光行动”，通过排查，累计增设了13处反光标识牌。</w:t>
      </w:r>
    </w:p>
    <w:p w14:paraId="25A0B7BD">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2.健全安全生产管理体系。</w:t>
      </w:r>
      <w:r>
        <w:rPr>
          <w:rFonts w:hint="eastAsia" w:ascii="方正仿宋_GB2312" w:hAnsi="方正仿宋_GB2312" w:eastAsia="方正仿宋_GB2312" w:cs="方正仿宋_GB2312"/>
          <w:sz w:val="32"/>
          <w:szCs w:val="32"/>
          <w:highlight w:val="none"/>
          <w:lang w:val="en-US" w:eastAsia="zh-CN"/>
        </w:rPr>
        <w:t>定期召开安全会议，传达各级政府安全生产会议精神和重要批示。印发了《2023年安全生产工作要点》，对安全生产管理、培训等进行了具体部署，根据今年安全生产月“人人讲安全、个个会应急”的主题开展了应急安全演练、消防安全知识培训、安全知识竞赛等活动。</w:t>
      </w:r>
    </w:p>
    <w:p w14:paraId="39BAD46E">
      <w:pPr>
        <w:keepNext w:val="0"/>
        <w:keepLines w:val="0"/>
        <w:pageBreakBefore w:val="0"/>
        <w:widowControl/>
        <w:numPr>
          <w:ilvl w:val="0"/>
          <w:numId w:val="0"/>
        </w:numPr>
        <w:suppressLineNumbers w:val="0"/>
        <w:kinsoku w:val="0"/>
        <w:wordWrap/>
        <w:overflowPunct/>
        <w:topLinePunct w:val="0"/>
        <w:autoSpaceDE w:val="0"/>
        <w:autoSpaceDN w:val="0"/>
        <w:bidi w:val="0"/>
        <w:adjustRightInd w:val="0"/>
        <w:snapToGrid w:val="0"/>
        <w:spacing w:line="590" w:lineRule="exact"/>
        <w:ind w:firstLine="643" w:firstLineChars="200"/>
        <w:jc w:val="both"/>
        <w:textAlignment w:val="baseline"/>
        <w:rPr>
          <w:rFonts w:hint="eastAsia" w:ascii="黑体" w:hAnsi="黑体" w:eastAsia="黑体" w:cs="黑体"/>
          <w:b w:val="0"/>
          <w:bCs w:val="0"/>
          <w:sz w:val="32"/>
          <w:szCs w:val="32"/>
          <w:highlight w:val="none"/>
          <w:lang w:val="en-US" w:eastAsia="zh-CN"/>
        </w:rPr>
      </w:pPr>
      <w:r>
        <w:rPr>
          <w:rFonts w:hint="eastAsia" w:ascii="楷体" w:hAnsi="楷体" w:eastAsia="楷体" w:cs="楷体"/>
          <w:b/>
          <w:bCs/>
          <w:sz w:val="32"/>
          <w:szCs w:val="32"/>
          <w:highlight w:val="none"/>
          <w:lang w:val="en-US" w:eastAsia="zh-CN"/>
        </w:rPr>
        <w:t>（二）建养公路保畅通</w:t>
      </w:r>
    </w:p>
    <w:p w14:paraId="64AE0911">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1.在“建”上发力，全面提升路况水平</w:t>
      </w:r>
    </w:p>
    <w:p w14:paraId="7B14DC88">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lang w:val="en-US" w:eastAsia="zh-CN"/>
        </w:rPr>
        <w:t>今年来，我分中心不断加大资金投入，同步推进奖补工程和招投标项目，全年开展提质改造累计16.955公里，总投资超1600万，具体工作开展如下：</w:t>
      </w:r>
    </w:p>
    <w:p w14:paraId="4077A6F2">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（1）“蒸湘区农村公路提质改造五年行动”稳步推进</w:t>
      </w:r>
    </w:p>
    <w:p w14:paraId="112B9929">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今年初，通过抢抓工时完成了2022年度提质改造，剩余3个村共4.6公里提质改造。</w:t>
      </w:r>
    </w:p>
    <w:p w14:paraId="13758AB8">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区政府组织召开了农村公路工作专题调度会，部署本年度提质改造工作。确定了2023年度提质改造目标线路共5条，合计7.8公里，线路涵盖新阳村、中平村、新竹村等6个村落，预计总投资375.6万元。</w:t>
      </w:r>
    </w:p>
    <w:p w14:paraId="435FA1BA">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（2）2023年度招投标项目顺利完工</w:t>
      </w:r>
    </w:p>
    <w:p w14:paraId="5C840FB7">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default"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今年度招投标项目为X009线十里荷塘段旅游公路提质改造、Y044土桥村段提质改造、2023年民生实事项目</w:t>
      </w:r>
      <w:r>
        <w:rPr>
          <w:rFonts w:hint="default" w:ascii="方正仿宋_GB2312" w:hAnsi="方正仿宋_GB2312" w:eastAsia="方正仿宋_GB2312" w:cs="方正仿宋_GB2312"/>
          <w:b w:val="0"/>
          <w:bCs w:val="0"/>
          <w:sz w:val="32"/>
          <w:szCs w:val="32"/>
          <w:highlight w:val="none"/>
          <w:lang w:val="en-US" w:eastAsia="zh-CN"/>
        </w:rPr>
        <w:t>黄花村</w:t>
      </w:r>
      <w:r>
        <w:rPr>
          <w:rFonts w:hint="eastAsia" w:ascii="方正仿宋_GB2312" w:hAnsi="方正仿宋_GB2312" w:eastAsia="方正仿宋_GB2312" w:cs="方正仿宋_GB2312"/>
          <w:b w:val="0"/>
          <w:bCs w:val="0"/>
          <w:sz w:val="32"/>
          <w:szCs w:val="32"/>
          <w:highlight w:val="none"/>
          <w:lang w:val="en-US" w:eastAsia="zh-CN"/>
        </w:rPr>
        <w:t>（临江村）</w:t>
      </w:r>
      <w:r>
        <w:rPr>
          <w:rFonts w:hint="default" w:ascii="方正仿宋_GB2312" w:hAnsi="方正仿宋_GB2312" w:eastAsia="方正仿宋_GB2312" w:cs="方正仿宋_GB2312"/>
          <w:b w:val="0"/>
          <w:bCs w:val="0"/>
          <w:sz w:val="32"/>
          <w:szCs w:val="32"/>
          <w:highlight w:val="none"/>
          <w:lang w:val="en-US" w:eastAsia="zh-CN"/>
        </w:rPr>
        <w:t>生态养殖园区资源产业连接路</w:t>
      </w:r>
      <w:r>
        <w:rPr>
          <w:rFonts w:hint="eastAsia" w:ascii="方正仿宋_GB2312" w:hAnsi="方正仿宋_GB2312" w:eastAsia="方正仿宋_GB2312" w:cs="方正仿宋_GB2312"/>
          <w:b w:val="0"/>
          <w:bCs w:val="0"/>
          <w:sz w:val="32"/>
          <w:szCs w:val="32"/>
          <w:highlight w:val="none"/>
          <w:lang w:val="en-US" w:eastAsia="zh-CN"/>
        </w:rPr>
        <w:t>项目，三项目合计里程4.555公里，总投资超1000万，现已全部完工。</w:t>
      </w:r>
    </w:p>
    <w:p w14:paraId="52A53EDB">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2.在“养”上用功，全面提升养护水平</w:t>
      </w:r>
    </w:p>
    <w:p w14:paraId="02F96162">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（1）出台工作改革方案，全面加强制度保障</w:t>
      </w:r>
    </w:p>
    <w:p w14:paraId="1D419F7A">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今年来，针对农村公路建设、管理、养护方面存在的制度短板，正式出台了《蒸湘区农村公路管理养护体制改革方案》和《蒸湘区路长制实施方案》两大改革文件，进一步聚焦农村公路管理养护体制改革，促进路长制建设，促进建构区、镇、村三级路长管理格局。</w:t>
      </w:r>
    </w:p>
    <w:p w14:paraId="43D2F876">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（2）加强农村公路养护工作，全面提高养护质量</w:t>
      </w:r>
    </w:p>
    <w:p w14:paraId="227618F6">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一是加大投入，有路必养。</w:t>
      </w:r>
      <w:r>
        <w:rPr>
          <w:rFonts w:hint="eastAsia" w:ascii="方正仿宋_GB2312" w:hAnsi="方正仿宋_GB2312" w:eastAsia="方正仿宋_GB2312" w:cs="方正仿宋_GB2312"/>
          <w:b w:val="0"/>
          <w:bCs w:val="0"/>
          <w:sz w:val="32"/>
          <w:szCs w:val="32"/>
          <w:highlight w:val="none"/>
          <w:lang w:val="en-US" w:eastAsia="zh-CN"/>
        </w:rPr>
        <w:t>今年，以年度养护管理考核为工作重点，已完成全区县、乡、村道全部农村公路合计155公里的日常养护。其中对12.4公里县道和5公里乡道开展了预防性养护。真正做到“有路必养”。</w:t>
      </w:r>
      <w:r>
        <w:rPr>
          <w:rFonts w:hint="eastAsia" w:ascii="方正仿宋_GB2312" w:hAnsi="方正仿宋_GB2312" w:eastAsia="方正仿宋_GB2312" w:cs="方正仿宋_GB2312"/>
          <w:b/>
          <w:bCs/>
          <w:sz w:val="32"/>
          <w:szCs w:val="32"/>
          <w:highlight w:val="none"/>
          <w:lang w:val="en-US" w:eastAsia="zh-CN"/>
        </w:rPr>
        <w:t>二是推动农村公路养护管理信息化、智能化、精准化、高效化。</w:t>
      </w:r>
      <w:r>
        <w:rPr>
          <w:rFonts w:hint="eastAsia" w:ascii="方正仿宋_GB2312" w:hAnsi="方正仿宋_GB2312" w:eastAsia="方正仿宋_GB2312" w:cs="方正仿宋_GB2312"/>
          <w:b w:val="0"/>
          <w:bCs w:val="0"/>
          <w:sz w:val="32"/>
          <w:szCs w:val="32"/>
          <w:highlight w:val="none"/>
          <w:lang w:val="en-US" w:eastAsia="zh-CN"/>
        </w:rPr>
        <w:t>组织工程、养护、计统、桥梁等工作人员参加衡阳市公路统计质量提升专项行动暨养护、桥隧管理人员培训，利用湖南省交通运输基础设施数据管理系统进行了年报数据库内线路的采集更新工作，同时按照培训要求充分利用“养路通”智能化巡路平台，每月全覆盖巡路一次，根据巡路结果及时上传病害和安全隐患，加强决策及时性、科学性。</w:t>
      </w:r>
    </w:p>
    <w:p w14:paraId="297294AF">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（3）加强国省干线及桥梁养护，守护百姓回家路</w:t>
      </w:r>
    </w:p>
    <w:p w14:paraId="20E039C3">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一是不断加大养护投入，实现国省干线及桥梁养护全覆盖。</w:t>
      </w:r>
      <w:r>
        <w:rPr>
          <w:rFonts w:hint="eastAsia" w:ascii="方正仿宋_GB2312" w:hAnsi="方正仿宋_GB2312" w:eastAsia="方正仿宋_GB2312" w:cs="方正仿宋_GB2312"/>
          <w:b w:val="0"/>
          <w:bCs w:val="0"/>
          <w:sz w:val="32"/>
          <w:szCs w:val="32"/>
          <w:highlight w:val="none"/>
          <w:lang w:val="en-US" w:eastAsia="zh-CN"/>
        </w:rPr>
        <w:t>全年国省干线养护里程41.557公里，实现了国省干线养护全覆盖，我分中心管养桥梁10座，其中Ⅱ级养护桥梁6座，Ⅲ级养护桥梁4座，今年按规范及市中心要求开展桥梁日常养护工作，落实桥梁管养任务，对中心桥梁按期检查，保证日常检查、经常检查及定期检查的频率达标，及时处理了桥梁的安全隐患及病害。</w:t>
      </w:r>
      <w:r>
        <w:rPr>
          <w:rFonts w:hint="eastAsia" w:ascii="方正仿宋_GB2312" w:hAnsi="方正仿宋_GB2312" w:eastAsia="方正仿宋_GB2312" w:cs="方正仿宋_GB2312"/>
          <w:b/>
          <w:bCs/>
          <w:sz w:val="32"/>
          <w:szCs w:val="32"/>
          <w:highlight w:val="none"/>
          <w:lang w:val="en-US" w:eastAsia="zh-CN"/>
        </w:rPr>
        <w:t>二是将S219农养干线段列入中修。</w:t>
      </w:r>
      <w:r>
        <w:rPr>
          <w:rFonts w:hint="eastAsia" w:ascii="方正仿宋_GB2312" w:hAnsi="方正仿宋_GB2312" w:eastAsia="方正仿宋_GB2312" w:cs="方正仿宋_GB2312"/>
          <w:b w:val="0"/>
          <w:bCs w:val="0"/>
          <w:sz w:val="32"/>
          <w:szCs w:val="32"/>
          <w:highlight w:val="none"/>
          <w:lang w:val="en-US" w:eastAsia="zh-CN"/>
        </w:rPr>
        <w:t>积极对接市公路、交通、财政，争取到了中修计划，对S219农养干线进行提质改造，直接改善路况，提升线路等级，争取到日常养护经费，保证“养必到位”。</w:t>
      </w:r>
      <w:r>
        <w:rPr>
          <w:rFonts w:hint="eastAsia" w:ascii="方正仿宋_GB2312" w:hAnsi="方正仿宋_GB2312" w:eastAsia="方正仿宋_GB2312" w:cs="方正仿宋_GB2312"/>
          <w:b/>
          <w:bCs/>
          <w:sz w:val="32"/>
          <w:szCs w:val="32"/>
          <w:highlight w:val="none"/>
          <w:lang w:val="en-US" w:eastAsia="zh-CN"/>
        </w:rPr>
        <w:t>三是坚持节假日值班值守。</w:t>
      </w:r>
      <w:r>
        <w:rPr>
          <w:rFonts w:hint="eastAsia" w:ascii="方正仿宋_GB2312" w:hAnsi="方正仿宋_GB2312" w:eastAsia="方正仿宋_GB2312" w:cs="方正仿宋_GB2312"/>
          <w:b w:val="0"/>
          <w:bCs w:val="0"/>
          <w:sz w:val="32"/>
          <w:szCs w:val="32"/>
          <w:highlight w:val="none"/>
          <w:lang w:val="en-US" w:eastAsia="zh-CN"/>
        </w:rPr>
        <w:t>我分中心管养的国省干线是市区联通各县区重要交通节点，车流量大，今年来我分中心在节假日尤其是元旦、五一、中秋、国庆期间加强值班值守，发动志愿者开展文明劝阻保畅通。</w:t>
      </w:r>
    </w:p>
    <w:p w14:paraId="71161BCD">
      <w:pPr>
        <w:keepNext w:val="0"/>
        <w:keepLines w:val="0"/>
        <w:pageBreakBefore w:val="0"/>
        <w:widowControl w:val="0"/>
        <w:numPr>
          <w:ilvl w:val="0"/>
          <w:numId w:val="0"/>
        </w:numPr>
        <w:kinsoku/>
        <w:wordWrap/>
        <w:overflowPunct/>
        <w:topLinePunct w:val="0"/>
        <w:autoSpaceDE w:val="0"/>
        <w:autoSpaceDN/>
        <w:bidi w:val="0"/>
        <w:adjustRightInd/>
        <w:snapToGrid/>
        <w:spacing w:line="600" w:lineRule="exact"/>
        <w:ind w:left="420" w:leftChars="0"/>
        <w:textAlignment w:val="auto"/>
        <w:rPr>
          <w:rFonts w:hint="eastAsia" w:ascii="楷体" w:hAnsi="楷体" w:eastAsia="楷体" w:cs="楷体"/>
          <w:b/>
          <w:bCs/>
          <w:sz w:val="32"/>
          <w:szCs w:val="32"/>
          <w:highlight w:val="none"/>
          <w:lang w:val="en-US" w:eastAsia="zh-CN"/>
        </w:rPr>
      </w:pPr>
      <w:r>
        <w:rPr>
          <w:rFonts w:hint="eastAsia" w:ascii="楷体" w:hAnsi="楷体" w:eastAsia="楷体" w:cs="楷体"/>
          <w:b/>
          <w:bCs/>
          <w:sz w:val="32"/>
          <w:szCs w:val="32"/>
          <w:highlight w:val="none"/>
          <w:lang w:val="en-US" w:eastAsia="zh-CN"/>
        </w:rPr>
        <w:t>（三）争先创优展风采</w:t>
      </w:r>
    </w:p>
    <w:p w14:paraId="453D511A">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今年来，我分中心深入贯彻习近平总书记关于“四好农村路”重要指示，进一步展现蒸湘区农村公路建设成果，不断加大宣传工作力度，创优创先，树立蒸湘公路良好形象。</w:t>
      </w:r>
    </w:p>
    <w:p w14:paraId="0170FAC3">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1.积极参加交通部和湖南省评比</w:t>
      </w:r>
    </w:p>
    <w:p w14:paraId="1383D92C">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评选工作得到了市公路中心主要领导及相关科室负责人、蒸湘区委区政府主要领导的高度重视和大力支持。</w:t>
      </w:r>
    </w:p>
    <w:p w14:paraId="54C1D4F3">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方正仿宋_GB2312" w:hAnsi="方正仿宋_GB2312" w:eastAsia="方正仿宋_GB2312" w:cs="方正仿宋_GB2312"/>
          <w:b w:val="0"/>
          <w:bCs w:val="0"/>
          <w:sz w:val="32"/>
          <w:szCs w:val="32"/>
          <w:highlight w:val="none"/>
          <w:lang w:val="en-US" w:eastAsia="zh-CN"/>
        </w:rPr>
      </w:pPr>
      <w:r>
        <w:rPr>
          <w:rFonts w:hint="eastAsia" w:ascii="方正仿宋_GB2312" w:hAnsi="方正仿宋_GB2312" w:eastAsia="方正仿宋_GB2312" w:cs="方正仿宋_GB2312"/>
          <w:b w:val="0"/>
          <w:bCs w:val="0"/>
          <w:sz w:val="32"/>
          <w:szCs w:val="32"/>
          <w:highlight w:val="none"/>
          <w:lang w:val="en-US" w:eastAsia="zh-CN"/>
        </w:rPr>
        <w:t>市公路中心多次向市交通运输局、省公路事务中心、省交通运输厅推荐我分中心“二雨公路”参加评选，为二雨公路最后的成功获评提供了巨大帮助，具体评选工作开展中，蒸湘区委书记曾梦龙在线上展示周亲自为二雨公路代言，并拍摄宣传片，线下展示周的启动仪式上，蒸湘区政府副区长刘俊亲自安排部署。通过层层评比筛选，最终，二雨公路以畅通的公路路况、优美的路域环境、兴旺的人气和在服务百姓出行，带动村民致富，促进文旅、农旅融合方面发挥出的重大作用成功入选了2023年度交通部“我家门口那条路”九月主题“秋分•丰收时节路舒畅”TOP10路线，综合排名第五；成功获评了湖南省2023年度最具人气路。</w:t>
      </w:r>
    </w:p>
    <w:p w14:paraId="7E6B0BB9">
      <w:pPr>
        <w:keepNext w:val="0"/>
        <w:keepLines w:val="0"/>
        <w:pageBreakBefore w:val="0"/>
        <w:widowControl w:val="0"/>
        <w:kinsoku/>
        <w:wordWrap/>
        <w:overflowPunct/>
        <w:topLinePunct w:val="0"/>
        <w:autoSpaceDE w:val="0"/>
        <w:autoSpaceDN/>
        <w:bidi w:val="0"/>
        <w:adjustRightInd/>
        <w:snapToGrid/>
        <w:ind w:firstLine="643" w:firstLineChars="200"/>
        <w:textAlignment w:val="auto"/>
        <w:rPr>
          <w:rFonts w:hint="eastAsia" w:ascii="方正仿宋_GB2312" w:hAnsi="方正仿宋_GB2312" w:eastAsia="方正仿宋_GB2312" w:cs="方正仿宋_GB2312"/>
          <w:b/>
          <w:bCs/>
          <w:sz w:val="32"/>
          <w:szCs w:val="32"/>
          <w:highlight w:val="none"/>
          <w:lang w:val="en-US" w:eastAsia="zh-CN"/>
        </w:rPr>
      </w:pPr>
      <w:r>
        <w:rPr>
          <w:rFonts w:hint="eastAsia" w:ascii="方正仿宋_GB2312" w:hAnsi="方正仿宋_GB2312" w:eastAsia="方正仿宋_GB2312" w:cs="方正仿宋_GB2312"/>
          <w:b/>
          <w:bCs/>
          <w:sz w:val="32"/>
          <w:szCs w:val="32"/>
          <w:highlight w:val="none"/>
          <w:lang w:val="en-US" w:eastAsia="zh-CN"/>
        </w:rPr>
        <w:t>2.加强新闻舆论阵地建设</w:t>
      </w:r>
    </w:p>
    <w:p w14:paraId="14B737B9">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ascii="Times New Roman" w:hAnsi="Times New Roman" w:eastAsia="仿宋"/>
          <w:color w:val="000000"/>
          <w:sz w:val="32"/>
          <w:szCs w:val="32"/>
        </w:rPr>
      </w:pPr>
      <w:r>
        <w:rPr>
          <w:rFonts w:hint="eastAsia" w:ascii="方正仿宋_GB2312" w:hAnsi="方正仿宋_GB2312" w:eastAsia="方正仿宋_GB2312" w:cs="方正仿宋_GB2312"/>
          <w:b w:val="0"/>
          <w:bCs w:val="0"/>
          <w:sz w:val="32"/>
          <w:szCs w:val="32"/>
          <w:highlight w:val="none"/>
          <w:lang w:val="en-US" w:eastAsia="zh-CN"/>
        </w:rPr>
        <w:t>今年以来，除完成市公路中心要求的内宣任务外，我分中心不断加大外宣力度，在央媒、省媒、市媒一共报送12篇新闻报道，截至目前，今年报送的新闻报道已达53篇。其中在国家级媒体人民日报、新华社各登稿1篇；省级媒体新湖南、红网等共登稿3篇；市级媒体衡阳日报共登稿7篇。获得衡阳市新闻综合频道、湖南卫视午间新闻栏目宣传各1次。</w:t>
      </w:r>
    </w:p>
    <w:p w14:paraId="6E044D7D">
      <w:pPr>
        <w:pStyle w:val="5"/>
        <w:widowControl/>
        <w:ind w:firstLine="640"/>
        <w:rPr>
          <w:rFonts w:eastAsia="黑体"/>
          <w:sz w:val="32"/>
          <w:szCs w:val="32"/>
        </w:rPr>
      </w:pPr>
      <w:r>
        <w:rPr>
          <w:rFonts w:eastAsia="黑体"/>
          <w:sz w:val="32"/>
          <w:szCs w:val="32"/>
        </w:rPr>
        <w:t>七、存在的问题及原因分析</w:t>
      </w:r>
    </w:p>
    <w:p w14:paraId="30A21772">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一方面由于基本支出中日常公用经费保障不足，造成部门预算编制与实际执行存在一定脱节和偏差；另一方面因单位无动态调整的可支配收入，收入来源比较单一。</w:t>
      </w:r>
    </w:p>
    <w:p w14:paraId="3D5BA56E">
      <w:pPr>
        <w:widowControl/>
        <w:numPr>
          <w:ilvl w:val="0"/>
          <w:numId w:val="4"/>
        </w:numPr>
        <w:ind w:firstLine="640" w:firstLineChars="200"/>
        <w:rPr>
          <w:rFonts w:ascii="Times New Roman" w:hAnsi="Times New Roman" w:eastAsia="黑体"/>
          <w:sz w:val="32"/>
          <w:szCs w:val="32"/>
        </w:rPr>
      </w:pPr>
      <w:r>
        <w:rPr>
          <w:rFonts w:ascii="Times New Roman" w:hAnsi="Times New Roman" w:eastAsia="黑体"/>
          <w:sz w:val="32"/>
          <w:szCs w:val="32"/>
        </w:rPr>
        <w:t>下一步改进措施</w:t>
      </w:r>
    </w:p>
    <w:p w14:paraId="201D5F57">
      <w:pPr>
        <w:keepNext w:val="0"/>
        <w:keepLines w:val="0"/>
        <w:pageBreakBefore w:val="0"/>
        <w:widowControl w:val="0"/>
        <w:kinsoku/>
        <w:wordWrap/>
        <w:overflowPunct/>
        <w:topLinePunct w:val="0"/>
        <w:autoSpaceDE w:val="0"/>
        <w:autoSpaceDN/>
        <w:bidi w:val="0"/>
        <w:adjustRightInd/>
        <w:snapToGrid/>
        <w:ind w:firstLine="640" w:firstLineChars="200"/>
        <w:textAlignment w:val="auto"/>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进一步加强预算管理，严格按照财政定额标准，编足编实基本支出，压缩非必要、绩效不佳的项目支出。</w:t>
      </w:r>
    </w:p>
    <w:p w14:paraId="4BB57511">
      <w:pPr>
        <w:pStyle w:val="5"/>
        <w:widowControl/>
        <w:ind w:firstLine="640"/>
      </w:pPr>
      <w:r>
        <w:rPr>
          <w:rFonts w:ascii="Times New Roman" w:hAnsi="Times New Roman" w:eastAsia="黑体"/>
          <w:sz w:val="32"/>
          <w:szCs w:val="32"/>
        </w:rPr>
        <w:t>九、其他需要说明的情况</w:t>
      </w:r>
      <w:r>
        <w:rPr>
          <w:rFonts w:hint="eastAsia" w:eastAsia="黑体"/>
          <w:sz w:val="32"/>
          <w:szCs w:val="32"/>
          <w:lang w:eastAsia="zh-CN"/>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仿宋_GB2312">
    <w:altName w:val="仿宋"/>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E37CE"/>
    <w:multiLevelType w:val="singleLevel"/>
    <w:tmpl w:val="8ACE37CE"/>
    <w:lvl w:ilvl="0" w:tentative="0">
      <w:start w:val="1"/>
      <w:numFmt w:val="chineseCounting"/>
      <w:suff w:val="nothing"/>
      <w:lvlText w:val="（%1）"/>
      <w:lvlJc w:val="left"/>
      <w:pPr>
        <w:ind w:left="0" w:firstLine="420"/>
      </w:pPr>
      <w:rPr>
        <w:rFonts w:hint="eastAsia"/>
      </w:rPr>
    </w:lvl>
  </w:abstractNum>
  <w:abstractNum w:abstractNumId="1">
    <w:nsid w:val="B70F8944"/>
    <w:multiLevelType w:val="singleLevel"/>
    <w:tmpl w:val="B70F8944"/>
    <w:lvl w:ilvl="0" w:tentative="0">
      <w:start w:val="1"/>
      <w:numFmt w:val="chineseCounting"/>
      <w:suff w:val="nothing"/>
      <w:lvlText w:val="%1、"/>
      <w:lvlJc w:val="left"/>
      <w:rPr>
        <w:rFonts w:hint="eastAsia"/>
      </w:rPr>
    </w:lvl>
  </w:abstractNum>
  <w:abstractNum w:abstractNumId="2">
    <w:nsid w:val="F388E86D"/>
    <w:multiLevelType w:val="singleLevel"/>
    <w:tmpl w:val="F388E86D"/>
    <w:lvl w:ilvl="0" w:tentative="0">
      <w:start w:val="8"/>
      <w:numFmt w:val="chineseCounting"/>
      <w:suff w:val="nothing"/>
      <w:lvlText w:val="%1、"/>
      <w:lvlJc w:val="left"/>
      <w:rPr>
        <w:rFonts w:hint="eastAsia"/>
      </w:rPr>
    </w:lvl>
  </w:abstractNum>
  <w:abstractNum w:abstractNumId="3">
    <w:nsid w:val="4860F2BD"/>
    <w:multiLevelType w:val="singleLevel"/>
    <w:tmpl w:val="4860F2BD"/>
    <w:lvl w:ilvl="0" w:tentative="0">
      <w:start w:val="1"/>
      <w:numFmt w:val="chineseCounting"/>
      <w:suff w:val="nothing"/>
      <w:lvlText w:val="（%1）"/>
      <w:lvlJc w:val="left"/>
      <w:rPr>
        <w:rFonts w:hint="eastAsi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3MmFiODNiOTMwOGQ3NGMxYjQ0ZTQ2OTQ2MGI5ZGYifQ=="/>
  </w:docVars>
  <w:rsids>
    <w:rsidRoot w:val="490D67E4"/>
    <w:rsid w:val="0515551D"/>
    <w:rsid w:val="05740424"/>
    <w:rsid w:val="06540256"/>
    <w:rsid w:val="08656034"/>
    <w:rsid w:val="0CEC57EF"/>
    <w:rsid w:val="0D662D48"/>
    <w:rsid w:val="0F5016BA"/>
    <w:rsid w:val="130967BA"/>
    <w:rsid w:val="13DE767E"/>
    <w:rsid w:val="14531B4D"/>
    <w:rsid w:val="15F851E8"/>
    <w:rsid w:val="16096967"/>
    <w:rsid w:val="1A1F1582"/>
    <w:rsid w:val="1B543ED5"/>
    <w:rsid w:val="1EB9030D"/>
    <w:rsid w:val="27F908E8"/>
    <w:rsid w:val="29F371D8"/>
    <w:rsid w:val="2F054A12"/>
    <w:rsid w:val="2F5D648B"/>
    <w:rsid w:val="384A7902"/>
    <w:rsid w:val="3E4660FB"/>
    <w:rsid w:val="3E6F5651"/>
    <w:rsid w:val="3F0227F8"/>
    <w:rsid w:val="3FA255B3"/>
    <w:rsid w:val="40771A00"/>
    <w:rsid w:val="490D67E4"/>
    <w:rsid w:val="4FDB73C7"/>
    <w:rsid w:val="5133250E"/>
    <w:rsid w:val="57CC7313"/>
    <w:rsid w:val="5D333896"/>
    <w:rsid w:val="60CE7B5E"/>
    <w:rsid w:val="645A5BAC"/>
    <w:rsid w:val="67E03D37"/>
    <w:rsid w:val="68694610"/>
    <w:rsid w:val="698414AB"/>
    <w:rsid w:val="6A5135AE"/>
    <w:rsid w:val="6ABB3600"/>
    <w:rsid w:val="6B572117"/>
    <w:rsid w:val="6C254FDC"/>
    <w:rsid w:val="6FBE3493"/>
    <w:rsid w:val="6FD96701"/>
    <w:rsid w:val="7008461D"/>
    <w:rsid w:val="71A36DE5"/>
    <w:rsid w:val="7DC20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1"/>
    <w:pPr>
      <w:autoSpaceDE w:val="0"/>
      <w:autoSpaceDN w:val="0"/>
      <w:jc w:val="left"/>
    </w:pPr>
    <w:rPr>
      <w:rFonts w:ascii="仿宋" w:hAnsi="仿宋" w:eastAsia="仿宋" w:cs="仿宋"/>
      <w:kern w:val="0"/>
      <w:sz w:val="32"/>
      <w:szCs w:val="32"/>
      <w:lang w:val="zh-CN" w:bidi="zh-CN"/>
    </w:rPr>
  </w:style>
  <w:style w:type="paragraph" w:styleId="5">
    <w:name w:val="List Paragraph"/>
    <w:basedOn w:val="1"/>
    <w:autoRedefine/>
    <w:qFormat/>
    <w:uiPriority w:val="99"/>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2940</Words>
  <Characters>3111</Characters>
  <Lines>0</Lines>
  <Paragraphs>0</Paragraphs>
  <TotalTime>9</TotalTime>
  <ScaleCrop>false</ScaleCrop>
  <LinksUpToDate>false</LinksUpToDate>
  <CharactersWithSpaces>3119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2024-03-27T02:31:00Z</dcterms:created>
  <dc:creator>하청요</dc:creator>
  <cp:lastModifiedBy>邓婷</cp:lastModifiedBy>
  <dcterms:modified xsi:type="dcterms:W3CDTF">2024-12-09T01:53:31Z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4A4ED55140474AE59B71D7FB9A9CF464_11</vt:lpwstr>
  </property>
</Properties>
</file>