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747F6">
      <w:pPr>
        <w:jc w:val="center"/>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drawing>
          <wp:inline distT="0" distB="0" distL="114300" distR="114300">
            <wp:extent cx="5273040" cy="7458075"/>
            <wp:effectExtent l="0" t="0" r="3810" b="9525"/>
            <wp:docPr id="1" name="图片 1" descr="微信图片_2024040916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409162107"/>
                    <pic:cNvPicPr>
                      <a:picLocks noChangeAspect="1"/>
                    </pic:cNvPicPr>
                  </pic:nvPicPr>
                  <pic:blipFill>
                    <a:blip r:embed="rId6"/>
                    <a:stretch>
                      <a:fillRect/>
                    </a:stretch>
                  </pic:blipFill>
                  <pic:spPr>
                    <a:xfrm>
                      <a:off x="0" y="0"/>
                      <a:ext cx="5273040" cy="7458075"/>
                    </a:xfrm>
                    <a:prstGeom prst="rect">
                      <a:avLst/>
                    </a:prstGeom>
                  </pic:spPr>
                </pic:pic>
              </a:graphicData>
            </a:graphic>
          </wp:inline>
        </w:drawing>
      </w:r>
    </w:p>
    <w:p w14:paraId="56E8A058">
      <w:pPr>
        <w:jc w:val="center"/>
        <w:rPr>
          <w:rFonts w:hint="eastAsia" w:ascii="Times New Roman" w:hAnsi="Times New Roman" w:eastAsia="黑体"/>
          <w:sz w:val="32"/>
          <w:szCs w:val="32"/>
          <w:lang w:eastAsia="zh-CN"/>
        </w:rPr>
      </w:pPr>
    </w:p>
    <w:p w14:paraId="7D52ECB7">
      <w:pPr>
        <w:spacing w:line="600" w:lineRule="exact"/>
        <w:rPr>
          <w:rFonts w:ascii="Times New Roman" w:hAnsi="Times New Roman" w:eastAsia="方正小标宋简体"/>
          <w:sz w:val="44"/>
          <w:szCs w:val="44"/>
        </w:rPr>
      </w:pPr>
    </w:p>
    <w:p w14:paraId="7E6F295F">
      <w:pPr>
        <w:spacing w:line="600" w:lineRule="exact"/>
        <w:jc w:val="center"/>
        <w:rPr>
          <w:rFonts w:ascii="Times New Roman" w:hAnsi="Times New Roman" w:eastAsia="方正小标宋简体"/>
          <w:sz w:val="44"/>
          <w:szCs w:val="44"/>
        </w:rPr>
      </w:pPr>
    </w:p>
    <w:p w14:paraId="037C1FA0">
      <w:pPr>
        <w:keepNext w:val="0"/>
        <w:keepLines w:val="0"/>
        <w:pageBreakBefore w:val="0"/>
        <w:kinsoku/>
        <w:wordWrap/>
        <w:overflowPunct/>
        <w:topLinePunct w:val="0"/>
        <w:autoSpaceDE/>
        <w:autoSpaceDN/>
        <w:bidi w:val="0"/>
        <w:spacing w:line="580" w:lineRule="exact"/>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部门整体支出绩效自评报告</w:t>
      </w:r>
    </w:p>
    <w:p w14:paraId="1AD0113A">
      <w:pPr>
        <w:keepNext w:val="0"/>
        <w:keepLines w:val="0"/>
        <w:pageBreakBefore w:val="0"/>
        <w:kinsoku/>
        <w:wordWrap/>
        <w:overflowPunct/>
        <w:topLinePunct w:val="0"/>
        <w:autoSpaceDE/>
        <w:autoSpaceDN/>
        <w:bidi w:val="0"/>
        <w:spacing w:line="580" w:lineRule="exact"/>
        <w:textAlignment w:val="auto"/>
        <w:rPr>
          <w:rFonts w:ascii="Times New Roman" w:hAnsi="Times New Roman" w:eastAsia="方正小标宋_GBK"/>
          <w:sz w:val="32"/>
          <w:szCs w:val="32"/>
        </w:rPr>
      </w:pPr>
    </w:p>
    <w:p w14:paraId="471B6175">
      <w:pPr>
        <w:pStyle w:val="17"/>
        <w:keepNext w:val="0"/>
        <w:keepLines w:val="0"/>
        <w:pageBreakBefore w:val="0"/>
        <w:widowControl/>
        <w:numPr>
          <w:ilvl w:val="0"/>
          <w:numId w:val="1"/>
        </w:numPr>
        <w:kinsoku/>
        <w:wordWrap/>
        <w:overflowPunct/>
        <w:topLinePunct w:val="0"/>
        <w:autoSpaceDE/>
        <w:autoSpaceDN/>
        <w:bidi w:val="0"/>
        <w:spacing w:line="580" w:lineRule="exact"/>
        <w:ind w:firstLine="640"/>
        <w:textAlignment w:val="auto"/>
        <w:rPr>
          <w:rFonts w:eastAsia="黑体"/>
          <w:sz w:val="32"/>
          <w:szCs w:val="32"/>
        </w:rPr>
      </w:pPr>
      <w:r>
        <w:rPr>
          <w:rFonts w:eastAsia="黑体"/>
          <w:sz w:val="32"/>
          <w:szCs w:val="32"/>
        </w:rPr>
        <w:t>部门、单位基本情况</w:t>
      </w:r>
    </w:p>
    <w:p w14:paraId="26D432A8">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市</w:t>
      </w:r>
      <w:r>
        <w:rPr>
          <w:rFonts w:hint="eastAsia" w:ascii="仿宋" w:hAnsi="仿宋" w:eastAsia="仿宋" w:cs="宋体"/>
          <w:color w:val="515151"/>
          <w:kern w:val="0"/>
          <w:sz w:val="32"/>
          <w:szCs w:val="32"/>
          <w:lang w:eastAsia="zh-CN"/>
        </w:rPr>
        <w:t>建设学校</w:t>
      </w:r>
      <w:r>
        <w:rPr>
          <w:rFonts w:hint="eastAsia" w:ascii="仿宋" w:hAnsi="仿宋" w:eastAsia="仿宋" w:cs="宋体"/>
          <w:color w:val="515151"/>
          <w:kern w:val="0"/>
          <w:sz w:val="32"/>
          <w:szCs w:val="32"/>
        </w:rPr>
        <w:t>贯彻落实党中央关于</w:t>
      </w:r>
      <w:r>
        <w:rPr>
          <w:rFonts w:hint="eastAsia" w:ascii="仿宋" w:hAnsi="仿宋" w:eastAsia="仿宋" w:cs="宋体"/>
          <w:color w:val="515151"/>
          <w:kern w:val="0"/>
          <w:sz w:val="32"/>
          <w:szCs w:val="32"/>
          <w:lang w:eastAsia="zh-CN"/>
        </w:rPr>
        <w:t>职业教育</w:t>
      </w:r>
      <w:r>
        <w:rPr>
          <w:rFonts w:hint="eastAsia" w:ascii="仿宋" w:hAnsi="仿宋" w:eastAsia="仿宋" w:cs="宋体"/>
          <w:color w:val="515151"/>
          <w:kern w:val="0"/>
          <w:sz w:val="32"/>
          <w:szCs w:val="32"/>
        </w:rPr>
        <w:t>工作的方针政策和决策部署，全面贯彻落实省委、市委关于</w:t>
      </w:r>
      <w:r>
        <w:rPr>
          <w:rFonts w:hint="eastAsia" w:ascii="仿宋" w:hAnsi="仿宋" w:eastAsia="仿宋" w:cs="宋体"/>
          <w:color w:val="515151"/>
          <w:kern w:val="0"/>
          <w:sz w:val="32"/>
          <w:szCs w:val="32"/>
          <w:lang w:eastAsia="zh-CN"/>
        </w:rPr>
        <w:t>职业教育</w:t>
      </w:r>
      <w:r>
        <w:rPr>
          <w:rFonts w:hint="eastAsia" w:ascii="仿宋" w:hAnsi="仿宋" w:eastAsia="仿宋" w:cs="宋体"/>
          <w:color w:val="515151"/>
          <w:kern w:val="0"/>
          <w:sz w:val="32"/>
          <w:szCs w:val="32"/>
        </w:rPr>
        <w:t>工作的</w:t>
      </w:r>
      <w:r>
        <w:rPr>
          <w:rFonts w:hint="eastAsia" w:ascii="仿宋" w:hAnsi="仿宋" w:eastAsia="仿宋" w:cs="宋体"/>
          <w:color w:val="515151"/>
          <w:kern w:val="0"/>
          <w:sz w:val="32"/>
          <w:szCs w:val="32"/>
          <w:lang w:eastAsia="zh-CN"/>
        </w:rPr>
        <w:t>相关</w:t>
      </w:r>
      <w:r>
        <w:rPr>
          <w:rFonts w:hint="eastAsia" w:ascii="仿宋" w:hAnsi="仿宋" w:eastAsia="仿宋" w:cs="宋体"/>
          <w:color w:val="515151"/>
          <w:kern w:val="0"/>
          <w:sz w:val="32"/>
          <w:szCs w:val="32"/>
        </w:rPr>
        <w:t>要求，在履行职责过程中坚持和加强党对</w:t>
      </w:r>
      <w:r>
        <w:rPr>
          <w:rFonts w:hint="eastAsia" w:ascii="仿宋" w:hAnsi="仿宋" w:eastAsia="仿宋" w:cs="宋体"/>
          <w:color w:val="515151"/>
          <w:kern w:val="0"/>
          <w:sz w:val="32"/>
          <w:szCs w:val="32"/>
          <w:lang w:eastAsia="zh-CN"/>
        </w:rPr>
        <w:t>职业教育</w:t>
      </w:r>
      <w:r>
        <w:rPr>
          <w:rFonts w:hint="eastAsia" w:ascii="仿宋" w:hAnsi="仿宋" w:eastAsia="仿宋" w:cs="宋体"/>
          <w:color w:val="515151"/>
          <w:kern w:val="0"/>
          <w:sz w:val="32"/>
          <w:szCs w:val="32"/>
        </w:rPr>
        <w:t>工作的集中统一领导。根据衡办[2</w:t>
      </w:r>
      <w:r>
        <w:rPr>
          <w:rFonts w:hint="eastAsia" w:ascii="仿宋" w:hAnsi="仿宋" w:eastAsia="仿宋" w:cs="宋体"/>
          <w:color w:val="515151"/>
          <w:kern w:val="0"/>
          <w:sz w:val="32"/>
          <w:szCs w:val="32"/>
          <w:lang w:val="en-US" w:eastAsia="zh-CN"/>
        </w:rPr>
        <w:t>002</w:t>
      </w:r>
      <w:r>
        <w:rPr>
          <w:rFonts w:hint="eastAsia" w:ascii="仿宋" w:hAnsi="仿宋" w:eastAsia="仿宋" w:cs="宋体"/>
          <w:color w:val="515151"/>
          <w:kern w:val="0"/>
          <w:sz w:val="32"/>
          <w:szCs w:val="32"/>
        </w:rPr>
        <w:t>]</w:t>
      </w:r>
      <w:r>
        <w:rPr>
          <w:rFonts w:hint="eastAsia" w:ascii="仿宋" w:hAnsi="仿宋" w:eastAsia="仿宋" w:cs="宋体"/>
          <w:color w:val="515151"/>
          <w:kern w:val="0"/>
          <w:sz w:val="32"/>
          <w:szCs w:val="32"/>
          <w:lang w:val="en-US" w:eastAsia="zh-CN"/>
        </w:rPr>
        <w:t>80</w:t>
      </w:r>
      <w:r>
        <w:rPr>
          <w:rFonts w:hint="eastAsia" w:ascii="仿宋" w:hAnsi="仿宋" w:eastAsia="仿宋" w:cs="宋体"/>
          <w:color w:val="515151"/>
          <w:kern w:val="0"/>
          <w:sz w:val="32"/>
          <w:szCs w:val="32"/>
        </w:rPr>
        <w:t>号文件</w:t>
      </w:r>
      <w:r>
        <w:rPr>
          <w:rFonts w:hint="eastAsia" w:ascii="仿宋" w:hAnsi="仿宋" w:eastAsia="仿宋" w:cs="宋体"/>
          <w:color w:val="515151"/>
          <w:kern w:val="0"/>
          <w:sz w:val="32"/>
          <w:szCs w:val="32"/>
          <w:lang w:eastAsia="zh-CN"/>
        </w:rPr>
        <w:t>精神</w:t>
      </w:r>
      <w:r>
        <w:rPr>
          <w:rFonts w:hint="eastAsia" w:ascii="仿宋" w:hAnsi="仿宋" w:eastAsia="仿宋" w:cs="宋体"/>
          <w:color w:val="515151"/>
          <w:kern w:val="0"/>
          <w:sz w:val="32"/>
          <w:szCs w:val="32"/>
        </w:rPr>
        <w:t>，</w:t>
      </w:r>
      <w:r>
        <w:rPr>
          <w:rFonts w:hint="eastAsia" w:ascii="仿宋" w:hAnsi="仿宋" w:eastAsia="仿宋" w:cs="宋体"/>
          <w:color w:val="515151"/>
          <w:kern w:val="0"/>
          <w:sz w:val="32"/>
          <w:szCs w:val="32"/>
          <w:lang w:val="en-US" w:eastAsia="zh-CN"/>
        </w:rPr>
        <w:t>学校为市住房和城乡建设局管理，人员经费在城市维护费中列支，差额拨款的公益二类事业性服务单位，</w:t>
      </w:r>
      <w:r>
        <w:rPr>
          <w:rFonts w:hint="eastAsia" w:ascii="仿宋" w:hAnsi="仿宋" w:eastAsia="仿宋" w:cs="宋体"/>
          <w:color w:val="515151"/>
          <w:kern w:val="0"/>
          <w:sz w:val="32"/>
          <w:szCs w:val="32"/>
        </w:rPr>
        <w:t>本</w:t>
      </w:r>
      <w:r>
        <w:rPr>
          <w:rFonts w:hint="eastAsia" w:ascii="仿宋" w:hAnsi="仿宋" w:eastAsia="仿宋" w:cs="宋体"/>
          <w:color w:val="515151"/>
          <w:kern w:val="0"/>
          <w:sz w:val="32"/>
          <w:szCs w:val="32"/>
          <w:lang w:eastAsia="zh-CN"/>
        </w:rPr>
        <w:t>单位</w:t>
      </w:r>
      <w:r>
        <w:rPr>
          <w:rFonts w:hint="eastAsia" w:ascii="仿宋" w:hAnsi="仿宋" w:eastAsia="仿宋" w:cs="宋体"/>
          <w:color w:val="515151"/>
          <w:kern w:val="0"/>
          <w:sz w:val="32"/>
          <w:szCs w:val="32"/>
        </w:rPr>
        <w:t>主要职责是</w:t>
      </w:r>
      <w:r>
        <w:rPr>
          <w:rFonts w:hint="eastAsia" w:ascii="仿宋" w:hAnsi="仿宋" w:eastAsia="仿宋" w:cs="宋体"/>
          <w:color w:val="515151"/>
          <w:kern w:val="0"/>
          <w:sz w:val="32"/>
          <w:szCs w:val="32"/>
          <w:lang w:eastAsia="zh-CN"/>
        </w:rPr>
        <w:t>负责全市建设系统技术人才培养和在职职工岗位培训工作。</w:t>
      </w:r>
    </w:p>
    <w:p w14:paraId="1D2922C3">
      <w:pPr>
        <w:pStyle w:val="3"/>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0" w:after="0" w:line="580" w:lineRule="exact"/>
        <w:ind w:right="0" w:rightChars="0" w:firstLine="640" w:firstLineChars="200"/>
        <w:jc w:val="both"/>
        <w:textAlignment w:val="auto"/>
        <w:rPr>
          <w:rFonts w:hint="eastAsia" w:ascii="仿宋" w:hAnsi="仿宋" w:eastAsia="仿宋" w:cs="宋体"/>
          <w:color w:val="515151"/>
          <w:kern w:val="0"/>
          <w:sz w:val="32"/>
          <w:szCs w:val="32"/>
          <w:lang w:val="en-US" w:eastAsia="zh-CN" w:bidi="ar-SA"/>
        </w:rPr>
      </w:pPr>
      <w:r>
        <w:rPr>
          <w:rFonts w:hint="eastAsia" w:ascii="Times New Roman" w:hAnsi="Times New Roman" w:eastAsia="仿宋" w:cs="Times New Roman"/>
          <w:color w:val="000000"/>
          <w:kern w:val="2"/>
          <w:sz w:val="32"/>
          <w:szCs w:val="32"/>
          <w:lang w:val="en-US" w:eastAsia="zh-CN" w:bidi="ar-SA"/>
        </w:rPr>
        <w:t>（</w:t>
      </w:r>
      <w:r>
        <w:rPr>
          <w:rFonts w:hint="eastAsia" w:ascii="仿宋" w:hAnsi="仿宋" w:eastAsia="仿宋" w:cs="宋体"/>
          <w:color w:val="515151"/>
          <w:kern w:val="0"/>
          <w:sz w:val="32"/>
          <w:szCs w:val="32"/>
          <w:lang w:val="en-US" w:eastAsia="zh-CN" w:bidi="ar-SA"/>
        </w:rPr>
        <w:t>一）主要工作任务</w:t>
      </w:r>
    </w:p>
    <w:p w14:paraId="514BEB1C">
      <w:pPr>
        <w:pStyle w:val="3"/>
        <w:keepNext w:val="0"/>
        <w:keepLines w:val="0"/>
        <w:pageBreakBefore w:val="0"/>
        <w:widowControl w:val="0"/>
        <w:numPr>
          <w:ilvl w:val="0"/>
          <w:numId w:val="2"/>
        </w:numPr>
        <w:suppressAutoHyphens/>
        <w:kinsoku/>
        <w:wordWrap/>
        <w:overflowPunct/>
        <w:topLinePunct w:val="0"/>
        <w:autoSpaceDE/>
        <w:autoSpaceDN/>
        <w:bidi w:val="0"/>
        <w:adjustRightInd w:val="0"/>
        <w:snapToGrid w:val="0"/>
        <w:spacing w:before="0" w:after="0" w:line="580" w:lineRule="exact"/>
        <w:ind w:left="840" w:leftChars="0" w:right="0" w:rightChars="0" w:firstLineChars="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面向全市建设系统开展中等职业教育、成人学历教育；</w:t>
      </w:r>
    </w:p>
    <w:p w14:paraId="040D55FF">
      <w:pPr>
        <w:pStyle w:val="3"/>
        <w:keepNext w:val="0"/>
        <w:keepLines w:val="0"/>
        <w:pageBreakBefore w:val="0"/>
        <w:widowControl w:val="0"/>
        <w:numPr>
          <w:ilvl w:val="0"/>
          <w:numId w:val="2"/>
        </w:numPr>
        <w:suppressAutoHyphens/>
        <w:kinsoku/>
        <w:wordWrap/>
        <w:overflowPunct/>
        <w:topLinePunct w:val="0"/>
        <w:autoSpaceDE/>
        <w:autoSpaceDN/>
        <w:bidi w:val="0"/>
        <w:adjustRightInd w:val="0"/>
        <w:snapToGrid w:val="0"/>
        <w:spacing w:before="0" w:after="0" w:line="580" w:lineRule="exact"/>
        <w:ind w:left="840" w:leftChars="0" w:right="0" w:rightChars="0" w:firstLineChars="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负责全市建设系统在职人员的岗位培训工作。</w:t>
      </w:r>
    </w:p>
    <w:p w14:paraId="12F4F550">
      <w:pPr>
        <w:pStyle w:val="3"/>
        <w:keepNext w:val="0"/>
        <w:keepLines w:val="0"/>
        <w:pageBreakBefore w:val="0"/>
        <w:widowControl w:val="0"/>
        <w:numPr>
          <w:ilvl w:val="0"/>
          <w:numId w:val="2"/>
        </w:numPr>
        <w:suppressAutoHyphens/>
        <w:kinsoku/>
        <w:wordWrap/>
        <w:overflowPunct/>
        <w:topLinePunct w:val="0"/>
        <w:autoSpaceDE/>
        <w:autoSpaceDN/>
        <w:bidi w:val="0"/>
        <w:adjustRightInd w:val="0"/>
        <w:snapToGrid w:val="0"/>
        <w:spacing w:before="0" w:after="0" w:line="580" w:lineRule="exact"/>
        <w:ind w:left="840" w:leftChars="0" w:right="0" w:rightChars="0" w:firstLineChars="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负责完成市住房和城乡建设局交办的其他教育任务。</w:t>
      </w:r>
    </w:p>
    <w:p w14:paraId="5929E328">
      <w:pPr>
        <w:pStyle w:val="3"/>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0" w:after="0" w:line="580" w:lineRule="exact"/>
        <w:ind w:right="0" w:rightChars="0" w:firstLine="640" w:firstLineChars="20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（二）内设机构</w:t>
      </w:r>
    </w:p>
    <w:p w14:paraId="1B51E41D">
      <w:pPr>
        <w:pStyle w:val="3"/>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0" w:after="0" w:line="580" w:lineRule="exact"/>
        <w:ind w:leftChars="200" w:right="0" w:rightChars="0" w:firstLine="640" w:firstLineChars="200"/>
        <w:jc w:val="both"/>
        <w:textAlignment w:val="auto"/>
        <w:rPr>
          <w:rFonts w:hint="default"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根据上述工作任务，编办核定内设3个股室（教务科、学生科、办公室），根据实际工作需要增设1个股室共4个股室，办公室改为综合科，教务科和学生科合成政教科，设财务科、培训科。</w:t>
      </w:r>
    </w:p>
    <w:p w14:paraId="7517C6C9">
      <w:pPr>
        <w:pStyle w:val="3"/>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0" w:after="0" w:line="580" w:lineRule="exact"/>
        <w:ind w:right="0" w:rightChars="0" w:firstLine="640" w:firstLineChars="20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（三）学校级次、人员编制、领导职数</w:t>
      </w:r>
    </w:p>
    <w:p w14:paraId="20401F18">
      <w:pPr>
        <w:pStyle w:val="3"/>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0" w:after="0" w:line="580" w:lineRule="exact"/>
        <w:ind w:right="0" w:rightChars="0" w:firstLine="640" w:firstLineChars="200"/>
        <w:jc w:val="both"/>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学校是财政差额拨款正科级事业单位，单位编制19名，在职在编人员15人，退休人员10人。核定领导职数二名正职，二名副职，一名纪检。实配职数二名正职，二名副职，一名纪检。</w:t>
      </w:r>
    </w:p>
    <w:p w14:paraId="78E706FA">
      <w:pPr>
        <w:pStyle w:val="17"/>
        <w:keepNext w:val="0"/>
        <w:keepLines w:val="0"/>
        <w:pageBreakBefore w:val="0"/>
        <w:widowControl/>
        <w:kinsoku/>
        <w:wordWrap/>
        <w:overflowPunct/>
        <w:topLinePunct w:val="0"/>
        <w:autoSpaceDE/>
        <w:autoSpaceDN/>
        <w:bidi w:val="0"/>
        <w:spacing w:line="580" w:lineRule="exact"/>
        <w:ind w:firstLine="640"/>
        <w:textAlignment w:val="auto"/>
        <w:rPr>
          <w:rFonts w:eastAsia="黑体"/>
          <w:sz w:val="32"/>
          <w:szCs w:val="32"/>
        </w:rPr>
      </w:pPr>
      <w:r>
        <w:rPr>
          <w:rFonts w:eastAsia="黑体"/>
          <w:sz w:val="32"/>
          <w:szCs w:val="32"/>
        </w:rPr>
        <w:t>二、一般公共预算支出情况</w:t>
      </w:r>
    </w:p>
    <w:p w14:paraId="60A153A8">
      <w:pPr>
        <w:pStyle w:val="17"/>
        <w:keepNext w:val="0"/>
        <w:keepLines w:val="0"/>
        <w:pageBreakBefore w:val="0"/>
        <w:widowControl/>
        <w:kinsoku/>
        <w:wordWrap/>
        <w:overflowPunct/>
        <w:topLinePunct w:val="0"/>
        <w:autoSpaceDE/>
        <w:autoSpaceDN/>
        <w:bidi w:val="0"/>
        <w:spacing w:line="580" w:lineRule="exact"/>
        <w:ind w:firstLine="640"/>
        <w:textAlignment w:val="auto"/>
        <w:rPr>
          <w:rFonts w:eastAsia="楷体"/>
          <w:b/>
          <w:sz w:val="32"/>
          <w:szCs w:val="32"/>
        </w:rPr>
      </w:pPr>
      <w:r>
        <w:rPr>
          <w:rFonts w:eastAsia="楷体"/>
          <w:b/>
          <w:sz w:val="32"/>
          <w:szCs w:val="32"/>
        </w:rPr>
        <w:t>（一）基本支出情况</w:t>
      </w:r>
    </w:p>
    <w:p w14:paraId="0FE8A260">
      <w:pPr>
        <w:pStyle w:val="17"/>
        <w:keepNext w:val="0"/>
        <w:keepLines w:val="0"/>
        <w:pageBreakBefore w:val="0"/>
        <w:widowControl/>
        <w:kinsoku/>
        <w:wordWrap/>
        <w:overflowPunct/>
        <w:topLinePunct w:val="0"/>
        <w:autoSpaceDE/>
        <w:autoSpaceDN/>
        <w:bidi w:val="0"/>
        <w:spacing w:line="580" w:lineRule="exact"/>
        <w:ind w:firstLine="640"/>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我校2023年总收入3426510.97元，其中财政拨款收入3146510.97元，国有资产出租收入返还130000元，</w:t>
      </w:r>
      <w:r>
        <w:rPr>
          <w:rFonts w:hint="eastAsia" w:ascii="仿宋" w:hAnsi="仿宋" w:eastAsia="仿宋" w:cs="仿宋"/>
          <w:color w:val="414141"/>
          <w:kern w:val="0"/>
          <w:sz w:val="31"/>
          <w:szCs w:val="31"/>
          <w:lang w:val="en-US" w:eastAsia="zh-CN" w:bidi="ar"/>
        </w:rPr>
        <w:t>湖南省2022年土建工程专业初中级职称考试衡阳考区考务费150000元。</w:t>
      </w:r>
      <w:r>
        <w:rPr>
          <w:rFonts w:hint="eastAsia" w:ascii="仿宋" w:hAnsi="仿宋" w:eastAsia="仿宋" w:cs="宋体"/>
          <w:color w:val="515151"/>
          <w:kern w:val="0"/>
          <w:sz w:val="32"/>
          <w:szCs w:val="32"/>
          <w:lang w:val="en-US" w:eastAsia="zh-CN" w:bidi="ar-SA"/>
        </w:rPr>
        <w:t>我校总支出3426510.97元，其中人员经费支出2982291.41元，公用经费支出444219.56元。我校基本支出主要保证教职工工资正常发放和日常基本支出，贯彻厉行节约，严控三公经费等。我校基本支出占比情况如下：工资支出占53.88%，养老保险和年金缴费支出占10.26%，退休费占7.74%，职工医疗保险占5.35%，医疗费3.83%，公积金占5.98%，公用经费占12.96%。</w:t>
      </w:r>
    </w:p>
    <w:p w14:paraId="1FC9679D">
      <w:pPr>
        <w:pStyle w:val="17"/>
        <w:keepNext w:val="0"/>
        <w:keepLines w:val="0"/>
        <w:pageBreakBefore w:val="0"/>
        <w:widowControl/>
        <w:kinsoku/>
        <w:wordWrap/>
        <w:overflowPunct/>
        <w:topLinePunct w:val="0"/>
        <w:autoSpaceDE/>
        <w:autoSpaceDN/>
        <w:bidi w:val="0"/>
        <w:spacing w:line="580" w:lineRule="exact"/>
        <w:ind w:firstLine="640"/>
        <w:textAlignment w:val="auto"/>
        <w:rPr>
          <w:rFonts w:eastAsia="黑体"/>
          <w:sz w:val="32"/>
          <w:szCs w:val="32"/>
        </w:rPr>
      </w:pPr>
      <w:r>
        <w:rPr>
          <w:rFonts w:eastAsia="黑体"/>
          <w:sz w:val="32"/>
          <w:szCs w:val="32"/>
        </w:rPr>
        <w:t>三、政府性基金预算支出情况</w:t>
      </w:r>
    </w:p>
    <w:p w14:paraId="3917AB88">
      <w:pPr>
        <w:pStyle w:val="17"/>
        <w:keepNext w:val="0"/>
        <w:keepLines w:val="0"/>
        <w:pageBreakBefore w:val="0"/>
        <w:widowControl/>
        <w:kinsoku/>
        <w:wordWrap/>
        <w:overflowPunct/>
        <w:topLinePunct w:val="0"/>
        <w:autoSpaceDE/>
        <w:autoSpaceDN/>
        <w:bidi w:val="0"/>
        <w:spacing w:line="580" w:lineRule="exact"/>
        <w:ind w:firstLine="640"/>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2023年度全年没有政府性基金支出。</w:t>
      </w:r>
    </w:p>
    <w:p w14:paraId="3179944E">
      <w:pPr>
        <w:pStyle w:val="17"/>
        <w:keepNext w:val="0"/>
        <w:keepLines w:val="0"/>
        <w:pageBreakBefore w:val="0"/>
        <w:widowControl/>
        <w:kinsoku/>
        <w:wordWrap/>
        <w:overflowPunct/>
        <w:topLinePunct w:val="0"/>
        <w:autoSpaceDE/>
        <w:autoSpaceDN/>
        <w:bidi w:val="0"/>
        <w:spacing w:line="580" w:lineRule="exact"/>
        <w:ind w:left="0" w:leftChars="0" w:firstLine="640" w:firstLineChars="200"/>
        <w:textAlignment w:val="auto"/>
        <w:rPr>
          <w:rFonts w:eastAsia="黑体"/>
          <w:sz w:val="32"/>
          <w:szCs w:val="32"/>
        </w:rPr>
      </w:pPr>
      <w:r>
        <w:rPr>
          <w:rFonts w:eastAsia="黑体"/>
          <w:sz w:val="32"/>
          <w:szCs w:val="32"/>
        </w:rPr>
        <w:t>四、国有资本经营预算支出情况</w:t>
      </w:r>
    </w:p>
    <w:p w14:paraId="01F19A88">
      <w:pPr>
        <w:pStyle w:val="17"/>
        <w:keepNext w:val="0"/>
        <w:keepLines w:val="0"/>
        <w:pageBreakBefore w:val="0"/>
        <w:widowControl/>
        <w:kinsoku/>
        <w:wordWrap/>
        <w:overflowPunct/>
        <w:topLinePunct w:val="0"/>
        <w:autoSpaceDE/>
        <w:autoSpaceDN/>
        <w:bidi w:val="0"/>
        <w:spacing w:line="580" w:lineRule="exact"/>
        <w:ind w:firstLine="640"/>
        <w:textAlignment w:val="auto"/>
        <w:rPr>
          <w:rFonts w:hint="eastAsia" w:ascii="仿宋" w:hAnsi="仿宋" w:eastAsia="仿宋" w:cs="宋体"/>
          <w:color w:val="515151"/>
          <w:kern w:val="0"/>
          <w:sz w:val="32"/>
          <w:szCs w:val="32"/>
          <w:lang w:val="en-US" w:eastAsia="zh-CN" w:bidi="ar-SA"/>
        </w:rPr>
      </w:pPr>
      <w:r>
        <w:rPr>
          <w:rFonts w:hint="eastAsia" w:ascii="仿宋" w:hAnsi="仿宋" w:eastAsia="仿宋" w:cs="宋体"/>
          <w:color w:val="515151"/>
          <w:kern w:val="0"/>
          <w:sz w:val="32"/>
          <w:szCs w:val="32"/>
          <w:lang w:val="en-US" w:eastAsia="zh-CN" w:bidi="ar-SA"/>
        </w:rPr>
        <w:t>2023年度全年没有国有资本经营支出。</w:t>
      </w:r>
    </w:p>
    <w:p w14:paraId="6F1E3BB2">
      <w:pPr>
        <w:pStyle w:val="17"/>
        <w:keepNext w:val="0"/>
        <w:keepLines w:val="0"/>
        <w:pageBreakBefore w:val="0"/>
        <w:widowControl/>
        <w:kinsoku/>
        <w:wordWrap/>
        <w:overflowPunct/>
        <w:topLinePunct w:val="0"/>
        <w:autoSpaceDE/>
        <w:autoSpaceDN/>
        <w:bidi w:val="0"/>
        <w:spacing w:line="580" w:lineRule="exact"/>
        <w:ind w:firstLine="640"/>
        <w:textAlignment w:val="auto"/>
        <w:rPr>
          <w:rFonts w:eastAsia="黑体"/>
          <w:sz w:val="32"/>
          <w:szCs w:val="32"/>
        </w:rPr>
      </w:pPr>
      <w:r>
        <w:rPr>
          <w:rFonts w:eastAsia="黑体"/>
          <w:sz w:val="32"/>
          <w:szCs w:val="32"/>
        </w:rPr>
        <w:t>五、社会保险基金预算支出情况</w:t>
      </w:r>
    </w:p>
    <w:p w14:paraId="3F2057A9">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2023年度全年没有社会保险基金支出。</w:t>
      </w:r>
    </w:p>
    <w:p w14:paraId="775AD8BC">
      <w:pPr>
        <w:keepNext w:val="0"/>
        <w:keepLines w:val="0"/>
        <w:pageBreakBefore w:val="0"/>
        <w:widowControl/>
        <w:kinsoku/>
        <w:wordWrap/>
        <w:overflowPunct/>
        <w:topLinePunct w:val="0"/>
        <w:autoSpaceDE/>
        <w:autoSpaceDN/>
        <w:bidi w:val="0"/>
        <w:spacing w:line="58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六、部门整体支出绩效情况</w:t>
      </w:r>
    </w:p>
    <w:p w14:paraId="3D2DAD1F">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20</w:t>
      </w:r>
      <w:r>
        <w:rPr>
          <w:rFonts w:hint="eastAsia" w:ascii="仿宋" w:hAnsi="仿宋" w:eastAsia="仿宋" w:cs="宋体"/>
          <w:color w:val="515151"/>
          <w:kern w:val="0"/>
          <w:sz w:val="32"/>
          <w:szCs w:val="32"/>
          <w:lang w:val="en-US" w:eastAsia="zh-CN"/>
        </w:rPr>
        <w:t>23</w:t>
      </w:r>
      <w:r>
        <w:rPr>
          <w:rFonts w:hint="eastAsia" w:ascii="仿宋" w:hAnsi="仿宋" w:eastAsia="仿宋" w:cs="宋体"/>
          <w:color w:val="515151"/>
          <w:kern w:val="0"/>
          <w:sz w:val="32"/>
          <w:szCs w:val="32"/>
        </w:rPr>
        <w:t>年，</w:t>
      </w:r>
      <w:r>
        <w:rPr>
          <w:rFonts w:hint="eastAsia" w:ascii="仿宋" w:hAnsi="仿宋" w:eastAsia="仿宋" w:cs="宋体"/>
          <w:color w:val="515151"/>
          <w:kern w:val="0"/>
          <w:sz w:val="32"/>
          <w:szCs w:val="32"/>
          <w:lang w:eastAsia="zh-CN"/>
        </w:rPr>
        <w:t>学校</w:t>
      </w:r>
      <w:r>
        <w:rPr>
          <w:rFonts w:hint="eastAsia" w:ascii="仿宋" w:hAnsi="仿宋" w:eastAsia="仿宋" w:cs="宋体"/>
          <w:color w:val="515151"/>
          <w:kern w:val="0"/>
          <w:sz w:val="32"/>
          <w:szCs w:val="32"/>
        </w:rPr>
        <w:t>根据</w:t>
      </w:r>
      <w:r>
        <w:rPr>
          <w:rFonts w:hint="eastAsia" w:ascii="仿宋" w:hAnsi="仿宋" w:eastAsia="仿宋" w:cs="宋体"/>
          <w:color w:val="515151"/>
          <w:kern w:val="0"/>
          <w:sz w:val="32"/>
          <w:szCs w:val="32"/>
          <w:lang w:eastAsia="zh-CN"/>
        </w:rPr>
        <w:t>与主管局年初目标管理考核签订的目标责任和</w:t>
      </w:r>
      <w:r>
        <w:rPr>
          <w:rFonts w:hint="eastAsia" w:ascii="仿宋" w:hAnsi="仿宋" w:eastAsia="仿宋" w:cs="宋体"/>
          <w:color w:val="515151"/>
          <w:kern w:val="0"/>
          <w:sz w:val="32"/>
          <w:szCs w:val="32"/>
        </w:rPr>
        <w:t>年度工作计划的要求，通过全体</w:t>
      </w:r>
      <w:r>
        <w:rPr>
          <w:rFonts w:hint="eastAsia" w:ascii="仿宋" w:hAnsi="仿宋" w:eastAsia="仿宋" w:cs="宋体"/>
          <w:color w:val="515151"/>
          <w:kern w:val="0"/>
          <w:sz w:val="32"/>
          <w:szCs w:val="32"/>
          <w:lang w:eastAsia="zh-CN"/>
        </w:rPr>
        <w:t>教</w:t>
      </w:r>
      <w:r>
        <w:rPr>
          <w:rFonts w:hint="eastAsia" w:ascii="仿宋" w:hAnsi="仿宋" w:eastAsia="仿宋" w:cs="宋体"/>
          <w:color w:val="515151"/>
          <w:kern w:val="0"/>
          <w:sz w:val="32"/>
          <w:szCs w:val="32"/>
        </w:rPr>
        <w:t>职工共同努力，认真履行职责，较好地完成了年初确定的各项工作任务，推进</w:t>
      </w:r>
      <w:r>
        <w:rPr>
          <w:rFonts w:hint="eastAsia" w:ascii="仿宋" w:hAnsi="仿宋" w:eastAsia="仿宋" w:cs="宋体"/>
          <w:color w:val="515151"/>
          <w:kern w:val="0"/>
          <w:sz w:val="32"/>
          <w:szCs w:val="32"/>
          <w:lang w:eastAsia="zh-CN"/>
        </w:rPr>
        <w:t>建设教育</w:t>
      </w:r>
      <w:r>
        <w:rPr>
          <w:rFonts w:hint="eastAsia" w:ascii="仿宋" w:hAnsi="仿宋" w:eastAsia="仿宋" w:cs="宋体"/>
          <w:color w:val="515151"/>
          <w:kern w:val="0"/>
          <w:sz w:val="32"/>
          <w:szCs w:val="32"/>
        </w:rPr>
        <w:t>事业各项工作进展，取得了较好的成绩，为全市</w:t>
      </w:r>
      <w:r>
        <w:rPr>
          <w:rFonts w:hint="eastAsia" w:ascii="仿宋" w:hAnsi="仿宋" w:eastAsia="仿宋" w:cs="宋体"/>
          <w:color w:val="515151"/>
          <w:kern w:val="0"/>
          <w:sz w:val="32"/>
          <w:szCs w:val="32"/>
          <w:lang w:eastAsia="zh-CN"/>
        </w:rPr>
        <w:t>建设领域人才培养</w:t>
      </w:r>
      <w:r>
        <w:rPr>
          <w:rFonts w:hint="eastAsia" w:ascii="仿宋" w:hAnsi="仿宋" w:eastAsia="仿宋" w:cs="宋体"/>
          <w:color w:val="515151"/>
          <w:kern w:val="0"/>
          <w:sz w:val="32"/>
          <w:szCs w:val="32"/>
        </w:rPr>
        <w:t>作出了积极贡献。</w:t>
      </w:r>
    </w:p>
    <w:p w14:paraId="09602634">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我校2023年度部门整体支出绩效自评表考核如下：资金执行率指标目标10分，得9.77分；产出指标目标40分，得40分，其中数量指标得15分，质量指标得15分，时效指标得10分；成本指标目标10分，得10分；效益指标目标30分，得30分，其中经济效益指标得10分，社会效益指标得10分，可持续影响指标得10分，社会公众或服务对象满意度指标得10分，合计得分99.77分。</w:t>
      </w:r>
      <w:r>
        <w:rPr>
          <w:rFonts w:hint="eastAsia" w:ascii="仿宋" w:hAnsi="仿宋" w:eastAsia="仿宋" w:cs="宋体"/>
          <w:color w:val="515151"/>
          <w:kern w:val="0"/>
          <w:sz w:val="32"/>
          <w:szCs w:val="32"/>
          <w:lang w:eastAsia="zh-CN"/>
        </w:rPr>
        <w:t>（详见附表</w:t>
      </w:r>
      <w:r>
        <w:rPr>
          <w:rFonts w:hint="eastAsia" w:ascii="仿宋" w:hAnsi="仿宋" w:eastAsia="仿宋" w:cs="宋体"/>
          <w:color w:val="515151"/>
          <w:kern w:val="0"/>
          <w:sz w:val="32"/>
          <w:szCs w:val="32"/>
          <w:lang w:val="en-US" w:eastAsia="zh-CN"/>
        </w:rPr>
        <w:t>2</w:t>
      </w:r>
      <w:r>
        <w:rPr>
          <w:rFonts w:hint="eastAsia" w:ascii="仿宋" w:hAnsi="仿宋" w:eastAsia="仿宋" w:cs="宋体"/>
          <w:color w:val="515151"/>
          <w:kern w:val="0"/>
          <w:sz w:val="32"/>
          <w:szCs w:val="32"/>
          <w:lang w:eastAsia="zh-CN"/>
        </w:rPr>
        <w:t>部门整体支出绩效自评表）</w:t>
      </w:r>
    </w:p>
    <w:p w14:paraId="6E379AF8">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主要绩效如下：</w:t>
      </w:r>
    </w:p>
    <w:p w14:paraId="40FB7D8C">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绩效目标完成情况：通过预算执行，保障</w:t>
      </w:r>
      <w:r>
        <w:rPr>
          <w:rFonts w:hint="eastAsia" w:ascii="仿宋" w:hAnsi="仿宋" w:eastAsia="仿宋" w:cs="宋体"/>
          <w:color w:val="515151"/>
          <w:kern w:val="0"/>
          <w:sz w:val="32"/>
          <w:szCs w:val="32"/>
          <w:lang w:eastAsia="zh-CN"/>
        </w:rPr>
        <w:t>学校</w:t>
      </w:r>
      <w:r>
        <w:rPr>
          <w:rFonts w:hint="eastAsia" w:ascii="仿宋" w:hAnsi="仿宋" w:eastAsia="仿宋" w:cs="宋体"/>
          <w:color w:val="515151"/>
          <w:kern w:val="0"/>
          <w:sz w:val="32"/>
          <w:szCs w:val="32"/>
        </w:rPr>
        <w:t>在职人员</w:t>
      </w:r>
      <w:r>
        <w:rPr>
          <w:rFonts w:hint="eastAsia" w:ascii="仿宋" w:hAnsi="仿宋" w:eastAsia="仿宋" w:cs="宋体"/>
          <w:color w:val="515151"/>
          <w:kern w:val="0"/>
          <w:sz w:val="32"/>
          <w:szCs w:val="32"/>
          <w:lang w:val="en-US" w:eastAsia="zh-CN"/>
        </w:rPr>
        <w:t>15</w:t>
      </w:r>
      <w:r>
        <w:rPr>
          <w:rFonts w:hint="eastAsia" w:ascii="仿宋" w:hAnsi="仿宋" w:eastAsia="仿宋" w:cs="宋体"/>
          <w:color w:val="515151"/>
          <w:kern w:val="0"/>
          <w:sz w:val="32"/>
          <w:szCs w:val="32"/>
        </w:rPr>
        <w:t>人、退休人员</w:t>
      </w:r>
      <w:r>
        <w:rPr>
          <w:rFonts w:hint="eastAsia" w:ascii="仿宋" w:hAnsi="仿宋" w:eastAsia="仿宋" w:cs="宋体"/>
          <w:color w:val="515151"/>
          <w:kern w:val="0"/>
          <w:sz w:val="32"/>
          <w:szCs w:val="32"/>
          <w:lang w:val="en-US" w:eastAsia="zh-CN"/>
        </w:rPr>
        <w:t>10</w:t>
      </w:r>
      <w:r>
        <w:rPr>
          <w:rFonts w:hint="eastAsia" w:ascii="仿宋" w:hAnsi="仿宋" w:eastAsia="仿宋" w:cs="宋体"/>
          <w:color w:val="515151"/>
          <w:kern w:val="0"/>
          <w:sz w:val="32"/>
          <w:szCs w:val="32"/>
        </w:rPr>
        <w:t>人正常办公、生活秩序，有序地开展各项工作，为衡阳市</w:t>
      </w:r>
      <w:r>
        <w:rPr>
          <w:rFonts w:hint="eastAsia" w:ascii="仿宋" w:hAnsi="仿宋" w:eastAsia="仿宋" w:cs="宋体"/>
          <w:color w:val="515151"/>
          <w:kern w:val="0"/>
          <w:sz w:val="32"/>
          <w:szCs w:val="32"/>
          <w:lang w:eastAsia="zh-CN"/>
        </w:rPr>
        <w:t>建设领域人才培养</w:t>
      </w:r>
      <w:r>
        <w:rPr>
          <w:rFonts w:hint="eastAsia" w:ascii="仿宋" w:hAnsi="仿宋" w:eastAsia="仿宋" w:cs="宋体"/>
          <w:color w:val="515151"/>
          <w:kern w:val="0"/>
          <w:sz w:val="32"/>
          <w:szCs w:val="32"/>
        </w:rPr>
        <w:t>保驾护航。</w:t>
      </w:r>
    </w:p>
    <w:p w14:paraId="65C5832F">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产出情况：保障</w:t>
      </w:r>
      <w:r>
        <w:rPr>
          <w:rFonts w:hint="eastAsia" w:ascii="仿宋" w:hAnsi="仿宋" w:eastAsia="仿宋" w:cs="宋体"/>
          <w:color w:val="515151"/>
          <w:kern w:val="0"/>
          <w:sz w:val="32"/>
          <w:szCs w:val="32"/>
          <w:lang w:eastAsia="zh-CN"/>
        </w:rPr>
        <w:t>学校</w:t>
      </w:r>
      <w:r>
        <w:rPr>
          <w:rFonts w:hint="eastAsia" w:ascii="仿宋" w:hAnsi="仿宋" w:eastAsia="仿宋" w:cs="宋体"/>
          <w:color w:val="515151"/>
          <w:kern w:val="0"/>
          <w:sz w:val="32"/>
          <w:szCs w:val="32"/>
        </w:rPr>
        <w:t>在职人员</w:t>
      </w:r>
      <w:r>
        <w:rPr>
          <w:rFonts w:hint="eastAsia" w:ascii="仿宋" w:hAnsi="仿宋" w:eastAsia="仿宋" w:cs="宋体"/>
          <w:color w:val="515151"/>
          <w:kern w:val="0"/>
          <w:sz w:val="32"/>
          <w:szCs w:val="32"/>
          <w:lang w:val="en-US" w:eastAsia="zh-CN"/>
        </w:rPr>
        <w:t>15</w:t>
      </w:r>
      <w:r>
        <w:rPr>
          <w:rFonts w:hint="eastAsia" w:ascii="仿宋" w:hAnsi="仿宋" w:eastAsia="仿宋" w:cs="宋体"/>
          <w:color w:val="515151"/>
          <w:kern w:val="0"/>
          <w:sz w:val="32"/>
          <w:szCs w:val="32"/>
        </w:rPr>
        <w:t>人、退休人员</w:t>
      </w:r>
      <w:r>
        <w:rPr>
          <w:rFonts w:hint="eastAsia" w:ascii="仿宋" w:hAnsi="仿宋" w:eastAsia="仿宋" w:cs="宋体"/>
          <w:color w:val="515151"/>
          <w:kern w:val="0"/>
          <w:sz w:val="32"/>
          <w:szCs w:val="32"/>
          <w:lang w:val="en-US" w:eastAsia="zh-CN"/>
        </w:rPr>
        <w:t>10</w:t>
      </w:r>
      <w:r>
        <w:rPr>
          <w:rFonts w:hint="eastAsia" w:ascii="仿宋" w:hAnsi="仿宋" w:eastAsia="仿宋" w:cs="宋体"/>
          <w:color w:val="515151"/>
          <w:kern w:val="0"/>
          <w:sz w:val="32"/>
          <w:szCs w:val="32"/>
        </w:rPr>
        <w:t>人正常办公、生活秩序，基本满足在职人员和退休的正常办公、生活</w:t>
      </w:r>
      <w:r>
        <w:rPr>
          <w:rFonts w:hint="eastAsia" w:ascii="仿宋" w:hAnsi="仿宋" w:eastAsia="仿宋" w:cs="宋体"/>
          <w:color w:val="515151"/>
          <w:kern w:val="0"/>
          <w:sz w:val="32"/>
          <w:szCs w:val="32"/>
          <w:lang w:eastAsia="zh-CN"/>
        </w:rPr>
        <w:t>需</w:t>
      </w:r>
      <w:r>
        <w:rPr>
          <w:rFonts w:hint="eastAsia" w:ascii="仿宋" w:hAnsi="仿宋" w:eastAsia="仿宋" w:cs="宋体"/>
          <w:color w:val="515151"/>
          <w:kern w:val="0"/>
          <w:sz w:val="32"/>
          <w:szCs w:val="32"/>
        </w:rPr>
        <w:t>求。完成各项资金支出进度要求，</w:t>
      </w:r>
      <w:r>
        <w:rPr>
          <w:rFonts w:hint="eastAsia" w:ascii="仿宋" w:hAnsi="仿宋" w:eastAsia="仿宋" w:cs="宋体"/>
          <w:color w:val="515151"/>
          <w:kern w:val="0"/>
          <w:sz w:val="32"/>
          <w:szCs w:val="32"/>
          <w:lang w:eastAsia="zh-CN"/>
        </w:rPr>
        <w:t>学校</w:t>
      </w:r>
      <w:r>
        <w:rPr>
          <w:rFonts w:hint="eastAsia" w:ascii="仿宋" w:hAnsi="仿宋" w:eastAsia="仿宋" w:cs="宋体"/>
          <w:color w:val="515151"/>
          <w:kern w:val="0"/>
          <w:sz w:val="32"/>
          <w:szCs w:val="32"/>
        </w:rPr>
        <w:t>各项工作顺利开展，工资薪金按时发放。总成本控制在</w:t>
      </w:r>
      <w:r>
        <w:rPr>
          <w:rFonts w:hint="eastAsia" w:ascii="仿宋" w:hAnsi="仿宋" w:eastAsia="仿宋" w:cs="宋体"/>
          <w:color w:val="515151"/>
          <w:kern w:val="0"/>
          <w:sz w:val="32"/>
          <w:szCs w:val="32"/>
          <w:lang w:val="en-US" w:eastAsia="zh-CN"/>
        </w:rPr>
        <w:t>342.65</w:t>
      </w:r>
      <w:r>
        <w:rPr>
          <w:rFonts w:hint="eastAsia" w:ascii="仿宋" w:hAnsi="仿宋" w:eastAsia="仿宋" w:cs="宋体"/>
          <w:color w:val="515151"/>
          <w:kern w:val="0"/>
          <w:sz w:val="32"/>
          <w:szCs w:val="32"/>
        </w:rPr>
        <w:t>万元，其中工资福利支出</w:t>
      </w:r>
      <w:r>
        <w:rPr>
          <w:rFonts w:hint="eastAsia" w:ascii="仿宋" w:hAnsi="仿宋" w:eastAsia="仿宋" w:cs="宋体"/>
          <w:color w:val="515151"/>
          <w:kern w:val="0"/>
          <w:sz w:val="32"/>
          <w:szCs w:val="32"/>
          <w:lang w:val="en-US" w:eastAsia="zh-CN"/>
        </w:rPr>
        <w:t>267.40</w:t>
      </w:r>
      <w:r>
        <w:rPr>
          <w:rFonts w:hint="eastAsia" w:ascii="仿宋" w:hAnsi="仿宋" w:eastAsia="仿宋" w:cs="宋体"/>
          <w:color w:val="515151"/>
          <w:kern w:val="0"/>
          <w:sz w:val="32"/>
          <w:szCs w:val="32"/>
        </w:rPr>
        <w:t>万元，一般商品和服务支出</w:t>
      </w:r>
      <w:r>
        <w:rPr>
          <w:rFonts w:hint="eastAsia" w:ascii="仿宋" w:hAnsi="仿宋" w:eastAsia="仿宋" w:cs="宋体"/>
          <w:color w:val="515151"/>
          <w:kern w:val="0"/>
          <w:sz w:val="32"/>
          <w:szCs w:val="32"/>
          <w:lang w:val="en-US" w:eastAsia="zh-CN"/>
        </w:rPr>
        <w:t>44.42</w:t>
      </w:r>
      <w:r>
        <w:rPr>
          <w:rFonts w:hint="eastAsia" w:ascii="仿宋" w:hAnsi="仿宋" w:eastAsia="仿宋" w:cs="宋体"/>
          <w:color w:val="515151"/>
          <w:kern w:val="0"/>
          <w:sz w:val="32"/>
          <w:szCs w:val="32"/>
        </w:rPr>
        <w:t>万元，对个人和家庭的补助</w:t>
      </w:r>
      <w:r>
        <w:rPr>
          <w:rFonts w:hint="eastAsia" w:ascii="仿宋" w:hAnsi="仿宋" w:eastAsia="仿宋" w:cs="宋体"/>
          <w:color w:val="515151"/>
          <w:kern w:val="0"/>
          <w:sz w:val="32"/>
          <w:szCs w:val="32"/>
          <w:lang w:val="en-US" w:eastAsia="zh-CN"/>
        </w:rPr>
        <w:t>30.83</w:t>
      </w:r>
      <w:r>
        <w:rPr>
          <w:rFonts w:hint="eastAsia" w:ascii="仿宋" w:hAnsi="仿宋" w:eastAsia="仿宋" w:cs="宋体"/>
          <w:color w:val="515151"/>
          <w:kern w:val="0"/>
          <w:sz w:val="32"/>
          <w:szCs w:val="32"/>
        </w:rPr>
        <w:t>万元。</w:t>
      </w:r>
    </w:p>
    <w:p w14:paraId="1E4D7E3B">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（一）预算配置</w:t>
      </w:r>
    </w:p>
    <w:p w14:paraId="4EDA003A">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财政供养人员控制在预算编制之内，我</w:t>
      </w:r>
      <w:r>
        <w:rPr>
          <w:rFonts w:hint="eastAsia" w:ascii="仿宋" w:hAnsi="仿宋" w:eastAsia="仿宋" w:cs="宋体"/>
          <w:color w:val="515151"/>
          <w:kern w:val="0"/>
          <w:sz w:val="32"/>
          <w:szCs w:val="32"/>
          <w:lang w:eastAsia="zh-CN"/>
        </w:rPr>
        <w:t>校</w:t>
      </w:r>
      <w:r>
        <w:rPr>
          <w:rFonts w:hint="eastAsia" w:ascii="仿宋" w:hAnsi="仿宋" w:eastAsia="仿宋" w:cs="宋体"/>
          <w:color w:val="515151"/>
          <w:kern w:val="0"/>
          <w:sz w:val="32"/>
          <w:szCs w:val="32"/>
        </w:rPr>
        <w:t>编制数为</w:t>
      </w:r>
      <w:r>
        <w:rPr>
          <w:rFonts w:hint="eastAsia" w:ascii="仿宋" w:hAnsi="仿宋" w:eastAsia="仿宋" w:cs="宋体"/>
          <w:color w:val="515151"/>
          <w:kern w:val="0"/>
          <w:sz w:val="32"/>
          <w:szCs w:val="32"/>
          <w:lang w:val="en-US" w:eastAsia="zh-CN"/>
        </w:rPr>
        <w:t>19</w:t>
      </w:r>
      <w:r>
        <w:rPr>
          <w:rFonts w:hint="eastAsia" w:ascii="仿宋" w:hAnsi="仿宋" w:eastAsia="仿宋" w:cs="宋体"/>
          <w:color w:val="515151"/>
          <w:kern w:val="0"/>
          <w:sz w:val="32"/>
          <w:szCs w:val="32"/>
        </w:rPr>
        <w:t>人，在职人数为</w:t>
      </w:r>
      <w:r>
        <w:rPr>
          <w:rFonts w:hint="eastAsia" w:ascii="仿宋" w:hAnsi="仿宋" w:eastAsia="仿宋" w:cs="宋体"/>
          <w:color w:val="515151"/>
          <w:kern w:val="0"/>
          <w:sz w:val="32"/>
          <w:szCs w:val="32"/>
          <w:lang w:val="en-US" w:eastAsia="zh-CN"/>
        </w:rPr>
        <w:t>15</w:t>
      </w:r>
      <w:r>
        <w:rPr>
          <w:rFonts w:hint="eastAsia" w:ascii="仿宋" w:hAnsi="仿宋" w:eastAsia="仿宋" w:cs="宋体"/>
          <w:color w:val="515151"/>
          <w:kern w:val="0"/>
          <w:sz w:val="32"/>
          <w:szCs w:val="32"/>
        </w:rPr>
        <w:t>人，在职人员控制率为</w:t>
      </w:r>
      <w:r>
        <w:rPr>
          <w:rFonts w:hint="eastAsia" w:ascii="仿宋" w:hAnsi="仿宋" w:eastAsia="仿宋" w:cs="宋体"/>
          <w:color w:val="515151"/>
          <w:kern w:val="0"/>
          <w:sz w:val="32"/>
          <w:szCs w:val="32"/>
          <w:lang w:val="en-US" w:eastAsia="zh-CN"/>
        </w:rPr>
        <w:t>78.95%</w:t>
      </w:r>
      <w:r>
        <w:rPr>
          <w:rFonts w:hint="eastAsia" w:ascii="仿宋" w:hAnsi="仿宋" w:eastAsia="仿宋" w:cs="宋体"/>
          <w:color w:val="515151"/>
          <w:kern w:val="0"/>
          <w:sz w:val="32"/>
          <w:szCs w:val="32"/>
        </w:rPr>
        <w:t>。</w:t>
      </w:r>
    </w:p>
    <w:p w14:paraId="5A83AE98">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（二）预算执行</w:t>
      </w:r>
    </w:p>
    <w:p w14:paraId="772E518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rPr>
        <w:t>202</w:t>
      </w:r>
      <w:r>
        <w:rPr>
          <w:rFonts w:hint="eastAsia" w:ascii="仿宋" w:hAnsi="仿宋" w:eastAsia="仿宋" w:cs="宋体"/>
          <w:color w:val="515151"/>
          <w:kern w:val="0"/>
          <w:sz w:val="32"/>
          <w:szCs w:val="32"/>
          <w:lang w:val="en-US" w:eastAsia="zh-CN"/>
        </w:rPr>
        <w:t>3</w:t>
      </w:r>
      <w:r>
        <w:rPr>
          <w:rFonts w:hint="eastAsia" w:ascii="仿宋" w:hAnsi="仿宋" w:eastAsia="仿宋" w:cs="宋体"/>
          <w:color w:val="515151"/>
          <w:kern w:val="0"/>
          <w:sz w:val="32"/>
          <w:szCs w:val="32"/>
        </w:rPr>
        <w:t>年年初预算</w:t>
      </w:r>
      <w:r>
        <w:rPr>
          <w:rFonts w:hint="eastAsia" w:ascii="仿宋" w:hAnsi="仿宋" w:eastAsia="仿宋" w:cs="宋体"/>
          <w:color w:val="515151"/>
          <w:kern w:val="0"/>
          <w:sz w:val="32"/>
          <w:szCs w:val="32"/>
          <w:lang w:val="en-US" w:eastAsia="zh-CN"/>
        </w:rPr>
        <w:t>293.49</w:t>
      </w:r>
      <w:r>
        <w:rPr>
          <w:rFonts w:hint="eastAsia" w:ascii="仿宋" w:hAnsi="仿宋" w:eastAsia="仿宋" w:cs="宋体"/>
          <w:color w:val="515151"/>
          <w:kern w:val="0"/>
          <w:sz w:val="32"/>
          <w:szCs w:val="32"/>
        </w:rPr>
        <w:t>万元，</w:t>
      </w:r>
      <w:r>
        <w:rPr>
          <w:rFonts w:hint="eastAsia" w:ascii="仿宋" w:hAnsi="仿宋" w:eastAsia="仿宋" w:cs="宋体"/>
          <w:color w:val="515151"/>
          <w:kern w:val="0"/>
          <w:sz w:val="32"/>
          <w:szCs w:val="32"/>
          <w:lang w:eastAsia="zh-CN"/>
        </w:rPr>
        <w:t>其中</w:t>
      </w:r>
      <w:r>
        <w:rPr>
          <w:rFonts w:hint="eastAsia" w:ascii="仿宋" w:hAnsi="仿宋" w:eastAsia="仿宋" w:cs="宋体"/>
          <w:color w:val="515151"/>
          <w:kern w:val="0"/>
          <w:sz w:val="32"/>
          <w:szCs w:val="32"/>
        </w:rPr>
        <w:t>人员经费</w:t>
      </w:r>
      <w:r>
        <w:rPr>
          <w:rFonts w:hint="eastAsia" w:ascii="仿宋" w:hAnsi="仿宋" w:eastAsia="仿宋" w:cs="仿宋"/>
          <w:color w:val="414141"/>
          <w:sz w:val="31"/>
          <w:szCs w:val="31"/>
          <w:lang w:val="en-US" w:eastAsia="zh-CN"/>
        </w:rPr>
        <w:t>278.65万元，</w:t>
      </w:r>
      <w:r>
        <w:rPr>
          <w:rFonts w:hint="eastAsia" w:ascii="仿宋" w:hAnsi="仿宋" w:eastAsia="仿宋" w:cs="仿宋"/>
          <w:color w:val="414141"/>
          <w:kern w:val="0"/>
          <w:sz w:val="31"/>
          <w:szCs w:val="31"/>
          <w:lang w:val="en-US" w:eastAsia="zh-CN" w:bidi="ar"/>
        </w:rPr>
        <w:t>工会经费11.34万元，党建经费3.5万元。</w:t>
      </w:r>
      <w:r>
        <w:rPr>
          <w:rFonts w:hint="eastAsia" w:ascii="仿宋" w:hAnsi="仿宋" w:eastAsia="仿宋" w:cs="宋体"/>
          <w:color w:val="515151"/>
          <w:kern w:val="0"/>
          <w:sz w:val="32"/>
          <w:szCs w:val="32"/>
          <w:lang w:val="en-US" w:eastAsia="zh-CN"/>
        </w:rPr>
        <w:t>2023年我校</w:t>
      </w:r>
      <w:r>
        <w:rPr>
          <w:rFonts w:hint="eastAsia" w:ascii="仿宋" w:hAnsi="仿宋" w:eastAsia="仿宋" w:cs="宋体"/>
          <w:color w:val="515151"/>
          <w:kern w:val="0"/>
          <w:sz w:val="32"/>
          <w:szCs w:val="32"/>
          <w:lang w:eastAsia="zh-CN"/>
        </w:rPr>
        <w:t>因</w:t>
      </w:r>
      <w:r>
        <w:rPr>
          <w:rFonts w:hint="eastAsia" w:ascii="仿宋" w:hAnsi="仿宋" w:eastAsia="仿宋" w:cs="宋体"/>
          <w:color w:val="515151"/>
          <w:kern w:val="0"/>
          <w:sz w:val="32"/>
          <w:szCs w:val="32"/>
        </w:rPr>
        <w:t>2021-2023年事业在职及退休人员绩效结算</w:t>
      </w:r>
      <w:r>
        <w:rPr>
          <w:rFonts w:hint="eastAsia" w:ascii="仿宋" w:hAnsi="仿宋" w:eastAsia="仿宋" w:cs="宋体"/>
          <w:color w:val="515151"/>
          <w:kern w:val="0"/>
          <w:sz w:val="32"/>
          <w:szCs w:val="32"/>
          <w:lang w:eastAsia="zh-CN"/>
        </w:rPr>
        <w:t>调增</w:t>
      </w:r>
      <w:r>
        <w:rPr>
          <w:rFonts w:hint="eastAsia" w:ascii="仿宋" w:hAnsi="仿宋" w:eastAsia="仿宋" w:cs="宋体"/>
          <w:color w:val="515151"/>
          <w:kern w:val="0"/>
          <w:sz w:val="32"/>
          <w:szCs w:val="32"/>
        </w:rPr>
        <w:t>人员经费</w:t>
      </w:r>
      <w:r>
        <w:rPr>
          <w:rFonts w:hint="eastAsia" w:ascii="仿宋" w:hAnsi="仿宋" w:eastAsia="仿宋" w:cs="宋体"/>
          <w:color w:val="515151"/>
          <w:kern w:val="0"/>
          <w:sz w:val="32"/>
          <w:szCs w:val="32"/>
          <w:lang w:val="en-US" w:eastAsia="zh-CN"/>
        </w:rPr>
        <w:t>28.24万元，</w:t>
      </w:r>
      <w:r>
        <w:rPr>
          <w:rFonts w:hint="eastAsia" w:ascii="仿宋" w:hAnsi="仿宋" w:eastAsia="仿宋" w:cs="宋体"/>
          <w:color w:val="515151"/>
          <w:kern w:val="0"/>
          <w:sz w:val="32"/>
          <w:szCs w:val="32"/>
          <w:lang w:val="en-US" w:eastAsia="zh-CN" w:bidi="ar-SA"/>
        </w:rPr>
        <w:t>校园安全、环境改造</w:t>
      </w:r>
      <w:r>
        <w:rPr>
          <w:rFonts w:hint="eastAsia" w:ascii="仿宋" w:hAnsi="仿宋" w:eastAsia="仿宋" w:cs="宋体"/>
          <w:color w:val="515151"/>
          <w:kern w:val="0"/>
          <w:sz w:val="32"/>
          <w:szCs w:val="32"/>
          <w:lang w:val="en-US" w:eastAsia="zh-CN"/>
        </w:rPr>
        <w:t>项目质保金拨付1.09万元，调整后预算322.82万元。2023年我校支付人员经费298.72万元，</w:t>
      </w:r>
      <w:r>
        <w:rPr>
          <w:rFonts w:hint="eastAsia" w:ascii="仿宋" w:hAnsi="仿宋" w:eastAsia="仿宋" w:cs="仿宋"/>
          <w:color w:val="414141"/>
          <w:kern w:val="0"/>
          <w:sz w:val="31"/>
          <w:szCs w:val="31"/>
          <w:lang w:val="en-US" w:eastAsia="zh-CN" w:bidi="ar"/>
        </w:rPr>
        <w:t>工会经费11.34万元，党建经费3.5万元，</w:t>
      </w:r>
      <w:r>
        <w:rPr>
          <w:rFonts w:hint="eastAsia" w:ascii="仿宋" w:hAnsi="仿宋" w:eastAsia="仿宋" w:cs="宋体"/>
          <w:color w:val="515151"/>
          <w:kern w:val="0"/>
          <w:sz w:val="32"/>
          <w:szCs w:val="32"/>
          <w:lang w:val="en-US" w:eastAsia="zh-CN"/>
        </w:rPr>
        <w:t>质保金1.09万元，结余8.17万元，为人员工资，因为2023年增加退休2人。</w:t>
      </w:r>
    </w:p>
    <w:p w14:paraId="7DA2D401">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（三）预算管理</w:t>
      </w:r>
    </w:p>
    <w:p w14:paraId="1F0FD235">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1、费用控制情况：202</w:t>
      </w:r>
      <w:r>
        <w:rPr>
          <w:rFonts w:hint="eastAsia" w:ascii="仿宋" w:hAnsi="仿宋" w:eastAsia="仿宋" w:cs="宋体"/>
          <w:color w:val="515151"/>
          <w:kern w:val="0"/>
          <w:sz w:val="32"/>
          <w:szCs w:val="32"/>
          <w:lang w:val="en-US" w:eastAsia="zh-CN"/>
        </w:rPr>
        <w:t>3</w:t>
      </w:r>
      <w:r>
        <w:rPr>
          <w:rFonts w:hint="eastAsia" w:ascii="仿宋" w:hAnsi="仿宋" w:eastAsia="仿宋" w:cs="宋体"/>
          <w:color w:val="515151"/>
          <w:kern w:val="0"/>
          <w:sz w:val="32"/>
          <w:szCs w:val="32"/>
        </w:rPr>
        <w:t>年</w:t>
      </w:r>
      <w:r>
        <w:rPr>
          <w:rFonts w:hint="eastAsia" w:ascii="仿宋" w:hAnsi="仿宋" w:eastAsia="仿宋" w:cs="宋体"/>
          <w:color w:val="515151"/>
          <w:kern w:val="0"/>
          <w:sz w:val="32"/>
          <w:szCs w:val="32"/>
          <w:lang w:val="en-US" w:eastAsia="zh-CN"/>
        </w:rPr>
        <w:t>我校总支出342.65万元，</w:t>
      </w:r>
      <w:r>
        <w:rPr>
          <w:rFonts w:hint="eastAsia" w:ascii="仿宋" w:hAnsi="仿宋" w:eastAsia="仿宋" w:cs="宋体"/>
          <w:color w:val="515151"/>
          <w:kern w:val="0"/>
          <w:sz w:val="32"/>
          <w:szCs w:val="32"/>
        </w:rPr>
        <w:t>预算安排</w:t>
      </w:r>
      <w:r>
        <w:rPr>
          <w:rFonts w:hint="eastAsia" w:ascii="仿宋" w:hAnsi="仿宋" w:eastAsia="仿宋" w:cs="宋体"/>
          <w:color w:val="515151"/>
          <w:kern w:val="0"/>
          <w:sz w:val="32"/>
          <w:szCs w:val="32"/>
          <w:lang w:eastAsia="zh-CN"/>
        </w:rPr>
        <w:t>经费支出</w:t>
      </w:r>
      <w:r>
        <w:rPr>
          <w:rFonts w:hint="eastAsia" w:ascii="仿宋" w:hAnsi="仿宋" w:eastAsia="仿宋" w:cs="宋体"/>
          <w:color w:val="515151"/>
          <w:kern w:val="0"/>
          <w:sz w:val="32"/>
          <w:szCs w:val="32"/>
          <w:lang w:val="en-US" w:eastAsia="zh-CN"/>
        </w:rPr>
        <w:t>314.65万元，国有资产出租收入返还支出18万元，</w:t>
      </w:r>
      <w:r>
        <w:rPr>
          <w:rFonts w:hint="eastAsia" w:ascii="仿宋" w:hAnsi="仿宋" w:eastAsia="仿宋" w:cs="仿宋"/>
          <w:color w:val="414141"/>
          <w:kern w:val="0"/>
          <w:sz w:val="31"/>
          <w:szCs w:val="31"/>
          <w:lang w:val="en-US" w:eastAsia="zh-CN" w:bidi="ar"/>
        </w:rPr>
        <w:t>湖南省2022年土建工程专业初中级职称考试衡阳考区考务费支出150000元，</w:t>
      </w:r>
      <w:r>
        <w:rPr>
          <w:rFonts w:hint="eastAsia" w:ascii="仿宋" w:hAnsi="仿宋" w:eastAsia="仿宋" w:cs="宋体"/>
          <w:color w:val="515151"/>
          <w:kern w:val="0"/>
          <w:sz w:val="32"/>
          <w:szCs w:val="32"/>
          <w:lang w:val="en-US" w:eastAsia="zh-CN"/>
        </w:rPr>
        <w:t>其中人员经费支出298.23万元，公用经费支出44.42万元。</w:t>
      </w:r>
      <w:r>
        <w:rPr>
          <w:rFonts w:hint="eastAsia" w:ascii="仿宋" w:hAnsi="仿宋" w:eastAsia="仿宋" w:cs="宋体"/>
          <w:color w:val="515151"/>
          <w:kern w:val="0"/>
          <w:sz w:val="32"/>
          <w:szCs w:val="32"/>
        </w:rPr>
        <w:t>预算</w:t>
      </w:r>
      <w:r>
        <w:rPr>
          <w:rFonts w:hint="eastAsia" w:ascii="仿宋" w:hAnsi="仿宋" w:eastAsia="仿宋" w:cs="宋体"/>
          <w:color w:val="515151"/>
          <w:kern w:val="0"/>
          <w:sz w:val="32"/>
          <w:szCs w:val="32"/>
          <w:lang w:eastAsia="zh-CN"/>
        </w:rPr>
        <w:t>未</w:t>
      </w:r>
      <w:r>
        <w:rPr>
          <w:rFonts w:hint="eastAsia" w:ascii="仿宋" w:hAnsi="仿宋" w:eastAsia="仿宋" w:cs="宋体"/>
          <w:color w:val="515151"/>
          <w:kern w:val="0"/>
          <w:sz w:val="32"/>
          <w:szCs w:val="32"/>
        </w:rPr>
        <w:t>安排三公经费。 </w:t>
      </w:r>
    </w:p>
    <w:p w14:paraId="2B15BB92">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2、管理制度健全性：202</w:t>
      </w:r>
      <w:r>
        <w:rPr>
          <w:rFonts w:hint="eastAsia" w:ascii="仿宋" w:hAnsi="仿宋" w:eastAsia="仿宋" w:cs="宋体"/>
          <w:color w:val="515151"/>
          <w:kern w:val="0"/>
          <w:sz w:val="32"/>
          <w:szCs w:val="32"/>
          <w:lang w:val="en-US" w:eastAsia="zh-CN"/>
        </w:rPr>
        <w:t>3</w:t>
      </w:r>
      <w:r>
        <w:rPr>
          <w:rFonts w:hint="eastAsia" w:ascii="仿宋" w:hAnsi="仿宋" w:eastAsia="仿宋" w:cs="宋体"/>
          <w:color w:val="515151"/>
          <w:kern w:val="0"/>
          <w:sz w:val="32"/>
          <w:szCs w:val="32"/>
        </w:rPr>
        <w:t>年我</w:t>
      </w:r>
      <w:r>
        <w:rPr>
          <w:rFonts w:hint="eastAsia" w:ascii="仿宋" w:hAnsi="仿宋" w:eastAsia="仿宋" w:cs="宋体"/>
          <w:color w:val="515151"/>
          <w:kern w:val="0"/>
          <w:sz w:val="32"/>
          <w:szCs w:val="32"/>
          <w:lang w:eastAsia="zh-CN"/>
        </w:rPr>
        <w:t>校</w:t>
      </w:r>
      <w:r>
        <w:rPr>
          <w:rFonts w:hint="eastAsia" w:ascii="仿宋" w:hAnsi="仿宋" w:eastAsia="仿宋" w:cs="宋体"/>
          <w:color w:val="515151"/>
          <w:kern w:val="0"/>
          <w:sz w:val="32"/>
          <w:szCs w:val="32"/>
        </w:rPr>
        <w:t>进一步完善了</w:t>
      </w:r>
      <w:r>
        <w:rPr>
          <w:rFonts w:hint="eastAsia" w:ascii="仿宋" w:hAnsi="仿宋" w:eastAsia="仿宋" w:cs="宋体"/>
          <w:color w:val="515151"/>
          <w:kern w:val="0"/>
          <w:sz w:val="32"/>
          <w:szCs w:val="32"/>
          <w:lang w:eastAsia="zh-CN"/>
        </w:rPr>
        <w:t>财务</w:t>
      </w:r>
      <w:r>
        <w:rPr>
          <w:rFonts w:hint="eastAsia" w:ascii="仿宋" w:hAnsi="仿宋" w:eastAsia="仿宋" w:cs="宋体"/>
          <w:color w:val="515151"/>
          <w:kern w:val="0"/>
          <w:sz w:val="32"/>
          <w:szCs w:val="32"/>
        </w:rPr>
        <w:t>管理制度，相关制度合规合法并得到有效执行；</w:t>
      </w:r>
    </w:p>
    <w:p w14:paraId="3A93566C">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3、资金使用合规性：支出符合国家财经法规和财务管理制度规定；资金拨付有完整的审批程序和手续；支出符合部门预算批复的用途；资金使用无截留、挤占、挪用、虚列支出等情况。</w:t>
      </w:r>
    </w:p>
    <w:p w14:paraId="17BCF48F">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4、预决算信息公开性：及时、准确地公开了预决算信息。</w:t>
      </w:r>
      <w:r>
        <w:rPr>
          <w:rFonts w:hint="eastAsia" w:ascii="宋体" w:hAnsi="宋体" w:eastAsia="宋体" w:cs="宋体"/>
          <w:color w:val="515151"/>
          <w:kern w:val="0"/>
          <w:sz w:val="32"/>
          <w:szCs w:val="32"/>
        </w:rPr>
        <w:t>     </w:t>
      </w:r>
    </w:p>
    <w:p w14:paraId="7268C36D">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（四）职责履行及履职效益</w:t>
      </w:r>
    </w:p>
    <w:p w14:paraId="77CFF14F">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1、职责履行</w:t>
      </w:r>
    </w:p>
    <w:p w14:paraId="2D921277">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val="en-US" w:eastAsia="zh-CN"/>
        </w:rPr>
        <w:t>2023年，</w:t>
      </w:r>
      <w:r>
        <w:rPr>
          <w:rFonts w:hint="eastAsia" w:ascii="仿宋" w:hAnsi="仿宋" w:eastAsia="仿宋" w:cs="宋体"/>
          <w:color w:val="515151"/>
          <w:kern w:val="0"/>
          <w:sz w:val="32"/>
          <w:szCs w:val="32"/>
        </w:rPr>
        <w:t>我校在市住建局</w:t>
      </w:r>
      <w:r>
        <w:rPr>
          <w:rFonts w:hint="eastAsia" w:ascii="仿宋" w:hAnsi="仿宋" w:eastAsia="仿宋" w:cs="宋体"/>
          <w:color w:val="515151"/>
          <w:kern w:val="0"/>
          <w:sz w:val="32"/>
          <w:szCs w:val="32"/>
          <w:lang w:eastAsia="zh-CN"/>
        </w:rPr>
        <w:t>及上级部门</w:t>
      </w:r>
      <w:r>
        <w:rPr>
          <w:rFonts w:hint="eastAsia" w:ascii="仿宋" w:hAnsi="仿宋" w:eastAsia="仿宋" w:cs="宋体"/>
          <w:color w:val="515151"/>
          <w:kern w:val="0"/>
          <w:sz w:val="32"/>
          <w:szCs w:val="32"/>
        </w:rPr>
        <w:t>的</w:t>
      </w:r>
      <w:r>
        <w:rPr>
          <w:rFonts w:hint="eastAsia" w:ascii="仿宋" w:hAnsi="仿宋" w:eastAsia="仿宋" w:cs="宋体"/>
          <w:color w:val="515151"/>
          <w:kern w:val="0"/>
          <w:sz w:val="32"/>
          <w:szCs w:val="32"/>
          <w:lang w:eastAsia="zh-CN"/>
        </w:rPr>
        <w:t>坚强</w:t>
      </w:r>
      <w:r>
        <w:rPr>
          <w:rFonts w:hint="eastAsia" w:ascii="仿宋" w:hAnsi="仿宋" w:eastAsia="仿宋" w:cs="宋体"/>
          <w:color w:val="515151"/>
          <w:kern w:val="0"/>
          <w:sz w:val="32"/>
          <w:szCs w:val="32"/>
        </w:rPr>
        <w:t>领导下，以党的</w:t>
      </w:r>
      <w:r>
        <w:rPr>
          <w:rFonts w:hint="eastAsia" w:ascii="仿宋" w:hAnsi="仿宋" w:eastAsia="仿宋" w:cs="宋体"/>
          <w:color w:val="515151"/>
          <w:kern w:val="0"/>
          <w:sz w:val="32"/>
          <w:szCs w:val="32"/>
          <w:lang w:eastAsia="zh-CN"/>
        </w:rPr>
        <w:t>二十大</w:t>
      </w:r>
      <w:r>
        <w:rPr>
          <w:rFonts w:hint="eastAsia" w:ascii="仿宋" w:hAnsi="仿宋" w:eastAsia="仿宋" w:cs="宋体"/>
          <w:color w:val="515151"/>
          <w:kern w:val="0"/>
          <w:sz w:val="32"/>
          <w:szCs w:val="32"/>
        </w:rPr>
        <w:t>精神为引领，真抓实干</w:t>
      </w:r>
      <w:r>
        <w:rPr>
          <w:rFonts w:hint="eastAsia" w:ascii="仿宋" w:hAnsi="仿宋" w:eastAsia="仿宋" w:cs="宋体"/>
          <w:color w:val="515151"/>
          <w:kern w:val="0"/>
          <w:sz w:val="32"/>
          <w:szCs w:val="32"/>
          <w:lang w:eastAsia="zh-CN"/>
        </w:rPr>
        <w:t>、</w:t>
      </w:r>
      <w:r>
        <w:rPr>
          <w:rFonts w:hint="eastAsia" w:ascii="仿宋" w:hAnsi="仿宋" w:eastAsia="仿宋" w:cs="宋体"/>
          <w:color w:val="515151"/>
          <w:kern w:val="0"/>
          <w:sz w:val="32"/>
          <w:szCs w:val="32"/>
        </w:rPr>
        <w:t>精准施策</w:t>
      </w:r>
      <w:r>
        <w:rPr>
          <w:rFonts w:hint="eastAsia" w:ascii="仿宋" w:hAnsi="仿宋" w:eastAsia="仿宋" w:cs="宋体"/>
          <w:color w:val="515151"/>
          <w:kern w:val="0"/>
          <w:sz w:val="32"/>
          <w:szCs w:val="32"/>
          <w:lang w:eastAsia="zh-CN"/>
        </w:rPr>
        <w:t>，在全体</w:t>
      </w:r>
      <w:r>
        <w:rPr>
          <w:rFonts w:hint="eastAsia" w:ascii="仿宋" w:hAnsi="仿宋" w:eastAsia="仿宋" w:cs="宋体"/>
          <w:color w:val="515151"/>
          <w:kern w:val="0"/>
          <w:sz w:val="32"/>
          <w:szCs w:val="32"/>
        </w:rPr>
        <w:t>教职工的共同努力下，学校各项工作稳步</w:t>
      </w:r>
      <w:r>
        <w:rPr>
          <w:rFonts w:hint="eastAsia" w:ascii="仿宋" w:hAnsi="仿宋" w:eastAsia="仿宋" w:cs="宋体"/>
          <w:color w:val="515151"/>
          <w:kern w:val="0"/>
          <w:sz w:val="32"/>
          <w:szCs w:val="32"/>
          <w:lang w:eastAsia="zh-CN"/>
        </w:rPr>
        <w:t>发展</w:t>
      </w:r>
      <w:r>
        <w:rPr>
          <w:rFonts w:hint="eastAsia" w:ascii="仿宋" w:hAnsi="仿宋" w:eastAsia="仿宋" w:cs="宋体"/>
          <w:color w:val="515151"/>
          <w:kern w:val="0"/>
          <w:sz w:val="32"/>
          <w:szCs w:val="32"/>
        </w:rPr>
        <w:t>，</w:t>
      </w:r>
      <w:r>
        <w:rPr>
          <w:rFonts w:hint="eastAsia" w:ascii="仿宋" w:hAnsi="仿宋" w:eastAsia="仿宋" w:cs="宋体"/>
          <w:color w:val="515151"/>
          <w:kern w:val="0"/>
          <w:sz w:val="32"/>
          <w:szCs w:val="32"/>
          <w:lang w:eastAsia="zh-CN"/>
        </w:rPr>
        <w:t>围绕年度目标，坚持教学优导、质量为本，扎实稳步地开展教学、培训、服务企业工作，</w:t>
      </w:r>
      <w:r>
        <w:rPr>
          <w:rFonts w:hint="eastAsia" w:ascii="仿宋" w:hAnsi="仿宋" w:eastAsia="仿宋" w:cs="宋体"/>
          <w:color w:val="515151"/>
          <w:kern w:val="0"/>
          <w:sz w:val="32"/>
          <w:szCs w:val="32"/>
        </w:rPr>
        <w:t>取得了</w:t>
      </w:r>
      <w:r>
        <w:rPr>
          <w:rFonts w:hint="eastAsia" w:ascii="仿宋" w:hAnsi="仿宋" w:eastAsia="仿宋" w:cs="宋体"/>
          <w:color w:val="515151"/>
          <w:kern w:val="0"/>
          <w:sz w:val="32"/>
          <w:szCs w:val="32"/>
          <w:lang w:eastAsia="zh-CN"/>
        </w:rPr>
        <w:t>较好</w:t>
      </w:r>
      <w:r>
        <w:rPr>
          <w:rFonts w:hint="eastAsia" w:ascii="仿宋" w:hAnsi="仿宋" w:eastAsia="仿宋" w:cs="宋体"/>
          <w:color w:val="515151"/>
          <w:kern w:val="0"/>
          <w:sz w:val="32"/>
          <w:szCs w:val="32"/>
        </w:rPr>
        <w:t>成绩。</w:t>
      </w:r>
      <w:r>
        <w:rPr>
          <w:rFonts w:hint="eastAsia" w:ascii="仿宋" w:hAnsi="仿宋" w:eastAsia="仿宋" w:cs="宋体"/>
          <w:color w:val="515151"/>
          <w:kern w:val="0"/>
          <w:sz w:val="32"/>
          <w:szCs w:val="32"/>
          <w:lang w:eastAsia="zh-CN"/>
        </w:rPr>
        <w:t>现将全年工作总结如下：</w:t>
      </w:r>
    </w:p>
    <w:p w14:paraId="7BE00C67">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一、学校概况。</w:t>
      </w:r>
    </w:p>
    <w:p w14:paraId="4C5EA09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我校现有在</w:t>
      </w:r>
      <w:r>
        <w:rPr>
          <w:rFonts w:hint="eastAsia" w:ascii="仿宋" w:hAnsi="仿宋" w:eastAsia="仿宋" w:cs="宋体"/>
          <w:color w:val="515151"/>
          <w:kern w:val="0"/>
          <w:sz w:val="32"/>
          <w:szCs w:val="32"/>
          <w:lang w:eastAsia="zh-CN"/>
        </w:rPr>
        <w:t>职在</w:t>
      </w:r>
      <w:r>
        <w:rPr>
          <w:rFonts w:hint="eastAsia" w:ascii="仿宋" w:hAnsi="仿宋" w:eastAsia="仿宋" w:cs="宋体"/>
          <w:color w:val="515151"/>
          <w:kern w:val="0"/>
          <w:sz w:val="32"/>
          <w:szCs w:val="32"/>
        </w:rPr>
        <w:t>编教职员工</w:t>
      </w:r>
      <w:r>
        <w:rPr>
          <w:rFonts w:hint="eastAsia" w:ascii="仿宋" w:hAnsi="仿宋" w:eastAsia="仿宋" w:cs="宋体"/>
          <w:color w:val="515151"/>
          <w:kern w:val="0"/>
          <w:sz w:val="32"/>
          <w:szCs w:val="32"/>
          <w:lang w:val="en-US" w:eastAsia="zh-CN"/>
        </w:rPr>
        <w:t>14</w:t>
      </w:r>
      <w:r>
        <w:rPr>
          <w:rFonts w:hint="eastAsia" w:ascii="仿宋" w:hAnsi="仿宋" w:eastAsia="仿宋" w:cs="宋体"/>
          <w:color w:val="515151"/>
          <w:kern w:val="0"/>
          <w:sz w:val="32"/>
          <w:szCs w:val="32"/>
        </w:rPr>
        <w:t>人，</w:t>
      </w:r>
      <w:r>
        <w:rPr>
          <w:rFonts w:hint="eastAsia" w:ascii="仿宋" w:hAnsi="仿宋" w:eastAsia="仿宋" w:cs="宋体"/>
          <w:color w:val="515151"/>
          <w:kern w:val="0"/>
          <w:sz w:val="32"/>
          <w:szCs w:val="32"/>
          <w:lang w:eastAsia="zh-CN"/>
        </w:rPr>
        <w:t>退休职工</w:t>
      </w:r>
      <w:r>
        <w:rPr>
          <w:rFonts w:hint="eastAsia" w:ascii="仿宋" w:hAnsi="仿宋" w:eastAsia="仿宋" w:cs="宋体"/>
          <w:color w:val="515151"/>
          <w:kern w:val="0"/>
          <w:sz w:val="32"/>
          <w:szCs w:val="32"/>
          <w:lang w:val="en-US" w:eastAsia="zh-CN"/>
        </w:rPr>
        <w:t>11人，</w:t>
      </w:r>
      <w:r>
        <w:rPr>
          <w:rFonts w:hint="eastAsia" w:ascii="仿宋" w:hAnsi="仿宋" w:eastAsia="仿宋" w:cs="宋体"/>
          <w:color w:val="515151"/>
          <w:kern w:val="0"/>
          <w:sz w:val="32"/>
          <w:szCs w:val="32"/>
          <w:lang w:eastAsia="zh-CN"/>
        </w:rPr>
        <w:t>目前学校中职注册在籍学生总人数为</w:t>
      </w:r>
      <w:r>
        <w:rPr>
          <w:rFonts w:hint="eastAsia" w:ascii="仿宋" w:hAnsi="仿宋" w:eastAsia="仿宋" w:cs="宋体"/>
          <w:color w:val="515151"/>
          <w:kern w:val="0"/>
          <w:sz w:val="32"/>
          <w:szCs w:val="32"/>
          <w:lang w:val="en-US" w:eastAsia="zh-CN"/>
        </w:rPr>
        <w:t>47人，</w:t>
      </w:r>
      <w:r>
        <w:rPr>
          <w:rFonts w:hint="eastAsia" w:ascii="仿宋" w:hAnsi="仿宋" w:eastAsia="仿宋" w:cs="宋体"/>
          <w:color w:val="515151"/>
          <w:kern w:val="0"/>
          <w:sz w:val="32"/>
          <w:szCs w:val="32"/>
        </w:rPr>
        <w:t>全年安排毕业顶岗实习学生</w:t>
      </w:r>
      <w:r>
        <w:rPr>
          <w:rFonts w:hint="eastAsia" w:ascii="仿宋" w:hAnsi="仿宋" w:eastAsia="仿宋" w:cs="宋体"/>
          <w:color w:val="515151"/>
          <w:kern w:val="0"/>
          <w:sz w:val="32"/>
          <w:szCs w:val="32"/>
          <w:lang w:val="en-US" w:eastAsia="zh-CN"/>
        </w:rPr>
        <w:t>84</w:t>
      </w:r>
      <w:r>
        <w:rPr>
          <w:rFonts w:hint="eastAsia" w:ascii="仿宋" w:hAnsi="仿宋" w:eastAsia="仿宋" w:cs="宋体"/>
          <w:color w:val="515151"/>
          <w:kern w:val="0"/>
          <w:sz w:val="32"/>
          <w:szCs w:val="32"/>
        </w:rPr>
        <w:t>人，</w:t>
      </w:r>
      <w:r>
        <w:rPr>
          <w:rFonts w:hint="eastAsia" w:ascii="仿宋" w:hAnsi="仿宋" w:eastAsia="仿宋" w:cs="宋体"/>
          <w:color w:val="515151"/>
          <w:kern w:val="0"/>
          <w:sz w:val="32"/>
          <w:szCs w:val="32"/>
          <w:lang w:eastAsia="zh-CN"/>
        </w:rPr>
        <w:t>现有成教大专本科注册在籍学生</w:t>
      </w:r>
      <w:r>
        <w:rPr>
          <w:rFonts w:hint="eastAsia" w:ascii="仿宋" w:hAnsi="仿宋" w:eastAsia="仿宋" w:cs="宋体"/>
          <w:color w:val="515151"/>
          <w:kern w:val="0"/>
          <w:sz w:val="32"/>
          <w:szCs w:val="32"/>
          <w:lang w:val="en-US" w:eastAsia="zh-CN"/>
        </w:rPr>
        <w:t>67人；全年完成建设领域施工现场专业人员（八大员）职业培训695人，继续教育2899人；完成建筑行业特种作业人员培训112人，证书复核培训299人；完成衡阳市五城区乡村建设工匠培训106人；完成2022年度（2023年4-5月）、2023年度湖南省土建工程专业初中级职称考试衡阳考区组考2752人；按时按质按量完成了上级交办的各项工作任务，圆满完成了局考核工作目标。</w:t>
      </w:r>
    </w:p>
    <w:p w14:paraId="611BBA0A">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二、各项工作开展情况。</w:t>
      </w:r>
    </w:p>
    <w:p w14:paraId="40DD696F">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（一）党建及党风廉政建设工作。</w:t>
      </w:r>
    </w:p>
    <w:p w14:paraId="1CB6E6ED">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1、深入开展学习贯彻习近平新时代中国特色社会主义思想</w:t>
      </w:r>
      <w:bookmarkStart w:id="0" w:name="_GoBack"/>
      <w:r>
        <w:rPr>
          <w:rFonts w:hint="eastAsia" w:ascii="仿宋" w:hAnsi="仿宋" w:eastAsia="仿宋" w:cs="宋体"/>
          <w:color w:val="515151"/>
          <w:kern w:val="0"/>
          <w:sz w:val="32"/>
          <w:szCs w:val="32"/>
          <w:lang w:val="en-US" w:eastAsia="zh-CN"/>
        </w:rPr>
        <w:t>主题教育</w:t>
      </w:r>
      <w:bookmarkEnd w:id="0"/>
      <w:r>
        <w:rPr>
          <w:rFonts w:hint="eastAsia" w:ascii="仿宋" w:hAnsi="仿宋" w:eastAsia="仿宋" w:cs="宋体"/>
          <w:color w:val="515151"/>
          <w:kern w:val="0"/>
          <w:sz w:val="32"/>
          <w:szCs w:val="32"/>
          <w:lang w:val="en-US" w:eastAsia="zh-CN"/>
        </w:rPr>
        <w:t>。</w:t>
      </w:r>
    </w:p>
    <w:p w14:paraId="2E9F30E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主题教育开展期间，支部开展专题党课2次，组织党员集中学习研讨3次，微党课学习2次，观看党员教育片2次，组织6名党员参加了局机关党委组织的轮训培训，运用红色资源和党性教育基地开展党性教育12人次，并组织退休党员6人参加主题教育学习，做到了覆盖面广、实效性强。</w:t>
      </w:r>
    </w:p>
    <w:p w14:paraId="4F46BB16">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学校支部积极开展建言献策活动，带领党员深入群众，听民意、访民情、提建议，及时解决了学生食堂用餐及校园内危树砍伐2个问题。</w:t>
      </w:r>
    </w:p>
    <w:p w14:paraId="4C73647F">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支部组织党员和教职工深入社区、街道，开展各类社会实践活动16人次，开展志愿服务10余次。为提高学校工作服务水平，学校设立党员责任区1个和党员示范岗2个，给来访群众和师生提供更优质的服务。</w:t>
      </w:r>
    </w:p>
    <w:p w14:paraId="31A85CE2">
      <w:pPr>
        <w:keepNext w:val="0"/>
        <w:keepLines w:val="0"/>
        <w:pageBreakBefore w:val="0"/>
        <w:widowControl/>
        <w:kinsoku/>
        <w:wordWrap/>
        <w:overflowPunct/>
        <w:topLinePunct w:val="0"/>
        <w:autoSpaceDE/>
        <w:autoSpaceDN/>
        <w:bidi w:val="0"/>
        <w:spacing w:line="580" w:lineRule="exact"/>
        <w:ind w:firstLine="640" w:firstLineChars="200"/>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2、落实基层党建工作重点任务，积极推进党建标准化建设。</w:t>
      </w:r>
    </w:p>
    <w:p w14:paraId="69FD6C6D">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今年，我校党支部按照党建标准化建设工作要求进一步提高支部五化建设水平，我们按照局直属机关党委下发的工作提示和要求，严格落实各项党建工作任务。全年组织召开支委会12次，党员大会4次，党课5次，集中学习13次，组织生活会2次，落实每月主题党日活动，足额按时收缴党员党费3869.43元，实行党员积分管理制度，开展党员培训等，6月份完成了支部换届选举工作，确保了支部日常管理严谨有序。按要求开展了“一月一课一片一实践”活动，除观看警示教育片以及参加局机关党委统一组织的光影铸魂观影活动外，还积极探索使用智慧党建、学习强国等平台的课件视频，拓宽了党员教育资源库。</w:t>
      </w:r>
    </w:p>
    <w:p w14:paraId="4DC2A1DC">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3、积极推进“清廉机关”建设，推动党风廉政建设工作。</w:t>
      </w:r>
    </w:p>
    <w:p w14:paraId="0C25409F">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我校按照《衡阳市住房和城乡建设局2023年清廉机关建设工作实施方案》要求，积极推进清廉机关建设工作。召开支委会传达了文件精神，研究制定了工作方案和责任分解表，并召开全体教职工会议进行了工作部署安排。全年召开专题研究党风廉政建设工作会议4次，今年通过开展作风纪律教育、廉政专题党课教育、谈心谈话教育、组织党员教师到学生班级中开展廉政主题班会教育、在学校微信公众号推送廉政文化信息、观看警示教育片、开展廉洁家访活动、廉洁文化进校园活动等，切实把清廉机关建设工作落到了实处，营造了良好建设氛围。</w:t>
      </w:r>
    </w:p>
    <w:p w14:paraId="3236C9BE">
      <w:pPr>
        <w:keepNext w:val="0"/>
        <w:keepLines w:val="0"/>
        <w:pageBreakBefore w:val="0"/>
        <w:widowControl/>
        <w:numPr>
          <w:ilvl w:val="0"/>
          <w:numId w:val="3"/>
        </w:numPr>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持续推进全面“纪检监督”，深化不能腐的工作机制。</w:t>
      </w:r>
    </w:p>
    <w:p w14:paraId="0686B4FC">
      <w:pPr>
        <w:keepNext w:val="0"/>
        <w:keepLines w:val="0"/>
        <w:pageBreakBefore w:val="0"/>
        <w:widowControl/>
        <w:numPr>
          <w:ilvl w:val="0"/>
          <w:numId w:val="0"/>
        </w:numPr>
        <w:kinsoku/>
        <w:wordWrap/>
        <w:overflowPunct/>
        <w:topLinePunct w:val="0"/>
        <w:autoSpaceDE/>
        <w:autoSpaceDN/>
        <w:bidi w:val="0"/>
        <w:spacing w:line="580" w:lineRule="exact"/>
        <w:ind w:firstLine="640" w:firstLineChars="200"/>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严格落实全面从严治党主体责任规定，全面推行党风廉政建设责任清单制，严格执行《落实党风廉政建设责任考核细则》。今年围绕纠治“四风”问题，在清明节、中秋节、国庆节、春节等重点节日期间开展了专项作风纪律检查活动，教师违纪事实专项查处。按照上级部署，开展了“两带头五整治”纠风防腐专项行动、《治理非法宗教活动和抵御境外基督教渗透自查》自查自纠、落实省委第一巡视组意识形态工作责任制专项检查反馈意见整改工作、“领导干部利用职权或影响力为亲友牟利”专项整治工作、“调研问题”信息专项整治工作、落实“公务用餐”监管平台、重大事项报告制度、严肃建设行业资格考试考风考纪建设。为进一步加强廉洁文化建设，学校在全体师生中以“一堂廉洁教育课”、“一篇廉洁征文”、“校园廉洁教育一角”、“学校股室廉洁文化评比”等系列活动。把廉洁教育引领职业操守，培养全体师生的价值观念和高尚的道德情操。全年，我校未出现有公款吃喝、收送礼金、违规发放津贴、违规操办婚丧喜庆事宜和违规经商办企业、意识形态等方面的问题。</w:t>
      </w:r>
    </w:p>
    <w:p w14:paraId="23E1ACD7">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（二）全日制中专教学管理及成教工作。</w:t>
      </w:r>
    </w:p>
    <w:p w14:paraId="6A506E9C">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1、抓好日常教学管理工作。</w:t>
      </w:r>
    </w:p>
    <w:p w14:paraId="2965C76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一是严格执行教学计划，保证教学秩序。实行任课教师和学生双向考勤制度，检查落实学生的到课率和教师的到岗、授课情况；二是深入课堂听课，促进教学质量。继续实行任课教师听课制，通过听课总结经验找出问题，提高了任课教师的教学效果和教育质量；三是定期问卷调查，反馈教学效果。全年共开展两次教师满意度问卷调查，综合满意度达到90%；</w:t>
      </w:r>
      <w:r>
        <w:rPr>
          <w:rFonts w:hint="eastAsia" w:ascii="仿宋" w:hAnsi="仿宋" w:eastAsia="仿宋" w:cs="宋体"/>
          <w:color w:val="515151"/>
          <w:kern w:val="0"/>
          <w:sz w:val="32"/>
          <w:szCs w:val="32"/>
          <w:lang w:eastAsia="zh-CN"/>
        </w:rPr>
        <w:t>四是加强教师队伍建设，提升教育教学水平。</w:t>
      </w:r>
      <w:r>
        <w:rPr>
          <w:rFonts w:hint="eastAsia" w:ascii="仿宋" w:hAnsi="仿宋" w:eastAsia="仿宋" w:cs="宋体"/>
          <w:color w:val="515151"/>
          <w:kern w:val="0"/>
          <w:sz w:val="32"/>
          <w:szCs w:val="32"/>
          <w:lang w:val="en-US" w:eastAsia="zh-CN"/>
        </w:rPr>
        <w:t>8月份我们组织教师参加了全市中等职业学校公共基础课课程改革教学培训，通过培训，有效提高了教师的教学管理业务水平；五是规范成人学历教育管理。今年，我校对成人教育管理工作进行了全面梳理整治，进一步加强了教学过程管理，完成了线上课程学习定时督学、面授课组织以及上传学生线下考试成绩等工作，有效提高了成人教育教学质量。</w:t>
      </w:r>
    </w:p>
    <w:p w14:paraId="58D2F0FB">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2、抓好学生安全管理工作。</w:t>
      </w:r>
    </w:p>
    <w:p w14:paraId="55B2DF43">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今年，我们针对防溺水、交通安全、禁止危险品进入校园、消防安全、保护环境、预防遭受性侵害、反电诈等方面向学生及家长发放了“一封信”，</w:t>
      </w:r>
      <w:r>
        <w:rPr>
          <w:rFonts w:hint="eastAsia" w:ascii="仿宋" w:hAnsi="仿宋" w:eastAsia="仿宋" w:cs="宋体"/>
          <w:color w:val="515151"/>
          <w:kern w:val="0"/>
          <w:sz w:val="32"/>
          <w:szCs w:val="32"/>
        </w:rPr>
        <w:t>定期召开</w:t>
      </w:r>
      <w:r>
        <w:rPr>
          <w:rFonts w:hint="eastAsia" w:ascii="仿宋" w:hAnsi="仿宋" w:eastAsia="仿宋" w:cs="宋体"/>
          <w:color w:val="515151"/>
          <w:kern w:val="0"/>
          <w:sz w:val="32"/>
          <w:szCs w:val="32"/>
          <w:lang w:eastAsia="zh-CN"/>
        </w:rPr>
        <w:t>了防溺水、防性侵、防校园欺凌、交通安全等主题</w:t>
      </w:r>
      <w:r>
        <w:rPr>
          <w:rFonts w:hint="eastAsia" w:ascii="仿宋" w:hAnsi="仿宋" w:eastAsia="仿宋" w:cs="宋体"/>
          <w:color w:val="515151"/>
          <w:kern w:val="0"/>
          <w:sz w:val="32"/>
          <w:szCs w:val="32"/>
        </w:rPr>
        <w:t>班会，</w:t>
      </w:r>
      <w:r>
        <w:rPr>
          <w:rFonts w:hint="eastAsia" w:ascii="仿宋" w:hAnsi="仿宋" w:eastAsia="仿宋" w:cs="宋体"/>
          <w:color w:val="515151"/>
          <w:kern w:val="0"/>
          <w:sz w:val="32"/>
          <w:szCs w:val="32"/>
          <w:lang w:eastAsia="zh-CN"/>
        </w:rPr>
        <w:t>增强了学生和家长的安全意识，</w:t>
      </w:r>
      <w:r>
        <w:rPr>
          <w:rFonts w:hint="eastAsia" w:ascii="仿宋" w:hAnsi="仿宋" w:eastAsia="仿宋" w:cs="宋体"/>
          <w:color w:val="515151"/>
          <w:kern w:val="0"/>
          <w:sz w:val="32"/>
          <w:szCs w:val="32"/>
        </w:rPr>
        <w:t>本</w:t>
      </w:r>
      <w:r>
        <w:rPr>
          <w:rFonts w:hint="eastAsia" w:ascii="仿宋" w:hAnsi="仿宋" w:eastAsia="仿宋" w:cs="宋体"/>
          <w:color w:val="515151"/>
          <w:kern w:val="0"/>
          <w:sz w:val="32"/>
          <w:szCs w:val="32"/>
          <w:lang w:eastAsia="zh-CN"/>
        </w:rPr>
        <w:t>年度学校</w:t>
      </w:r>
      <w:r>
        <w:rPr>
          <w:rFonts w:hint="eastAsia" w:ascii="仿宋" w:hAnsi="仿宋" w:eastAsia="仿宋" w:cs="宋体"/>
          <w:color w:val="515151"/>
          <w:kern w:val="0"/>
          <w:sz w:val="32"/>
          <w:szCs w:val="32"/>
        </w:rPr>
        <w:t>没有发生</w:t>
      </w:r>
      <w:r>
        <w:rPr>
          <w:rFonts w:hint="eastAsia" w:ascii="仿宋" w:hAnsi="仿宋" w:eastAsia="仿宋" w:cs="宋体"/>
          <w:color w:val="515151"/>
          <w:kern w:val="0"/>
          <w:sz w:val="32"/>
          <w:szCs w:val="32"/>
          <w:lang w:eastAsia="zh-CN"/>
        </w:rPr>
        <w:t>重大</w:t>
      </w:r>
      <w:r>
        <w:rPr>
          <w:rFonts w:hint="eastAsia" w:ascii="仿宋" w:hAnsi="仿宋" w:eastAsia="仿宋" w:cs="宋体"/>
          <w:color w:val="515151"/>
          <w:kern w:val="0"/>
          <w:sz w:val="32"/>
          <w:szCs w:val="32"/>
        </w:rPr>
        <w:t>安全事故</w:t>
      </w:r>
      <w:r>
        <w:rPr>
          <w:rFonts w:hint="eastAsia" w:ascii="仿宋" w:hAnsi="仿宋" w:eastAsia="仿宋" w:cs="宋体"/>
          <w:color w:val="515151"/>
          <w:kern w:val="0"/>
          <w:sz w:val="32"/>
          <w:szCs w:val="32"/>
          <w:lang w:eastAsia="zh-CN"/>
        </w:rPr>
        <w:t>；</w:t>
      </w:r>
    </w:p>
    <w:p w14:paraId="329CF4D5">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3、抓好学生德育教育工作。</w:t>
      </w:r>
    </w:p>
    <w:p w14:paraId="106F1A53">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eastAsia="zh-CN"/>
        </w:rPr>
        <w:t>今年</w:t>
      </w:r>
      <w:r>
        <w:rPr>
          <w:rFonts w:hint="eastAsia" w:ascii="仿宋" w:hAnsi="仿宋" w:eastAsia="仿宋" w:cs="宋体"/>
          <w:color w:val="515151"/>
          <w:kern w:val="0"/>
          <w:sz w:val="32"/>
          <w:szCs w:val="32"/>
        </w:rPr>
        <w:t>我们结合节日、纪念日</w:t>
      </w:r>
      <w:r>
        <w:rPr>
          <w:rFonts w:hint="eastAsia" w:ascii="仿宋" w:hAnsi="仿宋" w:eastAsia="仿宋" w:cs="宋体"/>
          <w:color w:val="515151"/>
          <w:kern w:val="0"/>
          <w:sz w:val="32"/>
          <w:szCs w:val="32"/>
          <w:lang w:eastAsia="zh-CN"/>
        </w:rPr>
        <w:t>和上级要求，</w:t>
      </w:r>
      <w:r>
        <w:rPr>
          <w:rFonts w:hint="eastAsia" w:ascii="仿宋" w:hAnsi="仿宋" w:eastAsia="仿宋" w:cs="宋体"/>
          <w:color w:val="515151"/>
          <w:kern w:val="0"/>
          <w:sz w:val="32"/>
          <w:szCs w:val="32"/>
        </w:rPr>
        <w:t>开展系列教育活动，</w:t>
      </w:r>
      <w:r>
        <w:rPr>
          <w:rFonts w:hint="eastAsia" w:ascii="仿宋" w:hAnsi="仿宋" w:eastAsia="仿宋" w:cs="宋体"/>
          <w:color w:val="515151"/>
          <w:kern w:val="0"/>
          <w:sz w:val="32"/>
          <w:szCs w:val="32"/>
          <w:lang w:eastAsia="zh-CN"/>
        </w:rPr>
        <w:t>如：青年大学习活动、文明校园创建活动、学雷锋活动月、楚怡读书行动、心理健康讲座、安全教育主题月活动、慈善一日捐活动、雨母登山活动、廉洁文化进校园活动、召开国家安全日、五四青年节、国庆节、国家公祭日等各类主题班会</w:t>
      </w:r>
      <w:r>
        <w:rPr>
          <w:rFonts w:hint="eastAsia" w:ascii="仿宋" w:hAnsi="仿宋" w:eastAsia="仿宋" w:cs="宋体"/>
          <w:color w:val="515151"/>
          <w:kern w:val="0"/>
          <w:sz w:val="32"/>
          <w:szCs w:val="32"/>
          <w:lang w:val="en-US" w:eastAsia="zh-CN"/>
        </w:rPr>
        <w:t>36次</w:t>
      </w:r>
      <w:r>
        <w:rPr>
          <w:rFonts w:hint="eastAsia" w:ascii="仿宋" w:hAnsi="仿宋" w:eastAsia="仿宋" w:cs="宋体"/>
          <w:color w:val="515151"/>
          <w:kern w:val="0"/>
          <w:sz w:val="32"/>
          <w:szCs w:val="32"/>
          <w:lang w:eastAsia="zh-CN"/>
        </w:rPr>
        <w:t>，开展了爱国主义教育、感恩教育等，在师生的共同努力下，班风、学风、校风不断改善。</w:t>
      </w:r>
    </w:p>
    <w:p w14:paraId="41E47693">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4、免学费、助学金、奖学金发放情况。</w:t>
      </w:r>
    </w:p>
    <w:p w14:paraId="4BDD14D2">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eastAsia="zh-CN"/>
        </w:rPr>
        <w:t>今年，我校</w:t>
      </w:r>
      <w:r>
        <w:rPr>
          <w:rFonts w:hint="eastAsia" w:ascii="仿宋" w:hAnsi="仿宋" w:eastAsia="仿宋" w:cs="宋体"/>
          <w:color w:val="515151"/>
          <w:kern w:val="0"/>
          <w:sz w:val="32"/>
          <w:szCs w:val="32"/>
          <w:lang w:val="en-US" w:eastAsia="zh-CN"/>
        </w:rPr>
        <w:t>公平公正开展各类助学金的评选和发放工作。春季助学金14人，共发放助学金14000元；春季国家免学费107人、秋季国家免学费43人，共计180000元；本年度按家庭的困难等级评选了4人受助何席林扶贫助学基金，共计20000元；评定一、二、三等奖学金3人，共发放1800元。</w:t>
      </w:r>
    </w:p>
    <w:p w14:paraId="7E58F976">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val="en-US" w:eastAsia="zh-CN"/>
        </w:rPr>
        <w:t>（三）开展建筑行业各类培训工作</w:t>
      </w:r>
      <w:r>
        <w:rPr>
          <w:rFonts w:hint="eastAsia" w:ascii="仿宋" w:hAnsi="仿宋" w:eastAsia="仿宋" w:cs="宋体"/>
          <w:color w:val="515151"/>
          <w:kern w:val="0"/>
          <w:sz w:val="32"/>
          <w:szCs w:val="32"/>
          <w:lang w:eastAsia="zh-CN"/>
        </w:rPr>
        <w:t>。</w:t>
      </w:r>
    </w:p>
    <w:p w14:paraId="3973741B">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1、建设领域施工现场专业人员（八大员）</w:t>
      </w:r>
      <w:r>
        <w:rPr>
          <w:rFonts w:hint="eastAsia" w:ascii="仿宋" w:hAnsi="仿宋" w:eastAsia="仿宋" w:cs="宋体"/>
          <w:color w:val="515151"/>
          <w:kern w:val="0"/>
          <w:sz w:val="32"/>
          <w:szCs w:val="32"/>
          <w:lang w:eastAsia="zh-CN"/>
        </w:rPr>
        <w:t>职业培训。</w:t>
      </w:r>
    </w:p>
    <w:p w14:paraId="37C696B3">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我校2023年住房和城乡建设领域施工现场专业人员（八大员）</w:t>
      </w:r>
      <w:r>
        <w:rPr>
          <w:rFonts w:hint="eastAsia" w:ascii="仿宋" w:hAnsi="仿宋" w:eastAsia="仿宋" w:cs="宋体"/>
          <w:color w:val="515151"/>
          <w:kern w:val="0"/>
          <w:sz w:val="32"/>
          <w:szCs w:val="32"/>
          <w:lang w:eastAsia="zh-CN"/>
        </w:rPr>
        <w:t>职业培训工作共开展了五批次，完成培训</w:t>
      </w:r>
      <w:r>
        <w:rPr>
          <w:rFonts w:hint="eastAsia" w:ascii="仿宋" w:hAnsi="仿宋" w:eastAsia="仿宋" w:cs="宋体"/>
          <w:color w:val="515151"/>
          <w:kern w:val="0"/>
          <w:sz w:val="32"/>
          <w:szCs w:val="32"/>
          <w:lang w:val="en-US" w:eastAsia="zh-CN"/>
        </w:rPr>
        <w:t>695人次，参加测试人次657人，培训测试合格394人，合格率为59.97%；全年完成八大员证书继续教育2899人。</w:t>
      </w:r>
    </w:p>
    <w:p w14:paraId="5C831EF8">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2、建筑施工特种作业人员培训。</w:t>
      </w:r>
    </w:p>
    <w:p w14:paraId="442F045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本年度完成特种作业新办培训112人，特种作业复核培训299人。整个培训过程实行考勤签到，培训效果良好。</w:t>
      </w:r>
    </w:p>
    <w:p w14:paraId="54813084">
      <w:pPr>
        <w:keepNext w:val="0"/>
        <w:keepLines w:val="0"/>
        <w:pageBreakBefore w:val="0"/>
        <w:widowControl/>
        <w:kinsoku/>
        <w:wordWrap/>
        <w:overflowPunct/>
        <w:topLinePunct w:val="0"/>
        <w:autoSpaceDE/>
        <w:autoSpaceDN/>
        <w:bidi w:val="0"/>
        <w:spacing w:line="580" w:lineRule="exact"/>
        <w:ind w:firstLine="645"/>
        <w:jc w:val="left"/>
        <w:textAlignment w:val="auto"/>
        <w:rPr>
          <w:rFonts w:hint="default"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3、乡村建设工匠培训。</w:t>
      </w:r>
    </w:p>
    <w:p w14:paraId="315B9FE2">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今年市住建局、市总工会联合主办的衡阳市五城区乡村建设工匠培训班在我校举办，共培训106人次。培训理论考试合格率达到95%。</w:t>
      </w:r>
    </w:p>
    <w:p w14:paraId="3C5D896F">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（四）安全生产、平安校园建设、法治建设工作。</w:t>
      </w:r>
    </w:p>
    <w:p w14:paraId="06B20199">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val="en-US" w:eastAsia="zh-CN"/>
        </w:rPr>
        <w:t>学校今年多次召开安全生产</w:t>
      </w:r>
      <w:r>
        <w:rPr>
          <w:rFonts w:hint="eastAsia" w:ascii="仿宋" w:hAnsi="仿宋" w:eastAsia="仿宋" w:cs="宋体"/>
          <w:color w:val="515151"/>
          <w:kern w:val="0"/>
          <w:sz w:val="32"/>
          <w:szCs w:val="32"/>
          <w:lang w:eastAsia="zh-CN"/>
        </w:rPr>
        <w:t>专题会议，分析安全生产形势、研判安全生产风险、研究部署安全工作。</w:t>
      </w:r>
      <w:r>
        <w:rPr>
          <w:rFonts w:hint="eastAsia" w:ascii="仿宋" w:hAnsi="仿宋" w:eastAsia="仿宋" w:cs="宋体"/>
          <w:color w:val="515151"/>
          <w:kern w:val="0"/>
          <w:sz w:val="32"/>
          <w:szCs w:val="32"/>
        </w:rPr>
        <w:t>重点</w:t>
      </w:r>
      <w:r>
        <w:rPr>
          <w:rFonts w:hint="eastAsia" w:ascii="仿宋" w:hAnsi="仿宋" w:eastAsia="仿宋" w:cs="宋体"/>
          <w:color w:val="515151"/>
          <w:kern w:val="0"/>
          <w:sz w:val="32"/>
          <w:szCs w:val="32"/>
          <w:lang w:eastAsia="zh-CN"/>
        </w:rPr>
        <w:t>对</w:t>
      </w:r>
      <w:r>
        <w:rPr>
          <w:rFonts w:hint="eastAsia" w:ascii="仿宋" w:hAnsi="仿宋" w:eastAsia="仿宋" w:cs="宋体"/>
          <w:color w:val="515151"/>
          <w:kern w:val="0"/>
          <w:sz w:val="32"/>
          <w:szCs w:val="32"/>
        </w:rPr>
        <w:t>“校舍安全、设施设备安全、消防安全、</w:t>
      </w:r>
      <w:r>
        <w:rPr>
          <w:rFonts w:hint="eastAsia" w:ascii="仿宋" w:hAnsi="仿宋" w:eastAsia="仿宋" w:cs="宋体"/>
          <w:color w:val="515151"/>
          <w:kern w:val="0"/>
          <w:sz w:val="32"/>
          <w:szCs w:val="32"/>
          <w:lang w:eastAsia="zh-CN"/>
        </w:rPr>
        <w:t>病媒生物防治</w:t>
      </w:r>
      <w:r>
        <w:rPr>
          <w:rFonts w:hint="eastAsia" w:ascii="仿宋" w:hAnsi="仿宋" w:eastAsia="仿宋" w:cs="宋体"/>
          <w:color w:val="515151"/>
          <w:kern w:val="0"/>
          <w:sz w:val="32"/>
          <w:szCs w:val="32"/>
        </w:rPr>
        <w:t>、食品卫生安全、交通安全”等事故多发领域</w:t>
      </w:r>
      <w:r>
        <w:rPr>
          <w:rFonts w:hint="eastAsia" w:ascii="仿宋" w:hAnsi="仿宋" w:eastAsia="仿宋" w:cs="宋体"/>
          <w:color w:val="515151"/>
          <w:kern w:val="0"/>
          <w:sz w:val="32"/>
          <w:szCs w:val="32"/>
          <w:lang w:eastAsia="zh-CN"/>
        </w:rPr>
        <w:t>进行了安全隐患排查，</w:t>
      </w:r>
      <w:r>
        <w:rPr>
          <w:rFonts w:hint="eastAsia" w:ascii="仿宋" w:hAnsi="仿宋" w:eastAsia="仿宋" w:cs="宋体"/>
          <w:color w:val="515151"/>
          <w:kern w:val="0"/>
          <w:sz w:val="32"/>
          <w:szCs w:val="32"/>
        </w:rPr>
        <w:t>查找薄弱环节，堵塞校园安全管理漏洞。</w:t>
      </w:r>
      <w:r>
        <w:rPr>
          <w:rFonts w:hint="eastAsia" w:ascii="仿宋" w:hAnsi="仿宋" w:eastAsia="仿宋" w:cs="宋体"/>
          <w:color w:val="515151"/>
          <w:kern w:val="0"/>
          <w:sz w:val="32"/>
          <w:szCs w:val="32"/>
          <w:lang w:eastAsia="zh-CN"/>
        </w:rPr>
        <w:t>今年，学校完成了教学楼、宿舍楼所有窗户限位器的安装；宿舍楼道墙面电线规整；</w:t>
      </w:r>
      <w:r>
        <w:rPr>
          <w:rFonts w:hint="eastAsia" w:ascii="仿宋" w:hAnsi="仿宋" w:eastAsia="仿宋" w:cs="宋体"/>
          <w:color w:val="515151"/>
          <w:kern w:val="0"/>
          <w:sz w:val="32"/>
          <w:szCs w:val="32"/>
          <w:lang w:val="en-US" w:eastAsia="zh-CN"/>
        </w:rPr>
        <w:t>604多媒体室吊顶维修；教学楼2-3楼厕所及露台防水补漏修缮；宿舍后坪危树砍伐；完成了校舍内损坏的</w:t>
      </w:r>
      <w:r>
        <w:rPr>
          <w:rFonts w:hint="eastAsia" w:ascii="仿宋" w:hAnsi="仿宋" w:eastAsia="仿宋" w:cs="宋体"/>
          <w:color w:val="515151"/>
          <w:kern w:val="0"/>
          <w:sz w:val="32"/>
          <w:szCs w:val="32"/>
          <w:lang w:eastAsia="zh-CN"/>
        </w:rPr>
        <w:t>吊扇、灯泡、龙头、水表、水阀维修更换等。及时消除了各类安全隐患，全年，我校未发生重大安全事故。今年，学校组织开展了“民法典”、反电信诈骗宣传教育，</w:t>
      </w:r>
      <w:r>
        <w:rPr>
          <w:rFonts w:hint="eastAsia" w:ascii="仿宋" w:hAnsi="仿宋" w:eastAsia="仿宋" w:cs="宋体"/>
          <w:color w:val="515151"/>
          <w:kern w:val="0"/>
          <w:sz w:val="32"/>
          <w:szCs w:val="32"/>
          <w:lang w:val="en-US" w:eastAsia="zh-CN"/>
        </w:rPr>
        <w:t>2023年学校在职人员学法考法参学率、考试通过率均为100%。</w:t>
      </w:r>
    </w:p>
    <w:p w14:paraId="43DD9D12">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（五）信访接待工作。</w:t>
      </w:r>
    </w:p>
    <w:p w14:paraId="02BC3BEF">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学校积极对来访人员及来电寻访事项进行了接待处置，全年共接到上级交办的“</w:t>
      </w:r>
      <w:r>
        <w:rPr>
          <w:rFonts w:hint="eastAsia" w:ascii="仿宋" w:hAnsi="仿宋" w:eastAsia="仿宋" w:cs="宋体"/>
          <w:color w:val="515151"/>
          <w:kern w:val="0"/>
          <w:sz w:val="32"/>
          <w:szCs w:val="32"/>
          <w:lang w:val="en-US" w:eastAsia="zh-CN"/>
        </w:rPr>
        <w:t>12345</w:t>
      </w:r>
      <w:r>
        <w:rPr>
          <w:rFonts w:hint="eastAsia" w:ascii="仿宋" w:hAnsi="仿宋" w:eastAsia="仿宋" w:cs="宋体"/>
          <w:color w:val="515151"/>
          <w:kern w:val="0"/>
          <w:sz w:val="32"/>
          <w:szCs w:val="32"/>
          <w:lang w:eastAsia="zh-CN"/>
        </w:rPr>
        <w:t>”投诉件</w:t>
      </w:r>
      <w:r>
        <w:rPr>
          <w:rFonts w:hint="eastAsia" w:ascii="仿宋" w:hAnsi="仿宋" w:eastAsia="仿宋" w:cs="宋体"/>
          <w:color w:val="515151"/>
          <w:kern w:val="0"/>
          <w:sz w:val="32"/>
          <w:szCs w:val="32"/>
          <w:lang w:val="en-US" w:eastAsia="zh-CN"/>
        </w:rPr>
        <w:t>3起，均及时回复并妥善处理，</w:t>
      </w:r>
      <w:r>
        <w:rPr>
          <w:rFonts w:hint="eastAsia" w:ascii="仿宋" w:hAnsi="仿宋" w:eastAsia="仿宋" w:cs="宋体"/>
          <w:color w:val="515151"/>
          <w:kern w:val="0"/>
          <w:sz w:val="32"/>
          <w:szCs w:val="32"/>
          <w:lang w:eastAsia="zh-CN"/>
        </w:rPr>
        <w:t>全年未出现重大信访案件。</w:t>
      </w:r>
    </w:p>
    <w:p w14:paraId="50605390">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（六）文书档案、宣传报道、信息报送工作。</w:t>
      </w:r>
    </w:p>
    <w:p w14:paraId="1DF6B178">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今年共完成</w:t>
      </w:r>
      <w:r>
        <w:rPr>
          <w:rFonts w:hint="eastAsia" w:ascii="仿宋" w:hAnsi="仿宋" w:eastAsia="仿宋" w:cs="宋体"/>
          <w:color w:val="515151"/>
          <w:kern w:val="0"/>
          <w:sz w:val="32"/>
          <w:szCs w:val="32"/>
        </w:rPr>
        <w:t>上级各</w:t>
      </w:r>
      <w:r>
        <w:rPr>
          <w:rFonts w:hint="eastAsia" w:ascii="仿宋" w:hAnsi="仿宋" w:eastAsia="仿宋" w:cs="宋体"/>
          <w:color w:val="515151"/>
          <w:kern w:val="0"/>
          <w:sz w:val="32"/>
          <w:szCs w:val="32"/>
          <w:lang w:eastAsia="zh-CN"/>
        </w:rPr>
        <w:t>类</w:t>
      </w:r>
      <w:r>
        <w:rPr>
          <w:rFonts w:hint="eastAsia" w:ascii="仿宋" w:hAnsi="仿宋" w:eastAsia="仿宋" w:cs="宋体"/>
          <w:color w:val="515151"/>
          <w:kern w:val="0"/>
          <w:sz w:val="32"/>
          <w:szCs w:val="32"/>
        </w:rPr>
        <w:t>文件和网上文件的收发、传阅</w:t>
      </w:r>
      <w:r>
        <w:rPr>
          <w:rFonts w:hint="eastAsia" w:ascii="仿宋" w:hAnsi="仿宋" w:eastAsia="仿宋" w:cs="宋体"/>
          <w:color w:val="515151"/>
          <w:kern w:val="0"/>
          <w:sz w:val="32"/>
          <w:szCs w:val="32"/>
          <w:lang w:eastAsia="zh-CN"/>
        </w:rPr>
        <w:t>、</w:t>
      </w:r>
      <w:r>
        <w:rPr>
          <w:rFonts w:hint="eastAsia" w:ascii="仿宋" w:hAnsi="仿宋" w:eastAsia="仿宋" w:cs="宋体"/>
          <w:color w:val="515151"/>
          <w:kern w:val="0"/>
          <w:sz w:val="32"/>
          <w:szCs w:val="32"/>
        </w:rPr>
        <w:t>分类归档整理</w:t>
      </w:r>
      <w:r>
        <w:rPr>
          <w:rFonts w:hint="eastAsia" w:ascii="仿宋" w:hAnsi="仿宋" w:eastAsia="仿宋" w:cs="宋体"/>
          <w:color w:val="515151"/>
          <w:kern w:val="0"/>
          <w:sz w:val="32"/>
          <w:szCs w:val="32"/>
          <w:lang w:eastAsia="zh-CN"/>
        </w:rPr>
        <w:t>共计</w:t>
      </w:r>
      <w:r>
        <w:rPr>
          <w:rFonts w:hint="eastAsia" w:ascii="仿宋" w:hAnsi="仿宋" w:eastAsia="仿宋" w:cs="宋体"/>
          <w:color w:val="515151"/>
          <w:kern w:val="0"/>
          <w:sz w:val="32"/>
          <w:szCs w:val="32"/>
          <w:lang w:val="en-US" w:eastAsia="zh-CN"/>
        </w:rPr>
        <w:t>60余篇；</w:t>
      </w:r>
      <w:r>
        <w:rPr>
          <w:rFonts w:hint="eastAsia" w:ascii="仿宋" w:hAnsi="仿宋" w:eastAsia="仿宋" w:cs="宋体"/>
          <w:color w:val="515151"/>
          <w:kern w:val="0"/>
          <w:sz w:val="32"/>
          <w:szCs w:val="32"/>
          <w:lang w:eastAsia="zh-CN"/>
        </w:rPr>
        <w:t>印发校内各类文件</w:t>
      </w:r>
      <w:r>
        <w:rPr>
          <w:rFonts w:hint="eastAsia" w:ascii="仿宋" w:hAnsi="仿宋" w:eastAsia="仿宋" w:cs="宋体"/>
          <w:color w:val="515151"/>
          <w:kern w:val="0"/>
          <w:sz w:val="32"/>
          <w:szCs w:val="32"/>
          <w:lang w:val="en-US" w:eastAsia="zh-CN"/>
        </w:rPr>
        <w:t>40余篇，对外报送相关材料60余份</w:t>
      </w:r>
      <w:r>
        <w:rPr>
          <w:rFonts w:hint="eastAsia" w:ascii="仿宋" w:hAnsi="仿宋" w:eastAsia="仿宋" w:cs="宋体"/>
          <w:color w:val="515151"/>
          <w:kern w:val="0"/>
          <w:sz w:val="32"/>
          <w:szCs w:val="32"/>
          <w:lang w:eastAsia="zh-CN"/>
        </w:rPr>
        <w:t>；对上级要求上报的数据信息做到了及时填报，全年共报送宣传简报</w:t>
      </w:r>
      <w:r>
        <w:rPr>
          <w:rFonts w:hint="eastAsia" w:ascii="仿宋" w:hAnsi="仿宋" w:eastAsia="仿宋" w:cs="宋体"/>
          <w:color w:val="515151"/>
          <w:kern w:val="0"/>
          <w:sz w:val="32"/>
          <w:szCs w:val="32"/>
          <w:lang w:val="en-US" w:eastAsia="zh-CN"/>
        </w:rPr>
        <w:t>10余篇。</w:t>
      </w:r>
    </w:p>
    <w:p w14:paraId="3F0932C9">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（七）严格做好财务管理工作。</w:t>
      </w:r>
    </w:p>
    <w:p w14:paraId="430D3672">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我校严格执行政府会计制度、国家有关财税法规。</w:t>
      </w:r>
      <w:r>
        <w:rPr>
          <w:rFonts w:hint="eastAsia" w:ascii="仿宋" w:hAnsi="仿宋" w:eastAsia="仿宋" w:cs="宋体"/>
          <w:color w:val="515151"/>
          <w:kern w:val="0"/>
          <w:sz w:val="32"/>
          <w:szCs w:val="32"/>
          <w:lang w:val="en-US" w:eastAsia="zh-CN"/>
        </w:rPr>
        <w:t>2023年财务管理各项工作依法依规有序开展：</w:t>
      </w:r>
      <w:r>
        <w:rPr>
          <w:rFonts w:hint="eastAsia" w:ascii="仿宋" w:hAnsi="仿宋" w:eastAsia="仿宋" w:cs="宋体"/>
          <w:color w:val="515151"/>
          <w:kern w:val="0"/>
          <w:sz w:val="32"/>
          <w:szCs w:val="32"/>
          <w:lang w:eastAsia="zh-CN"/>
        </w:rPr>
        <w:t>一是按时按要求完成了年度预决算，并在主管局网站上进行公开。日常财务管理中严格执行《衡阳市建设学校财务管理制度》，严格支付审批手续；二是按时按要求上报了各类财务、资产、信息统计报表。为上级主管部门、财政、税务、审计、纪检、学校各科室提供及时、真实、完整的财务信息；三是接受了市审计局各项审计工作，按要求提供各项审计资料；四是完成了各项收费工作，全年各项非税收入</w:t>
      </w:r>
      <w:r>
        <w:rPr>
          <w:rFonts w:hint="eastAsia" w:ascii="仿宋" w:hAnsi="仿宋" w:eastAsia="仿宋" w:cs="宋体"/>
          <w:color w:val="515151"/>
          <w:kern w:val="0"/>
          <w:sz w:val="32"/>
          <w:szCs w:val="32"/>
          <w:lang w:val="en-US" w:eastAsia="zh-CN"/>
        </w:rPr>
        <w:t>114.84万元</w:t>
      </w:r>
      <w:r>
        <w:rPr>
          <w:rFonts w:hint="eastAsia" w:ascii="仿宋" w:hAnsi="仿宋" w:eastAsia="仿宋" w:cs="宋体"/>
          <w:color w:val="515151"/>
          <w:kern w:val="0"/>
          <w:sz w:val="32"/>
          <w:szCs w:val="32"/>
          <w:lang w:eastAsia="zh-CN"/>
        </w:rPr>
        <w:t>；五是完成了全年各项税费申报工作、学校202</w:t>
      </w:r>
      <w:r>
        <w:rPr>
          <w:rFonts w:hint="eastAsia" w:ascii="仿宋" w:hAnsi="仿宋" w:eastAsia="仿宋" w:cs="宋体"/>
          <w:color w:val="515151"/>
          <w:kern w:val="0"/>
          <w:sz w:val="32"/>
          <w:szCs w:val="32"/>
          <w:lang w:val="en-US" w:eastAsia="zh-CN"/>
        </w:rPr>
        <w:t>3</w:t>
      </w:r>
      <w:r>
        <w:rPr>
          <w:rFonts w:hint="eastAsia" w:ascii="仿宋" w:hAnsi="仿宋" w:eastAsia="仿宋" w:cs="宋体"/>
          <w:color w:val="515151"/>
          <w:kern w:val="0"/>
          <w:sz w:val="32"/>
          <w:szCs w:val="32"/>
          <w:lang w:eastAsia="zh-CN"/>
        </w:rPr>
        <w:t>年各项收费报备、公示工作；六是与市财政局业务科室衔接，保障职工各项福利待遇，并完成了202</w:t>
      </w:r>
      <w:r>
        <w:rPr>
          <w:rFonts w:hint="eastAsia" w:ascii="仿宋" w:hAnsi="仿宋" w:eastAsia="仿宋" w:cs="宋体"/>
          <w:color w:val="515151"/>
          <w:kern w:val="0"/>
          <w:sz w:val="32"/>
          <w:szCs w:val="32"/>
          <w:lang w:val="en-US" w:eastAsia="zh-CN"/>
        </w:rPr>
        <w:t>3</w:t>
      </w:r>
      <w:r>
        <w:rPr>
          <w:rFonts w:hint="eastAsia" w:ascii="仿宋" w:hAnsi="仿宋" w:eastAsia="仿宋" w:cs="宋体"/>
          <w:color w:val="515151"/>
          <w:kern w:val="0"/>
          <w:sz w:val="32"/>
          <w:szCs w:val="32"/>
          <w:lang w:eastAsia="zh-CN"/>
        </w:rPr>
        <w:t>年度绩效目标申报及202</w:t>
      </w:r>
      <w:r>
        <w:rPr>
          <w:rFonts w:hint="eastAsia" w:ascii="仿宋" w:hAnsi="仿宋" w:eastAsia="仿宋" w:cs="宋体"/>
          <w:color w:val="515151"/>
          <w:kern w:val="0"/>
          <w:sz w:val="32"/>
          <w:szCs w:val="32"/>
          <w:lang w:val="en-US" w:eastAsia="zh-CN"/>
        </w:rPr>
        <w:t>2</w:t>
      </w:r>
      <w:r>
        <w:rPr>
          <w:rFonts w:hint="eastAsia" w:ascii="仿宋" w:hAnsi="仿宋" w:eastAsia="仿宋" w:cs="宋体"/>
          <w:color w:val="515151"/>
          <w:kern w:val="0"/>
          <w:sz w:val="32"/>
          <w:szCs w:val="32"/>
          <w:lang w:eastAsia="zh-CN"/>
        </w:rPr>
        <w:t>年度绩效自评工作。　　</w:t>
      </w:r>
    </w:p>
    <w:p w14:paraId="6B0C93BA">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（八）文明创建工作。</w:t>
      </w:r>
    </w:p>
    <w:p w14:paraId="46A83CF6">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我校按照市住建局下发的《2023年市住建局全国文明城市创建工作责任清单分解表》制定了学校文明创建工作责任清单。全年组织教职工开展了“衡阳群众”社区服务、交通文明劝导、“包路段”志愿服务等20余次，常态化开展了“周五大扫除”活动。</w:t>
      </w:r>
    </w:p>
    <w:p w14:paraId="602B514B">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（九）开展工会活动情况。</w:t>
      </w:r>
    </w:p>
    <w:p w14:paraId="0FD50EEE">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今年,学校工会积极发挥能效，为增长职工的凝聚力发挥了桥梁纽带作用。组织开展了亲子沙龙活动、新春“猜灯谜”中华传统文化活动、游泳活动、植树活动、雨母山春游踏青活动、“书香校园阅读悦生活”全民读书活动、暑期家访活动、全国总工会线上运动会、红星村“毅起走，我们加油！”竞走比赛活动、“燃烧激情，烤验人生”秋游活动、羽毛球比赛活动、“感恩岁月，共创未来”欢送退休、离职教师活动、“诉光阴、话愿景”茶话会活动以及参加衡阳市第十一期工会职工医疗互助活动等。通过丰富多彩的活动组织，有效提高了教职工的工作热情，增强了凝聚力。</w:t>
      </w:r>
    </w:p>
    <w:p w14:paraId="691D8A46">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（十）机构改革工作。</w:t>
      </w:r>
    </w:p>
    <w:p w14:paraId="7D3782C8">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按照关于印发《衡阳市建设学校等4所中等专业学校撤并整合方案》的通知（衡编[2023]12号）文件精神，我校严格按照上级部门要求的时间节点，按要求完成了编制划转等工作，积极配合推进改革整合工作顺利开展。</w:t>
      </w:r>
    </w:p>
    <w:p w14:paraId="781D3254">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lang w:val="en-US" w:eastAsia="zh-CN"/>
        </w:rPr>
        <w:t>2023</w:t>
      </w:r>
      <w:r>
        <w:rPr>
          <w:rFonts w:hint="eastAsia" w:ascii="仿宋" w:hAnsi="仿宋" w:eastAsia="仿宋" w:cs="宋体"/>
          <w:color w:val="515151"/>
          <w:kern w:val="0"/>
          <w:sz w:val="32"/>
          <w:szCs w:val="32"/>
        </w:rPr>
        <w:t>年</w:t>
      </w:r>
      <w:r>
        <w:rPr>
          <w:rFonts w:hint="eastAsia" w:ascii="仿宋" w:hAnsi="仿宋" w:eastAsia="仿宋" w:cs="宋体"/>
          <w:color w:val="515151"/>
          <w:kern w:val="0"/>
          <w:sz w:val="32"/>
          <w:szCs w:val="32"/>
          <w:lang w:eastAsia="zh-CN"/>
        </w:rPr>
        <w:t>我校在全体教职员工的共同努力下</w:t>
      </w:r>
      <w:r>
        <w:rPr>
          <w:rFonts w:hint="eastAsia" w:ascii="仿宋" w:hAnsi="仿宋" w:eastAsia="仿宋" w:cs="宋体"/>
          <w:color w:val="515151"/>
          <w:kern w:val="0"/>
          <w:sz w:val="32"/>
          <w:szCs w:val="32"/>
        </w:rPr>
        <w:t>，</w:t>
      </w:r>
      <w:r>
        <w:rPr>
          <w:rFonts w:hint="eastAsia" w:ascii="仿宋" w:hAnsi="仿宋" w:eastAsia="仿宋" w:cs="宋体"/>
          <w:color w:val="515151"/>
          <w:kern w:val="0"/>
          <w:sz w:val="32"/>
          <w:szCs w:val="32"/>
          <w:lang w:eastAsia="zh-CN"/>
        </w:rPr>
        <w:t>各项工作任务圆满完成。</w:t>
      </w:r>
      <w:r>
        <w:rPr>
          <w:rFonts w:hint="eastAsia" w:ascii="仿宋" w:hAnsi="仿宋" w:eastAsia="仿宋" w:cs="宋体"/>
          <w:color w:val="515151"/>
          <w:kern w:val="0"/>
          <w:sz w:val="32"/>
          <w:szCs w:val="32"/>
        </w:rPr>
        <w:t>新的一年，我们决心在</w:t>
      </w:r>
      <w:r>
        <w:rPr>
          <w:rFonts w:hint="eastAsia" w:ascii="仿宋" w:hAnsi="仿宋" w:eastAsia="仿宋" w:cs="宋体"/>
          <w:color w:val="515151"/>
          <w:kern w:val="0"/>
          <w:sz w:val="32"/>
          <w:szCs w:val="32"/>
          <w:lang w:eastAsia="zh-CN"/>
        </w:rPr>
        <w:t>衡阳技师学院的</w:t>
      </w:r>
      <w:r>
        <w:rPr>
          <w:rFonts w:hint="eastAsia" w:ascii="仿宋" w:hAnsi="仿宋" w:eastAsia="仿宋" w:cs="宋体"/>
          <w:color w:val="515151"/>
          <w:kern w:val="0"/>
          <w:sz w:val="32"/>
          <w:szCs w:val="32"/>
        </w:rPr>
        <w:t>正确领导下，进一步加大工作力度，力争</w:t>
      </w:r>
      <w:r>
        <w:rPr>
          <w:rFonts w:hint="eastAsia" w:ascii="仿宋" w:hAnsi="仿宋" w:eastAsia="仿宋" w:cs="宋体"/>
          <w:color w:val="515151"/>
          <w:kern w:val="0"/>
          <w:sz w:val="32"/>
          <w:szCs w:val="32"/>
          <w:lang w:eastAsia="zh-CN"/>
        </w:rPr>
        <w:t>培训</w:t>
      </w:r>
      <w:r>
        <w:rPr>
          <w:rFonts w:hint="eastAsia" w:ascii="仿宋" w:hAnsi="仿宋" w:eastAsia="仿宋" w:cs="宋体"/>
          <w:color w:val="515151"/>
          <w:kern w:val="0"/>
          <w:sz w:val="32"/>
          <w:szCs w:val="32"/>
        </w:rPr>
        <w:t>规模</w:t>
      </w:r>
      <w:r>
        <w:rPr>
          <w:rFonts w:hint="eastAsia" w:ascii="仿宋" w:hAnsi="仿宋" w:eastAsia="仿宋" w:cs="宋体"/>
          <w:color w:val="515151"/>
          <w:kern w:val="0"/>
          <w:sz w:val="32"/>
          <w:szCs w:val="32"/>
          <w:lang w:eastAsia="zh-CN"/>
        </w:rPr>
        <w:t>与质量</w:t>
      </w:r>
      <w:r>
        <w:rPr>
          <w:rFonts w:hint="eastAsia" w:ascii="仿宋" w:hAnsi="仿宋" w:eastAsia="仿宋" w:cs="宋体"/>
          <w:color w:val="515151"/>
          <w:kern w:val="0"/>
          <w:sz w:val="32"/>
          <w:szCs w:val="32"/>
        </w:rPr>
        <w:t>稳步发展，</w:t>
      </w:r>
      <w:r>
        <w:rPr>
          <w:rFonts w:hint="eastAsia" w:ascii="仿宋" w:hAnsi="仿宋" w:eastAsia="仿宋" w:cs="宋体"/>
          <w:color w:val="515151"/>
          <w:kern w:val="0"/>
          <w:sz w:val="32"/>
          <w:szCs w:val="32"/>
          <w:lang w:eastAsia="zh-CN"/>
        </w:rPr>
        <w:t>学历教育、党建、清廉建设等工作更上新的台阶。</w:t>
      </w:r>
    </w:p>
    <w:p w14:paraId="37CCA7DE">
      <w:pPr>
        <w:keepNext w:val="0"/>
        <w:keepLines w:val="0"/>
        <w:pageBreakBefore w:val="0"/>
        <w:widowControl/>
        <w:kinsoku/>
        <w:wordWrap/>
        <w:overflowPunct/>
        <w:topLinePunct w:val="0"/>
        <w:autoSpaceDE/>
        <w:autoSpaceDN/>
        <w:bidi w:val="0"/>
        <w:spacing w:line="580" w:lineRule="exact"/>
        <w:ind w:firstLine="645"/>
        <w:jc w:val="left"/>
        <w:textAlignment w:val="auto"/>
        <w:rPr>
          <w:rFonts w:hint="eastAsia" w:ascii="微软雅黑" w:hAnsi="微软雅黑" w:eastAsia="微软雅黑" w:cs="宋体"/>
          <w:color w:val="515151"/>
          <w:kern w:val="0"/>
          <w:szCs w:val="21"/>
        </w:rPr>
      </w:pPr>
      <w:r>
        <w:rPr>
          <w:rFonts w:hint="eastAsia" w:ascii="仿宋" w:hAnsi="仿宋" w:eastAsia="仿宋" w:cs="宋体"/>
          <w:color w:val="515151"/>
          <w:kern w:val="0"/>
          <w:sz w:val="32"/>
          <w:szCs w:val="32"/>
        </w:rPr>
        <w:t>2、履职效益：</w:t>
      </w:r>
    </w:p>
    <w:p w14:paraId="7C693767">
      <w:pPr>
        <w:keepNext w:val="0"/>
        <w:keepLines w:val="0"/>
        <w:pageBreakBefore w:val="0"/>
        <w:kinsoku/>
        <w:wordWrap/>
        <w:overflowPunct/>
        <w:topLinePunct w:val="0"/>
        <w:autoSpaceDE/>
        <w:autoSpaceDN/>
        <w:bidi w:val="0"/>
        <w:spacing w:line="580" w:lineRule="exact"/>
        <w:textAlignment w:val="auto"/>
        <w:rPr>
          <w:rFonts w:hint="eastAsia" w:ascii="仿宋" w:hAnsi="仿宋" w:eastAsia="仿宋" w:cs="宋体"/>
          <w:color w:val="515151"/>
          <w:kern w:val="0"/>
          <w:sz w:val="32"/>
          <w:szCs w:val="32"/>
        </w:rPr>
      </w:pPr>
      <w:r>
        <w:rPr>
          <w:rFonts w:hint="eastAsia" w:ascii="宋体" w:hAnsi="宋体" w:eastAsia="宋体" w:cs="宋体"/>
          <w:color w:val="515151"/>
          <w:kern w:val="0"/>
          <w:szCs w:val="21"/>
        </w:rPr>
        <w:t>  </w:t>
      </w:r>
      <w:r>
        <w:rPr>
          <w:rFonts w:hint="eastAsia" w:ascii="仿宋" w:hAnsi="仿宋" w:eastAsia="仿宋" w:cs="宋体"/>
          <w:color w:val="515151"/>
          <w:kern w:val="0"/>
          <w:sz w:val="32"/>
          <w:szCs w:val="32"/>
        </w:rPr>
        <w:t> 1）经济效益：通过厉行节约，努力减少各项支出，确保财政资金的正确使用。</w:t>
      </w:r>
    </w:p>
    <w:p w14:paraId="262DD1FD">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2）社会效益：通过</w:t>
      </w:r>
      <w:r>
        <w:rPr>
          <w:rFonts w:hint="eastAsia" w:ascii="仿宋" w:hAnsi="仿宋" w:eastAsia="仿宋" w:cs="宋体"/>
          <w:color w:val="515151"/>
          <w:kern w:val="0"/>
          <w:sz w:val="32"/>
          <w:szCs w:val="32"/>
          <w:lang w:eastAsia="zh-CN"/>
        </w:rPr>
        <w:t>教学管理、培训考核，提高</w:t>
      </w:r>
      <w:r>
        <w:rPr>
          <w:rFonts w:hint="eastAsia" w:ascii="仿宋" w:hAnsi="仿宋" w:eastAsia="仿宋" w:cs="宋体"/>
          <w:color w:val="515151"/>
          <w:kern w:val="0"/>
          <w:sz w:val="32"/>
          <w:szCs w:val="32"/>
        </w:rPr>
        <w:t>建设领域专业技术人员专业素质及职业技能水平。</w:t>
      </w:r>
    </w:p>
    <w:p w14:paraId="27B4AFDA">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3）可持续影响：</w:t>
      </w:r>
      <w:r>
        <w:rPr>
          <w:rFonts w:hint="eastAsia" w:ascii="仿宋" w:hAnsi="仿宋" w:eastAsia="仿宋" w:cs="宋体"/>
          <w:color w:val="515151"/>
          <w:kern w:val="0"/>
          <w:sz w:val="32"/>
          <w:szCs w:val="32"/>
          <w:lang w:eastAsia="zh-CN"/>
        </w:rPr>
        <w:t>长期稳定地为社会提供建筑方面后备力量。</w:t>
      </w:r>
    </w:p>
    <w:p w14:paraId="0824F62A">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rPr>
        <w:t>4）服务对象满意度：</w:t>
      </w:r>
      <w:r>
        <w:rPr>
          <w:rFonts w:hint="eastAsia" w:ascii="仿宋" w:hAnsi="仿宋" w:eastAsia="仿宋" w:cs="宋体"/>
          <w:color w:val="515151"/>
          <w:kern w:val="0"/>
          <w:sz w:val="32"/>
          <w:szCs w:val="32"/>
          <w:lang w:eastAsia="zh-CN"/>
        </w:rPr>
        <w:t>努力</w:t>
      </w:r>
      <w:r>
        <w:rPr>
          <w:rFonts w:hint="eastAsia" w:ascii="仿宋" w:hAnsi="仿宋" w:eastAsia="仿宋" w:cs="宋体"/>
          <w:color w:val="515151"/>
          <w:kern w:val="0"/>
          <w:sz w:val="32"/>
          <w:szCs w:val="32"/>
        </w:rPr>
        <w:t>办好人民满意的教育</w:t>
      </w:r>
      <w:r>
        <w:rPr>
          <w:rFonts w:hint="eastAsia" w:ascii="仿宋" w:hAnsi="仿宋" w:eastAsia="仿宋" w:cs="宋体"/>
          <w:color w:val="515151"/>
          <w:kern w:val="0"/>
          <w:sz w:val="32"/>
          <w:szCs w:val="32"/>
          <w:lang w:eastAsia="zh-CN"/>
        </w:rPr>
        <w:t>，</w:t>
      </w:r>
      <w:r>
        <w:rPr>
          <w:rFonts w:hint="eastAsia" w:ascii="仿宋" w:hAnsi="仿宋" w:eastAsia="仿宋" w:cs="宋体"/>
          <w:color w:val="515151"/>
          <w:kern w:val="0"/>
          <w:sz w:val="32"/>
          <w:szCs w:val="32"/>
        </w:rPr>
        <w:t>力争社会、企业、从业人员满意度达95%以上</w:t>
      </w:r>
      <w:r>
        <w:rPr>
          <w:rFonts w:hint="eastAsia" w:ascii="仿宋" w:hAnsi="仿宋" w:eastAsia="仿宋" w:cs="宋体"/>
          <w:color w:val="515151"/>
          <w:kern w:val="0"/>
          <w:sz w:val="32"/>
          <w:szCs w:val="32"/>
          <w:lang w:eastAsia="zh-CN"/>
        </w:rPr>
        <w:t>。</w:t>
      </w:r>
    </w:p>
    <w:p w14:paraId="598D0F8D">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七、存在的问题及原因分析</w:t>
      </w:r>
    </w:p>
    <w:p w14:paraId="55B04FD1">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主要反映各种预算支出执行偏离绩效目标的情况，并分析其原因。</w:t>
      </w:r>
    </w:p>
    <w:p w14:paraId="0DAE4989">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1.预算编制的口径与实际执行出现误差。按照现行的预算编制原则，人员经费和日常公用经费都是按照上年度九月份的工资表反映的人数安排，而实际执行中单位工作人员往往有变动或流动。</w:t>
      </w:r>
    </w:p>
    <w:p w14:paraId="3AEDABE7">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2.预算编制的分类和实行执行出现脱节。预算编制的功能分类与经济分类不够细化，而实际支出中的情况更加多元化和明细化，出现了分类不一致的情况。</w:t>
      </w:r>
    </w:p>
    <w:p w14:paraId="5D564091">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3.部门整体支出不能很好的对比支出与成果，投入与产出效果，进而很难有针对性的发现问题，分析问题，提出解决方案。</w:t>
      </w:r>
    </w:p>
    <w:p w14:paraId="55EEA6BC">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2023年基本上按照预算目标合理有效的安排使用资金，确保单位工资及时发放和单位日常运转。</w:t>
      </w:r>
    </w:p>
    <w:p w14:paraId="79E898D0">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lang w:val="en-US" w:eastAsia="zh-CN"/>
        </w:rPr>
        <w:t>同时也存在一些不足：单位因人员和经费不足问题，只能维持现状，不能进一步发展。</w:t>
      </w:r>
    </w:p>
    <w:p w14:paraId="7638F078">
      <w:pPr>
        <w:keepNext w:val="0"/>
        <w:keepLines w:val="0"/>
        <w:pageBreakBefore w:val="0"/>
        <w:widowControl/>
        <w:kinsoku/>
        <w:wordWrap/>
        <w:overflowPunct/>
        <w:topLinePunct w:val="0"/>
        <w:autoSpaceDE/>
        <w:autoSpaceDN/>
        <w:bidi w:val="0"/>
        <w:spacing w:line="580" w:lineRule="exact"/>
        <w:ind w:firstLine="640" w:firstLineChars="200"/>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八</w:t>
      </w:r>
      <w:r>
        <w:rPr>
          <w:rFonts w:hint="eastAsia" w:ascii="Times New Roman" w:hAnsi="Times New Roman" w:eastAsia="黑体" w:cs="Times New Roman"/>
          <w:sz w:val="32"/>
          <w:szCs w:val="32"/>
          <w:lang w:eastAsia="zh-CN"/>
        </w:rPr>
        <w:t>、</w:t>
      </w:r>
      <w:r>
        <w:rPr>
          <w:rFonts w:hint="eastAsia" w:ascii="Times New Roman" w:hAnsi="Times New Roman" w:eastAsia="黑体" w:cs="Times New Roman"/>
          <w:sz w:val="32"/>
          <w:szCs w:val="32"/>
        </w:rPr>
        <w:t>下一步改进措施</w:t>
      </w:r>
    </w:p>
    <w:p w14:paraId="7B1B7807">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lang w:val="en-US" w:eastAsia="zh-CN"/>
        </w:rPr>
      </w:pPr>
      <w:r>
        <w:rPr>
          <w:rFonts w:hint="eastAsia" w:ascii="仿宋" w:hAnsi="仿宋" w:eastAsia="仿宋" w:cs="宋体"/>
          <w:color w:val="515151"/>
          <w:kern w:val="0"/>
          <w:sz w:val="32"/>
          <w:szCs w:val="32"/>
          <w:lang w:val="en-US" w:eastAsia="zh-CN"/>
        </w:rPr>
        <w:t>1.严格执行相关财经法律法规，是抓好项目实施和绩效评价的前提；领导重视是抓好项目实施和绩效评价的核心；工作人员细心负责是抓好项目实施的绩效评价的关键。</w:t>
      </w:r>
    </w:p>
    <w:p w14:paraId="79B66516">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2.进一步强化预算管理意识，预算编制前多与有关各方做好沟通衔接，提高预算编制的科学性、合理性、准确性和可控性。</w:t>
      </w:r>
    </w:p>
    <w:p w14:paraId="1420049F">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3.完善绩效管理相关制度，提高可操作性。</w:t>
      </w:r>
    </w:p>
    <w:p w14:paraId="1477B7D0">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rPr>
      </w:pPr>
      <w:r>
        <w:rPr>
          <w:rFonts w:hint="eastAsia" w:ascii="仿宋" w:hAnsi="仿宋" w:eastAsia="仿宋" w:cs="宋体"/>
          <w:color w:val="515151"/>
          <w:kern w:val="0"/>
          <w:sz w:val="32"/>
          <w:szCs w:val="32"/>
        </w:rPr>
        <w:t>4.构建单位财务部门和业务部门共同参与、协调配合的绩效评价工作机制，落实 “谁干事谁花钱、谁花钱谁担责”的权责机制，提高财政资金使用效益。</w:t>
      </w:r>
    </w:p>
    <w:p w14:paraId="122DE27D">
      <w:pPr>
        <w:keepNext w:val="0"/>
        <w:keepLines w:val="0"/>
        <w:pageBreakBefore w:val="0"/>
        <w:widowControl/>
        <w:kinsoku/>
        <w:wordWrap/>
        <w:overflowPunct/>
        <w:topLinePunct w:val="0"/>
        <w:autoSpaceDE/>
        <w:autoSpaceDN/>
        <w:bidi w:val="0"/>
        <w:spacing w:line="58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九、其他需要说明的情况</w:t>
      </w:r>
    </w:p>
    <w:p w14:paraId="35FC434D">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 w:hAnsi="仿宋" w:eastAsia="仿宋" w:cs="宋体"/>
          <w:color w:val="515151"/>
          <w:kern w:val="0"/>
          <w:sz w:val="32"/>
          <w:szCs w:val="32"/>
          <w:lang w:eastAsia="zh-CN"/>
        </w:rPr>
      </w:pPr>
      <w:r>
        <w:rPr>
          <w:rFonts w:hint="eastAsia" w:ascii="仿宋" w:hAnsi="仿宋" w:eastAsia="仿宋" w:cs="宋体"/>
          <w:color w:val="515151"/>
          <w:kern w:val="0"/>
          <w:sz w:val="32"/>
          <w:szCs w:val="32"/>
          <w:lang w:eastAsia="zh-CN"/>
        </w:rPr>
        <w:t>无其他情况说明。</w:t>
      </w:r>
    </w:p>
    <w:p w14:paraId="399D9191">
      <w:pPr>
        <w:keepNext w:val="0"/>
        <w:keepLines w:val="0"/>
        <w:pageBreakBefore w:val="0"/>
        <w:widowControl/>
        <w:kinsoku/>
        <w:wordWrap/>
        <w:overflowPunct/>
        <w:topLinePunct w:val="0"/>
        <w:autoSpaceDE/>
        <w:autoSpaceDN/>
        <w:bidi w:val="0"/>
        <w:spacing w:line="580" w:lineRule="exact"/>
        <w:textAlignment w:val="auto"/>
        <w:rPr>
          <w:rFonts w:ascii="Times New Roman" w:hAnsi="Times New Roman" w:eastAsia="仿宋"/>
          <w:sz w:val="32"/>
          <w:szCs w:val="32"/>
        </w:rPr>
      </w:pPr>
    </w:p>
    <w:p w14:paraId="31762155">
      <w:pPr>
        <w:keepNext w:val="0"/>
        <w:keepLines w:val="0"/>
        <w:pageBreakBefore w:val="0"/>
        <w:widowControl/>
        <w:kinsoku/>
        <w:wordWrap/>
        <w:overflowPunct/>
        <w:topLinePunct w:val="0"/>
        <w:autoSpaceDE/>
        <w:autoSpaceDN/>
        <w:bidi w:val="0"/>
        <w:spacing w:line="580" w:lineRule="exact"/>
        <w:ind w:firstLine="640" w:firstLineChars="200"/>
        <w:textAlignment w:val="auto"/>
        <w:rPr>
          <w:rFonts w:ascii="Times New Roman" w:hAnsi="Times New Roman" w:eastAsia="仿宋"/>
          <w:sz w:val="32"/>
          <w:szCs w:val="32"/>
        </w:rPr>
      </w:pPr>
      <w:r>
        <w:rPr>
          <w:rFonts w:ascii="Times New Roman" w:hAnsi="Times New Roman" w:eastAsia="仿宋"/>
          <w:sz w:val="32"/>
          <w:szCs w:val="32"/>
        </w:rPr>
        <w:t>附件：</w:t>
      </w:r>
    </w:p>
    <w:p w14:paraId="523C8407">
      <w:pPr>
        <w:keepNext w:val="0"/>
        <w:keepLines w:val="0"/>
        <w:pageBreakBefore w:val="0"/>
        <w:kinsoku/>
        <w:wordWrap/>
        <w:overflowPunct/>
        <w:topLinePunct w:val="0"/>
        <w:autoSpaceDE/>
        <w:autoSpaceDN/>
        <w:bidi w:val="0"/>
        <w:spacing w:line="58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1.部门整体支出绩效评价基础数据表</w:t>
      </w:r>
    </w:p>
    <w:p w14:paraId="7BDD086F">
      <w:pPr>
        <w:keepNext w:val="0"/>
        <w:keepLines w:val="0"/>
        <w:pageBreakBefore w:val="0"/>
        <w:kinsoku/>
        <w:wordWrap/>
        <w:overflowPunct/>
        <w:topLinePunct w:val="0"/>
        <w:autoSpaceDE/>
        <w:autoSpaceDN/>
        <w:bidi w:val="0"/>
        <w:spacing w:line="58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2.部门整体支出绩效自评表</w:t>
      </w:r>
    </w:p>
    <w:p w14:paraId="7E127C74">
      <w:pPr>
        <w:ind w:right="640"/>
        <w:rPr>
          <w:rFonts w:hint="eastAsia" w:ascii="黑体" w:hAnsi="黑体" w:eastAsia="黑体" w:cs="黑体"/>
          <w:kern w:val="0"/>
          <w:sz w:val="32"/>
          <w:szCs w:val="32"/>
        </w:rPr>
      </w:pPr>
    </w:p>
    <w:p w14:paraId="23D0D298">
      <w:pPr>
        <w:ind w:right="640"/>
        <w:rPr>
          <w:rFonts w:hint="eastAsia" w:ascii="黑体" w:hAnsi="黑体" w:eastAsia="黑体" w:cs="黑体"/>
          <w:kern w:val="0"/>
          <w:sz w:val="32"/>
          <w:szCs w:val="32"/>
        </w:rPr>
      </w:pPr>
    </w:p>
    <w:p w14:paraId="7EC92128">
      <w:pPr>
        <w:ind w:right="640"/>
        <w:rPr>
          <w:rFonts w:hint="eastAsia" w:ascii="黑体" w:hAnsi="黑体" w:eastAsia="黑体" w:cs="黑体"/>
          <w:kern w:val="0"/>
          <w:sz w:val="32"/>
          <w:szCs w:val="32"/>
        </w:rPr>
      </w:pPr>
    </w:p>
    <w:p w14:paraId="569FD394">
      <w:pPr>
        <w:ind w:right="640"/>
        <w:rPr>
          <w:rFonts w:hint="eastAsia" w:ascii="黑体" w:hAnsi="黑体" w:eastAsia="黑体" w:cs="黑体"/>
          <w:kern w:val="0"/>
          <w:sz w:val="32"/>
          <w:szCs w:val="32"/>
        </w:rPr>
      </w:pPr>
    </w:p>
    <w:p w14:paraId="5AD1D0A3">
      <w:pPr>
        <w:ind w:right="640"/>
        <w:rPr>
          <w:rFonts w:hint="eastAsia" w:ascii="黑体" w:hAnsi="黑体" w:eastAsia="黑体" w:cs="黑体"/>
          <w:kern w:val="0"/>
          <w:sz w:val="32"/>
          <w:szCs w:val="32"/>
        </w:rPr>
      </w:pPr>
    </w:p>
    <w:p w14:paraId="7DC015F0">
      <w:pPr>
        <w:ind w:right="640"/>
        <w:rPr>
          <w:rFonts w:hint="eastAsia" w:ascii="黑体" w:hAnsi="黑体" w:eastAsia="黑体" w:cs="黑体"/>
          <w:kern w:val="0"/>
          <w:sz w:val="32"/>
          <w:szCs w:val="32"/>
        </w:rPr>
      </w:pPr>
    </w:p>
    <w:p w14:paraId="3567581B">
      <w:pPr>
        <w:ind w:right="640"/>
        <w:rPr>
          <w:rFonts w:hint="eastAsia" w:ascii="黑体" w:hAnsi="黑体" w:eastAsia="黑体" w:cs="黑体"/>
          <w:kern w:val="0"/>
          <w:sz w:val="32"/>
          <w:szCs w:val="32"/>
        </w:rPr>
      </w:pPr>
    </w:p>
    <w:p w14:paraId="001CDC6B">
      <w:pPr>
        <w:ind w:right="640"/>
        <w:rPr>
          <w:rFonts w:hint="eastAsia" w:ascii="黑体" w:hAnsi="黑体" w:eastAsia="黑体" w:cs="黑体"/>
          <w:kern w:val="0"/>
          <w:sz w:val="32"/>
          <w:szCs w:val="32"/>
        </w:rPr>
      </w:pPr>
    </w:p>
    <w:p w14:paraId="662458B7">
      <w:pPr>
        <w:ind w:right="640"/>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drawing>
          <wp:inline distT="0" distB="0" distL="114300" distR="114300">
            <wp:extent cx="5266690" cy="7658735"/>
            <wp:effectExtent l="0" t="0" r="10160" b="18415"/>
            <wp:docPr id="2" name="图片 2" descr="微信图片_2024040916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09162102"/>
                    <pic:cNvPicPr>
                      <a:picLocks noChangeAspect="1"/>
                    </pic:cNvPicPr>
                  </pic:nvPicPr>
                  <pic:blipFill>
                    <a:blip r:embed="rId7"/>
                    <a:stretch>
                      <a:fillRect/>
                    </a:stretch>
                  </pic:blipFill>
                  <pic:spPr>
                    <a:xfrm>
                      <a:off x="0" y="0"/>
                      <a:ext cx="5266690" cy="7658735"/>
                    </a:xfrm>
                    <a:prstGeom prst="rect">
                      <a:avLst/>
                    </a:prstGeom>
                  </pic:spPr>
                </pic:pic>
              </a:graphicData>
            </a:graphic>
          </wp:inline>
        </w:drawing>
      </w:r>
    </w:p>
    <w:p w14:paraId="45B14814">
      <w:pPr>
        <w:ind w:right="640"/>
        <w:rPr>
          <w:rFonts w:hint="eastAsia" w:ascii="黑体" w:hAnsi="黑体" w:eastAsia="黑体" w:cs="黑体"/>
          <w:kern w:val="0"/>
          <w:sz w:val="32"/>
          <w:szCs w:val="32"/>
          <w:lang w:eastAsia="zh-CN"/>
        </w:rPr>
      </w:pPr>
    </w:p>
    <w:p w14:paraId="302C3F51">
      <w:pPr>
        <w:ind w:right="640"/>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drawing>
          <wp:inline distT="0" distB="0" distL="114300" distR="114300">
            <wp:extent cx="5265420" cy="7545070"/>
            <wp:effectExtent l="0" t="0" r="11430" b="17780"/>
            <wp:docPr id="3" name="图片 3" descr="微信图片_2024040916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09162050"/>
                    <pic:cNvPicPr>
                      <a:picLocks noChangeAspect="1"/>
                    </pic:cNvPicPr>
                  </pic:nvPicPr>
                  <pic:blipFill>
                    <a:blip r:embed="rId8"/>
                    <a:stretch>
                      <a:fillRect/>
                    </a:stretch>
                  </pic:blipFill>
                  <pic:spPr>
                    <a:xfrm>
                      <a:off x="0" y="0"/>
                      <a:ext cx="5265420" cy="7545070"/>
                    </a:xfrm>
                    <a:prstGeom prst="rect">
                      <a:avLst/>
                    </a:prstGeom>
                  </pic:spPr>
                </pic:pic>
              </a:graphicData>
            </a:graphic>
          </wp:inline>
        </w:drawing>
      </w:r>
    </w:p>
    <w:p w14:paraId="4E7C6F39">
      <w:pPr>
        <w:ind w:right="640"/>
        <w:rPr>
          <w:rFonts w:hint="eastAsia" w:ascii="黑体" w:hAnsi="黑体" w:eastAsia="黑体" w:cs="黑体"/>
          <w:kern w:val="0"/>
          <w:sz w:val="32"/>
          <w:szCs w:val="32"/>
          <w:lang w:eastAsia="zh-CN"/>
        </w:rPr>
      </w:pPr>
    </w:p>
    <w:p w14:paraId="5DE68655">
      <w:pPr>
        <w:ind w:right="640"/>
        <w:rPr>
          <w:rFonts w:hint="eastAsia" w:ascii="黑体" w:hAnsi="黑体" w:eastAsia="黑体" w:cs="黑体"/>
          <w:kern w:val="0"/>
          <w:sz w:val="32"/>
          <w:szCs w:val="32"/>
          <w:lang w:eastAsia="zh-CN"/>
        </w:rPr>
      </w:pPr>
    </w:p>
    <w:p w14:paraId="0DA3C59B">
      <w:pPr>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drawing>
          <wp:inline distT="0" distB="0" distL="114300" distR="114300">
            <wp:extent cx="5268595" cy="7658100"/>
            <wp:effectExtent l="0" t="0" r="8255" b="0"/>
            <wp:docPr id="4" name="图片 4" descr="微信图片_2024092714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927145610"/>
                    <pic:cNvPicPr>
                      <a:picLocks noChangeAspect="1"/>
                    </pic:cNvPicPr>
                  </pic:nvPicPr>
                  <pic:blipFill>
                    <a:blip r:embed="rId9"/>
                    <a:stretch>
                      <a:fillRect/>
                    </a:stretch>
                  </pic:blipFill>
                  <pic:spPr>
                    <a:xfrm>
                      <a:off x="0" y="0"/>
                      <a:ext cx="5268595" cy="7658100"/>
                    </a:xfrm>
                    <a:prstGeom prst="rect">
                      <a:avLst/>
                    </a:prstGeom>
                  </pic:spPr>
                </pic:pic>
              </a:graphicData>
            </a:graphic>
          </wp:inline>
        </w:drawing>
      </w:r>
    </w:p>
    <w:sectPr>
      <w:footerReference r:id="rId3" w:type="default"/>
      <w:footerReference r:id="rId4" w:type="even"/>
      <w:pgSz w:w="11906" w:h="16838"/>
      <w:pgMar w:top="1440" w:right="1797" w:bottom="1440" w:left="1797" w:header="851" w:footer="992" w:gutter="0"/>
      <w:pgNumType w:fmt="numberInDash"/>
      <w:cols w:space="425" w:num="1"/>
      <w:titlePg/>
      <w:rtlGutter w:val="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汉仪正圆 55简">
    <w:altName w:val="汉仪正圆 55简"/>
    <w:panose1 w:val="00020600040101010101"/>
    <w:charset w:val="86"/>
    <w:family w:val="auto"/>
    <w:pitch w:val="default"/>
    <w:sig w:usb0="A00002BF" w:usb1="0ACF7CFA" w:usb2="00000016" w:usb3="00000000" w:csb0="0004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1082E">
    <w:pPr>
      <w:pStyle w:val="5"/>
      <w:framePr w:wrap="around" w:vAnchor="text" w:hAnchor="margin" w:xAlign="outside" w:y="1"/>
      <w:rPr>
        <w:rStyle w:val="10"/>
        <w:rFonts w:ascii="Times New Roman" w:hAnsi="Times New Roman"/>
        <w:sz w:val="28"/>
        <w:szCs w:val="28"/>
      </w:rPr>
    </w:pPr>
    <w:r>
      <w:rPr>
        <w:rStyle w:val="10"/>
        <w:rFonts w:ascii="Times New Roman" w:hAnsi="Times New Roman"/>
        <w:sz w:val="28"/>
        <w:szCs w:val="28"/>
      </w:rPr>
      <w:fldChar w:fldCharType="begin"/>
    </w:r>
    <w:r>
      <w:rPr>
        <w:rStyle w:val="10"/>
        <w:rFonts w:ascii="Times New Roman" w:hAnsi="Times New Roman"/>
        <w:sz w:val="28"/>
        <w:szCs w:val="28"/>
      </w:rPr>
      <w:instrText xml:space="preserve">PAGE  </w:instrText>
    </w:r>
    <w:r>
      <w:rPr>
        <w:rStyle w:val="10"/>
        <w:rFonts w:ascii="Times New Roman" w:hAnsi="Times New Roman"/>
        <w:sz w:val="28"/>
        <w:szCs w:val="28"/>
      </w:rPr>
      <w:fldChar w:fldCharType="separate"/>
    </w:r>
    <w:r>
      <w:rPr>
        <w:rStyle w:val="10"/>
        <w:rFonts w:ascii="Times New Roman" w:hAnsi="Times New Roman"/>
        <w:sz w:val="28"/>
        <w:szCs w:val="28"/>
      </w:rPr>
      <w:t>- 10 -</w:t>
    </w:r>
    <w:r>
      <w:rPr>
        <w:rStyle w:val="10"/>
        <w:rFonts w:ascii="Times New Roman" w:hAnsi="Times New Roman"/>
        <w:sz w:val="28"/>
        <w:szCs w:val="28"/>
      </w:rPr>
      <w:fldChar w:fldCharType="end"/>
    </w:r>
  </w:p>
  <w:p w14:paraId="3AB2409C">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F3729">
    <w:pPr>
      <w:pStyle w:val="5"/>
      <w:framePr w:wrap="around" w:vAnchor="text" w:hAnchor="margin" w:xAlign="outside" w:y="1"/>
      <w:rPr>
        <w:rStyle w:val="10"/>
      </w:rPr>
    </w:pPr>
    <w:r>
      <w:rPr>
        <w:rStyle w:val="10"/>
      </w:rPr>
      <w:fldChar w:fldCharType="begin"/>
    </w:r>
    <w:r>
      <w:rPr>
        <w:rStyle w:val="10"/>
      </w:rPr>
      <w:instrText xml:space="preserve">PAGE  </w:instrText>
    </w:r>
    <w:r>
      <w:rPr>
        <w:rStyle w:val="10"/>
      </w:rPr>
      <w:fldChar w:fldCharType="end"/>
    </w:r>
  </w:p>
  <w:p w14:paraId="16AD627F">
    <w:pPr>
      <w:pStyle w:val="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21E23"/>
    <w:multiLevelType w:val="singleLevel"/>
    <w:tmpl w:val="83021E23"/>
    <w:lvl w:ilvl="0" w:tentative="0">
      <w:start w:val="1"/>
      <w:numFmt w:val="decimal"/>
      <w:suff w:val="nothing"/>
      <w:lvlText w:val="（%1）"/>
      <w:lvlJc w:val="left"/>
      <w:pPr>
        <w:ind w:left="840"/>
      </w:pPr>
    </w:lvl>
  </w:abstractNum>
  <w:abstractNum w:abstractNumId="1">
    <w:nsid w:val="F7B3D5F2"/>
    <w:multiLevelType w:val="singleLevel"/>
    <w:tmpl w:val="F7B3D5F2"/>
    <w:lvl w:ilvl="0" w:tentative="0">
      <w:start w:val="1"/>
      <w:numFmt w:val="chineseCounting"/>
      <w:suff w:val="nothing"/>
      <w:lvlText w:val="%1、"/>
      <w:lvlJc w:val="left"/>
      <w:rPr>
        <w:rFonts w:hint="eastAsia"/>
      </w:rPr>
    </w:lvl>
  </w:abstractNum>
  <w:abstractNum w:abstractNumId="2">
    <w:nsid w:val="FC8BBF26"/>
    <w:multiLevelType w:val="singleLevel"/>
    <w:tmpl w:val="FC8BBF26"/>
    <w:lvl w:ilvl="0" w:tentative="0">
      <w:start w:val="4"/>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ODJiZmRmNTA1MmNhMDg2Y2IwZTBiMTEyNmIwNTgifQ=="/>
  </w:docVars>
  <w:rsids>
    <w:rsidRoot w:val="00C553EF"/>
    <w:rsid w:val="00012C93"/>
    <w:rsid w:val="000734E3"/>
    <w:rsid w:val="000773D5"/>
    <w:rsid w:val="00080625"/>
    <w:rsid w:val="00093B9D"/>
    <w:rsid w:val="00094646"/>
    <w:rsid w:val="000A561A"/>
    <w:rsid w:val="000D5E7F"/>
    <w:rsid w:val="000E2B59"/>
    <w:rsid w:val="000F775C"/>
    <w:rsid w:val="00135131"/>
    <w:rsid w:val="00135395"/>
    <w:rsid w:val="00184AF2"/>
    <w:rsid w:val="001A7CAB"/>
    <w:rsid w:val="001B56F4"/>
    <w:rsid w:val="001B69B6"/>
    <w:rsid w:val="001B6D56"/>
    <w:rsid w:val="00220A85"/>
    <w:rsid w:val="002238BB"/>
    <w:rsid w:val="00225BED"/>
    <w:rsid w:val="002320EB"/>
    <w:rsid w:val="002A03D6"/>
    <w:rsid w:val="002D01D7"/>
    <w:rsid w:val="002F05A3"/>
    <w:rsid w:val="003056F3"/>
    <w:rsid w:val="003126FC"/>
    <w:rsid w:val="00323CF3"/>
    <w:rsid w:val="0032533F"/>
    <w:rsid w:val="003A1408"/>
    <w:rsid w:val="003B7F5C"/>
    <w:rsid w:val="003E1FD6"/>
    <w:rsid w:val="003E5841"/>
    <w:rsid w:val="003F1540"/>
    <w:rsid w:val="004148E0"/>
    <w:rsid w:val="004217FE"/>
    <w:rsid w:val="00440BFE"/>
    <w:rsid w:val="00463FD5"/>
    <w:rsid w:val="00474AD0"/>
    <w:rsid w:val="00487AC5"/>
    <w:rsid w:val="00496F05"/>
    <w:rsid w:val="00537950"/>
    <w:rsid w:val="00551D43"/>
    <w:rsid w:val="00566BA9"/>
    <w:rsid w:val="00581EEE"/>
    <w:rsid w:val="005851E9"/>
    <w:rsid w:val="00591495"/>
    <w:rsid w:val="00594AEE"/>
    <w:rsid w:val="006264B7"/>
    <w:rsid w:val="006964D9"/>
    <w:rsid w:val="006F37DA"/>
    <w:rsid w:val="007123D7"/>
    <w:rsid w:val="00713B58"/>
    <w:rsid w:val="00751BF0"/>
    <w:rsid w:val="00764972"/>
    <w:rsid w:val="00771B0E"/>
    <w:rsid w:val="007A6F2C"/>
    <w:rsid w:val="007B3731"/>
    <w:rsid w:val="007C3C5A"/>
    <w:rsid w:val="007E2D1B"/>
    <w:rsid w:val="007E3E71"/>
    <w:rsid w:val="008241E1"/>
    <w:rsid w:val="00847A3C"/>
    <w:rsid w:val="00893AEC"/>
    <w:rsid w:val="00940D4A"/>
    <w:rsid w:val="00971DB4"/>
    <w:rsid w:val="0097394E"/>
    <w:rsid w:val="009D0C0A"/>
    <w:rsid w:val="00A0127D"/>
    <w:rsid w:val="00A148B9"/>
    <w:rsid w:val="00A2187E"/>
    <w:rsid w:val="00A3605E"/>
    <w:rsid w:val="00A377C0"/>
    <w:rsid w:val="00A55C61"/>
    <w:rsid w:val="00A801F4"/>
    <w:rsid w:val="00AC12C1"/>
    <w:rsid w:val="00AC5F31"/>
    <w:rsid w:val="00AF15ED"/>
    <w:rsid w:val="00B049DD"/>
    <w:rsid w:val="00B17D23"/>
    <w:rsid w:val="00B62F82"/>
    <w:rsid w:val="00B702EE"/>
    <w:rsid w:val="00B86511"/>
    <w:rsid w:val="00B86BA1"/>
    <w:rsid w:val="00B9399A"/>
    <w:rsid w:val="00BD4955"/>
    <w:rsid w:val="00C23636"/>
    <w:rsid w:val="00C553EF"/>
    <w:rsid w:val="00C641BD"/>
    <w:rsid w:val="00C91F4C"/>
    <w:rsid w:val="00C9428C"/>
    <w:rsid w:val="00CC6012"/>
    <w:rsid w:val="00CD7E4E"/>
    <w:rsid w:val="00CE4DFE"/>
    <w:rsid w:val="00CF0AA7"/>
    <w:rsid w:val="00D64926"/>
    <w:rsid w:val="00D74987"/>
    <w:rsid w:val="00D812AD"/>
    <w:rsid w:val="00D8620A"/>
    <w:rsid w:val="00D90B2D"/>
    <w:rsid w:val="00DC7EE1"/>
    <w:rsid w:val="00DD4AA2"/>
    <w:rsid w:val="00DD5A15"/>
    <w:rsid w:val="00E01819"/>
    <w:rsid w:val="00E039BF"/>
    <w:rsid w:val="00E323CD"/>
    <w:rsid w:val="00E8571A"/>
    <w:rsid w:val="00E94B12"/>
    <w:rsid w:val="00EF0339"/>
    <w:rsid w:val="00F137EB"/>
    <w:rsid w:val="00F2080B"/>
    <w:rsid w:val="00F55DE1"/>
    <w:rsid w:val="00FA2BB2"/>
    <w:rsid w:val="00FC450D"/>
    <w:rsid w:val="00FD081E"/>
    <w:rsid w:val="00FE100B"/>
    <w:rsid w:val="00FE4826"/>
    <w:rsid w:val="016519C1"/>
    <w:rsid w:val="018F6A3E"/>
    <w:rsid w:val="019273A2"/>
    <w:rsid w:val="01BF37C7"/>
    <w:rsid w:val="021D0A03"/>
    <w:rsid w:val="028D58A7"/>
    <w:rsid w:val="03043E77"/>
    <w:rsid w:val="03210B8C"/>
    <w:rsid w:val="050D4849"/>
    <w:rsid w:val="057743B8"/>
    <w:rsid w:val="060478B6"/>
    <w:rsid w:val="06EB0BBA"/>
    <w:rsid w:val="076F5347"/>
    <w:rsid w:val="07AB0349"/>
    <w:rsid w:val="07C82CA9"/>
    <w:rsid w:val="08AF108B"/>
    <w:rsid w:val="0900462A"/>
    <w:rsid w:val="093D3223"/>
    <w:rsid w:val="09750184"/>
    <w:rsid w:val="0A80786B"/>
    <w:rsid w:val="0B297F03"/>
    <w:rsid w:val="0BFF5852"/>
    <w:rsid w:val="0C2031F6"/>
    <w:rsid w:val="0C8C699B"/>
    <w:rsid w:val="0D1644B7"/>
    <w:rsid w:val="0D585083"/>
    <w:rsid w:val="0D9E6986"/>
    <w:rsid w:val="0F262ACD"/>
    <w:rsid w:val="1005590E"/>
    <w:rsid w:val="101747CE"/>
    <w:rsid w:val="11055489"/>
    <w:rsid w:val="11C97D4A"/>
    <w:rsid w:val="12525F91"/>
    <w:rsid w:val="127E28E2"/>
    <w:rsid w:val="12B354A9"/>
    <w:rsid w:val="12EA441C"/>
    <w:rsid w:val="13632714"/>
    <w:rsid w:val="13906D71"/>
    <w:rsid w:val="13C94031"/>
    <w:rsid w:val="14794B28"/>
    <w:rsid w:val="151439D2"/>
    <w:rsid w:val="157E5852"/>
    <w:rsid w:val="15B4486D"/>
    <w:rsid w:val="15B825AF"/>
    <w:rsid w:val="15DA6FC6"/>
    <w:rsid w:val="16433ACA"/>
    <w:rsid w:val="170512F9"/>
    <w:rsid w:val="17405673"/>
    <w:rsid w:val="17AA23CB"/>
    <w:rsid w:val="17EC6540"/>
    <w:rsid w:val="18255B2F"/>
    <w:rsid w:val="18934E7A"/>
    <w:rsid w:val="19E022B8"/>
    <w:rsid w:val="1AA255DC"/>
    <w:rsid w:val="1B3E3557"/>
    <w:rsid w:val="1BE35515"/>
    <w:rsid w:val="1BEE29E0"/>
    <w:rsid w:val="1C2D18DC"/>
    <w:rsid w:val="1C3B7A96"/>
    <w:rsid w:val="1D2A3AED"/>
    <w:rsid w:val="1D50131F"/>
    <w:rsid w:val="1D9C27B6"/>
    <w:rsid w:val="1D9D663F"/>
    <w:rsid w:val="1E4F2C3F"/>
    <w:rsid w:val="203767C6"/>
    <w:rsid w:val="20987265"/>
    <w:rsid w:val="20BA367F"/>
    <w:rsid w:val="210668C5"/>
    <w:rsid w:val="217D46AD"/>
    <w:rsid w:val="229972C4"/>
    <w:rsid w:val="23D305B4"/>
    <w:rsid w:val="241B700C"/>
    <w:rsid w:val="245157A9"/>
    <w:rsid w:val="24C00B0C"/>
    <w:rsid w:val="25016C9E"/>
    <w:rsid w:val="258108C5"/>
    <w:rsid w:val="2646427B"/>
    <w:rsid w:val="278A496D"/>
    <w:rsid w:val="27D85A45"/>
    <w:rsid w:val="280B656E"/>
    <w:rsid w:val="28363EF6"/>
    <w:rsid w:val="286D0FD7"/>
    <w:rsid w:val="287C121A"/>
    <w:rsid w:val="28B55D42"/>
    <w:rsid w:val="291678C1"/>
    <w:rsid w:val="292E138C"/>
    <w:rsid w:val="297177EF"/>
    <w:rsid w:val="2A4F273D"/>
    <w:rsid w:val="2ADC3AAD"/>
    <w:rsid w:val="2AFF1BF8"/>
    <w:rsid w:val="2BC41327"/>
    <w:rsid w:val="2BE912BD"/>
    <w:rsid w:val="2BEC2B5B"/>
    <w:rsid w:val="2C01724F"/>
    <w:rsid w:val="2C365B84"/>
    <w:rsid w:val="2C99291A"/>
    <w:rsid w:val="2CA61530"/>
    <w:rsid w:val="2CCB451E"/>
    <w:rsid w:val="2D067C4C"/>
    <w:rsid w:val="2E0E6DB8"/>
    <w:rsid w:val="2E660FDE"/>
    <w:rsid w:val="2E6D17FD"/>
    <w:rsid w:val="2FD517B9"/>
    <w:rsid w:val="30861439"/>
    <w:rsid w:val="30C714A1"/>
    <w:rsid w:val="30EF69E4"/>
    <w:rsid w:val="315B408A"/>
    <w:rsid w:val="31CA1DF5"/>
    <w:rsid w:val="32EC3A5E"/>
    <w:rsid w:val="32F56799"/>
    <w:rsid w:val="32FF7AC4"/>
    <w:rsid w:val="33A81058"/>
    <w:rsid w:val="348002E4"/>
    <w:rsid w:val="349873DC"/>
    <w:rsid w:val="34BF2BBB"/>
    <w:rsid w:val="34E6283D"/>
    <w:rsid w:val="354E3B8F"/>
    <w:rsid w:val="3605462D"/>
    <w:rsid w:val="3639699D"/>
    <w:rsid w:val="365F5BDC"/>
    <w:rsid w:val="36B97ADD"/>
    <w:rsid w:val="36BD75CE"/>
    <w:rsid w:val="36F86858"/>
    <w:rsid w:val="374C2700"/>
    <w:rsid w:val="37B54749"/>
    <w:rsid w:val="37E1109A"/>
    <w:rsid w:val="39292CF8"/>
    <w:rsid w:val="3962445C"/>
    <w:rsid w:val="398B5761"/>
    <w:rsid w:val="39D37108"/>
    <w:rsid w:val="3A110B07"/>
    <w:rsid w:val="3A4545FC"/>
    <w:rsid w:val="3BD64F66"/>
    <w:rsid w:val="3C0812EB"/>
    <w:rsid w:val="3CB46D7D"/>
    <w:rsid w:val="3CD261C5"/>
    <w:rsid w:val="3D5D45AD"/>
    <w:rsid w:val="3F192EF0"/>
    <w:rsid w:val="3F52287D"/>
    <w:rsid w:val="3F9F1F66"/>
    <w:rsid w:val="3FC217B1"/>
    <w:rsid w:val="3FE13186"/>
    <w:rsid w:val="3FF42B09"/>
    <w:rsid w:val="40183AC7"/>
    <w:rsid w:val="40842F0A"/>
    <w:rsid w:val="40D40F11"/>
    <w:rsid w:val="411249BA"/>
    <w:rsid w:val="416B7C26"/>
    <w:rsid w:val="41C61B6B"/>
    <w:rsid w:val="42355B77"/>
    <w:rsid w:val="423A5F76"/>
    <w:rsid w:val="42A33B1C"/>
    <w:rsid w:val="43585E39"/>
    <w:rsid w:val="43972F92"/>
    <w:rsid w:val="44170541"/>
    <w:rsid w:val="44A26D14"/>
    <w:rsid w:val="44A75419"/>
    <w:rsid w:val="454374AC"/>
    <w:rsid w:val="46535859"/>
    <w:rsid w:val="470923BB"/>
    <w:rsid w:val="47655843"/>
    <w:rsid w:val="47E6756E"/>
    <w:rsid w:val="47F32E04"/>
    <w:rsid w:val="48AB2B47"/>
    <w:rsid w:val="48BB1493"/>
    <w:rsid w:val="48E629B4"/>
    <w:rsid w:val="49CA4084"/>
    <w:rsid w:val="49DB1DED"/>
    <w:rsid w:val="4A474A71"/>
    <w:rsid w:val="4B614574"/>
    <w:rsid w:val="4BB9615E"/>
    <w:rsid w:val="4CCE3C34"/>
    <w:rsid w:val="4D0201D0"/>
    <w:rsid w:val="4D7B7443"/>
    <w:rsid w:val="4EA2112B"/>
    <w:rsid w:val="4EDB463D"/>
    <w:rsid w:val="4FDB3C60"/>
    <w:rsid w:val="50666188"/>
    <w:rsid w:val="507B60D8"/>
    <w:rsid w:val="50CD0660"/>
    <w:rsid w:val="515D57DD"/>
    <w:rsid w:val="51A0391C"/>
    <w:rsid w:val="53784B50"/>
    <w:rsid w:val="539966CE"/>
    <w:rsid w:val="53B37937"/>
    <w:rsid w:val="54207556"/>
    <w:rsid w:val="544E765F"/>
    <w:rsid w:val="56044479"/>
    <w:rsid w:val="56150CC8"/>
    <w:rsid w:val="57C00874"/>
    <w:rsid w:val="5860602D"/>
    <w:rsid w:val="5952374E"/>
    <w:rsid w:val="5B264E92"/>
    <w:rsid w:val="5B75506C"/>
    <w:rsid w:val="5BDE576D"/>
    <w:rsid w:val="5C2F64BB"/>
    <w:rsid w:val="5C4A2E02"/>
    <w:rsid w:val="5CBB0910"/>
    <w:rsid w:val="5D080CF3"/>
    <w:rsid w:val="5E5835B4"/>
    <w:rsid w:val="5E824AD5"/>
    <w:rsid w:val="5ECE7D1A"/>
    <w:rsid w:val="5EE915E7"/>
    <w:rsid w:val="5F165EC3"/>
    <w:rsid w:val="5F2A525C"/>
    <w:rsid w:val="5F381638"/>
    <w:rsid w:val="60326087"/>
    <w:rsid w:val="60536729"/>
    <w:rsid w:val="609A4BD3"/>
    <w:rsid w:val="60EB178E"/>
    <w:rsid w:val="61341BC5"/>
    <w:rsid w:val="61A436DC"/>
    <w:rsid w:val="61C87BAE"/>
    <w:rsid w:val="62613F3B"/>
    <w:rsid w:val="62B90DEF"/>
    <w:rsid w:val="62DF24F6"/>
    <w:rsid w:val="62F62474"/>
    <w:rsid w:val="6356208C"/>
    <w:rsid w:val="640815D9"/>
    <w:rsid w:val="646A2293"/>
    <w:rsid w:val="653308D7"/>
    <w:rsid w:val="65AE7F33"/>
    <w:rsid w:val="6628034C"/>
    <w:rsid w:val="66660838"/>
    <w:rsid w:val="66B91727"/>
    <w:rsid w:val="67073DC9"/>
    <w:rsid w:val="67BA0E3C"/>
    <w:rsid w:val="67F84092"/>
    <w:rsid w:val="6818633F"/>
    <w:rsid w:val="68F14D31"/>
    <w:rsid w:val="694F7CAA"/>
    <w:rsid w:val="69B8584F"/>
    <w:rsid w:val="6A2A400A"/>
    <w:rsid w:val="6AA61B4B"/>
    <w:rsid w:val="6AF80B9B"/>
    <w:rsid w:val="6B655563"/>
    <w:rsid w:val="6B741C4A"/>
    <w:rsid w:val="6BAD2A66"/>
    <w:rsid w:val="6CAF12FD"/>
    <w:rsid w:val="6CCE577C"/>
    <w:rsid w:val="6CDE3E9F"/>
    <w:rsid w:val="6CF44DF0"/>
    <w:rsid w:val="6CFD408C"/>
    <w:rsid w:val="6E2A04BD"/>
    <w:rsid w:val="6F35430F"/>
    <w:rsid w:val="6F370FC4"/>
    <w:rsid w:val="6F897436"/>
    <w:rsid w:val="6FA50C7C"/>
    <w:rsid w:val="6FA8783E"/>
    <w:rsid w:val="6FEC6252"/>
    <w:rsid w:val="710B095A"/>
    <w:rsid w:val="71125845"/>
    <w:rsid w:val="71195DC3"/>
    <w:rsid w:val="719E532A"/>
    <w:rsid w:val="71B0505E"/>
    <w:rsid w:val="72111FA0"/>
    <w:rsid w:val="72B9250E"/>
    <w:rsid w:val="72BB512F"/>
    <w:rsid w:val="72F53670"/>
    <w:rsid w:val="73010FF3"/>
    <w:rsid w:val="73522870"/>
    <w:rsid w:val="735C724B"/>
    <w:rsid w:val="73E13BF4"/>
    <w:rsid w:val="746963A6"/>
    <w:rsid w:val="74EB6AD9"/>
    <w:rsid w:val="757707FF"/>
    <w:rsid w:val="758D193E"/>
    <w:rsid w:val="76C271AA"/>
    <w:rsid w:val="76D8308D"/>
    <w:rsid w:val="770E6AAE"/>
    <w:rsid w:val="77280A7C"/>
    <w:rsid w:val="773A3B3B"/>
    <w:rsid w:val="77A24B7F"/>
    <w:rsid w:val="77B83F73"/>
    <w:rsid w:val="77BE6726"/>
    <w:rsid w:val="77CC631F"/>
    <w:rsid w:val="78DF6823"/>
    <w:rsid w:val="79BF6786"/>
    <w:rsid w:val="7AD93877"/>
    <w:rsid w:val="7AE00762"/>
    <w:rsid w:val="7C3F6BC1"/>
    <w:rsid w:val="7C611D76"/>
    <w:rsid w:val="7CBB1486"/>
    <w:rsid w:val="7E9E4BBC"/>
    <w:rsid w:val="7F35770A"/>
    <w:rsid w:val="7F4A2182"/>
    <w:rsid w:val="7F531EB8"/>
    <w:rsid w:val="7F910F92"/>
    <w:rsid w:val="7FC468A4"/>
    <w:rsid w:val="7FD10FC1"/>
    <w:rsid w:val="7FDA00C6"/>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99"/>
    <w:pPr>
      <w:jc w:val="left"/>
    </w:pPr>
    <w:rPr>
      <w:rFonts w:ascii="Times New Roman" w:hAnsi="Times New Roman"/>
      <w:szCs w:val="24"/>
    </w:rPr>
  </w:style>
  <w:style w:type="paragraph" w:styleId="3">
    <w:name w:val="Body Text"/>
    <w:basedOn w:val="1"/>
    <w:autoRedefine/>
    <w:qFormat/>
    <w:uiPriority w:val="1"/>
    <w:rPr>
      <w:sz w:val="32"/>
      <w:szCs w:val="32"/>
    </w:rPr>
  </w:style>
  <w:style w:type="paragraph" w:styleId="4">
    <w:name w:val="Balloon Text"/>
    <w:basedOn w:val="1"/>
    <w:link w:val="13"/>
    <w:autoRedefine/>
    <w:qFormat/>
    <w:uiPriority w:val="99"/>
    <w:rPr>
      <w:rFonts w:ascii="Times New Roman" w:hAnsi="Times New Roman"/>
      <w:sz w:val="18"/>
      <w:szCs w:val="18"/>
    </w:rPr>
  </w:style>
  <w:style w:type="paragraph" w:styleId="5">
    <w:name w:val="footer"/>
    <w:basedOn w:val="1"/>
    <w:link w:val="14"/>
    <w:autoRedefine/>
    <w:qFormat/>
    <w:uiPriority w:val="99"/>
    <w:pPr>
      <w:tabs>
        <w:tab w:val="center" w:pos="4153"/>
        <w:tab w:val="right" w:pos="8306"/>
      </w:tabs>
      <w:snapToGrid w:val="0"/>
      <w:jc w:val="left"/>
    </w:pPr>
    <w:rPr>
      <w:sz w:val="18"/>
      <w:szCs w:val="18"/>
    </w:rPr>
  </w:style>
  <w:style w:type="paragraph" w:styleId="6">
    <w:name w:val="header"/>
    <w:basedOn w:val="1"/>
    <w:link w:val="15"/>
    <w:autoRedefine/>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qFormat/>
    <w:uiPriority w:val="99"/>
    <w:pPr>
      <w:widowControl/>
      <w:spacing w:before="100" w:beforeAutospacing="1" w:after="100" w:afterAutospacing="1"/>
      <w:jc w:val="left"/>
    </w:pPr>
    <w:rPr>
      <w:rFonts w:ascii="宋体" w:hAnsi="宋体" w:cs="宋体"/>
      <w:kern w:val="0"/>
      <w:sz w:val="24"/>
      <w:szCs w:val="24"/>
    </w:rPr>
  </w:style>
  <w:style w:type="character" w:styleId="10">
    <w:name w:val="page number"/>
    <w:basedOn w:val="9"/>
    <w:autoRedefine/>
    <w:qFormat/>
    <w:uiPriority w:val="99"/>
    <w:rPr>
      <w:rFonts w:cs="Times New Roman"/>
    </w:rPr>
  </w:style>
  <w:style w:type="character" w:styleId="11">
    <w:name w:val="annotation reference"/>
    <w:basedOn w:val="9"/>
    <w:autoRedefine/>
    <w:qFormat/>
    <w:uiPriority w:val="99"/>
    <w:rPr>
      <w:rFonts w:cs="Times New Roman"/>
      <w:sz w:val="21"/>
      <w:szCs w:val="21"/>
    </w:rPr>
  </w:style>
  <w:style w:type="character" w:customStyle="1" w:styleId="12">
    <w:name w:val="批注文字 Char"/>
    <w:basedOn w:val="9"/>
    <w:link w:val="2"/>
    <w:autoRedefine/>
    <w:qFormat/>
    <w:locked/>
    <w:uiPriority w:val="99"/>
    <w:rPr>
      <w:rFonts w:ascii="Times New Roman" w:hAnsi="Times New Roman" w:eastAsia="宋体" w:cs="Times New Roman"/>
      <w:sz w:val="24"/>
      <w:szCs w:val="24"/>
    </w:rPr>
  </w:style>
  <w:style w:type="character" w:customStyle="1" w:styleId="13">
    <w:name w:val="批注框文本 Char"/>
    <w:basedOn w:val="9"/>
    <w:link w:val="4"/>
    <w:autoRedefine/>
    <w:qFormat/>
    <w:locked/>
    <w:uiPriority w:val="99"/>
    <w:rPr>
      <w:rFonts w:ascii="Times New Roman" w:hAnsi="Times New Roman" w:eastAsia="宋体" w:cs="Times New Roman"/>
      <w:sz w:val="18"/>
      <w:szCs w:val="18"/>
    </w:rPr>
  </w:style>
  <w:style w:type="character" w:customStyle="1" w:styleId="14">
    <w:name w:val="页脚 Char"/>
    <w:basedOn w:val="9"/>
    <w:link w:val="5"/>
    <w:autoRedefine/>
    <w:qFormat/>
    <w:locked/>
    <w:uiPriority w:val="99"/>
    <w:rPr>
      <w:rFonts w:cs="Times New Roman"/>
      <w:sz w:val="18"/>
      <w:szCs w:val="18"/>
    </w:rPr>
  </w:style>
  <w:style w:type="character" w:customStyle="1" w:styleId="15">
    <w:name w:val="页眉 Char"/>
    <w:basedOn w:val="9"/>
    <w:link w:val="6"/>
    <w:autoRedefine/>
    <w:qFormat/>
    <w:locked/>
    <w:uiPriority w:val="99"/>
    <w:rPr>
      <w:rFonts w:cs="Times New Roman"/>
      <w:sz w:val="18"/>
      <w:szCs w:val="18"/>
    </w:rPr>
  </w:style>
  <w:style w:type="paragraph" w:customStyle="1" w:styleId="16">
    <w:name w:val="列出段落1"/>
    <w:basedOn w:val="1"/>
    <w:autoRedefine/>
    <w:qFormat/>
    <w:uiPriority w:val="99"/>
    <w:pPr>
      <w:ind w:firstLine="420" w:firstLineChars="200"/>
    </w:pPr>
    <w:rPr>
      <w:rFonts w:ascii="Times New Roman" w:hAnsi="Times New Roman"/>
      <w:szCs w:val="24"/>
    </w:rPr>
  </w:style>
  <w:style w:type="paragraph" w:styleId="17">
    <w:name w:val="List Paragraph"/>
    <w:basedOn w:val="1"/>
    <w:autoRedefine/>
    <w:qFormat/>
    <w:uiPriority w:val="99"/>
    <w:pPr>
      <w:ind w:firstLine="420" w:firstLineChars="200"/>
    </w:pPr>
    <w:rPr>
      <w:rFonts w:ascii="Times New Roman" w:hAnsi="Times New Roman"/>
      <w:szCs w:val="24"/>
    </w:rPr>
  </w:style>
  <w:style w:type="paragraph" w:customStyle="1" w:styleId="18">
    <w:name w:val="修订1"/>
    <w:autoRedefine/>
    <w:hidden/>
    <w:qFormat/>
    <w:uiPriority w:val="99"/>
    <w:rPr>
      <w:rFonts w:ascii="Times New Roman" w:hAnsi="Times New Roman" w:eastAsia="宋体" w:cs="Times New Roman"/>
      <w:kern w:val="2"/>
      <w:sz w:val="21"/>
      <w:szCs w:val="24"/>
      <w:lang w:val="en-US" w:eastAsia="zh-CN" w:bidi="ar-SA"/>
    </w:rPr>
  </w:style>
  <w:style w:type="character" w:customStyle="1" w:styleId="19">
    <w:name w:val="font31"/>
    <w:basedOn w:val="9"/>
    <w:autoRedefine/>
    <w:qFormat/>
    <w:uiPriority w:val="0"/>
    <w:rPr>
      <w:rFonts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12</Words>
  <Characters>12</Characters>
  <Lines>35</Lines>
  <Paragraphs>9</Paragraphs>
  <TotalTime>16</TotalTime>
  <ScaleCrop>false</ScaleCrop>
  <LinksUpToDate>false</LinksUpToDate>
  <CharactersWithSpaces>12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2021-01-21T07:42:00Z</dcterms:created>
  <dc:creator>lenovo</dc:creator>
  <cp:lastModifiedBy>好好先生</cp:lastModifiedBy>
  <cp:lastPrinted>2024-09-27T06:48:00Z</cp:lastPrinted>
  <dcterms:modified xsi:type="dcterms:W3CDTF">2024-11-19T01:16:59Z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01C75FCAF36D4BAA8BE78BB5255D5DE5_13</vt:lpwstr>
  </property>
</Properties>
</file>