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C2F28F">
      <w:pPr>
        <w:spacing w:afterLines="100"/>
        <w:rPr>
          <w:rFonts w:ascii="Times New Roman" w:hAnsi="Times New Roman" w:eastAsia="仿宋_GB2312"/>
          <w:kern w:val="0"/>
          <w:sz w:val="32"/>
          <w:szCs w:val="32"/>
        </w:rPr>
      </w:pPr>
      <w:bookmarkStart w:id="0" w:name="_GoBack"/>
      <w:bookmarkEnd w:id="0"/>
      <w:r>
        <w:rPr>
          <w:rFonts w:hint="eastAsia" w:ascii="黑体" w:hAnsi="黑体" w:eastAsia="黑体" w:cs="黑体"/>
          <w:kern w:val="0"/>
          <w:sz w:val="32"/>
          <w:szCs w:val="32"/>
        </w:rPr>
        <w:t>附件</w:t>
      </w:r>
      <w:r>
        <w:rPr>
          <w:rFonts w:ascii="Times New Roman" w:hAnsi="Times New Roman" w:eastAsia="仿宋_GB2312"/>
          <w:kern w:val="0"/>
          <w:sz w:val="32"/>
          <w:szCs w:val="32"/>
        </w:rPr>
        <w:t>1</w:t>
      </w:r>
    </w:p>
    <w:p w14:paraId="1DF8AC06">
      <w:pPr>
        <w:jc w:val="center"/>
        <w:rPr>
          <w:rFonts w:ascii="Times New Roman" w:hAnsi="Times New Roman" w:eastAsia="方正小标宋简体"/>
          <w:sz w:val="48"/>
          <w:szCs w:val="48"/>
        </w:rPr>
      </w:pPr>
    </w:p>
    <w:p w14:paraId="0A15A9EC">
      <w:pPr>
        <w:jc w:val="center"/>
        <w:rPr>
          <w:rFonts w:ascii="Times New Roman" w:hAnsi="Times New Roman" w:eastAsia="方正小标宋简体"/>
          <w:sz w:val="48"/>
          <w:szCs w:val="48"/>
        </w:rPr>
      </w:pPr>
    </w:p>
    <w:p w14:paraId="4F2572EB">
      <w:pPr>
        <w:jc w:val="center"/>
        <w:rPr>
          <w:rFonts w:ascii="Times New Roman" w:hAnsi="Times New Roman" w:eastAsia="方正小标宋简体"/>
          <w:sz w:val="48"/>
          <w:szCs w:val="48"/>
        </w:rPr>
      </w:pPr>
    </w:p>
    <w:p w14:paraId="73B9D48E">
      <w:pPr>
        <w:rPr>
          <w:rFonts w:ascii="Times New Roman" w:hAnsi="Times New Roman" w:eastAsia="方正小标宋简体"/>
          <w:sz w:val="48"/>
          <w:szCs w:val="48"/>
        </w:rPr>
      </w:pPr>
    </w:p>
    <w:p w14:paraId="5D246169">
      <w:pPr>
        <w:jc w:val="center"/>
        <w:rPr>
          <w:rFonts w:ascii="Times New Roman" w:hAnsi="Times New Roman" w:eastAsia="方正小标宋简体"/>
          <w:sz w:val="48"/>
          <w:szCs w:val="48"/>
        </w:rPr>
      </w:pPr>
      <w:r>
        <w:rPr>
          <w:rFonts w:hint="eastAsia" w:ascii="Times New Roman" w:hAnsi="Times New Roman" w:eastAsia="方正小标宋简体"/>
          <w:sz w:val="48"/>
          <w:szCs w:val="48"/>
        </w:rPr>
        <w:t>部门整体支出绩效自评报告</w:t>
      </w:r>
    </w:p>
    <w:p w14:paraId="675A4C4C">
      <w:pPr>
        <w:jc w:val="center"/>
        <w:rPr>
          <w:rFonts w:ascii="Times New Roman" w:hAnsi="Times New Roman" w:eastAsia="方正小标宋简体"/>
          <w:sz w:val="36"/>
          <w:szCs w:val="36"/>
        </w:rPr>
      </w:pPr>
      <w:r>
        <w:rPr>
          <w:rFonts w:hint="eastAsia" w:ascii="Times New Roman" w:hAnsi="Times New Roman" w:eastAsia="方正小标宋简体"/>
          <w:sz w:val="36"/>
          <w:szCs w:val="36"/>
        </w:rPr>
        <w:t>（</w:t>
      </w:r>
      <w:r>
        <w:rPr>
          <w:rFonts w:ascii="Times New Roman" w:hAnsi="Times New Roman" w:eastAsia="方正小标宋简体"/>
          <w:sz w:val="36"/>
          <w:szCs w:val="36"/>
        </w:rPr>
        <w:t>2023</w:t>
      </w:r>
      <w:r>
        <w:rPr>
          <w:rFonts w:hint="eastAsia" w:ascii="Times New Roman" w:hAnsi="Times New Roman" w:eastAsia="方正小标宋简体"/>
          <w:sz w:val="36"/>
          <w:szCs w:val="36"/>
        </w:rPr>
        <w:t>年度）</w:t>
      </w:r>
    </w:p>
    <w:p w14:paraId="5E8D963A">
      <w:pPr>
        <w:jc w:val="center"/>
        <w:rPr>
          <w:rFonts w:ascii="Times New Roman" w:hAnsi="Times New Roman" w:eastAsia="黑体"/>
          <w:sz w:val="32"/>
          <w:szCs w:val="32"/>
        </w:rPr>
      </w:pPr>
    </w:p>
    <w:p w14:paraId="28D2A8CD">
      <w:pPr>
        <w:jc w:val="center"/>
        <w:rPr>
          <w:rFonts w:ascii="Times New Roman" w:hAnsi="Times New Roman" w:eastAsia="黑体"/>
          <w:sz w:val="32"/>
          <w:szCs w:val="32"/>
        </w:rPr>
      </w:pPr>
    </w:p>
    <w:p w14:paraId="2C2AE49A">
      <w:pPr>
        <w:jc w:val="center"/>
        <w:rPr>
          <w:rFonts w:ascii="Times New Roman" w:hAnsi="Times New Roman" w:eastAsia="黑体"/>
          <w:sz w:val="32"/>
          <w:szCs w:val="32"/>
        </w:rPr>
      </w:pPr>
    </w:p>
    <w:p w14:paraId="07424534">
      <w:pPr>
        <w:jc w:val="center"/>
        <w:rPr>
          <w:rFonts w:ascii="Times New Roman" w:hAnsi="Times New Roman" w:eastAsia="黑体"/>
          <w:sz w:val="32"/>
          <w:szCs w:val="32"/>
        </w:rPr>
      </w:pPr>
    </w:p>
    <w:p w14:paraId="4A2B7AD5">
      <w:pPr>
        <w:rPr>
          <w:rFonts w:ascii="Times New Roman" w:hAnsi="Times New Roman" w:eastAsia="黑体"/>
          <w:sz w:val="32"/>
          <w:szCs w:val="32"/>
        </w:rPr>
      </w:pPr>
    </w:p>
    <w:p w14:paraId="2FEF5A0F">
      <w:pPr>
        <w:jc w:val="center"/>
        <w:rPr>
          <w:rFonts w:ascii="Times New Roman" w:hAnsi="Times New Roman"/>
          <w:sz w:val="36"/>
          <w:szCs w:val="36"/>
        </w:rPr>
      </w:pPr>
    </w:p>
    <w:p w14:paraId="7804B254">
      <w:pPr>
        <w:jc w:val="center"/>
        <w:rPr>
          <w:rFonts w:ascii="Times New Roman" w:hAnsi="Times New Roman"/>
          <w:sz w:val="36"/>
          <w:szCs w:val="36"/>
        </w:rPr>
      </w:pPr>
    </w:p>
    <w:p w14:paraId="14AE9143">
      <w:pPr>
        <w:jc w:val="center"/>
        <w:rPr>
          <w:rFonts w:ascii="Times New Roman" w:hAnsi="Times New Roman"/>
          <w:sz w:val="36"/>
          <w:szCs w:val="36"/>
        </w:rPr>
      </w:pPr>
    </w:p>
    <w:p w14:paraId="372D988D">
      <w:pPr>
        <w:jc w:val="center"/>
        <w:rPr>
          <w:rFonts w:ascii="Times New Roman" w:hAnsi="Times New Roman"/>
          <w:sz w:val="36"/>
          <w:szCs w:val="36"/>
        </w:rPr>
      </w:pPr>
      <w:r>
        <w:rPr>
          <w:rFonts w:hint="eastAsia" w:ascii="Times New Roman" w:hAnsi="Times New Roman"/>
          <w:sz w:val="36"/>
          <w:szCs w:val="36"/>
        </w:rPr>
        <w:t>单位名称：衡阳市交通运输局（盖章）</w:t>
      </w:r>
    </w:p>
    <w:p w14:paraId="1B96E18A">
      <w:pPr>
        <w:ind w:firstLine="1800" w:firstLineChars="500"/>
        <w:rPr>
          <w:rFonts w:ascii="Times New Roman" w:hAnsi="Times New Roman" w:eastAsia="黑体"/>
          <w:sz w:val="36"/>
          <w:szCs w:val="36"/>
        </w:rPr>
      </w:pPr>
      <w:r>
        <w:rPr>
          <w:rFonts w:hint="eastAsia" w:ascii="Times New Roman" w:hAnsi="Times New Roman"/>
          <w:sz w:val="36"/>
          <w:szCs w:val="36"/>
        </w:rPr>
        <w:t>主要负责人签字：</w:t>
      </w:r>
    </w:p>
    <w:p w14:paraId="69D8EE9E">
      <w:pPr>
        <w:jc w:val="center"/>
        <w:rPr>
          <w:rFonts w:ascii="Times New Roman" w:hAnsi="Times New Roman" w:eastAsia="黑体"/>
          <w:sz w:val="36"/>
          <w:szCs w:val="36"/>
        </w:rPr>
      </w:pPr>
    </w:p>
    <w:p w14:paraId="72081EAD">
      <w:pPr>
        <w:jc w:val="center"/>
        <w:rPr>
          <w:rFonts w:ascii="Times New Roman" w:hAnsi="Times New Roman" w:eastAsia="黑体"/>
          <w:sz w:val="32"/>
          <w:szCs w:val="32"/>
        </w:rPr>
      </w:pPr>
      <w:r>
        <w:rPr>
          <w:rFonts w:ascii="Times New Roman" w:hAnsi="Times New Roman" w:eastAsia="黑体"/>
          <w:sz w:val="36"/>
          <w:szCs w:val="36"/>
        </w:rPr>
        <w:t>2023</w:t>
      </w:r>
      <w:r>
        <w:rPr>
          <w:rFonts w:hint="eastAsia" w:ascii="Times New Roman" w:hAnsi="Times New Roman" w:eastAsia="黑体"/>
          <w:sz w:val="36"/>
          <w:szCs w:val="36"/>
        </w:rPr>
        <w:t>年</w:t>
      </w:r>
      <w:r>
        <w:rPr>
          <w:rFonts w:ascii="Times New Roman" w:hAnsi="Times New Roman" w:eastAsia="黑体"/>
          <w:sz w:val="36"/>
          <w:szCs w:val="36"/>
        </w:rPr>
        <w:t>4</w:t>
      </w:r>
      <w:r>
        <w:rPr>
          <w:rFonts w:hint="eastAsia" w:ascii="Times New Roman" w:hAnsi="Times New Roman" w:eastAsia="黑体"/>
          <w:sz w:val="36"/>
          <w:szCs w:val="36"/>
        </w:rPr>
        <w:t>月</w:t>
      </w:r>
      <w:r>
        <w:rPr>
          <w:rFonts w:ascii="Times New Roman" w:hAnsi="Times New Roman" w:eastAsia="黑体"/>
          <w:sz w:val="36"/>
          <w:szCs w:val="36"/>
        </w:rPr>
        <w:t>8</w:t>
      </w:r>
      <w:r>
        <w:rPr>
          <w:rFonts w:hint="eastAsia" w:ascii="Times New Roman" w:hAnsi="Times New Roman" w:eastAsia="黑体"/>
          <w:sz w:val="36"/>
          <w:szCs w:val="36"/>
        </w:rPr>
        <w:t>日</w:t>
      </w:r>
    </w:p>
    <w:p w14:paraId="76517B32">
      <w:pPr>
        <w:jc w:val="center"/>
        <w:rPr>
          <w:rFonts w:ascii="Times New Roman" w:hAnsi="Times New Roman" w:eastAsia="黑体"/>
          <w:sz w:val="32"/>
          <w:szCs w:val="32"/>
        </w:rPr>
      </w:pPr>
    </w:p>
    <w:p w14:paraId="405B4DDF">
      <w:pPr>
        <w:spacing w:line="600" w:lineRule="exact"/>
        <w:rPr>
          <w:rFonts w:ascii="Times New Roman" w:hAnsi="Times New Roman" w:eastAsia="方正小标宋简体"/>
          <w:sz w:val="44"/>
          <w:szCs w:val="44"/>
        </w:rPr>
      </w:pPr>
    </w:p>
    <w:p w14:paraId="55D27986">
      <w:pPr>
        <w:spacing w:line="600" w:lineRule="exact"/>
        <w:jc w:val="center"/>
        <w:rPr>
          <w:rFonts w:ascii="Times New Roman" w:hAnsi="Times New Roman" w:eastAsia="方正小标宋简体"/>
          <w:sz w:val="44"/>
          <w:szCs w:val="44"/>
        </w:rPr>
      </w:pPr>
    </w:p>
    <w:p w14:paraId="2D776288">
      <w:pPr>
        <w:spacing w:line="60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部门整体支出绩效自评报告</w:t>
      </w:r>
    </w:p>
    <w:p w14:paraId="4301F2F4">
      <w:pPr>
        <w:rPr>
          <w:rFonts w:ascii="Times New Roman" w:hAnsi="Times New Roman" w:eastAsia="方正小标宋_GBK"/>
          <w:sz w:val="32"/>
          <w:szCs w:val="32"/>
        </w:rPr>
      </w:pPr>
    </w:p>
    <w:p w14:paraId="4DAB9C7F">
      <w:pPr>
        <w:pStyle w:val="4"/>
        <w:suppressAutoHyphens/>
        <w:spacing w:line="360" w:lineRule="auto"/>
        <w:ind w:left="420" w:leftChars="200" w:right="481" w:rightChars="229" w:firstLine="643" w:firstLineChars="200"/>
        <w:rPr>
          <w:rFonts w:ascii="仿宋" w:hAnsi="仿宋" w:eastAsia="仿宋" w:cs="仿宋"/>
          <w:b/>
          <w:bCs/>
          <w:kern w:val="0"/>
        </w:rPr>
      </w:pPr>
      <w:r>
        <w:rPr>
          <w:rFonts w:hint="eastAsia" w:ascii="仿宋" w:hAnsi="仿宋" w:eastAsia="仿宋" w:cs="仿宋"/>
          <w:b/>
          <w:bCs/>
          <w:kern w:val="0"/>
        </w:rPr>
        <w:t>一</w:t>
      </w:r>
      <w:r>
        <w:rPr>
          <w:rFonts w:hint="eastAsia" w:ascii="仿宋" w:hAnsi="仿宋" w:eastAsia="仿宋" w:cs="仿宋"/>
          <w:b/>
          <w:bCs/>
          <w:kern w:val="0"/>
          <w:lang w:val="zh-CN"/>
        </w:rPr>
        <w:t>、</w:t>
      </w:r>
      <w:r>
        <w:rPr>
          <w:rFonts w:hint="eastAsia" w:ascii="仿宋" w:hAnsi="仿宋" w:eastAsia="仿宋" w:cs="仿宋"/>
          <w:b/>
          <w:bCs/>
          <w:kern w:val="0"/>
        </w:rPr>
        <w:t>部门、单位</w:t>
      </w:r>
      <w:r>
        <w:rPr>
          <w:rFonts w:hint="eastAsia" w:ascii="仿宋" w:hAnsi="仿宋" w:eastAsia="仿宋" w:cs="仿宋"/>
          <w:b/>
        </w:rPr>
        <w:t>基本情况</w:t>
      </w:r>
    </w:p>
    <w:p w14:paraId="3219DA9B">
      <w:pPr>
        <w:pStyle w:val="4"/>
        <w:suppressAutoHyphens/>
        <w:spacing w:line="360" w:lineRule="auto"/>
        <w:ind w:left="420" w:leftChars="200" w:right="481" w:rightChars="229" w:firstLine="658"/>
        <w:rPr>
          <w:rFonts w:ascii="仿宋" w:hAnsi="仿宋" w:eastAsia="仿宋" w:cs="仿宋"/>
          <w:b/>
          <w:bCs/>
          <w:kern w:val="0"/>
        </w:rPr>
      </w:pPr>
      <w:r>
        <w:rPr>
          <w:rFonts w:hint="eastAsia" w:ascii="仿宋" w:hAnsi="仿宋" w:eastAsia="仿宋" w:cs="仿宋"/>
          <w:b/>
          <w:bCs/>
          <w:kern w:val="0"/>
        </w:rPr>
        <w:t>（一）职能职责。</w:t>
      </w:r>
    </w:p>
    <w:p w14:paraId="09D5AD1E">
      <w:pPr>
        <w:pStyle w:val="4"/>
        <w:suppressAutoHyphens/>
        <w:spacing w:line="360" w:lineRule="auto"/>
        <w:ind w:left="420" w:leftChars="200" w:right="481" w:rightChars="229" w:firstLine="658"/>
        <w:rPr>
          <w:rFonts w:ascii="仿宋" w:hAnsi="仿宋" w:eastAsia="仿宋" w:cs="仿宋"/>
          <w:kern w:val="0"/>
        </w:rPr>
      </w:pPr>
      <w:r>
        <w:rPr>
          <w:rFonts w:ascii="仿宋" w:hAnsi="仿宋" w:eastAsia="仿宋" w:cs="仿宋"/>
        </w:rPr>
        <w:t>(1)</w:t>
      </w:r>
      <w:r>
        <w:rPr>
          <w:rFonts w:hint="eastAsia" w:ascii="仿宋" w:hAnsi="仿宋" w:eastAsia="仿宋" w:cs="仿宋"/>
        </w:rPr>
        <w:t>承担涉及综合运输体系的规划协调工作，会同有关部门组织编制全市综合运输体系规划，指导县市区和承担市本级的交通运输枢纽规划和管理工作。</w:t>
      </w:r>
    </w:p>
    <w:p w14:paraId="18093A55">
      <w:pPr>
        <w:pStyle w:val="4"/>
        <w:suppressAutoHyphens/>
        <w:spacing w:line="360" w:lineRule="auto"/>
        <w:ind w:left="420" w:leftChars="200" w:right="481" w:rightChars="229" w:firstLine="658"/>
        <w:rPr>
          <w:rFonts w:ascii="仿宋" w:hAnsi="仿宋" w:eastAsia="仿宋" w:cs="仿宋"/>
          <w:kern w:val="0"/>
        </w:rPr>
      </w:pPr>
      <w:r>
        <w:rPr>
          <w:rFonts w:ascii="仿宋" w:hAnsi="仿宋" w:eastAsia="仿宋" w:cs="仿宋"/>
        </w:rPr>
        <w:t>(2)</w:t>
      </w:r>
      <w:r>
        <w:rPr>
          <w:rFonts w:hint="eastAsia" w:ascii="仿宋" w:hAnsi="仿宋" w:eastAsia="仿宋" w:cs="仿宋"/>
        </w:rPr>
        <w:t>拟订全市交通运输业发展政策、行业管理规范性文件。组织拟订全市公路、水路等行业规划和实施细则并监督实施。负责交通运输行政许可、执法检查和监督。参与拟订物流业发展战略和规划并监督实施。指导全市交通运输行业有关体制改革。</w:t>
      </w:r>
    </w:p>
    <w:p w14:paraId="2D7F4F55">
      <w:pPr>
        <w:pStyle w:val="4"/>
        <w:suppressAutoHyphens/>
        <w:spacing w:line="360" w:lineRule="auto"/>
        <w:ind w:left="420" w:leftChars="200" w:right="481" w:rightChars="229" w:firstLine="658"/>
        <w:rPr>
          <w:rFonts w:ascii="仿宋" w:hAnsi="仿宋" w:eastAsia="仿宋" w:cs="仿宋"/>
          <w:kern w:val="0"/>
        </w:rPr>
      </w:pPr>
      <w:r>
        <w:rPr>
          <w:rFonts w:ascii="仿宋" w:hAnsi="仿宋" w:eastAsia="仿宋" w:cs="仿宋"/>
        </w:rPr>
        <w:t>(3)</w:t>
      </w:r>
      <w:r>
        <w:rPr>
          <w:rFonts w:hint="eastAsia" w:ascii="仿宋" w:hAnsi="仿宋" w:eastAsia="仿宋" w:cs="仿宋"/>
        </w:rPr>
        <w:t>承担原市公路管理局、市地方海事局、市城市公共交通管理处、市道路运输管理处、市交通建设质量安全监督管理处的行政职能。</w:t>
      </w:r>
    </w:p>
    <w:p w14:paraId="740F1A16">
      <w:pPr>
        <w:pStyle w:val="4"/>
        <w:suppressAutoHyphens/>
        <w:spacing w:line="360" w:lineRule="auto"/>
        <w:ind w:left="420" w:leftChars="200" w:right="481" w:rightChars="229" w:firstLine="658"/>
        <w:rPr>
          <w:rFonts w:ascii="仿宋" w:hAnsi="仿宋" w:eastAsia="仿宋" w:cs="仿宋"/>
          <w:kern w:val="0"/>
        </w:rPr>
      </w:pPr>
      <w:r>
        <w:rPr>
          <w:rFonts w:ascii="仿宋" w:hAnsi="仿宋" w:eastAsia="仿宋" w:cs="仿宋"/>
        </w:rPr>
        <w:t>(4)</w:t>
      </w:r>
      <w:r>
        <w:rPr>
          <w:rFonts w:hint="eastAsia" w:ascii="仿宋" w:hAnsi="仿宋" w:eastAsia="仿宋" w:cs="仿宋"/>
        </w:rPr>
        <w:t>承担全市公路、水路建设市场监管责任。负责全市公路水路工程建设相关政策、制度和技术标准的监督实施。组织实施或协调国家、省重点和市级公路、水路交通工程建设。负责公路、水路交通建设工程造价控制和工程质量、安全生产的监督管理。协助铁路部门做好铁路道口安全管理。承担全市公路、水路基本建设项目的绩效监督和管理工作。负责市本级和指导县市区交通运输基础设施管理和维护。</w:t>
      </w:r>
    </w:p>
    <w:p w14:paraId="4371ACF9">
      <w:pPr>
        <w:pStyle w:val="4"/>
        <w:suppressAutoHyphens/>
        <w:spacing w:line="360" w:lineRule="auto"/>
        <w:ind w:left="420" w:leftChars="200" w:right="481" w:rightChars="229" w:firstLine="658"/>
        <w:rPr>
          <w:rFonts w:ascii="仿宋" w:hAnsi="仿宋" w:eastAsia="仿宋" w:cs="仿宋"/>
          <w:kern w:val="0"/>
        </w:rPr>
      </w:pPr>
      <w:r>
        <w:rPr>
          <w:rFonts w:ascii="仿宋" w:hAnsi="仿宋" w:eastAsia="仿宋" w:cs="仿宋"/>
        </w:rPr>
        <w:t>(5)</w:t>
      </w:r>
      <w:r>
        <w:rPr>
          <w:rFonts w:hint="eastAsia" w:ascii="仿宋" w:hAnsi="仿宋" w:eastAsia="仿宋" w:cs="仿宋"/>
        </w:rPr>
        <w:t>承担全市道路运输、水路运输市场监管责任。组织宣传贯彻道路运输、水路运输、地方铁路专用线监管有关政策、技术标准和运营规范并监督实施。指导县市区和负责市本级城乡客运及有关设施规划和管理工作，指导县市区和负责市本级出租车行业管理工作。负责市管道运输有关管理工作。负责市民航机场有关管理工作。</w:t>
      </w:r>
    </w:p>
    <w:p w14:paraId="4504AF73">
      <w:pPr>
        <w:pStyle w:val="4"/>
        <w:suppressAutoHyphens/>
        <w:spacing w:line="360" w:lineRule="auto"/>
        <w:ind w:left="420" w:leftChars="200" w:right="481" w:rightChars="229" w:firstLine="658"/>
        <w:rPr>
          <w:rFonts w:ascii="仿宋" w:hAnsi="仿宋" w:eastAsia="仿宋" w:cs="仿宋"/>
          <w:kern w:val="0"/>
        </w:rPr>
      </w:pPr>
      <w:r>
        <w:rPr>
          <w:rFonts w:ascii="仿宋" w:hAnsi="仿宋" w:eastAsia="仿宋" w:cs="仿宋"/>
        </w:rPr>
        <w:t>(6)</w:t>
      </w:r>
      <w:r>
        <w:rPr>
          <w:rFonts w:hint="eastAsia" w:ascii="仿宋" w:hAnsi="仿宋" w:eastAsia="仿宋" w:cs="仿宋"/>
        </w:rPr>
        <w:t>承担水上交通安全监管责任。负责水上交通管制、船舶及相关水上设施检验、登记和防止污染、水上消防、救助打捞、通信导航、船舶与港口设施保安及危险品运输监督管理工作。负责船员管理有关工作。负责市级管理水域水上交通安全事故、船舶及相关水上设施污染事故的应急处置，依法组织或参与事故调查处理工作。负责和指导全市水上交通安全监管工作。</w:t>
      </w:r>
    </w:p>
    <w:p w14:paraId="29C260CB">
      <w:pPr>
        <w:pStyle w:val="4"/>
        <w:suppressAutoHyphens/>
        <w:spacing w:line="360" w:lineRule="auto"/>
        <w:ind w:left="420" w:leftChars="200" w:right="481" w:rightChars="229" w:firstLine="658"/>
        <w:rPr>
          <w:rFonts w:ascii="仿宋" w:hAnsi="仿宋" w:eastAsia="仿宋" w:cs="仿宋"/>
          <w:kern w:val="0"/>
        </w:rPr>
      </w:pPr>
      <w:r>
        <w:rPr>
          <w:rFonts w:ascii="仿宋" w:hAnsi="仿宋" w:eastAsia="仿宋" w:cs="仿宋"/>
        </w:rPr>
        <w:t>(7)</w:t>
      </w:r>
      <w:r>
        <w:rPr>
          <w:rFonts w:hint="eastAsia" w:ascii="仿宋" w:hAnsi="仿宋" w:eastAsia="仿宋" w:cs="仿宋"/>
        </w:rPr>
        <w:t>负责提出全市公路、水路固定资产投资规模和方向、市级财政性资金安排建议。负责公路、桥梁、渡口、隧道的行业管理，提出有关财政、土地、价格政策建议。</w:t>
      </w:r>
    </w:p>
    <w:p w14:paraId="507D6099">
      <w:pPr>
        <w:pStyle w:val="4"/>
        <w:suppressAutoHyphens/>
        <w:spacing w:line="360" w:lineRule="auto"/>
        <w:ind w:left="420" w:leftChars="200" w:right="481" w:rightChars="229" w:firstLine="658"/>
        <w:rPr>
          <w:rFonts w:ascii="仿宋" w:hAnsi="仿宋" w:eastAsia="仿宋" w:cs="仿宋"/>
          <w:kern w:val="0"/>
        </w:rPr>
      </w:pPr>
      <w:r>
        <w:rPr>
          <w:rFonts w:ascii="仿宋" w:hAnsi="仿宋" w:eastAsia="仿宋" w:cs="仿宋"/>
        </w:rPr>
        <w:t>(8)</w:t>
      </w:r>
      <w:r>
        <w:rPr>
          <w:rFonts w:hint="eastAsia" w:ascii="仿宋" w:hAnsi="仿宋" w:eastAsia="仿宋" w:cs="仿宋"/>
        </w:rPr>
        <w:t>指导县市区和负责市本级公路、水路、地方铁路专用线行业安全生产和应急管理工作。按规定组织协调全市重点物资和紧急客货运输，负责全市重点干线路网运行监测和协调。组织协调全市地方交通战备工作，承担市国防动员有关工作。</w:t>
      </w:r>
    </w:p>
    <w:p w14:paraId="7D355534">
      <w:pPr>
        <w:pStyle w:val="4"/>
        <w:suppressAutoHyphens/>
        <w:spacing w:line="360" w:lineRule="auto"/>
        <w:ind w:left="420" w:leftChars="200" w:right="481" w:rightChars="229" w:firstLine="658"/>
        <w:rPr>
          <w:rFonts w:ascii="仿宋" w:hAnsi="仿宋" w:eastAsia="仿宋" w:cs="仿宋"/>
          <w:kern w:val="0"/>
        </w:rPr>
      </w:pPr>
      <w:r>
        <w:rPr>
          <w:rFonts w:ascii="仿宋" w:hAnsi="仿宋" w:eastAsia="仿宋" w:cs="仿宋"/>
        </w:rPr>
        <w:t>(9)</w:t>
      </w:r>
      <w:r>
        <w:rPr>
          <w:rFonts w:hint="eastAsia" w:ascii="仿宋" w:hAnsi="仿宋" w:eastAsia="仿宋" w:cs="仿宋"/>
        </w:rPr>
        <w:t>监督实施地方性交通运输行业科技政策、规划和规范。负责全市交通运输信息化建设，监测分析运行情况，开展相关统计工作，发布有关信息。指导县市区和负责市本级公路、水路行业环境保护和节能减排工作。</w:t>
      </w:r>
    </w:p>
    <w:p w14:paraId="7DBBE5B5">
      <w:pPr>
        <w:pStyle w:val="4"/>
        <w:suppressAutoHyphens/>
        <w:spacing w:line="360" w:lineRule="auto"/>
        <w:ind w:left="420" w:leftChars="200" w:right="481" w:rightChars="229" w:firstLine="658"/>
        <w:rPr>
          <w:rFonts w:ascii="仿宋" w:hAnsi="仿宋" w:eastAsia="仿宋" w:cs="仿宋"/>
          <w:kern w:val="0"/>
        </w:rPr>
      </w:pPr>
      <w:r>
        <w:rPr>
          <w:rFonts w:ascii="仿宋" w:hAnsi="仿宋" w:eastAsia="仿宋" w:cs="仿宋"/>
        </w:rPr>
        <w:t>(10)</w:t>
      </w:r>
      <w:r>
        <w:rPr>
          <w:rFonts w:hint="eastAsia" w:ascii="仿宋" w:hAnsi="仿宋" w:eastAsia="仿宋" w:cs="仿宋"/>
        </w:rPr>
        <w:t>指导县市区和负责市本级交通运输行业开展对外交流合作和交通外经外贸工作。协调高速公路、铁路、民航、邮政管理涉及地方的相关工作。</w:t>
      </w:r>
    </w:p>
    <w:p w14:paraId="26E4F209">
      <w:pPr>
        <w:pStyle w:val="4"/>
        <w:suppressAutoHyphens/>
        <w:spacing w:line="360" w:lineRule="auto"/>
        <w:ind w:right="481" w:rightChars="229" w:firstLine="640" w:firstLineChars="200"/>
        <w:rPr>
          <w:rFonts w:ascii="仿宋" w:hAnsi="仿宋" w:eastAsia="仿宋" w:cs="仿宋"/>
          <w:kern w:val="0"/>
        </w:rPr>
      </w:pPr>
      <w:r>
        <w:rPr>
          <w:rFonts w:hint="eastAsia" w:ascii="仿宋" w:hAnsi="仿宋" w:eastAsia="仿宋" w:cs="仿宋"/>
        </w:rPr>
        <w:t>（</w:t>
      </w:r>
      <w:r>
        <w:rPr>
          <w:rFonts w:ascii="仿宋" w:hAnsi="仿宋" w:eastAsia="仿宋" w:cs="仿宋"/>
        </w:rPr>
        <w:t>11</w:t>
      </w:r>
      <w:r>
        <w:rPr>
          <w:rFonts w:hint="eastAsia" w:ascii="仿宋" w:hAnsi="仿宋" w:eastAsia="仿宋" w:cs="仿宋"/>
        </w:rPr>
        <w:t>）负责本行业、领域的应急管理工作，对本行业、领域的安全生产工作实施监督管理。</w:t>
      </w:r>
    </w:p>
    <w:p w14:paraId="1F255A23">
      <w:pPr>
        <w:pStyle w:val="4"/>
        <w:suppressAutoHyphens/>
        <w:spacing w:line="360" w:lineRule="auto"/>
        <w:ind w:right="481" w:rightChars="229" w:firstLine="640" w:firstLineChars="200"/>
        <w:rPr>
          <w:rFonts w:ascii="仿宋" w:hAnsi="仿宋" w:eastAsia="仿宋" w:cs="仿宋"/>
          <w:kern w:val="0"/>
        </w:rPr>
      </w:pPr>
      <w:r>
        <w:rPr>
          <w:rFonts w:hint="eastAsia" w:ascii="仿宋" w:hAnsi="仿宋" w:eastAsia="仿宋" w:cs="仿宋"/>
        </w:rPr>
        <w:t>（</w:t>
      </w:r>
      <w:r>
        <w:rPr>
          <w:rFonts w:ascii="仿宋" w:hAnsi="仿宋" w:eastAsia="仿宋" w:cs="仿宋"/>
        </w:rPr>
        <w:t>12</w:t>
      </w:r>
      <w:r>
        <w:rPr>
          <w:rFonts w:hint="eastAsia" w:ascii="仿宋" w:hAnsi="仿宋" w:eastAsia="仿宋" w:cs="仿宋"/>
        </w:rPr>
        <w:t>）完成市委、市政府交办的其他任务。</w:t>
      </w:r>
    </w:p>
    <w:p w14:paraId="20656B43">
      <w:pPr>
        <w:pStyle w:val="4"/>
        <w:suppressAutoHyphens/>
        <w:spacing w:line="360" w:lineRule="auto"/>
        <w:ind w:right="481" w:rightChars="229" w:firstLine="640" w:firstLineChars="200"/>
        <w:rPr>
          <w:rFonts w:ascii="仿宋" w:hAnsi="仿宋" w:eastAsia="仿宋" w:cs="仿宋"/>
          <w:kern w:val="0"/>
        </w:rPr>
      </w:pPr>
      <w:r>
        <w:rPr>
          <w:rFonts w:hint="eastAsia" w:ascii="仿宋" w:hAnsi="仿宋" w:eastAsia="仿宋" w:cs="仿宋"/>
        </w:rPr>
        <w:t>（</w:t>
      </w:r>
      <w:r>
        <w:rPr>
          <w:rFonts w:ascii="仿宋" w:hAnsi="仿宋" w:eastAsia="仿宋" w:cs="仿宋"/>
        </w:rPr>
        <w:t>13</w:t>
      </w:r>
      <w:r>
        <w:rPr>
          <w:rFonts w:hint="eastAsia" w:ascii="仿宋" w:hAnsi="仿宋" w:eastAsia="仿宋" w:cs="仿宋"/>
        </w:rPr>
        <w:t>）有关职责分工。</w:t>
      </w:r>
    </w:p>
    <w:p w14:paraId="0A1136E0">
      <w:pPr>
        <w:pStyle w:val="4"/>
        <w:suppressAutoHyphens/>
        <w:spacing w:line="360" w:lineRule="auto"/>
        <w:ind w:right="481" w:rightChars="229" w:firstLine="640" w:firstLineChars="200"/>
        <w:rPr>
          <w:rFonts w:ascii="仿宋" w:hAnsi="仿宋" w:eastAsia="仿宋" w:cs="仿宋"/>
          <w:kern w:val="0"/>
        </w:rPr>
      </w:pPr>
      <w:r>
        <w:rPr>
          <w:rFonts w:hint="eastAsia" w:ascii="仿宋" w:hAnsi="仿宋" w:eastAsia="仿宋" w:cs="仿宋"/>
        </w:rPr>
        <w:t>①与市发展和改革委员会、市工业和信息化局、市商务和粮食局的职责分工。市发展和改革委员会负责综合交通运输体系规划与国民经济和社会发展规划的衔接平衡，负责全市铁路、民航建设项目的衔接申报工作。市交通运输局负责研究拟订全市公路、水路等规划，提出公路、水路固定资产投资财政性资金安排意见，按市政府规定权限审批、核准规划内和计划规模内公路、水路固定资产投资项目，市发展和改革委员会审批、审核的交通运输基础设施固定资产投资项目，需征求市交通运输局意见。市发展和改革委员会牵头负责全市物流发展工作，拟订现代物流业发展战略、规划和政策，协调物流业发展重大布局。市工业和信息化局负责指导生产企业的物流外包工作，促进企业内部物流社会化。市商务和粮食局负责推动流通标准化和连锁经营商业特许经营、物流配送、电子商务等现代流通方式的发展，拟订运用电子商务开拓国内市场的相关政策措施，拟订商务领域电子商务相关标准和规划。市交通运输局参与拟订全市物流业发展战略和规划，拟订有关物流发展的政策和标准并监督实施。</w:t>
      </w:r>
      <w:r>
        <w:rPr>
          <w:rFonts w:ascii="仿宋" w:hAnsi="仿宋" w:eastAsia="仿宋" w:cs="仿宋"/>
        </w:rPr>
        <w:t xml:space="preserve">  </w:t>
      </w:r>
    </w:p>
    <w:p w14:paraId="0985AED3">
      <w:pPr>
        <w:pStyle w:val="4"/>
        <w:suppressAutoHyphens/>
        <w:spacing w:line="360" w:lineRule="auto"/>
        <w:ind w:left="420" w:leftChars="200" w:right="481" w:rightChars="229" w:firstLine="658"/>
        <w:rPr>
          <w:rFonts w:ascii="仿宋" w:hAnsi="仿宋" w:eastAsia="仿宋" w:cs="仿宋"/>
          <w:kern w:val="0"/>
        </w:rPr>
      </w:pPr>
      <w:r>
        <w:rPr>
          <w:rFonts w:hint="eastAsia" w:ascii="仿宋" w:hAnsi="仿宋" w:eastAsia="仿宋" w:cs="仿宋"/>
        </w:rPr>
        <w:t>②与市水利局、市公安局、市自然资源和规划局、市生态环境局、市农业农村局、市林业局的职责分工。市水利局具体负责河道采砂的管理和监督工作，编制河道采砂规划和年度河道采砂计划，实施采砂许可，负责建立砂石开采监控平台、安装监控设备，负责采砂业主定点、定时、定量、定船数开采等现场监督及落实生态环保措施，负责组织开展河道采砂常态化监督巡查工作，依法查处无证采砂、夜间采挖、可采区超量、超时限、超范围等违法采砂行为。市交通运输局负责采</w:t>
      </w:r>
      <w:r>
        <w:rPr>
          <w:rFonts w:ascii="仿宋" w:hAnsi="仿宋" w:eastAsia="仿宋" w:cs="仿宋"/>
        </w:rPr>
        <w:t>(</w:t>
      </w:r>
      <w:r>
        <w:rPr>
          <w:rFonts w:hint="eastAsia" w:ascii="仿宋" w:hAnsi="仿宋" w:eastAsia="仿宋" w:cs="仿宋"/>
        </w:rPr>
        <w:t>运</w:t>
      </w:r>
      <w:r>
        <w:rPr>
          <w:rFonts w:ascii="仿宋" w:hAnsi="仿宋" w:eastAsia="仿宋" w:cs="仿宋"/>
        </w:rPr>
        <w:t>)</w:t>
      </w:r>
      <w:r>
        <w:rPr>
          <w:rFonts w:hint="eastAsia" w:ascii="仿宋" w:hAnsi="仿宋" w:eastAsia="仿宋" w:cs="仿宋"/>
        </w:rPr>
        <w:t>砂船舶、规划内集中停靠点及砂石码头的管理，依据职责权限对通航水域内采</w:t>
      </w:r>
      <w:r>
        <w:rPr>
          <w:rFonts w:ascii="仿宋" w:hAnsi="仿宋" w:eastAsia="仿宋" w:cs="仿宋"/>
        </w:rPr>
        <w:t>(</w:t>
      </w:r>
      <w:r>
        <w:rPr>
          <w:rFonts w:hint="eastAsia" w:ascii="仿宋" w:hAnsi="仿宋" w:eastAsia="仿宋" w:cs="仿宋"/>
        </w:rPr>
        <w:t>运</w:t>
      </w:r>
      <w:r>
        <w:rPr>
          <w:rFonts w:ascii="仿宋" w:hAnsi="仿宋" w:eastAsia="仿宋" w:cs="仿宋"/>
        </w:rPr>
        <w:t>)</w:t>
      </w:r>
      <w:r>
        <w:rPr>
          <w:rFonts w:hint="eastAsia" w:ascii="仿宋" w:hAnsi="仿宋" w:eastAsia="仿宋" w:cs="仿宋"/>
        </w:rPr>
        <w:t>砂船舶实施监管，依法查处采</w:t>
      </w:r>
      <w:r>
        <w:rPr>
          <w:rFonts w:ascii="仿宋" w:hAnsi="仿宋" w:eastAsia="仿宋" w:cs="仿宋"/>
        </w:rPr>
        <w:t>(</w:t>
      </w:r>
      <w:r>
        <w:rPr>
          <w:rFonts w:hint="eastAsia" w:ascii="仿宋" w:hAnsi="仿宋" w:eastAsia="仿宋" w:cs="仿宋"/>
        </w:rPr>
        <w:t>运</w:t>
      </w:r>
      <w:r>
        <w:rPr>
          <w:rFonts w:ascii="仿宋" w:hAnsi="仿宋" w:eastAsia="仿宋" w:cs="仿宋"/>
        </w:rPr>
        <w:t>)</w:t>
      </w:r>
      <w:r>
        <w:rPr>
          <w:rFonts w:hint="eastAsia" w:ascii="仿宋" w:hAnsi="仿宋" w:eastAsia="仿宋" w:cs="仿宋"/>
        </w:rPr>
        <w:t>砂船舶相关违法违规行为，结合辖区实际情况，划定停泊水域，强化对停航船舶的监管。市公安局负责打击涉砂刑事犯罪，开展河道采砂联合执法行动。市自然资源和规划局、市生态环境局、市农业农村局、市林业局按照各自职责，协助做好河道采砂监督管理的相关工作。</w:t>
      </w:r>
    </w:p>
    <w:p w14:paraId="624DADAB">
      <w:pPr>
        <w:pStyle w:val="4"/>
        <w:numPr>
          <w:ilvl w:val="0"/>
          <w:numId w:val="1"/>
        </w:numPr>
        <w:suppressAutoHyphens/>
        <w:spacing w:line="360" w:lineRule="auto"/>
        <w:ind w:left="420" w:leftChars="200" w:right="481" w:rightChars="229" w:firstLine="658"/>
        <w:rPr>
          <w:rFonts w:ascii="仿宋" w:hAnsi="仿宋" w:eastAsia="仿宋" w:cs="仿宋"/>
          <w:b/>
          <w:bCs/>
          <w:kern w:val="0"/>
        </w:rPr>
      </w:pPr>
      <w:r>
        <w:rPr>
          <w:rFonts w:hint="eastAsia" w:ascii="仿宋" w:hAnsi="仿宋" w:eastAsia="仿宋" w:cs="仿宋"/>
          <w:b/>
          <w:bCs/>
          <w:kern w:val="0"/>
        </w:rPr>
        <w:t>机构设置。</w:t>
      </w:r>
    </w:p>
    <w:p w14:paraId="2F896C8D">
      <w:pPr>
        <w:pStyle w:val="4"/>
        <w:suppressAutoHyphens/>
        <w:spacing w:line="360" w:lineRule="auto"/>
        <w:ind w:left="420" w:leftChars="200" w:right="481" w:rightChars="229" w:firstLine="658"/>
        <w:rPr>
          <w:rFonts w:ascii="仿宋" w:hAnsi="仿宋" w:eastAsia="仿宋" w:cs="仿宋"/>
          <w:kern w:val="0"/>
        </w:rPr>
      </w:pPr>
      <w:r>
        <w:rPr>
          <w:rFonts w:hint="eastAsia" w:ascii="仿宋" w:hAnsi="仿宋" w:eastAsia="仿宋" w:cs="仿宋"/>
        </w:rPr>
        <w:t>办公室、组织人事科、法规科、规划统计科、基本建设科、道路运输科、公路管理科、港航管理科、安全监督科（应急办公室）、财务审计科、行政审批服务科、交通战备办（市国防动员委员会交通战备办公室）、机关党委、离退休人员管理服务科等</w:t>
      </w:r>
      <w:r>
        <w:rPr>
          <w:rFonts w:ascii="仿宋" w:hAnsi="仿宋" w:eastAsia="仿宋" w:cs="仿宋"/>
        </w:rPr>
        <w:t>14</w:t>
      </w:r>
      <w:r>
        <w:rPr>
          <w:rFonts w:hint="eastAsia" w:ascii="仿宋" w:hAnsi="仿宋" w:eastAsia="仿宋" w:cs="仿宋"/>
        </w:rPr>
        <w:t>个科处室，属市一级财政预算单位。下设</w:t>
      </w:r>
      <w:r>
        <w:rPr>
          <w:rFonts w:ascii="仿宋" w:hAnsi="仿宋" w:eastAsia="仿宋" w:cs="仿宋"/>
        </w:rPr>
        <w:t>1</w:t>
      </w:r>
      <w:r>
        <w:rPr>
          <w:rFonts w:hint="eastAsia" w:ascii="仿宋" w:hAnsi="仿宋" w:eastAsia="仿宋" w:cs="仿宋"/>
        </w:rPr>
        <w:t>个正处级、</w:t>
      </w:r>
      <w:r>
        <w:rPr>
          <w:rFonts w:ascii="仿宋" w:hAnsi="仿宋" w:eastAsia="仿宋" w:cs="仿宋"/>
        </w:rPr>
        <w:t>4</w:t>
      </w:r>
      <w:r>
        <w:rPr>
          <w:rFonts w:hint="eastAsia" w:ascii="仿宋" w:hAnsi="仿宋" w:eastAsia="仿宋" w:cs="仿宋"/>
        </w:rPr>
        <w:t>个副处级、</w:t>
      </w:r>
      <w:r>
        <w:rPr>
          <w:rFonts w:ascii="仿宋" w:hAnsi="仿宋" w:eastAsia="仿宋" w:cs="仿宋"/>
        </w:rPr>
        <w:t>2</w:t>
      </w:r>
      <w:r>
        <w:rPr>
          <w:rFonts w:hint="eastAsia" w:ascii="仿宋" w:hAnsi="仿宋" w:eastAsia="仿宋" w:cs="仿宋"/>
        </w:rPr>
        <w:t>个正科级等</w:t>
      </w:r>
      <w:r>
        <w:rPr>
          <w:rFonts w:ascii="仿宋" w:hAnsi="仿宋" w:eastAsia="仿宋" w:cs="仿宋"/>
        </w:rPr>
        <w:t>7</w:t>
      </w:r>
      <w:r>
        <w:rPr>
          <w:rFonts w:hint="eastAsia" w:ascii="仿宋" w:hAnsi="仿宋" w:eastAsia="仿宋" w:cs="仿宋"/>
        </w:rPr>
        <w:t>个全额拨款事业单位。</w:t>
      </w:r>
    </w:p>
    <w:p w14:paraId="01B6C029">
      <w:pPr>
        <w:pStyle w:val="20"/>
        <w:widowControl/>
        <w:ind w:firstLine="640"/>
        <w:rPr>
          <w:rFonts w:ascii="仿宋" w:hAnsi="仿宋" w:eastAsia="仿宋" w:cs="仿宋"/>
          <w:sz w:val="32"/>
          <w:szCs w:val="32"/>
        </w:rPr>
      </w:pPr>
      <w:r>
        <w:rPr>
          <w:rFonts w:hint="eastAsia" w:ascii="黑体" w:hAnsi="黑体" w:eastAsia="黑体" w:cs="黑体"/>
          <w:sz w:val="32"/>
          <w:szCs w:val="32"/>
        </w:rPr>
        <w:t>二、一般公共预算支出情况</w:t>
      </w:r>
    </w:p>
    <w:p w14:paraId="046385C8">
      <w:pPr>
        <w:pStyle w:val="20"/>
        <w:widowControl/>
        <w:ind w:firstLine="320" w:firstLineChars="100"/>
        <w:rPr>
          <w:rFonts w:ascii="仿宋" w:hAnsi="仿宋" w:eastAsia="仿宋" w:cs="仿宋"/>
          <w:sz w:val="32"/>
          <w:szCs w:val="32"/>
        </w:rPr>
      </w:pPr>
      <w:r>
        <w:rPr>
          <w:rFonts w:hint="eastAsia" w:ascii="仿宋" w:hAnsi="仿宋" w:eastAsia="仿宋" w:cs="仿宋"/>
          <w:sz w:val="32"/>
          <w:szCs w:val="32"/>
        </w:rPr>
        <w:t>（一）基本支出情况</w:t>
      </w:r>
    </w:p>
    <w:p w14:paraId="641A3E10">
      <w:pPr>
        <w:pStyle w:val="9"/>
        <w:shd w:val="clear" w:color="auto" w:fill="FFFFFF"/>
        <w:spacing w:before="0" w:beforeAutospacing="0" w:after="0" w:afterAutospacing="0" w:line="352" w:lineRule="atLeast"/>
        <w:ind w:firstLine="560"/>
        <w:jc w:val="both"/>
        <w:rPr>
          <w:rFonts w:ascii="仿宋" w:hAnsi="仿宋" w:eastAsia="仿宋" w:cs="仿宋"/>
          <w:kern w:val="2"/>
          <w:sz w:val="32"/>
          <w:szCs w:val="32"/>
        </w:rPr>
      </w:pPr>
      <w:r>
        <w:rPr>
          <w:rFonts w:ascii="仿宋" w:hAnsi="仿宋" w:eastAsia="仿宋" w:cs="仿宋"/>
          <w:kern w:val="2"/>
          <w:sz w:val="32"/>
          <w:szCs w:val="32"/>
        </w:rPr>
        <w:t>1</w:t>
      </w:r>
      <w:r>
        <w:rPr>
          <w:rFonts w:hint="eastAsia" w:ascii="仿宋" w:hAnsi="仿宋" w:eastAsia="仿宋" w:cs="仿宋"/>
          <w:kern w:val="2"/>
          <w:sz w:val="32"/>
          <w:szCs w:val="32"/>
        </w:rPr>
        <w:t>、预算完成情况</w:t>
      </w:r>
    </w:p>
    <w:p w14:paraId="3E3F22DB">
      <w:pPr>
        <w:pStyle w:val="9"/>
        <w:shd w:val="clear" w:color="auto" w:fill="FFFFFF"/>
        <w:spacing w:before="0" w:beforeAutospacing="0" w:after="0" w:afterAutospacing="0" w:line="352" w:lineRule="atLeast"/>
        <w:ind w:firstLine="560"/>
        <w:jc w:val="both"/>
        <w:rPr>
          <w:rFonts w:ascii="仿宋" w:hAnsi="仿宋" w:eastAsia="仿宋" w:cs="仿宋"/>
          <w:kern w:val="2"/>
          <w:sz w:val="32"/>
          <w:szCs w:val="32"/>
        </w:rPr>
      </w:pPr>
      <w:r>
        <w:rPr>
          <w:rFonts w:ascii="仿宋" w:hAnsi="仿宋" w:eastAsia="仿宋" w:cs="仿宋"/>
          <w:kern w:val="2"/>
          <w:sz w:val="32"/>
          <w:szCs w:val="32"/>
        </w:rPr>
        <w:t>2023</w:t>
      </w:r>
      <w:r>
        <w:rPr>
          <w:rFonts w:hint="eastAsia" w:ascii="仿宋" w:hAnsi="仿宋" w:eastAsia="仿宋" w:cs="仿宋"/>
          <w:kern w:val="2"/>
          <w:sz w:val="32"/>
          <w:szCs w:val="32"/>
        </w:rPr>
        <w:t>年度基本支出年初预算</w:t>
      </w:r>
      <w:r>
        <w:rPr>
          <w:rFonts w:ascii="仿宋" w:hAnsi="仿宋" w:eastAsia="仿宋" w:cs="仿宋"/>
          <w:kern w:val="2"/>
          <w:sz w:val="32"/>
          <w:szCs w:val="32"/>
        </w:rPr>
        <w:t>1472.35</w:t>
      </w:r>
      <w:r>
        <w:rPr>
          <w:rFonts w:hint="eastAsia" w:ascii="仿宋" w:hAnsi="仿宋" w:eastAsia="仿宋" w:cs="仿宋"/>
          <w:kern w:val="2"/>
          <w:sz w:val="32"/>
          <w:szCs w:val="32"/>
        </w:rPr>
        <w:t>万元，决算数</w:t>
      </w:r>
      <w:r>
        <w:rPr>
          <w:rFonts w:ascii="仿宋" w:hAnsi="仿宋" w:eastAsia="仿宋" w:cs="仿宋"/>
          <w:kern w:val="2"/>
          <w:sz w:val="32"/>
          <w:szCs w:val="32"/>
        </w:rPr>
        <w:t>1777.22</w:t>
      </w:r>
      <w:r>
        <w:rPr>
          <w:rFonts w:hint="eastAsia" w:ascii="仿宋" w:hAnsi="仿宋" w:eastAsia="仿宋" w:cs="仿宋"/>
          <w:kern w:val="2"/>
          <w:sz w:val="32"/>
          <w:szCs w:val="32"/>
        </w:rPr>
        <w:t>万元。差异的主要原因是行政单位增人增资、</w:t>
      </w:r>
      <w:r>
        <w:rPr>
          <w:rFonts w:ascii="仿宋" w:hAnsi="仿宋" w:eastAsia="仿宋" w:cs="仿宋"/>
          <w:kern w:val="2"/>
          <w:sz w:val="32"/>
          <w:szCs w:val="32"/>
        </w:rPr>
        <w:t>2023</w:t>
      </w:r>
      <w:r>
        <w:rPr>
          <w:rFonts w:hint="eastAsia" w:ascii="仿宋" w:hAnsi="仿宋" w:eastAsia="仿宋" w:cs="仿宋"/>
          <w:kern w:val="2"/>
          <w:sz w:val="32"/>
          <w:szCs w:val="32"/>
        </w:rPr>
        <w:t>年度绩效奖、丧葬抚恤金等追加财政拨款。</w:t>
      </w:r>
    </w:p>
    <w:p w14:paraId="4BF3306F">
      <w:pPr>
        <w:pStyle w:val="9"/>
        <w:numPr>
          <w:ilvl w:val="0"/>
          <w:numId w:val="2"/>
        </w:numPr>
        <w:shd w:val="clear" w:color="auto" w:fill="FFFFFF"/>
        <w:spacing w:before="0" w:beforeAutospacing="0" w:after="0" w:afterAutospacing="0" w:line="352" w:lineRule="atLeast"/>
        <w:ind w:firstLine="560"/>
        <w:jc w:val="both"/>
        <w:rPr>
          <w:rFonts w:ascii="仿宋" w:hAnsi="仿宋" w:eastAsia="仿宋" w:cs="仿宋"/>
          <w:kern w:val="2"/>
          <w:sz w:val="32"/>
          <w:szCs w:val="32"/>
        </w:rPr>
      </w:pPr>
      <w:r>
        <w:rPr>
          <w:rFonts w:hint="eastAsia" w:ascii="仿宋" w:hAnsi="仿宋" w:eastAsia="仿宋" w:cs="仿宋"/>
          <w:kern w:val="2"/>
          <w:sz w:val="32"/>
          <w:szCs w:val="32"/>
        </w:rPr>
        <w:t>基本支出构成</w:t>
      </w:r>
    </w:p>
    <w:p w14:paraId="0AB800BF">
      <w:pPr>
        <w:pStyle w:val="9"/>
        <w:shd w:val="clear" w:color="auto" w:fill="FFFFFF"/>
        <w:spacing w:before="0" w:beforeAutospacing="0" w:after="0" w:afterAutospacing="0" w:line="352" w:lineRule="atLeast"/>
        <w:ind w:firstLine="640" w:firstLineChars="200"/>
        <w:jc w:val="both"/>
        <w:rPr>
          <w:rFonts w:ascii="仿宋" w:hAnsi="仿宋" w:eastAsia="仿宋" w:cs="仿宋"/>
          <w:kern w:val="2"/>
          <w:sz w:val="32"/>
          <w:szCs w:val="32"/>
        </w:rPr>
      </w:pPr>
      <w:r>
        <w:rPr>
          <w:rFonts w:ascii="仿宋" w:hAnsi="仿宋" w:eastAsia="仿宋" w:cs="仿宋"/>
          <w:kern w:val="2"/>
          <w:sz w:val="32"/>
          <w:szCs w:val="32"/>
        </w:rPr>
        <w:t>2022</w:t>
      </w:r>
      <w:r>
        <w:rPr>
          <w:rFonts w:hint="eastAsia" w:ascii="仿宋" w:hAnsi="仿宋" w:eastAsia="仿宋" w:cs="仿宋"/>
          <w:kern w:val="2"/>
          <w:sz w:val="32"/>
          <w:szCs w:val="32"/>
        </w:rPr>
        <w:t>年基本支出决算数</w:t>
      </w:r>
      <w:r>
        <w:rPr>
          <w:rFonts w:ascii="仿宋" w:hAnsi="仿宋" w:eastAsia="仿宋" w:cs="仿宋"/>
          <w:kern w:val="2"/>
          <w:sz w:val="32"/>
          <w:szCs w:val="32"/>
        </w:rPr>
        <w:t>1777.22</w:t>
      </w:r>
      <w:r>
        <w:rPr>
          <w:rFonts w:hint="eastAsia" w:ascii="仿宋" w:hAnsi="仿宋" w:eastAsia="仿宋" w:cs="仿宋"/>
          <w:kern w:val="2"/>
          <w:sz w:val="32"/>
          <w:szCs w:val="32"/>
        </w:rPr>
        <w:t>万元。</w:t>
      </w:r>
    </w:p>
    <w:p w14:paraId="238361C1">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基本支出主要是为保障单位机构正常运转、完成日常工作任务而发生的各项支出。包括用于基本工资、津贴补贴、养老保险、职工基本医保、住房公积金等人员经费以及办公费、印刷费、水电费、维修费、差旅费、公务接待、公务用车、会议费、培训费等日常公用经费。其中：</w:t>
      </w:r>
    </w:p>
    <w:p w14:paraId="710B3A2C">
      <w:pPr>
        <w:numPr>
          <w:ilvl w:val="0"/>
          <w:numId w:val="3"/>
        </w:numPr>
        <w:spacing w:line="360" w:lineRule="auto"/>
        <w:ind w:firstLine="640" w:firstLineChars="200"/>
        <w:rPr>
          <w:rFonts w:ascii="仿宋" w:hAnsi="仿宋" w:eastAsia="仿宋" w:cs="仿宋_GB2312"/>
          <w:sz w:val="32"/>
          <w:szCs w:val="32"/>
        </w:rPr>
      </w:pPr>
      <w:r>
        <w:rPr>
          <w:rFonts w:hint="eastAsia" w:ascii="仿宋" w:hAnsi="仿宋" w:eastAsia="仿宋" w:cs="仿宋"/>
          <w:sz w:val="32"/>
          <w:szCs w:val="32"/>
        </w:rPr>
        <w:t>工资福利支出</w:t>
      </w:r>
      <w:r>
        <w:rPr>
          <w:rFonts w:ascii="仿宋" w:hAnsi="仿宋" w:eastAsia="仿宋" w:cs="仿宋"/>
          <w:sz w:val="32"/>
          <w:szCs w:val="32"/>
        </w:rPr>
        <w:t>961.3</w:t>
      </w:r>
      <w:r>
        <w:rPr>
          <w:rFonts w:hint="eastAsia" w:ascii="仿宋" w:hAnsi="仿宋" w:eastAsia="仿宋" w:cs="仿宋"/>
          <w:sz w:val="32"/>
          <w:szCs w:val="32"/>
        </w:rPr>
        <w:t>万元，</w:t>
      </w:r>
      <w:r>
        <w:rPr>
          <w:rFonts w:hint="eastAsia" w:ascii="仿宋" w:hAnsi="仿宋" w:eastAsia="仿宋" w:cs="仿宋_GB2312"/>
          <w:sz w:val="32"/>
          <w:szCs w:val="32"/>
        </w:rPr>
        <w:t>占比</w:t>
      </w:r>
      <w:r>
        <w:rPr>
          <w:rFonts w:ascii="仿宋" w:hAnsi="仿宋" w:eastAsia="仿宋" w:cs="仿宋_GB2312"/>
          <w:sz w:val="32"/>
          <w:szCs w:val="32"/>
        </w:rPr>
        <w:t>54.09%</w:t>
      </w:r>
      <w:r>
        <w:rPr>
          <w:rFonts w:hint="eastAsia" w:ascii="仿宋" w:hAnsi="仿宋" w:eastAsia="仿宋" w:cs="仿宋_GB2312"/>
          <w:sz w:val="32"/>
          <w:szCs w:val="32"/>
        </w:rPr>
        <w:t>，主要反映在职人员的工资福利和缴纳的五险一金；</w:t>
      </w:r>
    </w:p>
    <w:p w14:paraId="56FD63D5">
      <w:pPr>
        <w:numPr>
          <w:ilvl w:val="0"/>
          <w:numId w:val="3"/>
        </w:num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商品和服务及资本性支出</w:t>
      </w:r>
      <w:r>
        <w:rPr>
          <w:rFonts w:ascii="仿宋" w:hAnsi="仿宋" w:eastAsia="仿宋" w:cs="仿宋_GB2312"/>
          <w:sz w:val="32"/>
          <w:szCs w:val="32"/>
        </w:rPr>
        <w:t>550.28</w:t>
      </w:r>
      <w:r>
        <w:rPr>
          <w:rFonts w:hint="eastAsia" w:ascii="仿宋" w:hAnsi="仿宋" w:eastAsia="仿宋" w:cs="仿宋_GB2312"/>
          <w:sz w:val="32"/>
          <w:szCs w:val="32"/>
        </w:rPr>
        <w:t>万元，占比</w:t>
      </w:r>
      <w:r>
        <w:rPr>
          <w:rFonts w:ascii="仿宋" w:hAnsi="仿宋" w:eastAsia="仿宋" w:cs="仿宋_GB2312"/>
          <w:sz w:val="32"/>
          <w:szCs w:val="32"/>
        </w:rPr>
        <w:t>30.97%</w:t>
      </w:r>
      <w:r>
        <w:rPr>
          <w:rFonts w:hint="eastAsia" w:ascii="仿宋" w:hAnsi="仿宋" w:eastAsia="仿宋" w:cs="仿宋_GB2312"/>
          <w:sz w:val="32"/>
          <w:szCs w:val="32"/>
        </w:rPr>
        <w:t>，主要反映单位的机关运转及</w:t>
      </w:r>
      <w:r>
        <w:rPr>
          <w:rFonts w:hint="eastAsia" w:ascii="仿宋" w:hAnsi="仿宋" w:eastAsia="仿宋" w:cs="仿宋"/>
          <w:sz w:val="32"/>
          <w:szCs w:val="32"/>
        </w:rPr>
        <w:t>完成日常工作任务而发生的</w:t>
      </w:r>
      <w:r>
        <w:rPr>
          <w:rFonts w:hint="eastAsia" w:ascii="仿宋" w:hAnsi="仿宋" w:eastAsia="仿宋" w:cs="仿宋_GB2312"/>
          <w:sz w:val="32"/>
          <w:szCs w:val="32"/>
        </w:rPr>
        <w:t>经费及资本性支出；</w:t>
      </w:r>
    </w:p>
    <w:p w14:paraId="562EE9DF">
      <w:pPr>
        <w:numPr>
          <w:ilvl w:val="0"/>
          <w:numId w:val="3"/>
        </w:numPr>
        <w:spacing w:line="360" w:lineRule="auto"/>
        <w:ind w:firstLine="640" w:firstLineChars="200"/>
        <w:rPr>
          <w:rFonts w:ascii="仿宋" w:hAnsi="仿宋" w:eastAsia="仿宋"/>
          <w:sz w:val="32"/>
          <w:szCs w:val="32"/>
        </w:rPr>
      </w:pPr>
      <w:r>
        <w:rPr>
          <w:rFonts w:hint="eastAsia" w:ascii="仿宋" w:hAnsi="仿宋" w:eastAsia="仿宋" w:cs="仿宋_GB2312"/>
          <w:sz w:val="32"/>
          <w:szCs w:val="32"/>
        </w:rPr>
        <w:t>对个人和家庭的补助支出</w:t>
      </w:r>
      <w:r>
        <w:rPr>
          <w:rFonts w:ascii="仿宋" w:hAnsi="仿宋" w:eastAsia="仿宋" w:cs="仿宋_GB2312"/>
          <w:sz w:val="32"/>
          <w:szCs w:val="32"/>
        </w:rPr>
        <w:t>258.94</w:t>
      </w:r>
      <w:r>
        <w:rPr>
          <w:rFonts w:hint="eastAsia" w:ascii="仿宋" w:hAnsi="仿宋" w:eastAsia="仿宋" w:cs="仿宋_GB2312"/>
          <w:sz w:val="32"/>
          <w:szCs w:val="32"/>
        </w:rPr>
        <w:t>万元，占比</w:t>
      </w:r>
      <w:r>
        <w:rPr>
          <w:rFonts w:ascii="仿宋" w:hAnsi="仿宋" w:eastAsia="仿宋" w:cs="仿宋_GB2312"/>
          <w:sz w:val="32"/>
          <w:szCs w:val="32"/>
        </w:rPr>
        <w:t>14.57%</w:t>
      </w:r>
      <w:r>
        <w:rPr>
          <w:rFonts w:hint="eastAsia" w:ascii="仿宋" w:hAnsi="仿宋" w:eastAsia="仿宋" w:cs="仿宋_GB2312"/>
          <w:sz w:val="32"/>
          <w:szCs w:val="32"/>
        </w:rPr>
        <w:t>，主要反映单位离退休人员的相关经费。</w:t>
      </w:r>
      <w:r>
        <w:rPr>
          <w:rFonts w:ascii="仿宋" w:hAnsi="仿宋" w:eastAsia="仿宋"/>
          <w:sz w:val="32"/>
          <w:szCs w:val="32"/>
        </w:rPr>
        <w:t xml:space="preserve"> </w:t>
      </w:r>
    </w:p>
    <w:p w14:paraId="480FB36D">
      <w:pPr>
        <w:numPr>
          <w:ilvl w:val="0"/>
          <w:numId w:val="3"/>
        </w:numPr>
        <w:spacing w:line="360" w:lineRule="auto"/>
        <w:ind w:firstLine="640" w:firstLineChars="200"/>
        <w:rPr>
          <w:rFonts w:ascii="仿宋" w:hAnsi="仿宋" w:eastAsia="仿宋"/>
          <w:sz w:val="32"/>
          <w:szCs w:val="32"/>
        </w:rPr>
      </w:pPr>
      <w:r>
        <w:rPr>
          <w:rFonts w:hint="eastAsia" w:ascii="仿宋" w:hAnsi="仿宋" w:eastAsia="仿宋" w:cs="仿宋"/>
          <w:sz w:val="32"/>
          <w:szCs w:val="32"/>
        </w:rPr>
        <w:t>资本性支出</w:t>
      </w:r>
      <w:r>
        <w:rPr>
          <w:rFonts w:ascii="仿宋" w:hAnsi="仿宋" w:eastAsia="仿宋" w:cs="仿宋"/>
          <w:sz w:val="32"/>
          <w:szCs w:val="32"/>
        </w:rPr>
        <w:t>2.7</w:t>
      </w:r>
      <w:r>
        <w:rPr>
          <w:rFonts w:hint="eastAsia" w:ascii="仿宋" w:hAnsi="仿宋" w:eastAsia="仿宋" w:cs="仿宋"/>
          <w:sz w:val="32"/>
          <w:szCs w:val="32"/>
        </w:rPr>
        <w:t>万元，</w:t>
      </w:r>
      <w:r>
        <w:rPr>
          <w:rFonts w:hint="eastAsia" w:ascii="仿宋" w:hAnsi="仿宋" w:eastAsia="仿宋" w:cs="仿宋_GB2312"/>
          <w:sz w:val="32"/>
          <w:szCs w:val="32"/>
        </w:rPr>
        <w:t>占比</w:t>
      </w:r>
      <w:r>
        <w:rPr>
          <w:rFonts w:ascii="仿宋" w:hAnsi="仿宋" w:eastAsia="仿宋" w:cs="仿宋_GB2312"/>
          <w:sz w:val="32"/>
          <w:szCs w:val="32"/>
        </w:rPr>
        <w:t>0.15%</w:t>
      </w:r>
      <w:r>
        <w:rPr>
          <w:rFonts w:hint="eastAsia" w:ascii="仿宋" w:hAnsi="仿宋" w:eastAsia="仿宋" w:cs="仿宋_GB2312"/>
          <w:sz w:val="32"/>
          <w:szCs w:val="32"/>
        </w:rPr>
        <w:t>，主要反映单位购买的办公电脑等办公设备。</w:t>
      </w:r>
    </w:p>
    <w:p w14:paraId="38021ADB">
      <w:pPr>
        <w:pStyle w:val="4"/>
      </w:pPr>
      <w:r>
        <w:rPr>
          <w:rFonts w:ascii="仿宋" w:hAnsi="仿宋" w:eastAsia="仿宋" w:cs="仿宋_GB2312"/>
        </w:rPr>
        <w:t xml:space="preserve">    </w:t>
      </w:r>
      <w:r>
        <w:rPr>
          <w:rFonts w:hint="eastAsia" w:ascii="仿宋" w:hAnsi="仿宋" w:eastAsia="仿宋" w:cs="仿宋_GB2312"/>
        </w:rPr>
        <w:t>（</w:t>
      </w:r>
      <w:r>
        <w:rPr>
          <w:rFonts w:ascii="仿宋" w:hAnsi="仿宋" w:eastAsia="仿宋" w:cs="仿宋_GB2312"/>
        </w:rPr>
        <w:t>5</w:t>
      </w:r>
      <w:r>
        <w:rPr>
          <w:rFonts w:hint="eastAsia" w:ascii="仿宋" w:hAnsi="仿宋" w:eastAsia="仿宋" w:cs="仿宋_GB2312"/>
        </w:rPr>
        <w:t>）对企业的补助</w:t>
      </w:r>
      <w:r>
        <w:rPr>
          <w:rFonts w:ascii="仿宋" w:hAnsi="仿宋" w:eastAsia="仿宋" w:cs="仿宋_GB2312"/>
        </w:rPr>
        <w:t>4</w:t>
      </w:r>
      <w:r>
        <w:rPr>
          <w:rFonts w:hint="eastAsia" w:ascii="仿宋" w:hAnsi="仿宋" w:eastAsia="仿宋" w:cs="仿宋_GB2312"/>
        </w:rPr>
        <w:t>万元，占比</w:t>
      </w:r>
      <w:r>
        <w:rPr>
          <w:rFonts w:ascii="仿宋" w:hAnsi="仿宋" w:eastAsia="仿宋" w:cs="仿宋_GB2312"/>
        </w:rPr>
        <w:t>0.22%</w:t>
      </w:r>
      <w:r>
        <w:rPr>
          <w:rFonts w:hint="eastAsia" w:ascii="仿宋" w:hAnsi="仿宋" w:eastAsia="仿宋" w:cs="仿宋_GB2312"/>
        </w:rPr>
        <w:t>，主要反映单位给下属企业的补助</w:t>
      </w:r>
    </w:p>
    <w:p w14:paraId="2B9DD084">
      <w:pPr>
        <w:pStyle w:val="20"/>
        <w:widowControl/>
        <w:numPr>
          <w:ilvl w:val="0"/>
          <w:numId w:val="2"/>
        </w:numPr>
        <w:ind w:firstLine="560" w:firstLineChars="0"/>
        <w:rPr>
          <w:rFonts w:ascii="仿宋" w:hAnsi="仿宋" w:eastAsia="仿宋" w:cs="仿宋"/>
          <w:sz w:val="32"/>
          <w:szCs w:val="32"/>
        </w:rPr>
      </w:pPr>
      <w:r>
        <w:rPr>
          <w:rFonts w:hint="eastAsia" w:ascii="仿宋" w:hAnsi="仿宋" w:eastAsia="仿宋" w:cs="仿宋"/>
          <w:sz w:val="32"/>
          <w:szCs w:val="32"/>
        </w:rPr>
        <w:t>三公经费情况</w:t>
      </w:r>
    </w:p>
    <w:p w14:paraId="6DA9107E">
      <w:pPr>
        <w:pStyle w:val="20"/>
        <w:widowControl/>
        <w:ind w:firstLine="560" w:firstLineChars="175"/>
        <w:rPr>
          <w:rFonts w:ascii="仿宋" w:hAnsi="仿宋" w:eastAsia="仿宋" w:cs="仿宋"/>
          <w:sz w:val="32"/>
          <w:szCs w:val="32"/>
        </w:rPr>
      </w:pPr>
      <w:r>
        <w:rPr>
          <w:rFonts w:ascii="仿宋" w:hAnsi="仿宋" w:eastAsia="仿宋" w:cs="仿宋"/>
          <w:sz w:val="32"/>
          <w:szCs w:val="32"/>
        </w:rPr>
        <w:t>2023</w:t>
      </w:r>
      <w:r>
        <w:rPr>
          <w:rFonts w:hint="eastAsia" w:ascii="仿宋" w:hAnsi="仿宋" w:eastAsia="仿宋" w:cs="仿宋"/>
          <w:sz w:val="32"/>
          <w:szCs w:val="32"/>
        </w:rPr>
        <w:t>年三公经费预算数为</w:t>
      </w:r>
      <w:r>
        <w:rPr>
          <w:rFonts w:ascii="仿宋" w:hAnsi="仿宋" w:eastAsia="仿宋" w:cs="仿宋"/>
          <w:sz w:val="32"/>
          <w:szCs w:val="32"/>
        </w:rPr>
        <w:t>11</w:t>
      </w:r>
      <w:r>
        <w:rPr>
          <w:rFonts w:hint="eastAsia" w:ascii="仿宋" w:hAnsi="仿宋" w:eastAsia="仿宋" w:cs="仿宋"/>
          <w:sz w:val="32"/>
          <w:szCs w:val="32"/>
        </w:rPr>
        <w:t>万元，其中：因公出国（境）费</w:t>
      </w:r>
      <w:r>
        <w:rPr>
          <w:rFonts w:ascii="仿宋" w:hAnsi="仿宋" w:eastAsia="仿宋" w:cs="仿宋"/>
          <w:sz w:val="32"/>
          <w:szCs w:val="32"/>
        </w:rPr>
        <w:t>0</w:t>
      </w:r>
      <w:r>
        <w:rPr>
          <w:rFonts w:hint="eastAsia" w:ascii="仿宋" w:hAnsi="仿宋" w:eastAsia="仿宋" w:cs="仿宋"/>
          <w:sz w:val="32"/>
          <w:szCs w:val="32"/>
        </w:rPr>
        <w:t>万元，公务用车购置及运行费</w:t>
      </w:r>
      <w:r>
        <w:rPr>
          <w:rFonts w:ascii="仿宋" w:hAnsi="仿宋" w:eastAsia="仿宋" w:cs="仿宋"/>
          <w:sz w:val="32"/>
          <w:szCs w:val="32"/>
        </w:rPr>
        <w:t>8</w:t>
      </w:r>
      <w:r>
        <w:rPr>
          <w:rFonts w:hint="eastAsia" w:ascii="仿宋" w:hAnsi="仿宋" w:eastAsia="仿宋" w:cs="仿宋"/>
          <w:sz w:val="32"/>
          <w:szCs w:val="32"/>
        </w:rPr>
        <w:t>万元（其中：购置费</w:t>
      </w:r>
      <w:r>
        <w:rPr>
          <w:rFonts w:ascii="仿宋" w:hAnsi="仿宋" w:eastAsia="仿宋" w:cs="仿宋"/>
          <w:sz w:val="32"/>
          <w:szCs w:val="32"/>
        </w:rPr>
        <w:t>0.00</w:t>
      </w:r>
      <w:r>
        <w:rPr>
          <w:rFonts w:hint="eastAsia" w:ascii="仿宋" w:hAnsi="仿宋" w:eastAsia="仿宋" w:cs="仿宋"/>
          <w:sz w:val="32"/>
          <w:szCs w:val="32"/>
        </w:rPr>
        <w:t>万元、运行费</w:t>
      </w:r>
      <w:r>
        <w:rPr>
          <w:rFonts w:ascii="仿宋" w:hAnsi="仿宋" w:eastAsia="仿宋" w:cs="仿宋"/>
          <w:sz w:val="32"/>
          <w:szCs w:val="32"/>
        </w:rPr>
        <w:t>8</w:t>
      </w:r>
      <w:r>
        <w:rPr>
          <w:rFonts w:hint="eastAsia" w:ascii="仿宋" w:hAnsi="仿宋" w:eastAsia="仿宋" w:cs="仿宋"/>
          <w:sz w:val="32"/>
          <w:szCs w:val="32"/>
        </w:rPr>
        <w:t>万元），公务接待费</w:t>
      </w:r>
      <w:r>
        <w:rPr>
          <w:rFonts w:ascii="仿宋" w:hAnsi="仿宋" w:eastAsia="仿宋" w:cs="仿宋"/>
          <w:sz w:val="32"/>
          <w:szCs w:val="32"/>
        </w:rPr>
        <w:t>3</w:t>
      </w:r>
      <w:r>
        <w:rPr>
          <w:rFonts w:hint="eastAsia" w:ascii="仿宋" w:hAnsi="仿宋" w:eastAsia="仿宋" w:cs="仿宋"/>
          <w:sz w:val="32"/>
          <w:szCs w:val="32"/>
        </w:rPr>
        <w:t>万元。</w:t>
      </w:r>
      <w:r>
        <w:rPr>
          <w:rFonts w:ascii="仿宋" w:hAnsi="仿宋" w:eastAsia="仿宋" w:cs="仿宋"/>
          <w:sz w:val="32"/>
          <w:szCs w:val="32"/>
        </w:rPr>
        <w:t>2023</w:t>
      </w:r>
      <w:r>
        <w:rPr>
          <w:rFonts w:hint="eastAsia" w:ascii="仿宋" w:hAnsi="仿宋" w:eastAsia="仿宋" w:cs="仿宋"/>
          <w:sz w:val="32"/>
          <w:szCs w:val="32"/>
        </w:rPr>
        <w:t>年“三公”经费实际支出</w:t>
      </w:r>
      <w:r>
        <w:rPr>
          <w:rFonts w:ascii="仿宋" w:hAnsi="仿宋" w:eastAsia="仿宋" w:cs="仿宋"/>
          <w:sz w:val="32"/>
          <w:szCs w:val="32"/>
        </w:rPr>
        <w:t>38.45</w:t>
      </w:r>
      <w:r>
        <w:rPr>
          <w:rFonts w:hint="eastAsia" w:ascii="仿宋" w:hAnsi="仿宋" w:eastAsia="仿宋" w:cs="仿宋"/>
          <w:sz w:val="32"/>
          <w:szCs w:val="32"/>
        </w:rPr>
        <w:t>万元</w:t>
      </w:r>
      <w:r>
        <w:rPr>
          <w:rFonts w:ascii="仿宋" w:hAnsi="仿宋" w:eastAsia="仿宋" w:cs="仿宋"/>
          <w:sz w:val="32"/>
          <w:szCs w:val="32"/>
        </w:rPr>
        <w:t>,</w:t>
      </w:r>
      <w:r>
        <w:rPr>
          <w:rFonts w:hint="eastAsia" w:ascii="仿宋" w:hAnsi="仿宋" w:eastAsia="仿宋" w:cs="仿宋"/>
          <w:sz w:val="32"/>
          <w:szCs w:val="32"/>
        </w:rPr>
        <w:t>公务接待费</w:t>
      </w:r>
      <w:r>
        <w:rPr>
          <w:rFonts w:ascii="仿宋" w:hAnsi="仿宋" w:eastAsia="仿宋" w:cs="仿宋"/>
          <w:sz w:val="32"/>
          <w:szCs w:val="32"/>
        </w:rPr>
        <w:t>3</w:t>
      </w:r>
      <w:r>
        <w:rPr>
          <w:rFonts w:hint="eastAsia" w:ascii="仿宋" w:hAnsi="仿宋" w:eastAsia="仿宋" w:cs="仿宋"/>
          <w:sz w:val="32"/>
          <w:szCs w:val="32"/>
        </w:rPr>
        <w:t>万元</w:t>
      </w:r>
      <w:r>
        <w:rPr>
          <w:rFonts w:ascii="仿宋" w:hAnsi="仿宋" w:eastAsia="仿宋" w:cs="仿宋"/>
          <w:sz w:val="32"/>
          <w:szCs w:val="32"/>
        </w:rPr>
        <w:t>,</w:t>
      </w:r>
      <w:r>
        <w:rPr>
          <w:rFonts w:hint="eastAsia" w:ascii="仿宋" w:hAnsi="仿宋" w:eastAsia="仿宋" w:cs="仿宋"/>
          <w:sz w:val="32"/>
          <w:szCs w:val="32"/>
        </w:rPr>
        <w:t>公务用车购置费</w:t>
      </w:r>
      <w:r>
        <w:rPr>
          <w:rFonts w:ascii="仿宋" w:hAnsi="仿宋" w:eastAsia="仿宋" w:cs="仿宋"/>
          <w:sz w:val="32"/>
          <w:szCs w:val="32"/>
        </w:rPr>
        <w:t>25.73</w:t>
      </w:r>
      <w:r>
        <w:rPr>
          <w:rFonts w:hint="eastAsia" w:ascii="仿宋" w:hAnsi="仿宋" w:eastAsia="仿宋" w:cs="仿宋"/>
          <w:sz w:val="32"/>
          <w:szCs w:val="32"/>
        </w:rPr>
        <w:t>万元</w:t>
      </w:r>
      <w:r>
        <w:rPr>
          <w:rFonts w:ascii="仿宋" w:hAnsi="仿宋" w:eastAsia="仿宋" w:cs="仿宋"/>
          <w:sz w:val="32"/>
          <w:szCs w:val="32"/>
        </w:rPr>
        <w:t>,</w:t>
      </w:r>
      <w:r>
        <w:rPr>
          <w:rFonts w:hint="eastAsia" w:ascii="仿宋" w:hAnsi="仿宋" w:eastAsia="仿宋" w:cs="仿宋"/>
          <w:sz w:val="32"/>
          <w:szCs w:val="32"/>
        </w:rPr>
        <w:t>公务车运行维护费</w:t>
      </w:r>
      <w:r>
        <w:rPr>
          <w:rFonts w:ascii="仿宋" w:hAnsi="仿宋" w:eastAsia="仿宋" w:cs="仿宋"/>
          <w:sz w:val="32"/>
          <w:szCs w:val="32"/>
        </w:rPr>
        <w:t>8</w:t>
      </w:r>
      <w:r>
        <w:rPr>
          <w:rFonts w:hint="eastAsia" w:ascii="仿宋" w:hAnsi="仿宋" w:eastAsia="仿宋" w:cs="仿宋"/>
          <w:sz w:val="32"/>
          <w:szCs w:val="32"/>
        </w:rPr>
        <w:t>万元，因公出国</w:t>
      </w:r>
      <w:r>
        <w:rPr>
          <w:rFonts w:ascii="仿宋" w:hAnsi="仿宋" w:eastAsia="仿宋" w:cs="仿宋"/>
          <w:sz w:val="32"/>
          <w:szCs w:val="32"/>
        </w:rPr>
        <w:t>(</w:t>
      </w:r>
      <w:r>
        <w:rPr>
          <w:rFonts w:hint="eastAsia" w:ascii="仿宋" w:hAnsi="仿宋" w:eastAsia="仿宋" w:cs="仿宋"/>
          <w:sz w:val="32"/>
          <w:szCs w:val="32"/>
        </w:rPr>
        <w:t>境</w:t>
      </w:r>
      <w:r>
        <w:rPr>
          <w:rFonts w:ascii="仿宋" w:hAnsi="仿宋" w:eastAsia="仿宋" w:cs="仿宋"/>
          <w:sz w:val="32"/>
          <w:szCs w:val="32"/>
        </w:rPr>
        <w:t>)</w:t>
      </w:r>
      <w:r>
        <w:rPr>
          <w:rFonts w:hint="eastAsia" w:ascii="仿宋" w:hAnsi="仿宋" w:eastAsia="仿宋" w:cs="仿宋"/>
          <w:sz w:val="32"/>
          <w:szCs w:val="32"/>
        </w:rPr>
        <w:t>费</w:t>
      </w:r>
      <w:r>
        <w:rPr>
          <w:rFonts w:ascii="仿宋" w:hAnsi="仿宋" w:eastAsia="仿宋" w:cs="仿宋"/>
          <w:sz w:val="32"/>
          <w:szCs w:val="32"/>
        </w:rPr>
        <w:t>0</w:t>
      </w:r>
      <w:r>
        <w:rPr>
          <w:rFonts w:hint="eastAsia" w:ascii="仿宋" w:hAnsi="仿宋" w:eastAsia="仿宋" w:cs="仿宋"/>
          <w:sz w:val="32"/>
          <w:szCs w:val="32"/>
        </w:rPr>
        <w:t>万元。实际支出比预算数增加，主要是我局</w:t>
      </w:r>
      <w:r>
        <w:rPr>
          <w:rFonts w:ascii="仿宋" w:hAnsi="仿宋" w:eastAsia="仿宋" w:cs="仿宋"/>
          <w:sz w:val="32"/>
          <w:szCs w:val="32"/>
        </w:rPr>
        <w:t>2023</w:t>
      </w:r>
      <w:r>
        <w:rPr>
          <w:rFonts w:hint="eastAsia" w:ascii="仿宋" w:hAnsi="仿宋" w:eastAsia="仿宋" w:cs="仿宋"/>
          <w:sz w:val="32"/>
          <w:szCs w:val="32"/>
        </w:rPr>
        <w:t>年报废公务车后购买了新的公务用车。</w:t>
      </w:r>
    </w:p>
    <w:p w14:paraId="7B0B15BD">
      <w:pPr>
        <w:pStyle w:val="20"/>
        <w:widowControl/>
        <w:ind w:firstLine="643"/>
        <w:rPr>
          <w:rFonts w:ascii="仿宋" w:hAnsi="仿宋" w:eastAsia="仿宋"/>
          <w:b/>
          <w:sz w:val="32"/>
          <w:szCs w:val="32"/>
        </w:rPr>
      </w:pPr>
      <w:r>
        <w:rPr>
          <w:rFonts w:hint="eastAsia" w:ascii="仿宋" w:hAnsi="仿宋" w:eastAsia="仿宋"/>
          <w:b/>
          <w:sz w:val="32"/>
          <w:szCs w:val="32"/>
        </w:rPr>
        <w:t>（二）项目支出情况</w:t>
      </w:r>
    </w:p>
    <w:p w14:paraId="70B6BC97">
      <w:pPr>
        <w:widowControl/>
        <w:spacing w:line="600" w:lineRule="exact"/>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项目支出是在基本支出之外为完成其特定的行政工作任务而发生的支出及专项资金。</w:t>
      </w:r>
    </w:p>
    <w:p w14:paraId="28EDA559">
      <w:pPr>
        <w:widowControl/>
        <w:ind w:firstLine="640" w:firstLineChars="200"/>
        <w:rPr>
          <w:highlight w:val="green"/>
        </w:rPr>
      </w:pPr>
      <w:r>
        <w:rPr>
          <w:rFonts w:ascii="仿宋" w:hAnsi="仿宋" w:eastAsia="仿宋" w:cs="仿宋"/>
          <w:color w:val="000000"/>
          <w:sz w:val="32"/>
          <w:szCs w:val="32"/>
        </w:rPr>
        <w:t>2022</w:t>
      </w:r>
      <w:r>
        <w:rPr>
          <w:rFonts w:hint="eastAsia" w:ascii="仿宋" w:hAnsi="仿宋" w:eastAsia="仿宋" w:cs="仿宋"/>
          <w:color w:val="000000"/>
          <w:sz w:val="32"/>
          <w:szCs w:val="32"/>
        </w:rPr>
        <w:t>年度局机关项目支出</w:t>
      </w:r>
      <w:r>
        <w:rPr>
          <w:rFonts w:ascii="仿宋" w:hAnsi="仿宋" w:eastAsia="仿宋" w:cs="仿宋"/>
          <w:color w:val="000000"/>
          <w:sz w:val="32"/>
          <w:szCs w:val="32"/>
        </w:rPr>
        <w:t>1850.33</w:t>
      </w:r>
      <w:r>
        <w:rPr>
          <w:rFonts w:hint="eastAsia" w:ascii="仿宋" w:hAnsi="仿宋" w:eastAsia="仿宋" w:cs="仿宋"/>
          <w:color w:val="000000"/>
          <w:sz w:val="32"/>
          <w:szCs w:val="32"/>
        </w:rPr>
        <w:t>万元，其中：办公楼提质改造及消防工程</w:t>
      </w:r>
      <w:r>
        <w:rPr>
          <w:rFonts w:ascii="仿宋" w:hAnsi="仿宋" w:eastAsia="仿宋" w:cs="仿宋"/>
          <w:color w:val="000000"/>
          <w:sz w:val="32"/>
          <w:szCs w:val="32"/>
        </w:rPr>
        <w:t>18.52</w:t>
      </w:r>
      <w:r>
        <w:rPr>
          <w:rFonts w:hint="eastAsia" w:ascii="仿宋" w:hAnsi="仿宋" w:eastAsia="仿宋" w:cs="仿宋"/>
          <w:color w:val="000000"/>
          <w:sz w:val="32"/>
          <w:szCs w:val="32"/>
        </w:rPr>
        <w:t>万元，安全生产检查第三方评估费</w:t>
      </w:r>
      <w:r>
        <w:rPr>
          <w:rFonts w:ascii="仿宋" w:hAnsi="仿宋" w:eastAsia="仿宋" w:cs="仿宋"/>
          <w:color w:val="000000"/>
          <w:sz w:val="32"/>
          <w:szCs w:val="32"/>
        </w:rPr>
        <w:t>78.42</w:t>
      </w:r>
      <w:r>
        <w:rPr>
          <w:rFonts w:hint="eastAsia" w:ascii="仿宋" w:hAnsi="仿宋" w:eastAsia="仿宋" w:cs="仿宋"/>
          <w:color w:val="000000"/>
          <w:sz w:val="32"/>
          <w:szCs w:val="32"/>
        </w:rPr>
        <w:t>万元，军转干工资</w:t>
      </w:r>
      <w:r>
        <w:rPr>
          <w:rFonts w:ascii="仿宋" w:hAnsi="仿宋" w:eastAsia="仿宋" w:cs="仿宋"/>
          <w:color w:val="000000"/>
          <w:sz w:val="32"/>
          <w:szCs w:val="32"/>
        </w:rPr>
        <w:t>14.26</w:t>
      </w:r>
      <w:r>
        <w:rPr>
          <w:rFonts w:hint="eastAsia" w:ascii="仿宋" w:hAnsi="仿宋" w:eastAsia="仿宋" w:cs="仿宋"/>
          <w:color w:val="000000"/>
          <w:sz w:val="32"/>
          <w:szCs w:val="32"/>
        </w:rPr>
        <w:t>万元，防汛经费</w:t>
      </w:r>
      <w:r>
        <w:rPr>
          <w:rFonts w:ascii="仿宋" w:hAnsi="仿宋" w:eastAsia="仿宋" w:cs="仿宋"/>
          <w:color w:val="000000"/>
          <w:sz w:val="32"/>
          <w:szCs w:val="32"/>
        </w:rPr>
        <w:t>10</w:t>
      </w:r>
      <w:r>
        <w:rPr>
          <w:rFonts w:hint="eastAsia" w:ascii="仿宋" w:hAnsi="仿宋" w:eastAsia="仿宋" w:cs="仿宋"/>
          <w:color w:val="000000"/>
          <w:sz w:val="32"/>
          <w:szCs w:val="32"/>
        </w:rPr>
        <w:t>万元，广铁集团补助资金</w:t>
      </w:r>
      <w:r>
        <w:rPr>
          <w:rFonts w:ascii="仿宋" w:hAnsi="仿宋" w:eastAsia="仿宋" w:cs="仿宋"/>
          <w:color w:val="000000"/>
          <w:sz w:val="32"/>
          <w:szCs w:val="32"/>
        </w:rPr>
        <w:t>200</w:t>
      </w:r>
      <w:r>
        <w:rPr>
          <w:rFonts w:hint="eastAsia" w:ascii="仿宋" w:hAnsi="仿宋" w:eastAsia="仿宋" w:cs="仿宋"/>
          <w:color w:val="000000"/>
          <w:sz w:val="32"/>
          <w:szCs w:val="32"/>
        </w:rPr>
        <w:t>万元，公务车辆购置</w:t>
      </w:r>
      <w:r>
        <w:rPr>
          <w:rFonts w:ascii="仿宋" w:hAnsi="仿宋" w:eastAsia="仿宋" w:cs="仿宋"/>
          <w:color w:val="000000"/>
          <w:sz w:val="32"/>
          <w:szCs w:val="32"/>
        </w:rPr>
        <w:t>24.98</w:t>
      </w:r>
      <w:r>
        <w:rPr>
          <w:rFonts w:hint="eastAsia" w:ascii="仿宋" w:hAnsi="仿宋" w:eastAsia="仿宋" w:cs="仿宋"/>
          <w:color w:val="000000"/>
          <w:sz w:val="32"/>
          <w:szCs w:val="32"/>
        </w:rPr>
        <w:t>万元，治超工作经费</w:t>
      </w:r>
      <w:r>
        <w:rPr>
          <w:rFonts w:ascii="仿宋" w:hAnsi="仿宋" w:eastAsia="仿宋" w:cs="仿宋"/>
          <w:color w:val="000000"/>
          <w:sz w:val="32"/>
          <w:szCs w:val="32"/>
        </w:rPr>
        <w:t>50</w:t>
      </w:r>
      <w:r>
        <w:rPr>
          <w:rFonts w:hint="eastAsia" w:ascii="仿宋" w:hAnsi="仿宋" w:eastAsia="仿宋" w:cs="仿宋"/>
          <w:color w:val="000000"/>
          <w:sz w:val="32"/>
          <w:szCs w:val="32"/>
        </w:rPr>
        <w:t>万元，两客一危监管专项</w:t>
      </w:r>
      <w:r>
        <w:rPr>
          <w:rFonts w:ascii="仿宋" w:hAnsi="仿宋" w:eastAsia="仿宋" w:cs="仿宋"/>
          <w:color w:val="000000"/>
          <w:sz w:val="32"/>
          <w:szCs w:val="32"/>
        </w:rPr>
        <w:t>19.98</w:t>
      </w:r>
      <w:r>
        <w:rPr>
          <w:rFonts w:hint="eastAsia" w:ascii="仿宋" w:hAnsi="仿宋" w:eastAsia="仿宋" w:cs="仿宋"/>
          <w:color w:val="000000"/>
          <w:sz w:val="32"/>
          <w:szCs w:val="32"/>
        </w:rPr>
        <w:t>万元，疫情防控专项</w:t>
      </w:r>
      <w:r>
        <w:rPr>
          <w:rFonts w:ascii="仿宋" w:hAnsi="仿宋" w:eastAsia="仿宋" w:cs="仿宋"/>
          <w:color w:val="000000"/>
          <w:sz w:val="32"/>
          <w:szCs w:val="32"/>
        </w:rPr>
        <w:t>1.16</w:t>
      </w:r>
      <w:r>
        <w:rPr>
          <w:rFonts w:hint="eastAsia" w:ascii="仿宋" w:hAnsi="仿宋" w:eastAsia="仿宋" w:cs="仿宋"/>
          <w:color w:val="000000"/>
          <w:sz w:val="32"/>
          <w:szCs w:val="32"/>
        </w:rPr>
        <w:t>万元，乡村振兴</w:t>
      </w:r>
      <w:r>
        <w:rPr>
          <w:rFonts w:ascii="仿宋" w:hAnsi="仿宋" w:eastAsia="仿宋" w:cs="仿宋"/>
          <w:color w:val="000000"/>
          <w:sz w:val="32"/>
          <w:szCs w:val="32"/>
        </w:rPr>
        <w:t>39.91</w:t>
      </w:r>
      <w:r>
        <w:rPr>
          <w:rFonts w:hint="eastAsia" w:ascii="仿宋" w:hAnsi="仿宋" w:eastAsia="仿宋" w:cs="仿宋"/>
          <w:color w:val="000000"/>
          <w:sz w:val="32"/>
          <w:szCs w:val="32"/>
        </w:rPr>
        <w:t>万元，治超平台经费</w:t>
      </w:r>
      <w:r>
        <w:rPr>
          <w:rFonts w:ascii="仿宋" w:hAnsi="仿宋" w:eastAsia="仿宋" w:cs="仿宋"/>
          <w:color w:val="000000"/>
          <w:sz w:val="32"/>
          <w:szCs w:val="32"/>
        </w:rPr>
        <w:t>36.39</w:t>
      </w:r>
      <w:r>
        <w:rPr>
          <w:rFonts w:hint="eastAsia" w:ascii="仿宋" w:hAnsi="仿宋" w:eastAsia="仿宋" w:cs="仿宋"/>
          <w:color w:val="000000"/>
          <w:sz w:val="32"/>
          <w:szCs w:val="32"/>
        </w:rPr>
        <w:t>万元，网约车监管平台建设</w:t>
      </w:r>
      <w:r>
        <w:rPr>
          <w:rFonts w:ascii="仿宋" w:hAnsi="仿宋" w:eastAsia="仿宋" w:cs="仿宋"/>
          <w:color w:val="000000"/>
          <w:sz w:val="32"/>
          <w:szCs w:val="32"/>
        </w:rPr>
        <w:t>50</w:t>
      </w:r>
      <w:r>
        <w:rPr>
          <w:rFonts w:hint="eastAsia" w:ascii="仿宋" w:hAnsi="仿宋" w:eastAsia="仿宋" w:cs="仿宋"/>
          <w:color w:val="000000"/>
          <w:sz w:val="32"/>
          <w:szCs w:val="32"/>
        </w:rPr>
        <w:t>万元，衡阳市桥区水域界限标设置工程款</w:t>
      </w:r>
      <w:r>
        <w:rPr>
          <w:rFonts w:ascii="仿宋" w:hAnsi="仿宋" w:eastAsia="仿宋" w:cs="仿宋"/>
          <w:color w:val="000000"/>
          <w:sz w:val="32"/>
          <w:szCs w:val="32"/>
        </w:rPr>
        <w:t>51.4</w:t>
      </w:r>
      <w:r>
        <w:rPr>
          <w:rFonts w:hint="eastAsia" w:ascii="仿宋" w:hAnsi="仿宋" w:eastAsia="仿宋" w:cs="仿宋"/>
          <w:color w:val="000000"/>
          <w:sz w:val="32"/>
          <w:szCs w:val="32"/>
        </w:rPr>
        <w:t>万元，交通事业发展专项</w:t>
      </w:r>
      <w:r>
        <w:rPr>
          <w:rFonts w:ascii="仿宋" w:hAnsi="仿宋" w:eastAsia="仿宋" w:cs="仿宋"/>
          <w:color w:val="000000"/>
          <w:sz w:val="32"/>
          <w:szCs w:val="32"/>
        </w:rPr>
        <w:t>28.84</w:t>
      </w:r>
      <w:r>
        <w:rPr>
          <w:rFonts w:hint="eastAsia" w:ascii="仿宋" w:hAnsi="仿宋" w:eastAsia="仿宋" w:cs="仿宋"/>
          <w:color w:val="000000"/>
          <w:sz w:val="32"/>
          <w:szCs w:val="32"/>
        </w:rPr>
        <w:t>万元，</w:t>
      </w:r>
      <w:r>
        <w:rPr>
          <w:rFonts w:ascii="仿宋" w:hAnsi="仿宋" w:eastAsia="仿宋" w:cs="仿宋"/>
          <w:color w:val="000000"/>
          <w:sz w:val="32"/>
          <w:szCs w:val="32"/>
        </w:rPr>
        <w:t>95128</w:t>
      </w:r>
      <w:r>
        <w:rPr>
          <w:rFonts w:hint="eastAsia" w:ascii="仿宋" w:hAnsi="仿宋" w:eastAsia="仿宋" w:cs="仿宋"/>
          <w:color w:val="000000"/>
          <w:sz w:val="32"/>
          <w:szCs w:val="32"/>
        </w:rPr>
        <w:t>费用支出</w:t>
      </w:r>
      <w:r>
        <w:rPr>
          <w:rFonts w:ascii="仿宋" w:hAnsi="仿宋" w:eastAsia="仿宋" w:cs="仿宋"/>
          <w:color w:val="000000"/>
          <w:sz w:val="32"/>
          <w:szCs w:val="32"/>
        </w:rPr>
        <w:t>12.5</w:t>
      </w:r>
      <w:r>
        <w:rPr>
          <w:rFonts w:hint="eastAsia" w:ascii="仿宋" w:hAnsi="仿宋" w:eastAsia="仿宋" w:cs="仿宋"/>
          <w:color w:val="000000"/>
          <w:sz w:val="32"/>
          <w:szCs w:val="32"/>
        </w:rPr>
        <w:t>万元，驻市交通局纪检组专项经费</w:t>
      </w:r>
      <w:r>
        <w:rPr>
          <w:rFonts w:ascii="仿宋" w:hAnsi="仿宋" w:eastAsia="仿宋" w:cs="仿宋"/>
          <w:color w:val="000000"/>
          <w:sz w:val="32"/>
          <w:szCs w:val="32"/>
        </w:rPr>
        <w:t>6</w:t>
      </w:r>
      <w:r>
        <w:rPr>
          <w:rFonts w:hint="eastAsia" w:ascii="仿宋" w:hAnsi="仿宋" w:eastAsia="仿宋" w:cs="仿宋"/>
          <w:color w:val="000000"/>
          <w:sz w:val="32"/>
          <w:szCs w:val="32"/>
        </w:rPr>
        <w:t>万元，两客一危运维</w:t>
      </w:r>
      <w:r>
        <w:rPr>
          <w:rFonts w:ascii="仿宋" w:hAnsi="仿宋" w:eastAsia="仿宋" w:cs="仿宋"/>
          <w:color w:val="000000"/>
          <w:sz w:val="32"/>
          <w:szCs w:val="32"/>
        </w:rPr>
        <w:t>34.9</w:t>
      </w:r>
      <w:r>
        <w:rPr>
          <w:rFonts w:hint="eastAsia" w:ascii="仿宋" w:hAnsi="仿宋" w:eastAsia="仿宋" w:cs="仿宋"/>
          <w:color w:val="000000"/>
          <w:sz w:val="32"/>
          <w:szCs w:val="32"/>
        </w:rPr>
        <w:t>万元，《衡阳市出租汽车和旅游客运市场调查和运力发展研究报告》修编费用</w:t>
      </w:r>
      <w:r>
        <w:rPr>
          <w:rFonts w:ascii="仿宋" w:hAnsi="仿宋" w:eastAsia="仿宋" w:cs="仿宋"/>
          <w:color w:val="000000"/>
          <w:sz w:val="32"/>
          <w:szCs w:val="32"/>
        </w:rPr>
        <w:t>14.7</w:t>
      </w:r>
      <w:r>
        <w:rPr>
          <w:rFonts w:hint="eastAsia" w:ascii="仿宋" w:hAnsi="仿宋" w:eastAsia="仿宋" w:cs="仿宋"/>
          <w:color w:val="000000"/>
          <w:sz w:val="32"/>
          <w:szCs w:val="32"/>
        </w:rPr>
        <w:t>万元，长沙国际物流与交通博览会建设资金</w:t>
      </w:r>
      <w:r>
        <w:rPr>
          <w:rFonts w:ascii="仿宋" w:hAnsi="仿宋" w:eastAsia="仿宋" w:cs="仿宋"/>
          <w:color w:val="000000"/>
          <w:sz w:val="32"/>
          <w:szCs w:val="32"/>
        </w:rPr>
        <w:t>61.1</w:t>
      </w:r>
      <w:r>
        <w:rPr>
          <w:rFonts w:hint="eastAsia" w:ascii="仿宋" w:hAnsi="仿宋" w:eastAsia="仿宋" w:cs="仿宋"/>
          <w:color w:val="000000"/>
          <w:sz w:val="32"/>
          <w:szCs w:val="32"/>
        </w:rPr>
        <w:t>万元，衡阳市城市绿色货运配送示范工程实施方案编制经费</w:t>
      </w:r>
      <w:r>
        <w:rPr>
          <w:rFonts w:ascii="仿宋" w:hAnsi="仿宋" w:eastAsia="仿宋" w:cs="仿宋"/>
          <w:color w:val="000000"/>
          <w:sz w:val="32"/>
          <w:szCs w:val="32"/>
        </w:rPr>
        <w:t>74.8</w:t>
      </w:r>
      <w:r>
        <w:rPr>
          <w:rFonts w:hint="eastAsia" w:ascii="仿宋" w:hAnsi="仿宋" w:eastAsia="仿宋" w:cs="仿宋"/>
          <w:color w:val="000000"/>
          <w:sz w:val="32"/>
          <w:szCs w:val="32"/>
        </w:rPr>
        <w:t>万元，出租车顶灯公益广告宣传补贴资金</w:t>
      </w:r>
      <w:r>
        <w:rPr>
          <w:rFonts w:ascii="仿宋" w:hAnsi="仿宋" w:eastAsia="仿宋" w:cs="仿宋"/>
          <w:color w:val="000000"/>
          <w:sz w:val="32"/>
          <w:szCs w:val="32"/>
        </w:rPr>
        <w:t>49</w:t>
      </w:r>
      <w:r>
        <w:rPr>
          <w:rFonts w:hint="eastAsia" w:ascii="仿宋" w:hAnsi="仿宋" w:eastAsia="仿宋" w:cs="仿宋"/>
          <w:color w:val="000000"/>
          <w:sz w:val="32"/>
          <w:szCs w:val="32"/>
        </w:rPr>
        <w:t>万元，交通运输事业发展经费</w:t>
      </w:r>
      <w:r>
        <w:rPr>
          <w:rFonts w:ascii="仿宋" w:hAnsi="仿宋" w:eastAsia="仿宋" w:cs="仿宋"/>
          <w:color w:val="000000"/>
          <w:sz w:val="32"/>
          <w:szCs w:val="32"/>
        </w:rPr>
        <w:t>5.95</w:t>
      </w:r>
      <w:r>
        <w:rPr>
          <w:rFonts w:hint="eastAsia" w:ascii="仿宋" w:hAnsi="仿宋" w:eastAsia="仿宋" w:cs="仿宋"/>
          <w:color w:val="000000"/>
          <w:sz w:val="32"/>
          <w:szCs w:val="32"/>
        </w:rPr>
        <w:t>万元，新冠肺炎防控的工作经费</w:t>
      </w:r>
      <w:r>
        <w:rPr>
          <w:rFonts w:ascii="仿宋" w:hAnsi="仿宋" w:eastAsia="仿宋" w:cs="仿宋"/>
          <w:color w:val="000000"/>
          <w:sz w:val="32"/>
          <w:szCs w:val="32"/>
        </w:rPr>
        <w:t>277.33</w:t>
      </w:r>
      <w:r>
        <w:rPr>
          <w:rFonts w:hint="eastAsia" w:ascii="仿宋" w:hAnsi="仿宋" w:eastAsia="仿宋" w:cs="仿宋"/>
          <w:color w:val="000000"/>
          <w:sz w:val="32"/>
          <w:szCs w:val="32"/>
        </w:rPr>
        <w:t>万元，春节慰问资金</w:t>
      </w:r>
      <w:r>
        <w:rPr>
          <w:rFonts w:ascii="仿宋" w:hAnsi="仿宋" w:eastAsia="仿宋" w:cs="仿宋"/>
          <w:color w:val="000000"/>
          <w:sz w:val="32"/>
          <w:szCs w:val="32"/>
        </w:rPr>
        <w:t>90.57</w:t>
      </w:r>
      <w:r>
        <w:rPr>
          <w:rFonts w:hint="eastAsia" w:ascii="仿宋" w:hAnsi="仿宋" w:eastAsia="仿宋" w:cs="仿宋"/>
          <w:color w:val="000000"/>
          <w:sz w:val="32"/>
          <w:szCs w:val="32"/>
        </w:rPr>
        <w:t>万元，弘湘公司拨耒水公司借款</w:t>
      </w:r>
      <w:r>
        <w:rPr>
          <w:rFonts w:ascii="仿宋" w:hAnsi="仿宋" w:eastAsia="仿宋" w:cs="仿宋"/>
          <w:color w:val="000000"/>
          <w:sz w:val="32"/>
          <w:szCs w:val="32"/>
        </w:rPr>
        <w:t>473</w:t>
      </w:r>
      <w:r>
        <w:rPr>
          <w:rFonts w:hint="eastAsia" w:ascii="仿宋" w:hAnsi="仿宋" w:eastAsia="仿宋" w:cs="仿宋"/>
          <w:color w:val="000000"/>
          <w:sz w:val="32"/>
          <w:szCs w:val="32"/>
        </w:rPr>
        <w:t>万元，弘湘公司拨西合铁路借款</w:t>
      </w:r>
      <w:r>
        <w:rPr>
          <w:rFonts w:ascii="仿宋" w:hAnsi="仿宋" w:eastAsia="仿宋" w:cs="仿宋"/>
          <w:color w:val="000000"/>
          <w:sz w:val="32"/>
          <w:szCs w:val="32"/>
        </w:rPr>
        <w:t>86.62</w:t>
      </w:r>
      <w:r>
        <w:rPr>
          <w:rFonts w:hint="eastAsia" w:ascii="仿宋" w:hAnsi="仿宋" w:eastAsia="仿宋" w:cs="仿宋"/>
          <w:color w:val="000000"/>
          <w:sz w:val="32"/>
          <w:szCs w:val="32"/>
        </w:rPr>
        <w:t>万元</w:t>
      </w:r>
      <w:r>
        <w:rPr>
          <w:rFonts w:ascii="仿宋" w:hAnsi="仿宋" w:eastAsia="仿宋" w:cs="仿宋"/>
          <w:color w:val="000000"/>
          <w:sz w:val="32"/>
          <w:szCs w:val="32"/>
        </w:rPr>
        <w:t>,</w:t>
      </w:r>
      <w:r>
        <w:rPr>
          <w:rFonts w:hint="eastAsia" w:ascii="仿宋" w:hAnsi="仿宋" w:eastAsia="仿宋" w:cs="仿宋"/>
          <w:color w:val="000000"/>
          <w:sz w:val="32"/>
          <w:szCs w:val="32"/>
        </w:rPr>
        <w:t>衡阳老便桥拆除</w:t>
      </w:r>
      <w:r>
        <w:rPr>
          <w:rFonts w:ascii="仿宋" w:hAnsi="仿宋" w:eastAsia="仿宋" w:cs="仿宋"/>
          <w:color w:val="000000"/>
          <w:sz w:val="32"/>
          <w:szCs w:val="32"/>
        </w:rPr>
        <w:t>40</w:t>
      </w:r>
      <w:r>
        <w:rPr>
          <w:rFonts w:hint="eastAsia" w:ascii="仿宋" w:hAnsi="仿宋" w:eastAsia="仿宋" w:cs="仿宋"/>
          <w:color w:val="000000"/>
          <w:sz w:val="32"/>
          <w:szCs w:val="32"/>
        </w:rPr>
        <w:t>万元。</w:t>
      </w:r>
    </w:p>
    <w:p w14:paraId="6CD6FCD4">
      <w:pPr>
        <w:pStyle w:val="20"/>
        <w:widowControl/>
        <w:ind w:left="420" w:leftChars="200" w:firstLine="321" w:firstLineChars="100"/>
        <w:rPr>
          <w:rFonts w:ascii="仿宋" w:hAnsi="仿宋" w:eastAsia="仿宋" w:cs="仿宋"/>
          <w:sz w:val="32"/>
          <w:szCs w:val="32"/>
        </w:rPr>
      </w:pPr>
      <w:r>
        <w:rPr>
          <w:rFonts w:hint="eastAsia" w:ascii="仿宋" w:hAnsi="仿宋" w:eastAsia="仿宋"/>
          <w:b/>
          <w:sz w:val="32"/>
          <w:szCs w:val="32"/>
        </w:rPr>
        <w:t>三、</w:t>
      </w:r>
      <w:r>
        <w:rPr>
          <w:rFonts w:hint="eastAsia" w:ascii="黑体" w:hAnsi="黑体" w:eastAsia="黑体"/>
          <w:sz w:val="32"/>
          <w:szCs w:val="32"/>
        </w:rPr>
        <w:t>政府性基金预算支出情况</w:t>
      </w:r>
    </w:p>
    <w:p w14:paraId="3D4DD74C">
      <w:pPr>
        <w:pStyle w:val="20"/>
        <w:widowControl/>
        <w:ind w:left="420" w:leftChars="200" w:firstLine="320" w:firstLineChars="100"/>
        <w:rPr>
          <w:rFonts w:ascii="仿宋" w:hAnsi="仿宋" w:eastAsia="仿宋" w:cs="仿宋"/>
          <w:sz w:val="32"/>
          <w:szCs w:val="32"/>
        </w:rPr>
      </w:pPr>
      <w:r>
        <w:rPr>
          <w:rFonts w:hint="eastAsia" w:ascii="仿宋" w:hAnsi="仿宋" w:eastAsia="仿宋" w:cs="仿宋"/>
          <w:sz w:val="32"/>
          <w:szCs w:val="32"/>
        </w:rPr>
        <w:t>我单位没有政府性基金预算支出。</w:t>
      </w:r>
    </w:p>
    <w:p w14:paraId="74CDE0D3">
      <w:pPr>
        <w:pStyle w:val="20"/>
        <w:widowControl/>
        <w:ind w:left="630" w:firstLine="0" w:firstLineChars="0"/>
        <w:rPr>
          <w:rFonts w:ascii="仿宋" w:hAnsi="仿宋" w:eastAsia="仿宋" w:cs="仿宋"/>
          <w:b/>
          <w:bCs/>
          <w:sz w:val="32"/>
          <w:szCs w:val="32"/>
        </w:rPr>
      </w:pPr>
      <w:r>
        <w:rPr>
          <w:rFonts w:hint="eastAsia" w:ascii="仿宋" w:hAnsi="仿宋" w:eastAsia="仿宋" w:cs="仿宋"/>
          <w:b/>
          <w:bCs/>
          <w:sz w:val="32"/>
          <w:szCs w:val="32"/>
        </w:rPr>
        <w:t>四、国有资本经营预算支出情况</w:t>
      </w:r>
    </w:p>
    <w:p w14:paraId="68ED9CA3">
      <w:pPr>
        <w:pStyle w:val="20"/>
        <w:widowControl/>
        <w:ind w:left="420" w:leftChars="200" w:firstLine="320" w:firstLineChars="100"/>
        <w:rPr>
          <w:rFonts w:ascii="仿宋" w:hAnsi="仿宋" w:eastAsia="仿宋" w:cs="仿宋"/>
          <w:sz w:val="32"/>
          <w:szCs w:val="32"/>
        </w:rPr>
      </w:pPr>
      <w:r>
        <w:rPr>
          <w:rFonts w:hint="eastAsia" w:ascii="仿宋" w:hAnsi="仿宋" w:eastAsia="仿宋" w:cs="仿宋"/>
          <w:sz w:val="32"/>
          <w:szCs w:val="32"/>
        </w:rPr>
        <w:t>我单位没有国有资本经营预算支出。</w:t>
      </w:r>
    </w:p>
    <w:p w14:paraId="663F81BD">
      <w:pPr>
        <w:pStyle w:val="20"/>
        <w:widowControl/>
        <w:ind w:left="630" w:firstLine="0" w:firstLineChars="0"/>
        <w:rPr>
          <w:rFonts w:ascii="仿宋" w:hAnsi="仿宋" w:eastAsia="仿宋" w:cs="仿宋"/>
          <w:b/>
          <w:bCs/>
          <w:sz w:val="32"/>
          <w:szCs w:val="32"/>
        </w:rPr>
      </w:pPr>
      <w:r>
        <w:rPr>
          <w:rFonts w:hint="eastAsia" w:ascii="仿宋" w:hAnsi="仿宋" w:eastAsia="仿宋" w:cs="仿宋"/>
          <w:b/>
          <w:bCs/>
          <w:sz w:val="32"/>
          <w:szCs w:val="32"/>
        </w:rPr>
        <w:t>五、社会保险基金预算支出情况</w:t>
      </w:r>
    </w:p>
    <w:p w14:paraId="4DA900A8">
      <w:pPr>
        <w:pStyle w:val="20"/>
        <w:widowControl/>
        <w:ind w:left="420" w:leftChars="200" w:firstLine="320" w:firstLineChars="100"/>
        <w:rPr>
          <w:rFonts w:ascii="仿宋" w:hAnsi="仿宋" w:eastAsia="仿宋" w:cs="仿宋"/>
          <w:sz w:val="32"/>
          <w:szCs w:val="32"/>
        </w:rPr>
      </w:pPr>
      <w:r>
        <w:rPr>
          <w:rFonts w:hint="eastAsia" w:ascii="仿宋" w:hAnsi="仿宋" w:eastAsia="仿宋" w:cs="仿宋"/>
          <w:sz w:val="32"/>
          <w:szCs w:val="32"/>
        </w:rPr>
        <w:t>我单位没有社会保险基金预算支出。</w:t>
      </w:r>
    </w:p>
    <w:p w14:paraId="15E87190">
      <w:pPr>
        <w:widowControl/>
        <w:ind w:left="630"/>
        <w:rPr>
          <w:rFonts w:ascii="仿宋" w:hAnsi="仿宋" w:eastAsia="仿宋" w:cs="仿宋"/>
          <w:b/>
          <w:bCs/>
          <w:sz w:val="32"/>
          <w:szCs w:val="32"/>
        </w:rPr>
      </w:pPr>
      <w:r>
        <w:rPr>
          <w:rFonts w:hint="eastAsia" w:ascii="仿宋" w:hAnsi="仿宋" w:eastAsia="仿宋" w:cs="仿宋"/>
          <w:b/>
          <w:bCs/>
          <w:sz w:val="32"/>
          <w:szCs w:val="32"/>
        </w:rPr>
        <w:t>六、部门整体支出绩效情况</w:t>
      </w:r>
    </w:p>
    <w:p w14:paraId="3F7CF3F9">
      <w:pPr>
        <w:ind w:firstLine="321" w:firstLineChars="100"/>
        <w:rPr>
          <w:rFonts w:ascii="仿宋" w:hAnsi="仿宋" w:eastAsia="仿宋" w:cs="仿宋"/>
          <w:sz w:val="32"/>
          <w:szCs w:val="32"/>
        </w:rPr>
      </w:pPr>
      <w:r>
        <w:rPr>
          <w:rFonts w:hint="eastAsia" w:ascii="仿宋" w:hAnsi="仿宋" w:eastAsia="仿宋" w:cs="仿宋"/>
          <w:b/>
          <w:bCs/>
          <w:sz w:val="32"/>
          <w:szCs w:val="32"/>
        </w:rPr>
        <w:t>（一）部门整体目标完成情况</w:t>
      </w:r>
    </w:p>
    <w:p w14:paraId="30CFE909">
      <w:pPr>
        <w:adjustRightInd w:val="0"/>
        <w:snapToGrid w:val="0"/>
        <w:spacing w:line="580" w:lineRule="exact"/>
        <w:ind w:firstLine="616" w:firstLineChars="200"/>
        <w:rPr>
          <w:rFonts w:ascii="仿宋" w:hAnsi="仿宋" w:eastAsia="仿宋" w:cs="仿宋"/>
          <w:color w:val="000000"/>
          <w:sz w:val="32"/>
          <w:szCs w:val="32"/>
        </w:rPr>
      </w:pPr>
      <w:r>
        <w:rPr>
          <w:rFonts w:ascii="仿宋" w:hAnsi="仿宋" w:eastAsia="仿宋" w:cs="仿宋"/>
          <w:color w:val="000000"/>
          <w:spacing w:val="-6"/>
          <w:sz w:val="32"/>
          <w:szCs w:val="32"/>
        </w:rPr>
        <w:t>2023</w:t>
      </w:r>
      <w:r>
        <w:rPr>
          <w:rFonts w:hint="eastAsia" w:ascii="仿宋" w:hAnsi="仿宋" w:eastAsia="仿宋" w:cs="仿宋"/>
          <w:color w:val="000000"/>
          <w:spacing w:val="-6"/>
          <w:sz w:val="32"/>
          <w:szCs w:val="32"/>
        </w:rPr>
        <w:t>年，在市委、市政府的坚强领导下，在市人大、市政协的关心支持下，面对经济下行压力、新冠疫情影响、资金筹集困难等多种不利因素，</w:t>
      </w:r>
      <w:r>
        <w:rPr>
          <w:rFonts w:hint="eastAsia" w:ascii="仿宋" w:hAnsi="仿宋" w:eastAsia="仿宋" w:cs="仿宋"/>
          <w:color w:val="000000"/>
          <w:sz w:val="32"/>
          <w:szCs w:val="32"/>
        </w:rPr>
        <w:t>全系统广大干部职工迎难而上，</w:t>
      </w:r>
      <w:r>
        <w:rPr>
          <w:rFonts w:hint="eastAsia" w:ascii="仿宋" w:hAnsi="仿宋" w:eastAsia="仿宋" w:cs="仿宋"/>
          <w:color w:val="000000"/>
          <w:spacing w:val="-6"/>
          <w:sz w:val="32"/>
          <w:szCs w:val="32"/>
        </w:rPr>
        <w:t>主动作为，勇于担当，</w:t>
      </w:r>
      <w:r>
        <w:rPr>
          <w:rFonts w:hint="eastAsia" w:ascii="仿宋" w:hAnsi="仿宋" w:eastAsia="仿宋" w:cs="仿宋"/>
          <w:color w:val="000000"/>
          <w:sz w:val="32"/>
          <w:szCs w:val="32"/>
        </w:rPr>
        <w:t>奋力</w:t>
      </w:r>
      <w:r>
        <w:rPr>
          <w:rFonts w:hint="eastAsia" w:ascii="仿宋" w:hAnsi="仿宋" w:eastAsia="仿宋" w:cs="仿宋"/>
          <w:color w:val="000000"/>
          <w:spacing w:val="-6"/>
          <w:sz w:val="32"/>
          <w:szCs w:val="32"/>
        </w:rPr>
        <w:t>攻坚，</w:t>
      </w:r>
      <w:r>
        <w:rPr>
          <w:rFonts w:hint="eastAsia" w:ascii="仿宋" w:hAnsi="仿宋" w:eastAsia="仿宋" w:cs="仿宋"/>
          <w:color w:val="000000"/>
          <w:sz w:val="32"/>
          <w:szCs w:val="32"/>
        </w:rPr>
        <w:t>全市交通运输工作抓出了成效。</w:t>
      </w:r>
    </w:p>
    <w:p w14:paraId="3E928320">
      <w:pPr>
        <w:spacing w:line="560" w:lineRule="exact"/>
        <w:ind w:firstLine="640"/>
        <w:rPr>
          <w:rFonts w:eastAsia="仿宋_GB2312"/>
          <w:sz w:val="32"/>
          <w:szCs w:val="32"/>
        </w:rPr>
      </w:pPr>
      <w:r>
        <w:rPr>
          <w:rFonts w:hint="eastAsia" w:ascii="Times New Roman" w:hAnsi="Times New Roman" w:eastAsia="楷体_GB2312"/>
          <w:b/>
          <w:sz w:val="32"/>
          <w:szCs w:val="32"/>
        </w:rPr>
        <w:t>服务大局交出好答卷。</w:t>
      </w:r>
      <w:r>
        <w:rPr>
          <w:rFonts w:hint="eastAsia" w:ascii="Times New Roman" w:hAnsi="Times New Roman" w:eastAsia="仿宋_GB2312"/>
          <w:sz w:val="32"/>
          <w:szCs w:val="32"/>
        </w:rPr>
        <w:t>从全市大</w:t>
      </w:r>
      <w:r>
        <w:rPr>
          <w:rFonts w:hint="eastAsia" w:eastAsia="仿宋_GB2312"/>
          <w:sz w:val="32"/>
          <w:szCs w:val="32"/>
        </w:rPr>
        <w:t>局出发谋划工作，以交通一域之光，为衡阳全局添彩。</w:t>
      </w:r>
      <w:r>
        <w:rPr>
          <w:rFonts w:hint="eastAsia" w:eastAsia="仿宋_GB2312"/>
          <w:b/>
          <w:bCs/>
          <w:sz w:val="32"/>
          <w:szCs w:val="32"/>
        </w:rPr>
        <w:t>一是胸怀“国之大者”。</w:t>
      </w:r>
      <w:r>
        <w:rPr>
          <w:rFonts w:hint="eastAsia" w:eastAsia="仿宋_GB2312"/>
          <w:sz w:val="32"/>
          <w:szCs w:val="32"/>
        </w:rPr>
        <w:t>大力实施乡镇通三级路、旅游资源产业路、新村与撤并村间便捷连通路提质改造，一条条畅通的农村公路为农民致富奔小康、乡村振兴插上了腾飞的翅膀。驻村帮扶工作稳步推进，联点帮扶村巩固拓展了脱贫攻坚成果，村级基础设施得到完善，局驻村工作队第一轮期满考核评为全市优秀。</w:t>
      </w:r>
      <w:r>
        <w:rPr>
          <w:rFonts w:hint="eastAsia" w:eastAsia="仿宋_GB2312"/>
          <w:b/>
          <w:bCs/>
          <w:sz w:val="32"/>
          <w:szCs w:val="32"/>
        </w:rPr>
        <w:t>二是心系“省之大计”。</w:t>
      </w:r>
      <w:r>
        <w:rPr>
          <w:rFonts w:hint="eastAsia" w:eastAsia="仿宋_GB2312"/>
          <w:sz w:val="32"/>
          <w:szCs w:val="32"/>
        </w:rPr>
        <w:t>在加快实现“三高四新”美好蓝图中走在前。衡永、白南、茶常</w:t>
      </w:r>
      <w:r>
        <w:rPr>
          <w:rFonts w:eastAsia="仿宋_GB2312"/>
          <w:sz w:val="32"/>
          <w:szCs w:val="32"/>
        </w:rPr>
        <w:t>3</w:t>
      </w:r>
      <w:r>
        <w:rPr>
          <w:rFonts w:hint="eastAsia" w:eastAsia="仿宋_GB2312"/>
          <w:sz w:val="32"/>
          <w:szCs w:val="32"/>
        </w:rPr>
        <w:t>条高速公路进入路面施工阶段；京港澳高速耒宜段提质扩容工程启动征地拆迁和耒水大桥先行开工；京港澳高速株洲王十万至耒阳大市段提质扩容工程工可已通过审查，并同步启动施工图勘察设计工作。湘江衡阳至永州三级航道工程项目近尾洲二线船闸已正式通航。完成松木港港口资源整合，省委、省政府整合全省港航资源的重大部署迅速在衡阳落地见效。落实全省“一江一湖四水”生态环境保护部署，深入开展水上污染治理工作。督促全市船舶污染物接收、转运、处置形成闭环，</w:t>
      </w:r>
      <w:r>
        <w:rPr>
          <w:rFonts w:eastAsia="仿宋_GB2312"/>
          <w:sz w:val="32"/>
          <w:szCs w:val="32"/>
        </w:rPr>
        <w:t>65</w:t>
      </w:r>
      <w:r>
        <w:rPr>
          <w:rFonts w:hint="eastAsia" w:eastAsia="仿宋_GB2312"/>
          <w:sz w:val="32"/>
          <w:szCs w:val="32"/>
        </w:rPr>
        <w:t>艘船舶加装了生活污水储存柜，完成</w:t>
      </w:r>
      <w:r>
        <w:rPr>
          <w:rFonts w:eastAsia="仿宋_GB2312"/>
          <w:sz w:val="32"/>
          <w:szCs w:val="32"/>
        </w:rPr>
        <w:t>1,000</w:t>
      </w:r>
      <w:r>
        <w:rPr>
          <w:rFonts w:hint="eastAsia" w:eastAsia="仿宋_GB2312"/>
          <w:sz w:val="32"/>
          <w:szCs w:val="32"/>
        </w:rPr>
        <w:t>总吨以上船舶岸电受电装置的改造。开展船舶防污染监督检查</w:t>
      </w:r>
      <w:r>
        <w:rPr>
          <w:rFonts w:eastAsia="仿宋_GB2312"/>
          <w:sz w:val="32"/>
          <w:szCs w:val="32"/>
        </w:rPr>
        <w:t>626</w:t>
      </w:r>
      <w:r>
        <w:rPr>
          <w:rFonts w:hint="eastAsia" w:eastAsia="仿宋_GB2312"/>
          <w:sz w:val="32"/>
          <w:szCs w:val="32"/>
        </w:rPr>
        <w:t>次，查处违法违规行为</w:t>
      </w:r>
      <w:r>
        <w:rPr>
          <w:rFonts w:eastAsia="仿宋_GB2312"/>
          <w:sz w:val="32"/>
          <w:szCs w:val="32"/>
        </w:rPr>
        <w:t>17</w:t>
      </w:r>
      <w:r>
        <w:rPr>
          <w:rFonts w:hint="eastAsia" w:eastAsia="仿宋_GB2312"/>
          <w:sz w:val="32"/>
          <w:szCs w:val="32"/>
        </w:rPr>
        <w:t>起。保护了一江碧水，顺利通过了第二轮中央环保督察。</w:t>
      </w:r>
      <w:r>
        <w:rPr>
          <w:rFonts w:hint="eastAsia" w:eastAsia="仿宋_GB2312"/>
          <w:b/>
          <w:bCs/>
          <w:sz w:val="32"/>
          <w:szCs w:val="32"/>
        </w:rPr>
        <w:t>三是情牵“市之大事”。</w:t>
      </w:r>
      <w:r>
        <w:rPr>
          <w:rFonts w:hint="eastAsia" w:eastAsia="仿宋_GB2312"/>
          <w:sz w:val="32"/>
          <w:szCs w:val="32"/>
        </w:rPr>
        <w:t>在全市重点工作中当主力。助力全市打好经济增长主动仗，完成公路水路固定资产投资</w:t>
      </w:r>
      <w:r>
        <w:rPr>
          <w:rFonts w:eastAsia="仿宋_GB2312"/>
          <w:sz w:val="32"/>
          <w:szCs w:val="32"/>
        </w:rPr>
        <w:t>29.7</w:t>
      </w:r>
      <w:r>
        <w:rPr>
          <w:rFonts w:hint="eastAsia" w:eastAsia="仿宋_GB2312"/>
          <w:sz w:val="32"/>
          <w:szCs w:val="32"/>
        </w:rPr>
        <w:t>亿元，占全年目标的</w:t>
      </w:r>
      <w:r>
        <w:rPr>
          <w:rFonts w:eastAsia="仿宋_GB2312"/>
          <w:sz w:val="32"/>
          <w:szCs w:val="32"/>
        </w:rPr>
        <w:t>164%</w:t>
      </w:r>
      <w:r>
        <w:rPr>
          <w:rFonts w:hint="eastAsia" w:eastAsia="仿宋_GB2312"/>
          <w:sz w:val="32"/>
          <w:szCs w:val="32"/>
        </w:rPr>
        <w:t>。</w:t>
      </w:r>
      <w:r>
        <w:rPr>
          <w:rFonts w:eastAsia="仿宋_GB2312"/>
          <w:sz w:val="32"/>
          <w:szCs w:val="32"/>
        </w:rPr>
        <w:t>G240</w:t>
      </w:r>
      <w:r>
        <w:rPr>
          <w:rFonts w:hint="eastAsia" w:eastAsia="仿宋_GB2312"/>
          <w:sz w:val="32"/>
          <w:szCs w:val="32"/>
        </w:rPr>
        <w:t>衡山长青至白果公路已完工，南岳高速萱洲互通连接线、</w:t>
      </w:r>
      <w:r>
        <w:rPr>
          <w:rFonts w:eastAsia="仿宋_GB2312"/>
          <w:sz w:val="32"/>
          <w:szCs w:val="32"/>
        </w:rPr>
        <w:t>G234</w:t>
      </w:r>
      <w:r>
        <w:rPr>
          <w:rFonts w:hint="eastAsia" w:eastAsia="仿宋_GB2312"/>
          <w:sz w:val="32"/>
          <w:szCs w:val="32"/>
        </w:rPr>
        <w:t>祁东洪桥至归阳公路已开工建设，</w:t>
      </w:r>
      <w:r>
        <w:rPr>
          <w:rFonts w:eastAsia="仿宋_GB2312"/>
          <w:sz w:val="32"/>
          <w:szCs w:val="32"/>
        </w:rPr>
        <w:t>G234</w:t>
      </w:r>
      <w:r>
        <w:rPr>
          <w:rFonts w:hint="eastAsia" w:eastAsia="仿宋_GB2312"/>
          <w:sz w:val="32"/>
          <w:szCs w:val="32"/>
        </w:rPr>
        <w:t>常宁新河至蒲竹公路一期工程已开工建设，三期工程正在准备施工招投标；</w:t>
      </w:r>
      <w:r>
        <w:rPr>
          <w:rFonts w:eastAsia="仿宋_GB2312"/>
          <w:sz w:val="32"/>
          <w:szCs w:val="32"/>
        </w:rPr>
        <w:t>G107</w:t>
      </w:r>
      <w:r>
        <w:rPr>
          <w:rFonts w:hint="eastAsia" w:eastAsia="仿宋_GB2312"/>
          <w:sz w:val="32"/>
          <w:szCs w:val="32"/>
        </w:rPr>
        <w:t>耒阳绕城公路、</w:t>
      </w:r>
      <w:r>
        <w:rPr>
          <w:rFonts w:eastAsia="仿宋_GB2312"/>
          <w:sz w:val="32"/>
          <w:szCs w:val="32"/>
        </w:rPr>
        <w:t>G322</w:t>
      </w:r>
      <w:r>
        <w:rPr>
          <w:rFonts w:hint="eastAsia" w:eastAsia="仿宋_GB2312"/>
          <w:sz w:val="32"/>
          <w:szCs w:val="32"/>
        </w:rPr>
        <w:t>祁东县城改线等</w:t>
      </w:r>
      <w:r>
        <w:rPr>
          <w:rFonts w:eastAsia="仿宋_GB2312"/>
          <w:sz w:val="32"/>
          <w:szCs w:val="32"/>
        </w:rPr>
        <w:t>5</w:t>
      </w:r>
      <w:r>
        <w:rPr>
          <w:rFonts w:hint="eastAsia" w:eastAsia="仿宋_GB2312"/>
          <w:sz w:val="32"/>
          <w:szCs w:val="32"/>
        </w:rPr>
        <w:t>个国省道停缓建项目克服困难，强力推进，完成阶段性任务。完成农村公路提质改造</w:t>
      </w:r>
      <w:r>
        <w:rPr>
          <w:rFonts w:eastAsia="仿宋_GB2312"/>
          <w:sz w:val="32"/>
          <w:szCs w:val="32"/>
        </w:rPr>
        <w:t>568.58</w:t>
      </w:r>
      <w:r>
        <w:rPr>
          <w:rFonts w:hint="eastAsia" w:eastAsia="仿宋_GB2312"/>
          <w:sz w:val="32"/>
          <w:szCs w:val="32"/>
        </w:rPr>
        <w:t>公里、农村公路安防设施</w:t>
      </w:r>
      <w:r>
        <w:rPr>
          <w:rFonts w:eastAsia="仿宋_GB2312"/>
          <w:sz w:val="32"/>
          <w:szCs w:val="32"/>
        </w:rPr>
        <w:t>739.17</w:t>
      </w:r>
      <w:r>
        <w:rPr>
          <w:rFonts w:hint="eastAsia" w:eastAsia="仿宋_GB2312"/>
          <w:sz w:val="32"/>
          <w:szCs w:val="32"/>
        </w:rPr>
        <w:t>公里，分别为年度目标任务的</w:t>
      </w:r>
      <w:r>
        <w:rPr>
          <w:rFonts w:eastAsia="仿宋_GB2312"/>
          <w:sz w:val="32"/>
          <w:szCs w:val="32"/>
        </w:rPr>
        <w:t>117%</w:t>
      </w:r>
      <w:r>
        <w:rPr>
          <w:rFonts w:hint="eastAsia" w:eastAsia="仿宋_GB2312"/>
          <w:sz w:val="32"/>
          <w:szCs w:val="32"/>
        </w:rPr>
        <w:t>、</w:t>
      </w:r>
      <w:r>
        <w:rPr>
          <w:rFonts w:eastAsia="仿宋_GB2312"/>
          <w:sz w:val="32"/>
          <w:szCs w:val="32"/>
        </w:rPr>
        <w:t>116.8%</w:t>
      </w:r>
      <w:r>
        <w:rPr>
          <w:rFonts w:hint="eastAsia" w:eastAsia="仿宋_GB2312"/>
          <w:sz w:val="32"/>
          <w:szCs w:val="32"/>
        </w:rPr>
        <w:t>。完成国省干线安防设施精细化提升工程</w:t>
      </w:r>
      <w:r>
        <w:rPr>
          <w:rFonts w:eastAsia="仿宋_GB2312"/>
          <w:sz w:val="32"/>
          <w:szCs w:val="32"/>
        </w:rPr>
        <w:t>94.085</w:t>
      </w:r>
      <w:r>
        <w:rPr>
          <w:rFonts w:hint="eastAsia" w:eastAsia="仿宋_GB2312"/>
          <w:sz w:val="32"/>
          <w:szCs w:val="32"/>
        </w:rPr>
        <w:t>公里。完成危桥改造年度计划项目</w:t>
      </w:r>
      <w:r>
        <w:rPr>
          <w:rFonts w:eastAsia="仿宋_GB2312"/>
          <w:sz w:val="32"/>
          <w:szCs w:val="32"/>
        </w:rPr>
        <w:t>32</w:t>
      </w:r>
      <w:r>
        <w:rPr>
          <w:rFonts w:hint="eastAsia" w:eastAsia="仿宋_GB2312"/>
          <w:sz w:val="32"/>
          <w:szCs w:val="32"/>
        </w:rPr>
        <w:t>座，省委巡视组交办的</w:t>
      </w:r>
      <w:r>
        <w:rPr>
          <w:rFonts w:eastAsia="仿宋_GB2312"/>
          <w:sz w:val="32"/>
          <w:szCs w:val="32"/>
        </w:rPr>
        <w:t>50</w:t>
      </w:r>
      <w:r>
        <w:rPr>
          <w:rFonts w:hint="eastAsia" w:eastAsia="仿宋_GB2312"/>
          <w:sz w:val="32"/>
          <w:szCs w:val="32"/>
        </w:rPr>
        <w:t>座农村公路存量危桥整改全面启动，按计划完工</w:t>
      </w:r>
      <w:r>
        <w:rPr>
          <w:rFonts w:eastAsia="仿宋_GB2312"/>
          <w:sz w:val="32"/>
          <w:szCs w:val="32"/>
        </w:rPr>
        <w:t>18</w:t>
      </w:r>
      <w:r>
        <w:rPr>
          <w:rFonts w:hint="eastAsia" w:eastAsia="仿宋_GB2312"/>
          <w:sz w:val="32"/>
          <w:szCs w:val="32"/>
        </w:rPr>
        <w:t>座。落实市委“制造立市、文旅兴城”战略，筛选了一批与旅游发展密切衔接、建设条件较为成熟的交通项目，包含国省干线、农村公路、公路养护等</w:t>
      </w:r>
      <w:r>
        <w:rPr>
          <w:rFonts w:eastAsia="仿宋_GB2312"/>
          <w:sz w:val="32"/>
          <w:szCs w:val="32"/>
        </w:rPr>
        <w:t>3</w:t>
      </w:r>
      <w:r>
        <w:rPr>
          <w:rFonts w:hint="eastAsia" w:eastAsia="仿宋_GB2312"/>
          <w:sz w:val="32"/>
          <w:szCs w:val="32"/>
        </w:rPr>
        <w:t>类</w:t>
      </w:r>
      <w:r>
        <w:rPr>
          <w:rFonts w:eastAsia="仿宋_GB2312"/>
          <w:sz w:val="32"/>
          <w:szCs w:val="32"/>
        </w:rPr>
        <w:t>/20</w:t>
      </w:r>
      <w:r>
        <w:rPr>
          <w:rFonts w:hint="eastAsia" w:eastAsia="仿宋_GB2312"/>
          <w:sz w:val="32"/>
          <w:szCs w:val="32"/>
        </w:rPr>
        <w:t>个项目，总投资</w:t>
      </w:r>
      <w:r>
        <w:rPr>
          <w:rFonts w:eastAsia="仿宋_GB2312"/>
          <w:sz w:val="32"/>
          <w:szCs w:val="32"/>
        </w:rPr>
        <w:t>77</w:t>
      </w:r>
      <w:r>
        <w:rPr>
          <w:rFonts w:hint="eastAsia" w:eastAsia="仿宋_GB2312"/>
          <w:sz w:val="32"/>
          <w:szCs w:val="32"/>
        </w:rPr>
        <w:t>亿元。落实安全生产“五全一常态”机制和安全生产责任机制，开展水运领域、道路运输、质量安全应急演练</w:t>
      </w:r>
      <w:r>
        <w:rPr>
          <w:rFonts w:eastAsia="仿宋_GB2312"/>
          <w:sz w:val="32"/>
          <w:szCs w:val="32"/>
        </w:rPr>
        <w:t>3</w:t>
      </w:r>
      <w:r>
        <w:rPr>
          <w:rFonts w:hint="eastAsia" w:eastAsia="仿宋_GB2312"/>
          <w:sz w:val="32"/>
          <w:szCs w:val="32"/>
        </w:rPr>
        <w:t>场次，圆满完成“安全生产三年行动”“隐患清零”“交通顽瘴痼疾整治”等专项整治行动任务，全年没有发生较大及以上安全生产事故。按照市委、市政府关于衡汽集团破产重整的要求，积极做好保通保畅工作，协助有关部门抓好维稳工作，没有发生影响社会稳定的重大事件。以交通一域之安、之稳维护全市安全稳定大局，为建设更高水平“平安衡阳”奉献了交通力量。举全行业之力响应市委、市政府“创文”号召，坚持“全行业联动、全员参与”，行业精神文明进一步提升。在市委书记刘越高、市长朱健出席的表彰晚会上，共</w:t>
      </w:r>
      <w:r>
        <w:rPr>
          <w:rFonts w:eastAsia="仿宋_GB2312"/>
          <w:sz w:val="32"/>
          <w:szCs w:val="32"/>
        </w:rPr>
        <w:t>20</w:t>
      </w:r>
      <w:r>
        <w:rPr>
          <w:rFonts w:hint="eastAsia" w:eastAsia="仿宋_GB2312"/>
          <w:sz w:val="32"/>
          <w:szCs w:val="32"/>
        </w:rPr>
        <w:t>名的哥的姐、网约车驾驶员、公交车驾驶员喜获全市第二届“最美的哥的姐”“最美网约车驾驶员”“最美公交驾驶员”荣誉称号。</w:t>
      </w:r>
    </w:p>
    <w:p w14:paraId="192F2851">
      <w:pPr>
        <w:spacing w:line="560" w:lineRule="exact"/>
        <w:ind w:firstLine="640"/>
        <w:rPr>
          <w:rFonts w:eastAsia="仿宋_GB2312"/>
          <w:sz w:val="32"/>
          <w:szCs w:val="32"/>
        </w:rPr>
      </w:pPr>
      <w:r>
        <w:rPr>
          <w:rFonts w:hint="eastAsia" w:ascii="Times New Roman" w:hAnsi="Times New Roman" w:eastAsia="楷体_GB2312"/>
          <w:b/>
          <w:sz w:val="32"/>
          <w:szCs w:val="32"/>
        </w:rPr>
        <w:t>行业治理取得好成效。</w:t>
      </w:r>
      <w:r>
        <w:rPr>
          <w:rFonts w:hint="eastAsia" w:eastAsia="仿宋_GB2312"/>
          <w:sz w:val="32"/>
          <w:szCs w:val="32"/>
        </w:rPr>
        <w:t>扛牢衡阳打造市域社会治理现代化试点合格城市部门职责，盯紧重要环节、重点领域持续发力，推进行业治理体系和治理能力现代化。</w:t>
      </w:r>
      <w:r>
        <w:rPr>
          <w:rFonts w:hint="eastAsia" w:eastAsia="仿宋_GB2312"/>
          <w:b/>
          <w:bCs/>
          <w:sz w:val="32"/>
          <w:szCs w:val="32"/>
        </w:rPr>
        <w:t>一是加强法治政府部门建设。</w:t>
      </w:r>
      <w:r>
        <w:rPr>
          <w:rFonts w:hint="eastAsia" w:eastAsia="仿宋_GB2312"/>
          <w:sz w:val="32"/>
          <w:szCs w:val="32"/>
        </w:rPr>
        <w:t>全面推进依法行政，重大决策之前听取法律顾问和公职律师意见。完善市本级重大执法决定审核和集体讨论程序，严格落实行政执法“三项制度”和行政处罚自由裁量权基准制度，紧盯执法领域突出问题抓紧抓实常态化查纠整改，强化执法人员教育培训，推广应用省交通运输行政执法系统、完成全省线上缴费第一单，推进了严格、规范、公正、文明执法，</w:t>
      </w:r>
      <w:r>
        <w:rPr>
          <w:rFonts w:eastAsia="仿宋_GB2312"/>
          <w:sz w:val="32"/>
          <w:szCs w:val="32"/>
        </w:rPr>
        <w:t>1</w:t>
      </w:r>
      <w:r>
        <w:rPr>
          <w:rFonts w:hint="eastAsia" w:eastAsia="仿宋_GB2312"/>
          <w:sz w:val="32"/>
          <w:szCs w:val="32"/>
        </w:rPr>
        <w:t>名干部获评湖南省法治工作先进个人。</w:t>
      </w:r>
      <w:r>
        <w:rPr>
          <w:rFonts w:hint="eastAsia" w:eastAsia="仿宋_GB2312"/>
          <w:b/>
          <w:bCs/>
          <w:sz w:val="32"/>
          <w:szCs w:val="32"/>
        </w:rPr>
        <w:t>二是促进水运行业健康发展。</w:t>
      </w:r>
      <w:r>
        <w:rPr>
          <w:rFonts w:hint="eastAsia" w:eastAsia="仿宋_GB2312"/>
          <w:sz w:val="32"/>
          <w:szCs w:val="32"/>
        </w:rPr>
        <w:t>完成</w:t>
      </w:r>
      <w:r>
        <w:rPr>
          <w:rFonts w:eastAsia="仿宋_GB2312"/>
          <w:sz w:val="32"/>
          <w:szCs w:val="32"/>
        </w:rPr>
        <w:t>76</w:t>
      </w:r>
      <w:r>
        <w:rPr>
          <w:rFonts w:hint="eastAsia" w:eastAsia="仿宋_GB2312"/>
          <w:sz w:val="32"/>
          <w:szCs w:val="32"/>
        </w:rPr>
        <w:t>座桥梁船舶防碰撞隐患整治任务，拆除了白沙洲老便桥废弃桥墩，开展了“夜游船”、运砂船舶和客运船舶靠泊专项整治。加强船员、船舶和水运港埠企业管理，共检查船舶</w:t>
      </w:r>
      <w:r>
        <w:rPr>
          <w:rFonts w:eastAsia="仿宋_GB2312"/>
          <w:sz w:val="32"/>
          <w:szCs w:val="32"/>
        </w:rPr>
        <w:t>3158</w:t>
      </w:r>
      <w:r>
        <w:rPr>
          <w:rFonts w:hint="eastAsia" w:eastAsia="仿宋_GB2312"/>
          <w:sz w:val="32"/>
          <w:szCs w:val="32"/>
        </w:rPr>
        <w:t>艘次、水运港埠企业</w:t>
      </w:r>
      <w:r>
        <w:rPr>
          <w:rFonts w:eastAsia="仿宋_GB2312"/>
          <w:sz w:val="32"/>
          <w:szCs w:val="32"/>
        </w:rPr>
        <w:t>80</w:t>
      </w:r>
      <w:r>
        <w:rPr>
          <w:rFonts w:hint="eastAsia" w:eastAsia="仿宋_GB2312"/>
          <w:sz w:val="32"/>
          <w:szCs w:val="32"/>
        </w:rPr>
        <w:t>家次，发现并整治安全隐患</w:t>
      </w:r>
      <w:r>
        <w:rPr>
          <w:rFonts w:eastAsia="仿宋_GB2312"/>
          <w:sz w:val="32"/>
          <w:szCs w:val="32"/>
        </w:rPr>
        <w:t>170</w:t>
      </w:r>
      <w:r>
        <w:rPr>
          <w:rFonts w:hint="eastAsia" w:eastAsia="仿宋_GB2312"/>
          <w:sz w:val="32"/>
          <w:szCs w:val="32"/>
        </w:rPr>
        <w:t>起，立案并办结行政处罚案件</w:t>
      </w:r>
      <w:r>
        <w:rPr>
          <w:rFonts w:eastAsia="仿宋_GB2312"/>
          <w:sz w:val="32"/>
          <w:szCs w:val="32"/>
        </w:rPr>
        <w:t>122</w:t>
      </w:r>
      <w:r>
        <w:rPr>
          <w:rFonts w:hint="eastAsia" w:eastAsia="仿宋_GB2312"/>
          <w:sz w:val="32"/>
          <w:szCs w:val="32"/>
        </w:rPr>
        <w:t>起；船员违法记分</w:t>
      </w:r>
      <w:r>
        <w:rPr>
          <w:rFonts w:eastAsia="仿宋_GB2312"/>
          <w:sz w:val="32"/>
          <w:szCs w:val="32"/>
        </w:rPr>
        <w:t>80</w:t>
      </w:r>
      <w:r>
        <w:rPr>
          <w:rFonts w:hint="eastAsia" w:eastAsia="仿宋_GB2312"/>
          <w:sz w:val="32"/>
          <w:szCs w:val="32"/>
        </w:rPr>
        <w:t>起，扣分</w:t>
      </w:r>
      <w:r>
        <w:rPr>
          <w:rFonts w:eastAsia="仿宋_GB2312"/>
          <w:sz w:val="32"/>
          <w:szCs w:val="32"/>
        </w:rPr>
        <w:t>392</w:t>
      </w:r>
      <w:r>
        <w:rPr>
          <w:rFonts w:hint="eastAsia" w:eastAsia="仿宋_GB2312"/>
          <w:sz w:val="32"/>
          <w:szCs w:val="32"/>
        </w:rPr>
        <w:t>分；查办非法占用航道影响通航安全的案件</w:t>
      </w:r>
      <w:r>
        <w:rPr>
          <w:rFonts w:eastAsia="仿宋_GB2312"/>
          <w:sz w:val="32"/>
          <w:szCs w:val="32"/>
        </w:rPr>
        <w:t>4</w:t>
      </w:r>
      <w:r>
        <w:rPr>
          <w:rFonts w:hint="eastAsia" w:eastAsia="仿宋_GB2312"/>
          <w:sz w:val="32"/>
          <w:szCs w:val="32"/>
        </w:rPr>
        <w:t>起。消除了潜在隐患。</w:t>
      </w:r>
      <w:r>
        <w:rPr>
          <w:rFonts w:hint="eastAsia" w:eastAsia="仿宋_GB2312"/>
          <w:b/>
          <w:bCs/>
          <w:sz w:val="32"/>
          <w:szCs w:val="32"/>
        </w:rPr>
        <w:t>三是强化道路运输行业监管。</w:t>
      </w:r>
      <w:r>
        <w:rPr>
          <w:rFonts w:hint="eastAsia" w:eastAsia="仿宋_GB2312"/>
          <w:sz w:val="32"/>
          <w:szCs w:val="32"/>
        </w:rPr>
        <w:t>客货运“打非治违”不松劲，查处非法营运</w:t>
      </w:r>
      <w:r>
        <w:rPr>
          <w:rFonts w:eastAsia="仿宋_GB2312"/>
          <w:sz w:val="32"/>
          <w:szCs w:val="32"/>
        </w:rPr>
        <w:t>304</w:t>
      </w:r>
      <w:r>
        <w:rPr>
          <w:rFonts w:hint="eastAsia" w:eastAsia="仿宋_GB2312"/>
          <w:sz w:val="32"/>
          <w:szCs w:val="32"/>
        </w:rPr>
        <w:t>起、道路运输违规经营</w:t>
      </w:r>
      <w:r>
        <w:rPr>
          <w:rFonts w:eastAsia="仿宋_GB2312"/>
          <w:sz w:val="32"/>
          <w:szCs w:val="32"/>
        </w:rPr>
        <w:t>297</w:t>
      </w:r>
      <w:r>
        <w:rPr>
          <w:rFonts w:hint="eastAsia" w:eastAsia="仿宋_GB2312"/>
          <w:sz w:val="32"/>
          <w:szCs w:val="32"/>
        </w:rPr>
        <w:t>起、公共客运违规经营</w:t>
      </w:r>
      <w:r>
        <w:rPr>
          <w:rFonts w:eastAsia="仿宋_GB2312"/>
          <w:sz w:val="32"/>
          <w:szCs w:val="32"/>
        </w:rPr>
        <w:t>345</w:t>
      </w:r>
      <w:r>
        <w:rPr>
          <w:rFonts w:hint="eastAsia" w:eastAsia="仿宋_GB2312"/>
          <w:sz w:val="32"/>
          <w:szCs w:val="32"/>
        </w:rPr>
        <w:t>起。以“联网联控”为主抓手，强化“两客一危”车辆监管，落实“五有”管理制度，我市“两客一危”联网联控平台考核稳居全省第一方阵。开展维修驾培行业专项整治行动，对维修企业下达责令整改通知书</w:t>
      </w:r>
      <w:r>
        <w:rPr>
          <w:rFonts w:eastAsia="仿宋_GB2312"/>
          <w:sz w:val="32"/>
          <w:szCs w:val="32"/>
        </w:rPr>
        <w:t>86</w:t>
      </w:r>
      <w:r>
        <w:rPr>
          <w:rFonts w:hint="eastAsia" w:eastAsia="仿宋_GB2312"/>
          <w:sz w:val="32"/>
          <w:szCs w:val="32"/>
        </w:rPr>
        <w:t>份，查处未备案维修企业等违法违规行为</w:t>
      </w:r>
      <w:r>
        <w:rPr>
          <w:rFonts w:eastAsia="仿宋_GB2312"/>
          <w:sz w:val="32"/>
          <w:szCs w:val="32"/>
        </w:rPr>
        <w:t>45</w:t>
      </w:r>
      <w:r>
        <w:rPr>
          <w:rFonts w:hint="eastAsia" w:eastAsia="仿宋_GB2312"/>
          <w:sz w:val="32"/>
          <w:szCs w:val="32"/>
        </w:rPr>
        <w:t>起；检查驾校</w:t>
      </w:r>
      <w:r>
        <w:rPr>
          <w:rFonts w:eastAsia="仿宋_GB2312"/>
          <w:sz w:val="32"/>
          <w:szCs w:val="32"/>
        </w:rPr>
        <w:t>130</w:t>
      </w:r>
      <w:r>
        <w:rPr>
          <w:rFonts w:hint="eastAsia" w:eastAsia="仿宋_GB2312"/>
          <w:sz w:val="32"/>
          <w:szCs w:val="32"/>
        </w:rPr>
        <w:t>家，下达责令整改通知书</w:t>
      </w:r>
      <w:r>
        <w:rPr>
          <w:rFonts w:eastAsia="仿宋_GB2312"/>
          <w:sz w:val="32"/>
          <w:szCs w:val="32"/>
        </w:rPr>
        <w:t>33</w:t>
      </w:r>
      <w:r>
        <w:rPr>
          <w:rFonts w:hint="eastAsia" w:eastAsia="仿宋_GB2312"/>
          <w:sz w:val="32"/>
          <w:szCs w:val="32"/>
        </w:rPr>
        <w:t>份。维修驾培行业乱象得到遏制。</w:t>
      </w:r>
      <w:r>
        <w:rPr>
          <w:rFonts w:hint="eastAsia" w:eastAsia="仿宋_GB2312"/>
          <w:b/>
          <w:bCs/>
          <w:sz w:val="32"/>
          <w:szCs w:val="32"/>
        </w:rPr>
        <w:t>四是着力提升公路管养水平。</w:t>
      </w:r>
      <w:r>
        <w:rPr>
          <w:rFonts w:hint="eastAsia" w:eastAsia="仿宋_GB2312"/>
          <w:sz w:val="32"/>
          <w:szCs w:val="32"/>
        </w:rPr>
        <w:t>科技治超和铁腕治超双管齐下，全市</w:t>
      </w:r>
      <w:r>
        <w:rPr>
          <w:rFonts w:eastAsia="仿宋_GB2312"/>
          <w:sz w:val="32"/>
          <w:szCs w:val="32"/>
        </w:rPr>
        <w:t>9</w:t>
      </w:r>
      <w:r>
        <w:rPr>
          <w:rFonts w:hint="eastAsia" w:eastAsia="仿宋_GB2312"/>
          <w:sz w:val="32"/>
          <w:szCs w:val="32"/>
        </w:rPr>
        <w:t>个公路超限检测站、</w:t>
      </w:r>
      <w:r>
        <w:rPr>
          <w:rFonts w:eastAsia="仿宋_GB2312"/>
          <w:sz w:val="32"/>
          <w:szCs w:val="32"/>
        </w:rPr>
        <w:t>25</w:t>
      </w:r>
      <w:r>
        <w:rPr>
          <w:rFonts w:hint="eastAsia" w:eastAsia="仿宋_GB2312"/>
          <w:sz w:val="32"/>
          <w:szCs w:val="32"/>
        </w:rPr>
        <w:t>个不停车超限检测点、</w:t>
      </w:r>
      <w:r>
        <w:rPr>
          <w:rFonts w:eastAsia="仿宋_GB2312"/>
          <w:sz w:val="32"/>
          <w:szCs w:val="32"/>
        </w:rPr>
        <w:t>62</w:t>
      </w:r>
      <w:r>
        <w:rPr>
          <w:rFonts w:hint="eastAsia" w:eastAsia="仿宋_GB2312"/>
          <w:sz w:val="32"/>
          <w:szCs w:val="32"/>
        </w:rPr>
        <w:t>家重点源头企业、</w:t>
      </w:r>
      <w:r>
        <w:rPr>
          <w:rFonts w:eastAsia="仿宋_GB2312"/>
          <w:sz w:val="32"/>
          <w:szCs w:val="32"/>
        </w:rPr>
        <w:t>40</w:t>
      </w:r>
      <w:r>
        <w:rPr>
          <w:rFonts w:hint="eastAsia" w:eastAsia="仿宋_GB2312"/>
          <w:sz w:val="32"/>
          <w:szCs w:val="32"/>
        </w:rPr>
        <w:t>个高速公路入口治超信息全部联网监控，共同构成全市公路治超信息“一张网”；保持超限超载严管高压态势，依法查处违法超限超载车辆</w:t>
      </w:r>
      <w:r>
        <w:rPr>
          <w:rFonts w:eastAsia="仿宋_GB2312"/>
          <w:sz w:val="32"/>
          <w:szCs w:val="32"/>
        </w:rPr>
        <w:t>2.1</w:t>
      </w:r>
      <w:r>
        <w:rPr>
          <w:rFonts w:hint="eastAsia" w:eastAsia="仿宋_GB2312"/>
          <w:sz w:val="32"/>
          <w:szCs w:val="32"/>
        </w:rPr>
        <w:t>万台次，查处货运源头企业</w:t>
      </w:r>
      <w:r>
        <w:rPr>
          <w:rFonts w:eastAsia="仿宋_GB2312"/>
          <w:sz w:val="32"/>
          <w:szCs w:val="32"/>
        </w:rPr>
        <w:t>255</w:t>
      </w:r>
      <w:r>
        <w:rPr>
          <w:rFonts w:hint="eastAsia" w:eastAsia="仿宋_GB2312"/>
          <w:sz w:val="32"/>
          <w:szCs w:val="32"/>
        </w:rPr>
        <w:t>家次。普通公路路网和高速公路入口超限率分别稳控在</w:t>
      </w:r>
      <w:r>
        <w:rPr>
          <w:rFonts w:eastAsia="仿宋_GB2312"/>
          <w:sz w:val="32"/>
          <w:szCs w:val="32"/>
        </w:rPr>
        <w:t>1%</w:t>
      </w:r>
      <w:r>
        <w:rPr>
          <w:rFonts w:hint="eastAsia" w:eastAsia="仿宋_GB2312"/>
          <w:sz w:val="32"/>
          <w:szCs w:val="32"/>
        </w:rPr>
        <w:t>、</w:t>
      </w:r>
      <w:r>
        <w:rPr>
          <w:rFonts w:eastAsia="仿宋_GB2312"/>
          <w:sz w:val="32"/>
          <w:szCs w:val="32"/>
        </w:rPr>
        <w:t>0.5%</w:t>
      </w:r>
      <w:r>
        <w:rPr>
          <w:rFonts w:hint="eastAsia" w:eastAsia="仿宋_GB2312"/>
          <w:sz w:val="32"/>
          <w:szCs w:val="32"/>
        </w:rPr>
        <w:t>以内，常宁市把治超责任压实到属地乡镇、细化到行业监管部门，货运源头企业管控成效显著；衡山县积极运用科技治超手段，“湖南省综合治超”</w:t>
      </w:r>
      <w:r>
        <w:rPr>
          <w:rFonts w:eastAsia="仿宋_GB2312"/>
          <w:sz w:val="32"/>
          <w:szCs w:val="32"/>
        </w:rPr>
        <w:t>APP</w:t>
      </w:r>
      <w:r>
        <w:rPr>
          <w:rFonts w:hint="eastAsia" w:eastAsia="仿宋_GB2312"/>
          <w:sz w:val="32"/>
          <w:szCs w:val="32"/>
        </w:rPr>
        <w:t>使用率较高，非现场执法力度较大。全力推进公路路域环境整治，完成整治存量问题</w:t>
      </w:r>
      <w:r>
        <w:rPr>
          <w:rFonts w:eastAsia="仿宋_GB2312"/>
          <w:sz w:val="32"/>
          <w:szCs w:val="32"/>
        </w:rPr>
        <w:t>90</w:t>
      </w:r>
      <w:r>
        <w:rPr>
          <w:rFonts w:hint="eastAsia" w:eastAsia="仿宋_GB2312"/>
          <w:sz w:val="32"/>
          <w:szCs w:val="32"/>
        </w:rPr>
        <w:t>处，为年度目标任务的</w:t>
      </w:r>
      <w:r>
        <w:rPr>
          <w:rFonts w:eastAsia="仿宋_GB2312"/>
          <w:sz w:val="32"/>
          <w:szCs w:val="32"/>
        </w:rPr>
        <w:t>140%</w:t>
      </w:r>
      <w:r>
        <w:rPr>
          <w:rFonts w:hint="eastAsia" w:eastAsia="仿宋_GB2312"/>
          <w:sz w:val="32"/>
          <w:szCs w:val="32"/>
        </w:rPr>
        <w:t>。普通国省道综合养护管理“双评双促”专项行动成果显著，衡山湘江大桥作为“国检”点位之一，为全省干线公路养护管理顺利通过“国检”作出重要贡献。</w:t>
      </w:r>
      <w:r>
        <w:rPr>
          <w:rFonts w:eastAsia="仿宋_GB2312"/>
          <w:sz w:val="32"/>
          <w:szCs w:val="32"/>
        </w:rPr>
        <w:t>2023</w:t>
      </w:r>
      <w:r>
        <w:rPr>
          <w:rFonts w:hint="eastAsia" w:eastAsia="仿宋_GB2312"/>
          <w:sz w:val="32"/>
          <w:szCs w:val="32"/>
        </w:rPr>
        <w:t>年普通国省道“优良路率”达到</w:t>
      </w:r>
      <w:r>
        <w:rPr>
          <w:rFonts w:eastAsia="仿宋_GB2312"/>
          <w:sz w:val="32"/>
          <w:szCs w:val="32"/>
        </w:rPr>
        <w:t>92%</w:t>
      </w:r>
      <w:r>
        <w:rPr>
          <w:rFonts w:hint="eastAsia" w:eastAsia="仿宋_GB2312"/>
          <w:sz w:val="32"/>
          <w:szCs w:val="32"/>
        </w:rPr>
        <w:t>，较上年提升</w:t>
      </w:r>
      <w:r>
        <w:rPr>
          <w:rFonts w:eastAsia="仿宋_GB2312"/>
          <w:sz w:val="32"/>
          <w:szCs w:val="32"/>
        </w:rPr>
        <w:t>1.3</w:t>
      </w:r>
      <w:r>
        <w:rPr>
          <w:rFonts w:hint="eastAsia" w:eastAsia="仿宋_GB2312"/>
          <w:sz w:val="32"/>
          <w:szCs w:val="32"/>
        </w:rPr>
        <w:t>个百分点。在全省范围内率先建立市级农村公路智能化养护管理平台，并在市城区推广实施，农村公路“优良路率”达</w:t>
      </w:r>
      <w:r>
        <w:rPr>
          <w:rFonts w:eastAsia="仿宋_GB2312"/>
          <w:sz w:val="32"/>
          <w:szCs w:val="32"/>
        </w:rPr>
        <w:t>62.84%</w:t>
      </w:r>
      <w:r>
        <w:rPr>
          <w:rFonts w:hint="eastAsia" w:eastAsia="仿宋_GB2312"/>
          <w:sz w:val="32"/>
          <w:szCs w:val="32"/>
        </w:rPr>
        <w:t>，较上年提高</w:t>
      </w:r>
      <w:r>
        <w:rPr>
          <w:rFonts w:eastAsia="仿宋_GB2312"/>
          <w:sz w:val="32"/>
          <w:szCs w:val="32"/>
        </w:rPr>
        <w:t>25</w:t>
      </w:r>
      <w:r>
        <w:rPr>
          <w:rFonts w:hint="eastAsia" w:eastAsia="仿宋_GB2312"/>
          <w:sz w:val="32"/>
          <w:szCs w:val="32"/>
        </w:rPr>
        <w:t>个百分点。</w:t>
      </w:r>
      <w:r>
        <w:rPr>
          <w:rFonts w:hint="eastAsia" w:eastAsia="仿宋_GB2312"/>
          <w:b/>
          <w:bCs/>
          <w:sz w:val="32"/>
          <w:szCs w:val="32"/>
        </w:rPr>
        <w:t>五是严管交通项目质量安全。</w:t>
      </w:r>
      <w:r>
        <w:rPr>
          <w:rFonts w:hint="eastAsia" w:eastAsia="仿宋_GB2312"/>
          <w:sz w:val="32"/>
          <w:szCs w:val="32"/>
        </w:rPr>
        <w:t>切实开展“坚守公路水运工程质量安全红线”专项整治活动，坚决落实“一会三卡”制度，全面加强标后监管，依托人员履约监管平台对重点项目关键人员实行人脸识别考勤机制，考勤情况每月一通报并纳入信用评价范畴。市级负责监督的</w:t>
      </w:r>
      <w:r>
        <w:rPr>
          <w:rFonts w:eastAsia="仿宋_GB2312"/>
          <w:sz w:val="32"/>
          <w:szCs w:val="32"/>
        </w:rPr>
        <w:t>12</w:t>
      </w:r>
      <w:r>
        <w:rPr>
          <w:rFonts w:hint="eastAsia" w:eastAsia="仿宋_GB2312"/>
          <w:sz w:val="32"/>
          <w:szCs w:val="32"/>
        </w:rPr>
        <w:t>个项目共开展质量安全隐患排查</w:t>
      </w:r>
      <w:r>
        <w:rPr>
          <w:rFonts w:eastAsia="仿宋_GB2312"/>
          <w:sz w:val="32"/>
          <w:szCs w:val="32"/>
        </w:rPr>
        <w:t>78</w:t>
      </w:r>
      <w:r>
        <w:rPr>
          <w:rFonts w:hint="eastAsia" w:eastAsia="仿宋_GB2312"/>
          <w:sz w:val="32"/>
          <w:szCs w:val="32"/>
        </w:rPr>
        <w:t>次，项目约谈</w:t>
      </w:r>
      <w:r>
        <w:rPr>
          <w:rFonts w:eastAsia="仿宋_GB2312"/>
          <w:sz w:val="32"/>
          <w:szCs w:val="32"/>
        </w:rPr>
        <w:t>3</w:t>
      </w:r>
      <w:r>
        <w:rPr>
          <w:rFonts w:hint="eastAsia" w:eastAsia="仿宋_GB2312"/>
          <w:sz w:val="32"/>
          <w:szCs w:val="32"/>
        </w:rPr>
        <w:t>次，下发整改通知书</w:t>
      </w:r>
      <w:r>
        <w:rPr>
          <w:rFonts w:eastAsia="仿宋_GB2312"/>
          <w:sz w:val="32"/>
          <w:szCs w:val="32"/>
        </w:rPr>
        <w:t xml:space="preserve"> 8</w:t>
      </w:r>
      <w:r>
        <w:rPr>
          <w:rFonts w:hint="eastAsia" w:eastAsia="仿宋_GB2312"/>
          <w:sz w:val="32"/>
          <w:szCs w:val="32"/>
        </w:rPr>
        <w:t>份，所有问题均整改到位。各县市区交通项目质量监管水平也稳步提升，全市交通工程质量安全可控。</w:t>
      </w:r>
      <w:r>
        <w:rPr>
          <w:rFonts w:hint="eastAsia" w:eastAsia="仿宋_GB2312"/>
          <w:b/>
          <w:bCs/>
          <w:sz w:val="32"/>
          <w:szCs w:val="32"/>
        </w:rPr>
        <w:t>六是强力开展两大专项行动。</w:t>
      </w:r>
      <w:r>
        <w:rPr>
          <w:rFonts w:hint="eastAsia" w:eastAsia="仿宋_GB2312"/>
          <w:sz w:val="32"/>
          <w:szCs w:val="32"/>
        </w:rPr>
        <w:t>高速公路“三保三大一创”专项行动，完成</w:t>
      </w:r>
      <w:r>
        <w:rPr>
          <w:rFonts w:eastAsia="仿宋_GB2312"/>
          <w:sz w:val="32"/>
          <w:szCs w:val="32"/>
        </w:rPr>
        <w:t>48</w:t>
      </w:r>
      <w:r>
        <w:rPr>
          <w:rFonts w:hint="eastAsia" w:eastAsia="仿宋_GB2312"/>
          <w:sz w:val="32"/>
          <w:szCs w:val="32"/>
        </w:rPr>
        <w:t>处重点桥下空间问题整治，违法非公路标志（广告牌）整治率超</w:t>
      </w:r>
      <w:r>
        <w:rPr>
          <w:rFonts w:eastAsia="仿宋_GB2312"/>
          <w:sz w:val="32"/>
          <w:szCs w:val="32"/>
        </w:rPr>
        <w:t>90%</w:t>
      </w:r>
      <w:r>
        <w:rPr>
          <w:rFonts w:hint="eastAsia" w:eastAsia="仿宋_GB2312"/>
          <w:sz w:val="32"/>
          <w:szCs w:val="32"/>
        </w:rPr>
        <w:t>，</w:t>
      </w:r>
      <w:r>
        <w:rPr>
          <w:rFonts w:eastAsia="仿宋_GB2312"/>
          <w:sz w:val="32"/>
          <w:szCs w:val="32"/>
        </w:rPr>
        <w:t>4500</w:t>
      </w:r>
      <w:r>
        <w:rPr>
          <w:rFonts w:hint="eastAsia" w:eastAsia="仿宋_GB2312"/>
          <w:sz w:val="32"/>
          <w:szCs w:val="32"/>
        </w:rPr>
        <w:t>余起车辆救援服务实现“零有效投诉”，服务区服务品质明显改善，路段通行环境大幅提升。铁路沿线环境综合专项整治行动，完成整治任务</w:t>
      </w:r>
      <w:r>
        <w:rPr>
          <w:rFonts w:eastAsia="仿宋_GB2312"/>
          <w:sz w:val="32"/>
          <w:szCs w:val="32"/>
        </w:rPr>
        <w:t>582</w:t>
      </w:r>
      <w:r>
        <w:rPr>
          <w:rFonts w:hint="eastAsia" w:eastAsia="仿宋_GB2312"/>
          <w:sz w:val="32"/>
          <w:szCs w:val="32"/>
        </w:rPr>
        <w:t>处，打造“立标打样”点</w:t>
      </w:r>
      <w:r>
        <w:rPr>
          <w:rFonts w:eastAsia="仿宋_GB2312"/>
          <w:sz w:val="32"/>
          <w:szCs w:val="32"/>
        </w:rPr>
        <w:t>15</w:t>
      </w:r>
      <w:r>
        <w:rPr>
          <w:rFonts w:hint="eastAsia" w:eastAsia="仿宋_GB2312"/>
          <w:sz w:val="32"/>
          <w:szCs w:val="32"/>
        </w:rPr>
        <w:t>处，划定了铁路专用线安全保护区。</w:t>
      </w:r>
    </w:p>
    <w:p w14:paraId="479A1D0D">
      <w:pPr>
        <w:spacing w:line="560" w:lineRule="exact"/>
        <w:ind w:firstLine="640"/>
        <w:rPr>
          <w:rFonts w:eastAsia="仿宋_GB2312"/>
          <w:b/>
          <w:bCs/>
          <w:sz w:val="32"/>
          <w:szCs w:val="32"/>
        </w:rPr>
      </w:pPr>
      <w:r>
        <w:rPr>
          <w:rFonts w:hint="eastAsia" w:ascii="Times New Roman" w:hAnsi="Times New Roman" w:eastAsia="楷体_GB2312"/>
          <w:b/>
          <w:sz w:val="32"/>
          <w:szCs w:val="32"/>
        </w:rPr>
        <w:t>交通服务收获好评价。</w:t>
      </w:r>
      <w:r>
        <w:rPr>
          <w:rFonts w:hint="eastAsia" w:eastAsia="仿宋_GB2312"/>
          <w:sz w:val="32"/>
          <w:szCs w:val="32"/>
        </w:rPr>
        <w:t>践行以人民为中心的发展理念，多点发力，不断提升运输服务水平，为人民的美好生活提供良好的交通运输服务，提升了人民群众的获得感、幸福感、安全感，赢得了广大人民群众的“点赞”。</w:t>
      </w:r>
      <w:r>
        <w:rPr>
          <w:rFonts w:hint="eastAsia" w:eastAsia="仿宋_GB2312"/>
          <w:b/>
          <w:bCs/>
          <w:sz w:val="32"/>
          <w:szCs w:val="32"/>
        </w:rPr>
        <w:t>一是“人享其行”。</w:t>
      </w:r>
      <w:r>
        <w:rPr>
          <w:rFonts w:hint="eastAsia" w:eastAsia="仿宋_GB2312"/>
          <w:sz w:val="32"/>
          <w:szCs w:val="32"/>
        </w:rPr>
        <w:t>持续提升巡游出租汽车电召服务水平，进一步巩固</w:t>
      </w:r>
      <w:r>
        <w:rPr>
          <w:rFonts w:eastAsia="仿宋_GB2312"/>
          <w:sz w:val="32"/>
          <w:szCs w:val="32"/>
        </w:rPr>
        <w:t>95128</w:t>
      </w:r>
      <w:r>
        <w:rPr>
          <w:rFonts w:hint="eastAsia" w:eastAsia="仿宋_GB2312"/>
          <w:sz w:val="32"/>
          <w:szCs w:val="32"/>
        </w:rPr>
        <w:t>热线服务成效，完善网约车“一键叫车”、电话叫车功能，提升服务水平和响应速度，让出租汽车出行更顺畅。优化调整公交线路</w:t>
      </w:r>
      <w:r>
        <w:rPr>
          <w:rFonts w:eastAsia="仿宋_GB2312"/>
          <w:sz w:val="32"/>
          <w:szCs w:val="32"/>
        </w:rPr>
        <w:t>7</w:t>
      </w:r>
      <w:r>
        <w:rPr>
          <w:rFonts w:hint="eastAsia" w:eastAsia="仿宋_GB2312"/>
          <w:sz w:val="32"/>
          <w:szCs w:val="32"/>
        </w:rPr>
        <w:t>条，打造敬老爱老城市公共汽电车线路</w:t>
      </w:r>
      <w:r>
        <w:rPr>
          <w:rFonts w:eastAsia="仿宋_GB2312"/>
          <w:sz w:val="32"/>
          <w:szCs w:val="32"/>
        </w:rPr>
        <w:t>4</w:t>
      </w:r>
      <w:r>
        <w:rPr>
          <w:rFonts w:hint="eastAsia" w:eastAsia="仿宋_GB2312"/>
          <w:sz w:val="32"/>
          <w:szCs w:val="32"/>
        </w:rPr>
        <w:t>条，开通定制公交线路</w:t>
      </w:r>
      <w:r>
        <w:rPr>
          <w:rFonts w:eastAsia="仿宋_GB2312"/>
          <w:sz w:val="32"/>
          <w:szCs w:val="32"/>
        </w:rPr>
        <w:t>1</w:t>
      </w:r>
      <w:r>
        <w:rPr>
          <w:rFonts w:hint="eastAsia" w:eastAsia="仿宋_GB2312"/>
          <w:sz w:val="32"/>
          <w:szCs w:val="32"/>
        </w:rPr>
        <w:t>条，全面落实</w:t>
      </w:r>
      <w:r>
        <w:rPr>
          <w:rFonts w:eastAsia="仿宋_GB2312"/>
          <w:sz w:val="32"/>
          <w:szCs w:val="32"/>
        </w:rPr>
        <w:t>65</w:t>
      </w:r>
      <w:r>
        <w:rPr>
          <w:rFonts w:hint="eastAsia" w:eastAsia="仿宋_GB2312"/>
          <w:sz w:val="32"/>
          <w:szCs w:val="32"/>
        </w:rPr>
        <w:t>岁以上老年人、残疾人、退役军人、</w:t>
      </w:r>
      <w:r>
        <w:rPr>
          <w:rFonts w:eastAsia="仿宋_GB2312"/>
          <w:sz w:val="32"/>
          <w:szCs w:val="32"/>
        </w:rPr>
        <w:t>14</w:t>
      </w:r>
      <w:r>
        <w:rPr>
          <w:rFonts w:hint="eastAsia" w:eastAsia="仿宋_GB2312"/>
          <w:sz w:val="32"/>
          <w:szCs w:val="32"/>
        </w:rPr>
        <w:t>周岁以下儿童等特殊群体免费乘坐公交车政策，让更多群众享受到发展成果。出台网约车运力评估报告，满足运力配置与市场需求相适应。组织开展</w:t>
      </w:r>
      <w:r>
        <w:rPr>
          <w:rFonts w:eastAsia="仿宋_GB2312"/>
          <w:sz w:val="32"/>
          <w:szCs w:val="32"/>
        </w:rPr>
        <w:t>2023</w:t>
      </w:r>
      <w:r>
        <w:rPr>
          <w:rFonts w:hint="eastAsia" w:eastAsia="仿宋_GB2312"/>
          <w:sz w:val="32"/>
          <w:szCs w:val="32"/>
        </w:rPr>
        <w:t>年度道路运输行业“爱心送考”活动，为高考考生提供了优质、安全、免费乘车服务，受到社会一致好评。稳妥谋划道路客运行业转型升级，有序推进城乡客运一体化，衡山县、衡阳县示范创建进展顺利，常宁市、耒阳市列为全省第四批示范创建单位；新开通</w:t>
      </w:r>
      <w:r>
        <w:rPr>
          <w:rFonts w:eastAsia="仿宋_GB2312"/>
          <w:sz w:val="32"/>
          <w:szCs w:val="32"/>
        </w:rPr>
        <w:t>2</w:t>
      </w:r>
      <w:r>
        <w:rPr>
          <w:rFonts w:hint="eastAsia" w:eastAsia="仿宋_GB2312"/>
          <w:sz w:val="32"/>
          <w:szCs w:val="32"/>
        </w:rPr>
        <w:t>条定制客运班线、</w:t>
      </w:r>
      <w:r>
        <w:rPr>
          <w:rFonts w:eastAsia="仿宋_GB2312"/>
          <w:sz w:val="32"/>
          <w:szCs w:val="32"/>
        </w:rPr>
        <w:t>1</w:t>
      </w:r>
      <w:r>
        <w:rPr>
          <w:rFonts w:hint="eastAsia" w:eastAsia="仿宋_GB2312"/>
          <w:sz w:val="32"/>
          <w:szCs w:val="32"/>
        </w:rPr>
        <w:t>条城际公交线路，“群众满意站”创建排名全省前列，南岳汽车站年度考核排全省第一，城乡居民出行更方便、更实惠。</w:t>
      </w:r>
      <w:r>
        <w:rPr>
          <w:rFonts w:hint="eastAsia" w:eastAsia="仿宋_GB2312"/>
          <w:b/>
          <w:bCs/>
          <w:sz w:val="32"/>
          <w:szCs w:val="32"/>
        </w:rPr>
        <w:t>二是“物畅其流”。</w:t>
      </w:r>
      <w:r>
        <w:rPr>
          <w:rFonts w:hint="eastAsia" w:eastAsia="仿宋_GB2312"/>
          <w:sz w:val="32"/>
          <w:szCs w:val="32"/>
        </w:rPr>
        <w:t>稳步推进城市绿色货运配送工作，城市绿色货运配送示范工程创建得到交通运输部调研组的充分肯定。承办好我市参加</w:t>
      </w:r>
      <w:r>
        <w:rPr>
          <w:rFonts w:eastAsia="仿宋_GB2312"/>
          <w:sz w:val="32"/>
          <w:szCs w:val="32"/>
        </w:rPr>
        <w:t>2023</w:t>
      </w:r>
      <w:r>
        <w:rPr>
          <w:rFonts w:hint="eastAsia" w:eastAsia="仿宋_GB2312"/>
          <w:sz w:val="32"/>
          <w:szCs w:val="32"/>
        </w:rPr>
        <w:t>长沙国际物流与交通博览会展览，拓展我市物流行业对外交流。积极推进耒阳市客货邮融合发展，推动形成“县级有中心、乡镇有站场、村部有网点”三级电商物流服务网络，打通“工业品下乡的最后一公里”和“农产品进城的最初一公里”。指导道路货运行业协会信息服务平台建设，整合货运物流供需信息，同时强化运输组织和运力保障，强化重点时段、重点货物保通保畅工作，群众生活、生产物资运输顺畅。全市公路货运量及周转量分别达</w:t>
      </w:r>
      <w:r>
        <w:rPr>
          <w:rFonts w:eastAsia="仿宋_GB2312"/>
          <w:sz w:val="32"/>
          <w:szCs w:val="32"/>
        </w:rPr>
        <w:t>6831.1</w:t>
      </w:r>
      <w:r>
        <w:rPr>
          <w:rFonts w:hint="eastAsia" w:eastAsia="仿宋_GB2312"/>
          <w:sz w:val="32"/>
          <w:szCs w:val="32"/>
        </w:rPr>
        <w:t>万吨、</w:t>
      </w:r>
      <w:r>
        <w:rPr>
          <w:rFonts w:eastAsia="仿宋_GB2312"/>
          <w:sz w:val="32"/>
          <w:szCs w:val="32"/>
        </w:rPr>
        <w:t>66.55</w:t>
      </w:r>
      <w:r>
        <w:rPr>
          <w:rFonts w:hint="eastAsia" w:eastAsia="仿宋_GB2312"/>
          <w:sz w:val="32"/>
          <w:szCs w:val="32"/>
        </w:rPr>
        <w:t>亿吨公里，水路货运量及周转量分别达</w:t>
      </w:r>
      <w:r>
        <w:rPr>
          <w:rFonts w:eastAsia="仿宋_GB2312"/>
          <w:sz w:val="32"/>
          <w:szCs w:val="32"/>
        </w:rPr>
        <w:t>1410.5</w:t>
      </w:r>
      <w:r>
        <w:rPr>
          <w:rFonts w:hint="eastAsia" w:eastAsia="仿宋_GB2312"/>
          <w:sz w:val="32"/>
          <w:szCs w:val="32"/>
        </w:rPr>
        <w:t>万吨、</w:t>
      </w:r>
      <w:r>
        <w:rPr>
          <w:rFonts w:eastAsia="仿宋_GB2312"/>
          <w:sz w:val="32"/>
          <w:szCs w:val="32"/>
        </w:rPr>
        <w:t>35.49</w:t>
      </w:r>
      <w:r>
        <w:rPr>
          <w:rFonts w:hint="eastAsia" w:eastAsia="仿宋_GB2312"/>
          <w:sz w:val="32"/>
          <w:szCs w:val="32"/>
        </w:rPr>
        <w:t>亿吨公里，排全省一类市州第二名、全省第三名。</w:t>
      </w:r>
      <w:r>
        <w:rPr>
          <w:rFonts w:hint="eastAsia" w:eastAsia="仿宋_GB2312"/>
          <w:b/>
          <w:bCs/>
          <w:sz w:val="32"/>
          <w:szCs w:val="32"/>
        </w:rPr>
        <w:t>三是事尽其简。</w:t>
      </w:r>
      <w:r>
        <w:rPr>
          <w:rFonts w:hint="eastAsia" w:eastAsia="仿宋_GB2312"/>
          <w:sz w:val="32"/>
          <w:szCs w:val="32"/>
        </w:rPr>
        <w:t>落实审批服务“减环节、减材料、减跑动、减时限”要求，不断优化审批服务流程，提升审批服务效率，即办件办件量占比突破</w:t>
      </w:r>
      <w:r>
        <w:rPr>
          <w:rFonts w:eastAsia="仿宋_GB2312"/>
          <w:sz w:val="32"/>
          <w:szCs w:val="32"/>
        </w:rPr>
        <w:t>80%</w:t>
      </w:r>
      <w:r>
        <w:rPr>
          <w:rFonts w:hint="eastAsia" w:eastAsia="仿宋_GB2312"/>
          <w:sz w:val="32"/>
          <w:szCs w:val="32"/>
        </w:rPr>
        <w:t>，办事企业和群众的获得感不断增强。顺利承接省下放的“危货港口建设项目安全条件审查”事项。“湘易办”</w:t>
      </w:r>
      <w:r>
        <w:rPr>
          <w:rFonts w:eastAsia="仿宋_GB2312"/>
          <w:sz w:val="32"/>
          <w:szCs w:val="32"/>
        </w:rPr>
        <w:t>APP</w:t>
      </w:r>
      <w:r>
        <w:rPr>
          <w:rFonts w:hint="eastAsia" w:eastAsia="仿宋_GB2312"/>
          <w:sz w:val="32"/>
          <w:szCs w:val="32"/>
        </w:rPr>
        <w:t>第一批上线</w:t>
      </w:r>
      <w:r>
        <w:rPr>
          <w:rFonts w:eastAsia="仿宋_GB2312"/>
          <w:sz w:val="32"/>
          <w:szCs w:val="32"/>
        </w:rPr>
        <w:t>26</w:t>
      </w:r>
      <w:r>
        <w:rPr>
          <w:rFonts w:hint="eastAsia" w:eastAsia="仿宋_GB2312"/>
          <w:sz w:val="32"/>
          <w:szCs w:val="32"/>
        </w:rPr>
        <w:t>项高频服务事项。推动群众关切度高的道路货运车辆年审等</w:t>
      </w:r>
      <w:r>
        <w:rPr>
          <w:rFonts w:eastAsia="仿宋_GB2312"/>
          <w:sz w:val="32"/>
          <w:szCs w:val="32"/>
        </w:rPr>
        <w:t>9</w:t>
      </w:r>
      <w:r>
        <w:rPr>
          <w:rFonts w:hint="eastAsia" w:eastAsia="仿宋_GB2312"/>
          <w:sz w:val="32"/>
          <w:szCs w:val="32"/>
        </w:rPr>
        <w:t>项政务服务事项全面实行线上办理或“跨省通办”，已累计完成办件</w:t>
      </w:r>
      <w:r>
        <w:rPr>
          <w:rFonts w:eastAsia="仿宋_GB2312"/>
          <w:sz w:val="32"/>
          <w:szCs w:val="32"/>
        </w:rPr>
        <w:t>12191</w:t>
      </w:r>
      <w:r>
        <w:rPr>
          <w:rFonts w:hint="eastAsia" w:eastAsia="仿宋_GB2312"/>
          <w:sz w:val="32"/>
          <w:szCs w:val="32"/>
        </w:rPr>
        <w:t>件，办结率</w:t>
      </w:r>
      <w:r>
        <w:rPr>
          <w:rFonts w:eastAsia="仿宋_GB2312"/>
          <w:sz w:val="32"/>
          <w:szCs w:val="32"/>
        </w:rPr>
        <w:t>100%</w:t>
      </w:r>
      <w:r>
        <w:rPr>
          <w:rFonts w:hint="eastAsia" w:eastAsia="仿宋_GB2312"/>
          <w:sz w:val="32"/>
          <w:szCs w:val="32"/>
        </w:rPr>
        <w:t>，服务满意率</w:t>
      </w:r>
      <w:r>
        <w:rPr>
          <w:rFonts w:eastAsia="仿宋_GB2312"/>
          <w:sz w:val="32"/>
          <w:szCs w:val="32"/>
        </w:rPr>
        <w:t>100%</w:t>
      </w:r>
      <w:r>
        <w:rPr>
          <w:rFonts w:hint="eastAsia" w:eastAsia="仿宋_GB2312"/>
          <w:sz w:val="32"/>
          <w:szCs w:val="32"/>
        </w:rPr>
        <w:t>，市局驻市政务中心窗口获评先锋（清廉）窗口，驻窗首席代表蝉联全市优秀首席代表，</w:t>
      </w:r>
      <w:r>
        <w:rPr>
          <w:rFonts w:eastAsia="仿宋_GB2312"/>
          <w:sz w:val="32"/>
          <w:szCs w:val="32"/>
        </w:rPr>
        <w:t>1</w:t>
      </w:r>
      <w:r>
        <w:rPr>
          <w:rFonts w:hint="eastAsia" w:eastAsia="仿宋_GB2312"/>
          <w:sz w:val="32"/>
          <w:szCs w:val="32"/>
        </w:rPr>
        <w:t>名同志获评全省交通运输行业“十佳政务员”。大力推进“</w:t>
      </w:r>
      <w:r>
        <w:rPr>
          <w:rFonts w:hint="eastAsia" w:eastAsia="仿宋_GB2312"/>
          <w:sz w:val="32"/>
          <w:szCs w:val="32"/>
          <w:lang w:eastAsia="zh-CN"/>
        </w:rPr>
        <w:t>双随机、一公开</w:t>
      </w:r>
      <w:r>
        <w:rPr>
          <w:rFonts w:hint="eastAsia" w:eastAsia="仿宋_GB2312"/>
          <w:sz w:val="32"/>
          <w:szCs w:val="32"/>
        </w:rPr>
        <w:t>”检查，实现“进一次门，查多项事”，最大限度减少对企业经营的干扰。交通政务服务和监管效率大幅提高，有效帮助企业降低成本增加效益。</w:t>
      </w:r>
    </w:p>
    <w:p w14:paraId="55A6714B">
      <w:pPr>
        <w:pStyle w:val="9"/>
        <w:spacing w:before="0" w:beforeAutospacing="0" w:after="0" w:afterAutospacing="0" w:line="340" w:lineRule="atLeast"/>
        <w:ind w:right="160" w:firstLine="643" w:firstLineChars="200"/>
        <w:jc w:val="both"/>
        <w:rPr>
          <w:rFonts w:ascii="仿宋" w:hAnsi="仿宋" w:eastAsia="仿宋" w:cs="仿宋"/>
          <w:b/>
          <w:bCs/>
          <w:sz w:val="32"/>
          <w:szCs w:val="32"/>
        </w:rPr>
      </w:pPr>
      <w:r>
        <w:rPr>
          <w:rFonts w:hint="eastAsia" w:ascii="仿宋" w:hAnsi="仿宋" w:eastAsia="仿宋" w:cs="仿宋"/>
          <w:b/>
          <w:bCs/>
          <w:sz w:val="32"/>
          <w:szCs w:val="32"/>
        </w:rPr>
        <w:t>（二）预算投入、过程、产出及效率方面</w:t>
      </w:r>
    </w:p>
    <w:p w14:paraId="152D2239">
      <w:pPr>
        <w:pStyle w:val="9"/>
        <w:shd w:val="clear" w:color="auto" w:fill="FFFFFF"/>
        <w:spacing w:before="0" w:beforeAutospacing="0" w:after="0" w:afterAutospacing="0" w:line="340" w:lineRule="atLeast"/>
        <w:ind w:firstLine="560"/>
        <w:jc w:val="both"/>
        <w:rPr>
          <w:rFonts w:ascii="仿宋" w:hAnsi="仿宋" w:eastAsia="仿宋" w:cs="仿宋"/>
          <w:sz w:val="32"/>
          <w:szCs w:val="32"/>
        </w:rPr>
      </w:pPr>
      <w:r>
        <w:rPr>
          <w:rFonts w:ascii="仿宋" w:hAnsi="仿宋" w:eastAsia="仿宋" w:cs="仿宋"/>
          <w:sz w:val="32"/>
          <w:szCs w:val="32"/>
          <w:shd w:val="clear" w:color="auto" w:fill="FFFFFF"/>
        </w:rPr>
        <w:t>1</w:t>
      </w:r>
      <w:r>
        <w:rPr>
          <w:rFonts w:hint="eastAsia" w:ascii="仿宋" w:hAnsi="仿宋" w:eastAsia="仿宋" w:cs="仿宋"/>
          <w:sz w:val="32"/>
          <w:szCs w:val="32"/>
          <w:shd w:val="clear" w:color="auto" w:fill="FFFFFF"/>
        </w:rPr>
        <w:t>、</w:t>
      </w:r>
      <w:r>
        <w:rPr>
          <w:rFonts w:ascii="仿宋" w:hAnsi="仿宋" w:eastAsia="仿宋" w:cs="仿宋"/>
          <w:sz w:val="32"/>
          <w:szCs w:val="32"/>
          <w:shd w:val="clear" w:color="auto" w:fill="FFFFFF"/>
        </w:rPr>
        <w:t>2023</w:t>
      </w:r>
      <w:r>
        <w:rPr>
          <w:rFonts w:hint="eastAsia" w:ascii="仿宋" w:hAnsi="仿宋" w:eastAsia="仿宋" w:cs="仿宋"/>
          <w:sz w:val="32"/>
          <w:szCs w:val="32"/>
          <w:shd w:val="clear" w:color="auto" w:fill="FFFFFF"/>
        </w:rPr>
        <w:t>年人员配置方面，财政供养人员控制在预算编制以内，编制内在职人员控制率</w:t>
      </w:r>
      <w:r>
        <w:rPr>
          <w:rFonts w:ascii="仿宋" w:hAnsi="仿宋" w:eastAsia="仿宋" w:cs="仿宋"/>
          <w:sz w:val="32"/>
          <w:szCs w:val="32"/>
          <w:shd w:val="clear" w:color="auto" w:fill="FFFFFF"/>
        </w:rPr>
        <w:t>100%</w:t>
      </w:r>
      <w:r>
        <w:rPr>
          <w:rFonts w:hint="eastAsia" w:ascii="仿宋" w:hAnsi="仿宋" w:eastAsia="仿宋" w:cs="仿宋"/>
          <w:sz w:val="32"/>
          <w:szCs w:val="32"/>
          <w:shd w:val="clear" w:color="auto" w:fill="FFFFFF"/>
        </w:rPr>
        <w:t>，“三公经费”控制较好。</w:t>
      </w:r>
    </w:p>
    <w:p w14:paraId="682BF8F7">
      <w:pPr>
        <w:widowControl/>
        <w:wordWrap w:val="0"/>
        <w:spacing w:before="100" w:beforeAutospacing="1" w:after="100" w:afterAutospacing="1" w:line="615" w:lineRule="atLeast"/>
        <w:ind w:firstLine="645"/>
        <w:rPr>
          <w:rFonts w:ascii="仿宋" w:hAnsi="仿宋" w:eastAsia="仿宋" w:cs="仿宋"/>
          <w:sz w:val="32"/>
          <w:szCs w:val="32"/>
          <w:shd w:val="clear" w:color="auto" w:fill="FFFFFF"/>
        </w:rPr>
      </w:pPr>
      <w:r>
        <w:rPr>
          <w:rFonts w:ascii="仿宋" w:hAnsi="仿宋" w:eastAsia="仿宋" w:cs="仿宋"/>
          <w:sz w:val="32"/>
          <w:szCs w:val="32"/>
        </w:rPr>
        <w:t>2</w:t>
      </w:r>
      <w:r>
        <w:rPr>
          <w:rFonts w:hint="eastAsia" w:ascii="仿宋" w:hAnsi="仿宋" w:eastAsia="仿宋" w:cs="仿宋"/>
          <w:sz w:val="32"/>
          <w:szCs w:val="32"/>
        </w:rPr>
        <w:t>、产出情况：保障交通局机关在职人员以及离退休人员正常办公、生活秩序，基本满足在职人员和离退休的正常办公、生活要求。完成专项资金支出进度要求，确保交通局各项工作顺利开展</w:t>
      </w:r>
      <w:r>
        <w:rPr>
          <w:rFonts w:ascii="仿宋" w:hAnsi="仿宋" w:eastAsia="仿宋" w:cs="仿宋"/>
          <w:sz w:val="32"/>
          <w:szCs w:val="32"/>
        </w:rPr>
        <w:t>.</w:t>
      </w:r>
    </w:p>
    <w:p w14:paraId="5A583CE9">
      <w:pPr>
        <w:pStyle w:val="9"/>
        <w:shd w:val="clear" w:color="auto" w:fill="FFFFFF"/>
        <w:spacing w:before="0" w:beforeAutospacing="0" w:after="0" w:afterAutospacing="0" w:line="352" w:lineRule="atLeast"/>
        <w:ind w:firstLine="640" w:firstLineChars="200"/>
        <w:jc w:val="both"/>
        <w:rPr>
          <w:rFonts w:ascii="仿宋" w:hAnsi="仿宋" w:eastAsia="仿宋" w:cs="仿宋"/>
          <w:sz w:val="32"/>
          <w:szCs w:val="32"/>
          <w:shd w:val="clear" w:color="auto" w:fill="FFFFFF"/>
        </w:rPr>
      </w:pPr>
      <w:r>
        <w:rPr>
          <w:rFonts w:ascii="仿宋" w:hAnsi="仿宋" w:eastAsia="仿宋" w:cs="仿宋"/>
          <w:sz w:val="32"/>
          <w:szCs w:val="32"/>
          <w:shd w:val="clear" w:color="auto" w:fill="FFFFFF"/>
        </w:rPr>
        <w:t>3</w:t>
      </w:r>
      <w:r>
        <w:rPr>
          <w:rFonts w:hint="eastAsia" w:ascii="仿宋" w:hAnsi="仿宋" w:eastAsia="仿宋" w:cs="仿宋"/>
          <w:sz w:val="32"/>
          <w:szCs w:val="32"/>
          <w:shd w:val="clear" w:color="auto" w:fill="FFFFFF"/>
        </w:rPr>
        <w:t>、预算管理：我局严格遵守财经纪律及相关会计制度，按照财务管理、预算管理、资产管理、办公用品管理、电子卖场管理等一系列内部财务管理制度进行财务管理。项目支出分项目单独核算。严格按规定在局门户网站上公开预决算信息、绩效评价和三公经费情况。限额以上的按规定进行政府采购，限额以下的均通过电子卖场实施采购，达到公开招投标限额的项目均按要求进行公开招投标。相关资产管理制度合法、合规、完整。预算管理本着厉行节俭、只减不增的原则，严格执行“三公”经费标准和审批制度与程序，公用经费、三公经费都得到了有效控制。</w:t>
      </w:r>
    </w:p>
    <w:p w14:paraId="176CA786">
      <w:pPr>
        <w:pStyle w:val="9"/>
        <w:shd w:val="clear" w:color="auto" w:fill="FFFFFF"/>
        <w:spacing w:before="0" w:beforeAutospacing="0" w:after="0" w:afterAutospacing="0" w:line="352" w:lineRule="atLeast"/>
        <w:ind w:firstLine="643" w:firstLineChars="200"/>
        <w:jc w:val="both"/>
        <w:rPr>
          <w:rFonts w:ascii="仿宋" w:hAnsi="仿宋" w:eastAsia="仿宋" w:cs="仿宋"/>
          <w:b/>
          <w:bCs/>
          <w:sz w:val="32"/>
          <w:szCs w:val="32"/>
          <w:shd w:val="clear" w:color="auto" w:fill="FFFFFF"/>
        </w:rPr>
      </w:pPr>
      <w:r>
        <w:rPr>
          <w:rFonts w:hint="eastAsia" w:ascii="仿宋" w:hAnsi="仿宋" w:eastAsia="仿宋" w:cs="仿宋"/>
          <w:b/>
          <w:bCs/>
          <w:sz w:val="32"/>
          <w:szCs w:val="32"/>
          <w:shd w:val="clear" w:color="auto" w:fill="FFFFFF"/>
        </w:rPr>
        <w:t>（三）发展规划</w:t>
      </w:r>
    </w:p>
    <w:p w14:paraId="28C26E59">
      <w:pPr>
        <w:pStyle w:val="9"/>
        <w:shd w:val="clear" w:color="auto" w:fill="FFFFFF"/>
        <w:spacing w:before="0" w:beforeAutospacing="0" w:after="0" w:afterAutospacing="0" w:line="352" w:lineRule="atLeast"/>
        <w:ind w:firstLine="640" w:firstLineChars="200"/>
        <w:jc w:val="both"/>
        <w:rPr>
          <w:rFonts w:ascii="仿宋" w:hAnsi="仿宋" w:eastAsia="仿宋" w:cs="仿宋"/>
          <w:sz w:val="32"/>
          <w:szCs w:val="32"/>
          <w:shd w:val="clear" w:color="auto" w:fill="FFFFFF"/>
        </w:rPr>
      </w:pPr>
      <w:r>
        <w:rPr>
          <w:rFonts w:ascii="仿宋" w:hAnsi="仿宋" w:eastAsia="仿宋" w:cs="仿宋"/>
          <w:sz w:val="32"/>
          <w:szCs w:val="32"/>
          <w:shd w:val="clear" w:color="auto" w:fill="FFFFFF"/>
        </w:rPr>
        <w:t xml:space="preserve"> 2022</w:t>
      </w:r>
      <w:r>
        <w:rPr>
          <w:rFonts w:hint="eastAsia" w:ascii="仿宋" w:hAnsi="仿宋" w:eastAsia="仿宋" w:cs="仿宋"/>
          <w:sz w:val="32"/>
          <w:szCs w:val="32"/>
          <w:shd w:val="clear" w:color="auto" w:fill="FFFFFF"/>
        </w:rPr>
        <w:t>年，我局坚持贯彻中央、省、市决策部署和工作安排，紧紧围绕年度目标，着力抓好重点工作，全面推进交通运输工作年度目标任务完成，力争获得省、市真抓实干激励，为推动衡阳经济社会发展提供强有力的交通运输支撑保障。</w:t>
      </w:r>
    </w:p>
    <w:p w14:paraId="09E8BC12">
      <w:pPr>
        <w:pStyle w:val="9"/>
        <w:shd w:val="clear" w:color="auto" w:fill="FFFFFF"/>
        <w:spacing w:before="0" w:beforeAutospacing="0" w:after="0" w:afterAutospacing="0" w:line="352" w:lineRule="atLeast"/>
        <w:ind w:firstLine="643" w:firstLineChars="200"/>
        <w:jc w:val="both"/>
        <w:rPr>
          <w:rFonts w:ascii="仿宋" w:hAnsi="仿宋" w:eastAsia="仿宋" w:cs="仿宋"/>
          <w:b/>
          <w:bCs/>
          <w:sz w:val="32"/>
          <w:szCs w:val="32"/>
        </w:rPr>
      </w:pPr>
      <w:r>
        <w:rPr>
          <w:rFonts w:hint="eastAsia" w:ascii="仿宋" w:hAnsi="仿宋" w:eastAsia="仿宋" w:cs="仿宋"/>
          <w:b/>
          <w:bCs/>
          <w:sz w:val="32"/>
          <w:szCs w:val="32"/>
          <w:shd w:val="clear" w:color="auto" w:fill="FFFFFF"/>
        </w:rPr>
        <w:t>（四）社会效益和行政效益方面</w:t>
      </w:r>
    </w:p>
    <w:p w14:paraId="75FBEF52">
      <w:pPr>
        <w:adjustRightInd w:val="0"/>
        <w:snapToGrid w:val="0"/>
        <w:spacing w:line="580" w:lineRule="exact"/>
        <w:ind w:firstLine="924" w:firstLineChars="300"/>
        <w:rPr>
          <w:rFonts w:ascii="仿宋" w:hAnsi="仿宋" w:eastAsia="仿宋" w:cs="仿宋"/>
          <w:color w:val="000000"/>
          <w:sz w:val="32"/>
          <w:szCs w:val="32"/>
        </w:rPr>
      </w:pPr>
      <w:r>
        <w:rPr>
          <w:rFonts w:ascii="仿宋" w:hAnsi="仿宋" w:eastAsia="仿宋" w:cs="仿宋"/>
          <w:color w:val="000000"/>
          <w:spacing w:val="-6"/>
          <w:sz w:val="32"/>
          <w:szCs w:val="32"/>
        </w:rPr>
        <w:t>2023</w:t>
      </w:r>
      <w:r>
        <w:rPr>
          <w:rFonts w:hint="eastAsia" w:ascii="仿宋" w:hAnsi="仿宋" w:eastAsia="仿宋" w:cs="仿宋"/>
          <w:color w:val="000000"/>
          <w:spacing w:val="-6"/>
          <w:sz w:val="32"/>
          <w:szCs w:val="32"/>
        </w:rPr>
        <w:t>年，在市委、市政府的坚强领导下，在市人大、市政协的关心支持下，面对经济下行压力、新冠疫情影响、资金筹集困难等多种不利因素，</w:t>
      </w:r>
      <w:r>
        <w:rPr>
          <w:rFonts w:hint="eastAsia" w:ascii="仿宋" w:hAnsi="仿宋" w:eastAsia="仿宋" w:cs="仿宋"/>
          <w:color w:val="000000"/>
          <w:sz w:val="32"/>
          <w:szCs w:val="32"/>
        </w:rPr>
        <w:t>全系统广大干部职工迎难而上，</w:t>
      </w:r>
      <w:r>
        <w:rPr>
          <w:rFonts w:hint="eastAsia" w:ascii="仿宋" w:hAnsi="仿宋" w:eastAsia="仿宋" w:cs="仿宋"/>
          <w:color w:val="000000"/>
          <w:spacing w:val="-6"/>
          <w:sz w:val="32"/>
          <w:szCs w:val="32"/>
        </w:rPr>
        <w:t>主动作为，勇于担当，</w:t>
      </w:r>
      <w:r>
        <w:rPr>
          <w:rFonts w:hint="eastAsia" w:ascii="仿宋" w:hAnsi="仿宋" w:eastAsia="仿宋" w:cs="仿宋"/>
          <w:color w:val="000000"/>
          <w:sz w:val="32"/>
          <w:szCs w:val="32"/>
        </w:rPr>
        <w:t>奋力</w:t>
      </w:r>
      <w:r>
        <w:rPr>
          <w:rFonts w:hint="eastAsia" w:ascii="仿宋" w:hAnsi="仿宋" w:eastAsia="仿宋" w:cs="仿宋"/>
          <w:color w:val="000000"/>
          <w:spacing w:val="-6"/>
          <w:sz w:val="32"/>
          <w:szCs w:val="32"/>
        </w:rPr>
        <w:t>攻坚，</w:t>
      </w:r>
      <w:r>
        <w:rPr>
          <w:rFonts w:hint="eastAsia" w:ascii="仿宋" w:hAnsi="仿宋" w:eastAsia="仿宋" w:cs="仿宋"/>
          <w:color w:val="000000"/>
          <w:sz w:val="32"/>
          <w:szCs w:val="32"/>
        </w:rPr>
        <w:t>全市交通运输工作抓出了成效。</w:t>
      </w:r>
    </w:p>
    <w:p w14:paraId="7EFE7E0B">
      <w:pPr>
        <w:pStyle w:val="9"/>
        <w:shd w:val="clear" w:color="auto" w:fill="FFFFFF"/>
        <w:spacing w:before="0" w:beforeAutospacing="0" w:after="0" w:afterAutospacing="0" w:line="352" w:lineRule="atLeast"/>
        <w:ind w:firstLine="560"/>
        <w:jc w:val="both"/>
        <w:rPr>
          <w:rFonts w:ascii="仿宋" w:hAnsi="仿宋" w:eastAsia="仿宋" w:cs="仿宋"/>
          <w:sz w:val="32"/>
          <w:szCs w:val="32"/>
          <w:shd w:val="clear" w:color="auto" w:fill="FFFFFF"/>
        </w:rPr>
      </w:pPr>
      <w:r>
        <w:rPr>
          <w:rFonts w:ascii="仿宋" w:hAnsi="仿宋" w:eastAsia="仿宋" w:cs="仿宋"/>
          <w:sz w:val="32"/>
          <w:szCs w:val="32"/>
        </w:rPr>
        <w:t xml:space="preserve"> </w:t>
      </w:r>
      <w:r>
        <w:rPr>
          <w:rFonts w:hint="eastAsia" w:ascii="仿宋" w:hAnsi="仿宋" w:eastAsia="仿宋" w:cs="仿宋"/>
          <w:sz w:val="32"/>
          <w:szCs w:val="32"/>
          <w:shd w:val="clear" w:color="auto" w:fill="FFFFFF"/>
        </w:rPr>
        <w:t>在行政效能上，进一步精简文件数量，提高文件质量；严格行文规则，控制文件规格；减少会议数量，压缩会议时间；控制会议规模，创新会议形式；节约会议成本，严肃会议纪律；推动网上办事，降低提交资料的时间及成本，提高了行政效率，降低了行政成本。</w:t>
      </w:r>
    </w:p>
    <w:p w14:paraId="1D800B4C">
      <w:pPr>
        <w:widowControl/>
        <w:spacing w:line="600" w:lineRule="exact"/>
        <w:ind w:firstLine="643" w:firstLineChars="200"/>
        <w:jc w:val="left"/>
        <w:rPr>
          <w:rFonts w:ascii="仿宋" w:hAnsi="仿宋" w:eastAsia="仿宋" w:cs="仿宋"/>
          <w:sz w:val="32"/>
          <w:szCs w:val="32"/>
        </w:rPr>
      </w:pPr>
      <w:r>
        <w:rPr>
          <w:rFonts w:hint="eastAsia" w:ascii="仿宋" w:hAnsi="仿宋" w:eastAsia="仿宋"/>
          <w:b/>
          <w:bCs/>
          <w:sz w:val="32"/>
          <w:szCs w:val="32"/>
        </w:rPr>
        <w:t>（五）履职效益</w:t>
      </w:r>
      <w:r>
        <w:rPr>
          <w:rFonts w:hint="eastAsia" w:ascii="仿宋" w:hAnsi="仿宋" w:eastAsia="仿宋" w:cs="仿宋"/>
          <w:sz w:val="32"/>
          <w:szCs w:val="32"/>
        </w:rPr>
        <w:t>：</w:t>
      </w:r>
    </w:p>
    <w:p w14:paraId="48280CBE">
      <w:pPr>
        <w:pStyle w:val="4"/>
        <w:rPr>
          <w:rFonts w:ascii="仿宋" w:hAnsi="仿宋" w:eastAsia="仿宋" w:cs="仿宋"/>
        </w:rPr>
      </w:pPr>
      <w:r>
        <w:rPr>
          <w:rFonts w:ascii="仿宋" w:hAnsi="仿宋" w:eastAsia="仿宋"/>
        </w:rPr>
        <w:t xml:space="preserve">     </w:t>
      </w:r>
      <w:r>
        <w:rPr>
          <w:rFonts w:ascii="仿宋" w:hAnsi="仿宋" w:eastAsia="仿宋" w:cs="仿宋"/>
        </w:rPr>
        <w:t xml:space="preserve"> 1</w:t>
      </w:r>
      <w:r>
        <w:rPr>
          <w:rFonts w:hint="eastAsia" w:ascii="仿宋" w:hAnsi="仿宋" w:eastAsia="仿宋" w:cs="仿宋"/>
        </w:rPr>
        <w:t>）经济效益：通过厉行节约，努力减少各项支出，确保财政资金的正确使用。</w:t>
      </w:r>
    </w:p>
    <w:p w14:paraId="339DDEE8">
      <w:pPr>
        <w:pStyle w:val="4"/>
        <w:rPr>
          <w:rFonts w:ascii="仿宋" w:hAnsi="仿宋" w:eastAsia="仿宋" w:cs="仿宋"/>
        </w:rPr>
      </w:pPr>
      <w:r>
        <w:rPr>
          <w:rFonts w:ascii="仿宋" w:hAnsi="仿宋" w:eastAsia="仿宋"/>
        </w:rPr>
        <w:t xml:space="preserve">      </w:t>
      </w:r>
      <w:r>
        <w:rPr>
          <w:rFonts w:ascii="仿宋" w:hAnsi="仿宋" w:eastAsia="仿宋" w:cs="仿宋"/>
        </w:rPr>
        <w:t>3</w:t>
      </w:r>
      <w:r>
        <w:rPr>
          <w:rFonts w:hint="eastAsia" w:ascii="仿宋" w:hAnsi="仿宋" w:eastAsia="仿宋" w:cs="仿宋"/>
        </w:rPr>
        <w:t>）环境效益：通过项目实施，减少环境污染，提高环境质量。</w:t>
      </w:r>
    </w:p>
    <w:p w14:paraId="170E0970">
      <w:pPr>
        <w:pStyle w:val="4"/>
        <w:ind w:firstLine="960" w:firstLineChars="300"/>
        <w:rPr>
          <w:rFonts w:ascii="仿宋" w:hAnsi="仿宋" w:eastAsia="仿宋" w:cs="仿宋"/>
        </w:rPr>
      </w:pPr>
      <w:r>
        <w:rPr>
          <w:rFonts w:ascii="仿宋" w:hAnsi="仿宋" w:eastAsia="仿宋" w:cs="仿宋"/>
        </w:rPr>
        <w:t>4</w:t>
      </w:r>
      <w:r>
        <w:rPr>
          <w:rFonts w:hint="eastAsia" w:ascii="仿宋" w:hAnsi="仿宋" w:eastAsia="仿宋" w:cs="仿宋"/>
        </w:rPr>
        <w:t>）可持续影响：体现政策导向，发挥交通专业优势，带动交通局各项工作的可持续发展。</w:t>
      </w:r>
    </w:p>
    <w:p w14:paraId="3B47761D">
      <w:pPr>
        <w:widowControl/>
        <w:ind w:firstLine="960" w:firstLineChars="300"/>
        <w:rPr>
          <w:rFonts w:ascii="仿宋" w:hAnsi="仿宋" w:eastAsia="仿宋" w:cs="仿宋"/>
          <w:sz w:val="32"/>
          <w:szCs w:val="32"/>
        </w:rPr>
      </w:pPr>
      <w:r>
        <w:rPr>
          <w:rFonts w:ascii="仿宋" w:hAnsi="仿宋" w:eastAsia="仿宋" w:cs="仿宋"/>
          <w:sz w:val="32"/>
          <w:szCs w:val="32"/>
        </w:rPr>
        <w:t>5</w:t>
      </w:r>
      <w:r>
        <w:rPr>
          <w:rFonts w:hint="eastAsia" w:ascii="仿宋" w:hAnsi="仿宋" w:eastAsia="仿宋" w:cs="仿宋"/>
          <w:sz w:val="32"/>
          <w:szCs w:val="32"/>
        </w:rPr>
        <w:t>）服务对象满意度：</w:t>
      </w:r>
      <w:r>
        <w:rPr>
          <w:rFonts w:hint="eastAsia" w:ascii="仿宋" w:hAnsi="仿宋" w:eastAsia="仿宋" w:cs="仿宋"/>
          <w:sz w:val="32"/>
          <w:szCs w:val="32"/>
          <w:shd w:val="clear" w:color="auto" w:fill="FFFFFF"/>
        </w:rPr>
        <w:t>通过上述工作的开展，全市交通运输各项工作稳步推进，社会公众的满意度得到了提高。</w:t>
      </w:r>
    </w:p>
    <w:p w14:paraId="4B965720">
      <w:pPr>
        <w:pStyle w:val="9"/>
        <w:shd w:val="clear" w:color="auto" w:fill="FFFFFF"/>
        <w:spacing w:before="0" w:beforeAutospacing="0" w:after="0" w:afterAutospacing="0" w:line="352" w:lineRule="atLeast"/>
        <w:ind w:firstLine="643" w:firstLineChars="200"/>
        <w:jc w:val="both"/>
        <w:rPr>
          <w:rFonts w:ascii="仿宋" w:hAnsi="仿宋" w:eastAsia="仿宋" w:cs="仿宋"/>
          <w:b/>
          <w:bCs/>
          <w:sz w:val="32"/>
          <w:szCs w:val="32"/>
        </w:rPr>
      </w:pPr>
      <w:r>
        <w:rPr>
          <w:rFonts w:hint="eastAsia" w:ascii="仿宋" w:hAnsi="仿宋" w:eastAsia="仿宋" w:cs="仿宋"/>
          <w:b/>
          <w:bCs/>
          <w:sz w:val="32"/>
          <w:szCs w:val="32"/>
          <w:shd w:val="clear" w:color="auto" w:fill="FFFFFF"/>
        </w:rPr>
        <w:t>（六）可持续性分析</w:t>
      </w:r>
    </w:p>
    <w:p w14:paraId="6B7A912F">
      <w:pPr>
        <w:pStyle w:val="9"/>
        <w:shd w:val="clear" w:color="auto" w:fill="FFFFFF"/>
        <w:spacing w:before="0" w:beforeAutospacing="0" w:after="0" w:afterAutospacing="0" w:line="352" w:lineRule="atLeast"/>
        <w:ind w:firstLine="56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通过上述工作的开展，全市交通运输各项工作稳步推进，社会公众的满意度得到了提高。同时在市委市政府的坚强领导下，我局认真完成上级政府部门布置各项工作任务，加强资金管理，提高资金使用效率。</w:t>
      </w:r>
    </w:p>
    <w:p w14:paraId="099E0EF4">
      <w:pPr>
        <w:pStyle w:val="9"/>
        <w:numPr>
          <w:ilvl w:val="0"/>
          <w:numId w:val="4"/>
        </w:numPr>
        <w:shd w:val="clear" w:color="auto" w:fill="FFFFFF"/>
        <w:spacing w:before="0" w:beforeAutospacing="0" w:after="0" w:afterAutospacing="0" w:line="352" w:lineRule="atLeast"/>
        <w:ind w:firstLine="560"/>
        <w:jc w:val="both"/>
        <w:rPr>
          <w:rFonts w:ascii="仿宋" w:hAnsi="仿宋" w:eastAsia="仿宋" w:cs="仿宋"/>
          <w:b/>
          <w:bCs/>
          <w:sz w:val="32"/>
          <w:szCs w:val="32"/>
          <w:shd w:val="clear" w:color="auto" w:fill="FFFFFF"/>
        </w:rPr>
      </w:pPr>
      <w:r>
        <w:rPr>
          <w:rFonts w:hint="eastAsia" w:ascii="仿宋" w:hAnsi="仿宋" w:eastAsia="仿宋" w:cs="仿宋"/>
          <w:b/>
          <w:bCs/>
          <w:sz w:val="32"/>
          <w:szCs w:val="32"/>
          <w:shd w:val="clear" w:color="auto" w:fill="FFFFFF"/>
        </w:rPr>
        <w:t>存在的问题及原因分析</w:t>
      </w:r>
    </w:p>
    <w:p w14:paraId="3C6FE827">
      <w:pPr>
        <w:pStyle w:val="9"/>
        <w:shd w:val="clear" w:color="auto" w:fill="FFFFFF"/>
        <w:spacing w:before="0" w:beforeAutospacing="0" w:after="0" w:afterAutospacing="0" w:line="352" w:lineRule="atLeast"/>
        <w:ind w:firstLine="640" w:firstLineChars="20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预算绩效管理人才缺乏，管理能力和水平有待进一步提高。</w:t>
      </w:r>
    </w:p>
    <w:p w14:paraId="150DA4BC">
      <w:pPr>
        <w:pStyle w:val="9"/>
        <w:numPr>
          <w:ilvl w:val="0"/>
          <w:numId w:val="4"/>
        </w:numPr>
        <w:shd w:val="clear" w:color="auto" w:fill="FFFFFF"/>
        <w:spacing w:before="0" w:beforeAutospacing="0" w:after="0" w:afterAutospacing="0" w:line="352" w:lineRule="atLeast"/>
        <w:ind w:firstLine="560"/>
        <w:jc w:val="both"/>
        <w:rPr>
          <w:rFonts w:ascii="仿宋" w:hAnsi="仿宋" w:eastAsia="仿宋" w:cs="仿宋"/>
          <w:b/>
          <w:bCs/>
          <w:sz w:val="32"/>
          <w:szCs w:val="32"/>
          <w:shd w:val="clear" w:color="auto" w:fill="FFFFFF"/>
        </w:rPr>
      </w:pPr>
      <w:r>
        <w:rPr>
          <w:rFonts w:hint="eastAsia" w:ascii="仿宋" w:hAnsi="仿宋" w:eastAsia="仿宋" w:cs="仿宋"/>
          <w:b/>
          <w:bCs/>
          <w:sz w:val="32"/>
          <w:szCs w:val="32"/>
          <w:shd w:val="clear" w:color="auto" w:fill="FFFFFF"/>
        </w:rPr>
        <w:t>下一步工作安排</w:t>
      </w:r>
    </w:p>
    <w:p w14:paraId="7E99B495">
      <w:pPr>
        <w:pStyle w:val="9"/>
        <w:shd w:val="clear" w:color="auto" w:fill="FFFFFF"/>
        <w:spacing w:before="0" w:beforeAutospacing="0" w:after="0" w:afterAutospacing="0" w:line="352" w:lineRule="atLeast"/>
        <w:ind w:firstLine="560"/>
        <w:jc w:val="both"/>
        <w:rPr>
          <w:rFonts w:ascii="Calibri" w:hAnsi="Calibri" w:cs="Calibri"/>
          <w:sz w:val="32"/>
          <w:szCs w:val="32"/>
        </w:rPr>
      </w:pPr>
      <w:r>
        <w:rPr>
          <w:rFonts w:ascii="仿宋" w:hAnsi="仿宋" w:eastAsia="仿宋" w:cs="仿宋"/>
          <w:sz w:val="32"/>
          <w:szCs w:val="32"/>
          <w:shd w:val="clear" w:color="auto" w:fill="FFFFFF"/>
        </w:rPr>
        <w:t>1</w:t>
      </w:r>
      <w:r>
        <w:rPr>
          <w:rFonts w:hint="eastAsia" w:ascii="仿宋" w:hAnsi="仿宋" w:eastAsia="仿宋" w:cs="仿宋"/>
          <w:sz w:val="32"/>
          <w:szCs w:val="32"/>
          <w:shd w:val="clear" w:color="auto" w:fill="FFFFFF"/>
        </w:rPr>
        <w:t>、认真做好预算编制</w:t>
      </w:r>
    </w:p>
    <w:p w14:paraId="7727EE77">
      <w:pPr>
        <w:pStyle w:val="9"/>
        <w:shd w:val="clear" w:color="auto" w:fill="FFFFFF"/>
        <w:spacing w:before="0" w:beforeAutospacing="0" w:after="0" w:afterAutospacing="0" w:line="352" w:lineRule="atLeast"/>
        <w:ind w:firstLine="560"/>
        <w:jc w:val="both"/>
        <w:rPr>
          <w:rFonts w:ascii="Calibri" w:hAnsi="Calibri" w:eastAsia="仿宋" w:cs="Calibri"/>
          <w:sz w:val="32"/>
          <w:szCs w:val="32"/>
        </w:rPr>
      </w:pPr>
      <w:r>
        <w:rPr>
          <w:rFonts w:hint="eastAsia" w:ascii="仿宋" w:hAnsi="仿宋" w:eastAsia="仿宋" w:cs="仿宋"/>
          <w:sz w:val="32"/>
          <w:szCs w:val="32"/>
          <w:shd w:val="clear" w:color="auto" w:fill="FFFFFF"/>
        </w:rPr>
        <w:t>进一步加强单位内部预算管理，严格按照预算编制的相关制度和要求，本着“勤俭节约、保障运转”的原则进行预算编制；编制范围尽可能的全面，不漏项；杜绝预算编制粗放现象的发生，进一步提高预算编制的科学性、合理性、严谨性和可控性，科学制定年度预算，充分预计和提前计划各项支出。</w:t>
      </w:r>
    </w:p>
    <w:p w14:paraId="41279BB8">
      <w:pPr>
        <w:pStyle w:val="9"/>
        <w:shd w:val="clear" w:color="auto" w:fill="FFFFFF"/>
        <w:spacing w:before="0" w:beforeAutospacing="0" w:after="0" w:afterAutospacing="0" w:line="360" w:lineRule="atLeast"/>
        <w:ind w:firstLine="560"/>
        <w:jc w:val="both"/>
        <w:rPr>
          <w:rFonts w:ascii="仿宋" w:hAnsi="仿宋" w:eastAsia="仿宋" w:cs="仿宋"/>
          <w:sz w:val="32"/>
          <w:szCs w:val="32"/>
          <w:shd w:val="clear" w:color="auto" w:fill="FFFFFF"/>
        </w:rPr>
      </w:pPr>
      <w:r>
        <w:rPr>
          <w:rFonts w:ascii="仿宋" w:hAnsi="仿宋" w:eastAsia="仿宋" w:cs="仿宋"/>
          <w:sz w:val="32"/>
          <w:szCs w:val="32"/>
          <w:shd w:val="clear" w:color="auto" w:fill="FFFFFF"/>
        </w:rPr>
        <w:t>2</w:t>
      </w:r>
      <w:r>
        <w:rPr>
          <w:rFonts w:hint="eastAsia" w:ascii="仿宋" w:hAnsi="仿宋" w:eastAsia="仿宋" w:cs="仿宋"/>
          <w:sz w:val="32"/>
          <w:szCs w:val="32"/>
          <w:shd w:val="clear" w:color="auto" w:fill="FFFFFF"/>
        </w:rPr>
        <w:t>、提高绩效管理水平</w:t>
      </w:r>
    </w:p>
    <w:p w14:paraId="2DF40204">
      <w:pPr>
        <w:pStyle w:val="9"/>
        <w:shd w:val="clear" w:color="auto" w:fill="FFFFFF"/>
        <w:spacing w:before="0" w:beforeAutospacing="0" w:after="0" w:afterAutospacing="0" w:line="360" w:lineRule="atLeast"/>
        <w:ind w:firstLine="56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进一步建立健全预算绩效管理工作制度，加强预算绩效管理工作队伍建设，通过开展预算绩效管理工作培训、与财政和绩效管理先进单位交流学习等方式提高单位绩效管理工作能力和水平。</w:t>
      </w:r>
    </w:p>
    <w:p w14:paraId="43D8B37B">
      <w:pPr>
        <w:pStyle w:val="9"/>
        <w:shd w:val="clear" w:color="auto" w:fill="FFFFFF"/>
        <w:spacing w:before="0" w:beforeAutospacing="0" w:after="0" w:afterAutospacing="0" w:line="360" w:lineRule="atLeast"/>
        <w:ind w:firstLine="560"/>
        <w:jc w:val="both"/>
        <w:rPr>
          <w:rFonts w:ascii="仿宋" w:hAnsi="仿宋" w:eastAsia="仿宋" w:cs="仿宋"/>
          <w:sz w:val="32"/>
          <w:szCs w:val="32"/>
          <w:shd w:val="clear" w:color="auto" w:fill="FFFFFF"/>
        </w:rPr>
      </w:pPr>
      <w:r>
        <w:rPr>
          <w:rFonts w:ascii="仿宋" w:hAnsi="仿宋" w:eastAsia="仿宋" w:cs="仿宋"/>
          <w:sz w:val="32"/>
          <w:szCs w:val="32"/>
          <w:shd w:val="clear" w:color="auto" w:fill="FFFFFF"/>
        </w:rPr>
        <w:t>3</w:t>
      </w:r>
      <w:r>
        <w:rPr>
          <w:rFonts w:hint="eastAsia" w:ascii="仿宋" w:hAnsi="仿宋" w:eastAsia="仿宋" w:cs="仿宋"/>
          <w:sz w:val="32"/>
          <w:szCs w:val="32"/>
          <w:shd w:val="clear" w:color="auto" w:fill="FFFFFF"/>
        </w:rPr>
        <w:t>、完善财务管理制度</w:t>
      </w:r>
    </w:p>
    <w:p w14:paraId="1D804D56">
      <w:pPr>
        <w:pStyle w:val="9"/>
        <w:shd w:val="clear" w:color="auto" w:fill="FFFFFF"/>
        <w:spacing w:before="0" w:beforeAutospacing="0" w:after="0" w:afterAutospacing="0" w:line="360" w:lineRule="atLeast"/>
        <w:ind w:firstLine="560"/>
        <w:jc w:val="both"/>
        <w:rPr>
          <w:sz w:val="32"/>
          <w:szCs w:val="32"/>
        </w:rPr>
      </w:pPr>
      <w:r>
        <w:rPr>
          <w:rFonts w:hint="eastAsia" w:ascii="仿宋" w:hAnsi="仿宋" w:eastAsia="仿宋" w:cs="仿宋"/>
          <w:sz w:val="32"/>
          <w:szCs w:val="32"/>
          <w:shd w:val="clear" w:color="auto" w:fill="FFFFFF"/>
        </w:rPr>
        <w:t>进一步贯彻落实中央“八项规定”，建立健全新的财务管理制度，针对“三公”经费制订专门的审批和控制制度，规范支出标准与范围，并严格执行。</w:t>
      </w:r>
    </w:p>
    <w:p w14:paraId="239634FA">
      <w:pPr>
        <w:pStyle w:val="9"/>
        <w:shd w:val="clear" w:color="auto" w:fill="FFFFFF"/>
        <w:spacing w:before="0" w:beforeAutospacing="0" w:after="0" w:afterAutospacing="0" w:line="360" w:lineRule="atLeast"/>
        <w:ind w:firstLine="560"/>
        <w:jc w:val="both"/>
        <w:rPr>
          <w:rFonts w:eastAsia="仿宋"/>
          <w:sz w:val="32"/>
          <w:szCs w:val="32"/>
        </w:rPr>
      </w:pPr>
      <w:r>
        <w:rPr>
          <w:rFonts w:ascii="仿宋" w:hAnsi="仿宋" w:eastAsia="仿宋" w:cs="仿宋"/>
          <w:sz w:val="32"/>
          <w:szCs w:val="32"/>
          <w:shd w:val="clear" w:color="auto" w:fill="FFFFFF"/>
        </w:rPr>
        <w:t>4</w:t>
      </w:r>
      <w:r>
        <w:rPr>
          <w:rFonts w:hint="eastAsia" w:ascii="仿宋" w:hAnsi="仿宋" w:eastAsia="仿宋" w:cs="仿宋"/>
          <w:sz w:val="32"/>
          <w:szCs w:val="32"/>
          <w:shd w:val="clear" w:color="auto" w:fill="FFFFFF"/>
        </w:rPr>
        <w:t>、加强全局经费管理</w:t>
      </w:r>
    </w:p>
    <w:p w14:paraId="1FE7596A">
      <w:pPr>
        <w:pStyle w:val="9"/>
        <w:shd w:val="clear" w:color="auto" w:fill="FFFFFF"/>
        <w:spacing w:before="0" w:beforeAutospacing="0" w:after="0" w:afterAutospacing="0" w:line="360" w:lineRule="atLeast"/>
        <w:ind w:firstLine="560"/>
        <w:jc w:val="both"/>
        <w:rPr>
          <w:sz w:val="32"/>
          <w:szCs w:val="32"/>
        </w:rPr>
      </w:pPr>
      <w:r>
        <w:rPr>
          <w:rFonts w:hint="eastAsia" w:ascii="仿宋" w:hAnsi="仿宋" w:eastAsia="仿宋" w:cs="仿宋"/>
          <w:sz w:val="32"/>
          <w:szCs w:val="32"/>
          <w:shd w:val="clear" w:color="auto" w:fill="FFFFFF"/>
        </w:rPr>
        <w:t>在当前工作经费逐年压减少的大环境下，财务本着少花钱、事要办好的原则，继续推行经费先批后用、先预算后结算的操作模式，确保我局各项工作有序开展并取得实效。</w:t>
      </w:r>
    </w:p>
    <w:p w14:paraId="75CC31ED">
      <w:pPr>
        <w:widowControl/>
        <w:ind w:left="420" w:leftChars="200"/>
        <w:rPr>
          <w:rFonts w:ascii="仿宋" w:hAnsi="仿宋" w:eastAsia="仿宋" w:cs="仿宋"/>
          <w:sz w:val="32"/>
          <w:szCs w:val="32"/>
        </w:rPr>
      </w:pPr>
    </w:p>
    <w:p w14:paraId="75C67F17">
      <w:pPr>
        <w:ind w:right="640"/>
        <w:rPr>
          <w:rFonts w:ascii="黑体" w:hAnsi="黑体" w:eastAsia="黑体" w:cs="黑体"/>
          <w:kern w:val="0"/>
          <w:sz w:val="32"/>
          <w:szCs w:val="32"/>
        </w:rPr>
      </w:pPr>
    </w:p>
    <w:p w14:paraId="5D7C5E09">
      <w:pPr>
        <w:ind w:right="640"/>
        <w:rPr>
          <w:rFonts w:ascii="黑体" w:hAnsi="黑体" w:eastAsia="黑体" w:cs="黑体"/>
          <w:kern w:val="0"/>
          <w:sz w:val="32"/>
          <w:szCs w:val="32"/>
        </w:rPr>
      </w:pPr>
    </w:p>
    <w:p w14:paraId="6C9A7163">
      <w:pPr>
        <w:ind w:right="640"/>
        <w:rPr>
          <w:rFonts w:ascii="黑体" w:hAnsi="黑体" w:eastAsia="黑体" w:cs="黑体"/>
          <w:kern w:val="0"/>
          <w:sz w:val="32"/>
          <w:szCs w:val="32"/>
        </w:rPr>
      </w:pPr>
    </w:p>
    <w:p w14:paraId="15D8C68A">
      <w:pPr>
        <w:ind w:right="640"/>
        <w:rPr>
          <w:rFonts w:ascii="黑体" w:hAnsi="黑体" w:eastAsia="黑体" w:cs="黑体"/>
          <w:kern w:val="0"/>
          <w:sz w:val="32"/>
          <w:szCs w:val="32"/>
        </w:rPr>
      </w:pPr>
    </w:p>
    <w:p w14:paraId="121A2E11">
      <w:pPr>
        <w:pStyle w:val="4"/>
        <w:rPr>
          <w:rFonts w:ascii="黑体" w:hAnsi="黑体" w:eastAsia="黑体" w:cs="黑体"/>
          <w:kern w:val="0"/>
        </w:rPr>
      </w:pPr>
    </w:p>
    <w:p w14:paraId="58752BCC">
      <w:pPr>
        <w:pStyle w:val="4"/>
        <w:rPr>
          <w:rFonts w:ascii="黑体" w:hAnsi="黑体" w:eastAsia="黑体" w:cs="黑体"/>
          <w:kern w:val="0"/>
        </w:rPr>
      </w:pPr>
    </w:p>
    <w:p w14:paraId="7FF56D97">
      <w:pPr>
        <w:pStyle w:val="4"/>
        <w:rPr>
          <w:rFonts w:ascii="Times New Roman" w:hAnsi="Times New Roman" w:eastAsia="仿宋_GB2312"/>
          <w:sz w:val="24"/>
        </w:rPr>
      </w:pPr>
    </w:p>
    <w:p w14:paraId="15AC6C80">
      <w:pPr>
        <w:pStyle w:val="4"/>
        <w:rPr>
          <w:rFonts w:ascii="Times New Roman" w:hAnsi="Times New Roman" w:eastAsia="仿宋_GB2312"/>
          <w:sz w:val="24"/>
        </w:rPr>
      </w:pPr>
    </w:p>
    <w:p w14:paraId="58A1E80A">
      <w:pPr>
        <w:pStyle w:val="4"/>
        <w:rPr>
          <w:rFonts w:ascii="Times New Roman" w:hAnsi="Times New Roman" w:eastAsia="仿宋_GB2312"/>
          <w:sz w:val="24"/>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913EF">
    <w:pPr>
      <w:pStyle w:val="6"/>
      <w:framePr w:wrap="around" w:vAnchor="text" w:hAnchor="margin" w:xAlign="outside" w:y="1"/>
      <w:rPr>
        <w:rStyle w:val="12"/>
        <w:rFonts w:ascii="Times New Roman" w:hAnsi="Times New Roman"/>
        <w:sz w:val="28"/>
        <w:szCs w:val="28"/>
      </w:rPr>
    </w:pPr>
    <w:r>
      <w:rPr>
        <w:rStyle w:val="12"/>
        <w:rFonts w:ascii="Times New Roman" w:hAnsi="Times New Roman"/>
        <w:sz w:val="28"/>
        <w:szCs w:val="28"/>
      </w:rPr>
      <w:fldChar w:fldCharType="begin"/>
    </w:r>
    <w:r>
      <w:rPr>
        <w:rStyle w:val="12"/>
        <w:rFonts w:ascii="Times New Roman" w:hAnsi="Times New Roman"/>
        <w:sz w:val="28"/>
        <w:szCs w:val="28"/>
      </w:rPr>
      <w:instrText xml:space="preserve">PAGE  </w:instrText>
    </w:r>
    <w:r>
      <w:rPr>
        <w:rStyle w:val="12"/>
        <w:rFonts w:ascii="Times New Roman" w:hAnsi="Times New Roman"/>
        <w:sz w:val="28"/>
        <w:szCs w:val="28"/>
      </w:rPr>
      <w:fldChar w:fldCharType="separate"/>
    </w:r>
    <w:r>
      <w:rPr>
        <w:rStyle w:val="12"/>
        <w:rFonts w:ascii="Times New Roman" w:hAnsi="Times New Roman"/>
        <w:sz w:val="28"/>
        <w:szCs w:val="28"/>
      </w:rPr>
      <w:t>10</w:t>
    </w:r>
    <w:r>
      <w:rPr>
        <w:rStyle w:val="12"/>
        <w:rFonts w:ascii="Times New Roman" w:hAnsi="Times New Roman"/>
        <w:sz w:val="28"/>
        <w:szCs w:val="28"/>
      </w:rPr>
      <w:fldChar w:fldCharType="end"/>
    </w:r>
  </w:p>
  <w:p w14:paraId="0C125C56">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46DDA">
    <w:pPr>
      <w:pStyle w:val="6"/>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end"/>
    </w:r>
  </w:p>
  <w:p w14:paraId="234EB03A">
    <w:pPr>
      <w:pStyle w:val="6"/>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2B43E9"/>
    <w:multiLevelType w:val="singleLevel"/>
    <w:tmpl w:val="DD2B43E9"/>
    <w:lvl w:ilvl="0" w:tentative="0">
      <w:start w:val="1"/>
      <w:numFmt w:val="decimal"/>
      <w:suff w:val="nothing"/>
      <w:lvlText w:val="（%1）"/>
      <w:lvlJc w:val="left"/>
      <w:rPr>
        <w:rFonts w:cs="Times New Roman"/>
      </w:rPr>
    </w:lvl>
  </w:abstractNum>
  <w:abstractNum w:abstractNumId="1">
    <w:nsid w:val="01D5834E"/>
    <w:multiLevelType w:val="singleLevel"/>
    <w:tmpl w:val="01D5834E"/>
    <w:lvl w:ilvl="0" w:tentative="0">
      <w:start w:val="7"/>
      <w:numFmt w:val="chineseCounting"/>
      <w:suff w:val="nothing"/>
      <w:lvlText w:val="%1、"/>
      <w:lvlJc w:val="left"/>
      <w:rPr>
        <w:rFonts w:hint="eastAsia" w:cs="Times New Roman"/>
      </w:rPr>
    </w:lvl>
  </w:abstractNum>
  <w:abstractNum w:abstractNumId="2">
    <w:nsid w:val="5C7831B4"/>
    <w:multiLevelType w:val="singleLevel"/>
    <w:tmpl w:val="5C7831B4"/>
    <w:lvl w:ilvl="0" w:tentative="0">
      <w:start w:val="2"/>
      <w:numFmt w:val="chineseCounting"/>
      <w:suff w:val="nothing"/>
      <w:lvlText w:val="（%1）"/>
      <w:lvlJc w:val="left"/>
      <w:rPr>
        <w:rFonts w:hint="eastAsia" w:cs="Times New Roman"/>
      </w:rPr>
    </w:lvl>
  </w:abstractNum>
  <w:abstractNum w:abstractNumId="3">
    <w:nsid w:val="7285AB45"/>
    <w:multiLevelType w:val="singleLevel"/>
    <w:tmpl w:val="7285AB45"/>
    <w:lvl w:ilvl="0" w:tentative="0">
      <w:start w:val="2"/>
      <w:numFmt w:val="decimal"/>
      <w:suff w:val="nothing"/>
      <w:lvlText w:val="%1、"/>
      <w:lvlJc w:val="left"/>
      <w:rPr>
        <w:rFonts w:cs="Times New Roman"/>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RlZDc4MmU2OWJkODcxNWQ0NTgxZTc5ZTliZDg3YmUifQ=="/>
  </w:docVars>
  <w:rsids>
    <w:rsidRoot w:val="00C553EF"/>
    <w:rsid w:val="0000120E"/>
    <w:rsid w:val="00012C93"/>
    <w:rsid w:val="000734E3"/>
    <w:rsid w:val="000773D5"/>
    <w:rsid w:val="00080625"/>
    <w:rsid w:val="00093B9D"/>
    <w:rsid w:val="00094646"/>
    <w:rsid w:val="000A561A"/>
    <w:rsid w:val="000D5E7F"/>
    <w:rsid w:val="000E2B59"/>
    <w:rsid w:val="000F775C"/>
    <w:rsid w:val="00135131"/>
    <w:rsid w:val="00135395"/>
    <w:rsid w:val="00184AF2"/>
    <w:rsid w:val="001A7CAB"/>
    <w:rsid w:val="001B56F4"/>
    <w:rsid w:val="001B69B6"/>
    <w:rsid w:val="001B6D56"/>
    <w:rsid w:val="00220A85"/>
    <w:rsid w:val="002238BB"/>
    <w:rsid w:val="00225BED"/>
    <w:rsid w:val="002320EB"/>
    <w:rsid w:val="002A03D6"/>
    <w:rsid w:val="002D01D7"/>
    <w:rsid w:val="002F05A3"/>
    <w:rsid w:val="003056F3"/>
    <w:rsid w:val="003126FC"/>
    <w:rsid w:val="00323CF3"/>
    <w:rsid w:val="0032533F"/>
    <w:rsid w:val="00350333"/>
    <w:rsid w:val="003A1408"/>
    <w:rsid w:val="003B7F5C"/>
    <w:rsid w:val="003E1FD6"/>
    <w:rsid w:val="003E5841"/>
    <w:rsid w:val="003F1540"/>
    <w:rsid w:val="004148E0"/>
    <w:rsid w:val="004217FE"/>
    <w:rsid w:val="00440BFE"/>
    <w:rsid w:val="00463FD5"/>
    <w:rsid w:val="00474AD0"/>
    <w:rsid w:val="00487AC5"/>
    <w:rsid w:val="00496F05"/>
    <w:rsid w:val="00537950"/>
    <w:rsid w:val="00551D43"/>
    <w:rsid w:val="00566BA9"/>
    <w:rsid w:val="00581EEE"/>
    <w:rsid w:val="005851E9"/>
    <w:rsid w:val="00591495"/>
    <w:rsid w:val="00594AEE"/>
    <w:rsid w:val="006264B7"/>
    <w:rsid w:val="006964D9"/>
    <w:rsid w:val="006F37DA"/>
    <w:rsid w:val="007123D7"/>
    <w:rsid w:val="00713B58"/>
    <w:rsid w:val="00723134"/>
    <w:rsid w:val="00751BF0"/>
    <w:rsid w:val="00764972"/>
    <w:rsid w:val="00771B0E"/>
    <w:rsid w:val="007A6F2C"/>
    <w:rsid w:val="007B3731"/>
    <w:rsid w:val="007C3C5A"/>
    <w:rsid w:val="007E2D1B"/>
    <w:rsid w:val="007E3E71"/>
    <w:rsid w:val="008241E1"/>
    <w:rsid w:val="00847A3C"/>
    <w:rsid w:val="00893AEC"/>
    <w:rsid w:val="00940D4A"/>
    <w:rsid w:val="009638FE"/>
    <w:rsid w:val="00971DB4"/>
    <w:rsid w:val="0097394E"/>
    <w:rsid w:val="009D0C0A"/>
    <w:rsid w:val="00A0127D"/>
    <w:rsid w:val="00A148B9"/>
    <w:rsid w:val="00A2187E"/>
    <w:rsid w:val="00A3605E"/>
    <w:rsid w:val="00A377C0"/>
    <w:rsid w:val="00A55C61"/>
    <w:rsid w:val="00A56CBB"/>
    <w:rsid w:val="00A801F4"/>
    <w:rsid w:val="00AC12C1"/>
    <w:rsid w:val="00AC349E"/>
    <w:rsid w:val="00AC5F31"/>
    <w:rsid w:val="00AF15ED"/>
    <w:rsid w:val="00B049DD"/>
    <w:rsid w:val="00B17D23"/>
    <w:rsid w:val="00B62F82"/>
    <w:rsid w:val="00B702EE"/>
    <w:rsid w:val="00B86511"/>
    <w:rsid w:val="00B86BA1"/>
    <w:rsid w:val="00B9399A"/>
    <w:rsid w:val="00BD4955"/>
    <w:rsid w:val="00C23636"/>
    <w:rsid w:val="00C553EF"/>
    <w:rsid w:val="00C641BD"/>
    <w:rsid w:val="00C84458"/>
    <w:rsid w:val="00C91F4C"/>
    <w:rsid w:val="00C9428C"/>
    <w:rsid w:val="00CC6012"/>
    <w:rsid w:val="00CD7E4E"/>
    <w:rsid w:val="00CE4DFE"/>
    <w:rsid w:val="00CF0AA7"/>
    <w:rsid w:val="00D64926"/>
    <w:rsid w:val="00D74987"/>
    <w:rsid w:val="00D812AD"/>
    <w:rsid w:val="00D8620A"/>
    <w:rsid w:val="00D90B2D"/>
    <w:rsid w:val="00D91931"/>
    <w:rsid w:val="00DC7EE1"/>
    <w:rsid w:val="00DD4AA2"/>
    <w:rsid w:val="00DD5A15"/>
    <w:rsid w:val="00E01819"/>
    <w:rsid w:val="00E039BF"/>
    <w:rsid w:val="00E141EB"/>
    <w:rsid w:val="00E323CD"/>
    <w:rsid w:val="00E8571A"/>
    <w:rsid w:val="00E94B12"/>
    <w:rsid w:val="00EF0339"/>
    <w:rsid w:val="00F137EB"/>
    <w:rsid w:val="00F2080B"/>
    <w:rsid w:val="00F55DE1"/>
    <w:rsid w:val="00FA2BB2"/>
    <w:rsid w:val="00FC450D"/>
    <w:rsid w:val="00FD081E"/>
    <w:rsid w:val="00FE100B"/>
    <w:rsid w:val="00FE4826"/>
    <w:rsid w:val="027A6FEA"/>
    <w:rsid w:val="02820862"/>
    <w:rsid w:val="028D58A7"/>
    <w:rsid w:val="02A46D06"/>
    <w:rsid w:val="03043E77"/>
    <w:rsid w:val="03334D99"/>
    <w:rsid w:val="03B32E34"/>
    <w:rsid w:val="04074D6C"/>
    <w:rsid w:val="046E3A85"/>
    <w:rsid w:val="04DC42B4"/>
    <w:rsid w:val="05305441"/>
    <w:rsid w:val="05592026"/>
    <w:rsid w:val="055C7BF2"/>
    <w:rsid w:val="05910880"/>
    <w:rsid w:val="068C1467"/>
    <w:rsid w:val="07286BBE"/>
    <w:rsid w:val="08BF22FE"/>
    <w:rsid w:val="09456F63"/>
    <w:rsid w:val="09CB7861"/>
    <w:rsid w:val="0A2A1F75"/>
    <w:rsid w:val="0ACB4F8A"/>
    <w:rsid w:val="0AE147AE"/>
    <w:rsid w:val="0B266665"/>
    <w:rsid w:val="0B604295"/>
    <w:rsid w:val="0BB05556"/>
    <w:rsid w:val="0BCA3DA9"/>
    <w:rsid w:val="0C68202D"/>
    <w:rsid w:val="0C7C260F"/>
    <w:rsid w:val="0D1C2595"/>
    <w:rsid w:val="0D5154EF"/>
    <w:rsid w:val="0D571602"/>
    <w:rsid w:val="0E184715"/>
    <w:rsid w:val="0EC0292C"/>
    <w:rsid w:val="0F262ACD"/>
    <w:rsid w:val="0F345D26"/>
    <w:rsid w:val="11B06C78"/>
    <w:rsid w:val="12087E47"/>
    <w:rsid w:val="12D06BF3"/>
    <w:rsid w:val="13F264AF"/>
    <w:rsid w:val="13F56BD4"/>
    <w:rsid w:val="14966ED5"/>
    <w:rsid w:val="153656F6"/>
    <w:rsid w:val="159A6F7B"/>
    <w:rsid w:val="159D49D2"/>
    <w:rsid w:val="15DA6FC6"/>
    <w:rsid w:val="1706559C"/>
    <w:rsid w:val="17A666E8"/>
    <w:rsid w:val="17B62B1E"/>
    <w:rsid w:val="18934E7A"/>
    <w:rsid w:val="1AA81F13"/>
    <w:rsid w:val="1B21327E"/>
    <w:rsid w:val="1DF92B94"/>
    <w:rsid w:val="1E9049CE"/>
    <w:rsid w:val="1EED3883"/>
    <w:rsid w:val="20A51CE5"/>
    <w:rsid w:val="217D46AD"/>
    <w:rsid w:val="21EE6901"/>
    <w:rsid w:val="227B4008"/>
    <w:rsid w:val="2291514A"/>
    <w:rsid w:val="23091CF9"/>
    <w:rsid w:val="2378007B"/>
    <w:rsid w:val="2403462C"/>
    <w:rsid w:val="24717252"/>
    <w:rsid w:val="25587043"/>
    <w:rsid w:val="26A650A8"/>
    <w:rsid w:val="27215264"/>
    <w:rsid w:val="27351C9B"/>
    <w:rsid w:val="27DA6DDD"/>
    <w:rsid w:val="2893667D"/>
    <w:rsid w:val="28980AF3"/>
    <w:rsid w:val="29652B97"/>
    <w:rsid w:val="29A04A31"/>
    <w:rsid w:val="2A3D08C7"/>
    <w:rsid w:val="2AD642EB"/>
    <w:rsid w:val="2AFA5B22"/>
    <w:rsid w:val="2B4E63B9"/>
    <w:rsid w:val="2B5F72E9"/>
    <w:rsid w:val="2BD305D3"/>
    <w:rsid w:val="2C65033B"/>
    <w:rsid w:val="2CA61530"/>
    <w:rsid w:val="2DF36C4C"/>
    <w:rsid w:val="2E660FDE"/>
    <w:rsid w:val="2E907E08"/>
    <w:rsid w:val="2EBF7C24"/>
    <w:rsid w:val="2ED61241"/>
    <w:rsid w:val="2F3D3EB4"/>
    <w:rsid w:val="2FF30BA2"/>
    <w:rsid w:val="2FFC27A3"/>
    <w:rsid w:val="301F52AD"/>
    <w:rsid w:val="30B55C11"/>
    <w:rsid w:val="311453D0"/>
    <w:rsid w:val="314502DB"/>
    <w:rsid w:val="31B06F89"/>
    <w:rsid w:val="31FE3BEE"/>
    <w:rsid w:val="32797238"/>
    <w:rsid w:val="32C04E80"/>
    <w:rsid w:val="34974197"/>
    <w:rsid w:val="35F74241"/>
    <w:rsid w:val="361A593A"/>
    <w:rsid w:val="367459D4"/>
    <w:rsid w:val="36A92AAB"/>
    <w:rsid w:val="36C05BDE"/>
    <w:rsid w:val="36E43B5F"/>
    <w:rsid w:val="37531961"/>
    <w:rsid w:val="37F41099"/>
    <w:rsid w:val="382F6367"/>
    <w:rsid w:val="3914766B"/>
    <w:rsid w:val="398B5761"/>
    <w:rsid w:val="3A0705F3"/>
    <w:rsid w:val="3AA646BC"/>
    <w:rsid w:val="3C136E3C"/>
    <w:rsid w:val="3C145EE2"/>
    <w:rsid w:val="3DBD4389"/>
    <w:rsid w:val="3E1408C1"/>
    <w:rsid w:val="3E277EC7"/>
    <w:rsid w:val="3E907AB6"/>
    <w:rsid w:val="3EFF10CB"/>
    <w:rsid w:val="3F215F4F"/>
    <w:rsid w:val="3F52287D"/>
    <w:rsid w:val="40C2756A"/>
    <w:rsid w:val="411B561D"/>
    <w:rsid w:val="416B7C26"/>
    <w:rsid w:val="417B5774"/>
    <w:rsid w:val="41807B75"/>
    <w:rsid w:val="41C61B6B"/>
    <w:rsid w:val="42093C6B"/>
    <w:rsid w:val="421366AA"/>
    <w:rsid w:val="42497F67"/>
    <w:rsid w:val="424B0183"/>
    <w:rsid w:val="43C55609"/>
    <w:rsid w:val="44186EBF"/>
    <w:rsid w:val="444917D4"/>
    <w:rsid w:val="448E762B"/>
    <w:rsid w:val="449A0253"/>
    <w:rsid w:val="44A75419"/>
    <w:rsid w:val="451926A8"/>
    <w:rsid w:val="456B5020"/>
    <w:rsid w:val="4616283A"/>
    <w:rsid w:val="479D69BF"/>
    <w:rsid w:val="48D10CB7"/>
    <w:rsid w:val="49147208"/>
    <w:rsid w:val="49950503"/>
    <w:rsid w:val="4AF42B59"/>
    <w:rsid w:val="4B5538D6"/>
    <w:rsid w:val="4B56183A"/>
    <w:rsid w:val="4B7E0AE9"/>
    <w:rsid w:val="4B842C24"/>
    <w:rsid w:val="4BAB3A41"/>
    <w:rsid w:val="4BE32D41"/>
    <w:rsid w:val="4C391DEA"/>
    <w:rsid w:val="4D090A1F"/>
    <w:rsid w:val="4F0757CA"/>
    <w:rsid w:val="4FA2515B"/>
    <w:rsid w:val="4FCE12DA"/>
    <w:rsid w:val="4FFF120E"/>
    <w:rsid w:val="5067585C"/>
    <w:rsid w:val="514E5624"/>
    <w:rsid w:val="520B5239"/>
    <w:rsid w:val="521318BA"/>
    <w:rsid w:val="521C17FC"/>
    <w:rsid w:val="52AD3126"/>
    <w:rsid w:val="53446E95"/>
    <w:rsid w:val="53542C2A"/>
    <w:rsid w:val="54A97900"/>
    <w:rsid w:val="55311AB1"/>
    <w:rsid w:val="554641B6"/>
    <w:rsid w:val="55552838"/>
    <w:rsid w:val="567D7CFB"/>
    <w:rsid w:val="568D5713"/>
    <w:rsid w:val="57B46841"/>
    <w:rsid w:val="58131D55"/>
    <w:rsid w:val="58C40FF2"/>
    <w:rsid w:val="591C7D2C"/>
    <w:rsid w:val="59F16894"/>
    <w:rsid w:val="59FA1516"/>
    <w:rsid w:val="5A702E86"/>
    <w:rsid w:val="5B325690"/>
    <w:rsid w:val="5BDB704B"/>
    <w:rsid w:val="5C137D0F"/>
    <w:rsid w:val="5C2F64BB"/>
    <w:rsid w:val="5FD24771"/>
    <w:rsid w:val="5FE43136"/>
    <w:rsid w:val="609A4BD3"/>
    <w:rsid w:val="6165003F"/>
    <w:rsid w:val="61D373A0"/>
    <w:rsid w:val="61F119FE"/>
    <w:rsid w:val="62312A9A"/>
    <w:rsid w:val="62946748"/>
    <w:rsid w:val="62F62474"/>
    <w:rsid w:val="63393766"/>
    <w:rsid w:val="640815D9"/>
    <w:rsid w:val="64215F60"/>
    <w:rsid w:val="64614B24"/>
    <w:rsid w:val="64B80B6F"/>
    <w:rsid w:val="64D83F13"/>
    <w:rsid w:val="650C334B"/>
    <w:rsid w:val="654F3237"/>
    <w:rsid w:val="660E6C4E"/>
    <w:rsid w:val="66B91727"/>
    <w:rsid w:val="683546F5"/>
    <w:rsid w:val="689E5515"/>
    <w:rsid w:val="68B91843"/>
    <w:rsid w:val="694A64E1"/>
    <w:rsid w:val="697B3329"/>
    <w:rsid w:val="69E05367"/>
    <w:rsid w:val="6A321D47"/>
    <w:rsid w:val="6A325601"/>
    <w:rsid w:val="6AF80B9B"/>
    <w:rsid w:val="6B8C3BF9"/>
    <w:rsid w:val="6BA11423"/>
    <w:rsid w:val="6BAD2A66"/>
    <w:rsid w:val="6BB362CE"/>
    <w:rsid w:val="6BBD584D"/>
    <w:rsid w:val="6C636BEE"/>
    <w:rsid w:val="6CDE3E9F"/>
    <w:rsid w:val="6CE0227F"/>
    <w:rsid w:val="6DC63F1B"/>
    <w:rsid w:val="6E843F52"/>
    <w:rsid w:val="6EBE020C"/>
    <w:rsid w:val="6F481FDE"/>
    <w:rsid w:val="6FE07923"/>
    <w:rsid w:val="6FEA102B"/>
    <w:rsid w:val="704C4F43"/>
    <w:rsid w:val="71125845"/>
    <w:rsid w:val="71780130"/>
    <w:rsid w:val="71FA5AA8"/>
    <w:rsid w:val="72294004"/>
    <w:rsid w:val="7249173A"/>
    <w:rsid w:val="72545C91"/>
    <w:rsid w:val="72991060"/>
    <w:rsid w:val="7327134F"/>
    <w:rsid w:val="73A03875"/>
    <w:rsid w:val="752D7DA7"/>
    <w:rsid w:val="75CD2682"/>
    <w:rsid w:val="75D83039"/>
    <w:rsid w:val="76400D93"/>
    <w:rsid w:val="76CC46E8"/>
    <w:rsid w:val="77132317"/>
    <w:rsid w:val="773A3B3B"/>
    <w:rsid w:val="77A24B7F"/>
    <w:rsid w:val="77EB306D"/>
    <w:rsid w:val="79312F28"/>
    <w:rsid w:val="79734262"/>
    <w:rsid w:val="7A620E8E"/>
    <w:rsid w:val="7ABA14E0"/>
    <w:rsid w:val="7B293EB3"/>
    <w:rsid w:val="7B367B0A"/>
    <w:rsid w:val="7B4E50F2"/>
    <w:rsid w:val="7BD227A0"/>
    <w:rsid w:val="7C4B4301"/>
    <w:rsid w:val="7C554D56"/>
    <w:rsid w:val="7D4058CC"/>
    <w:rsid w:val="7D6C4656"/>
    <w:rsid w:val="7EA2775A"/>
    <w:rsid w:val="7EB0669D"/>
    <w:rsid w:val="7F4A2182"/>
    <w:rsid w:val="7F531EB8"/>
    <w:rsid w:val="7F910F92"/>
    <w:rsid w:val="7F9145F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nhideWhenUsed="0" w:uiPriority="99" w:semiHidden="0"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uiPriority w:val="99"/>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样式2"/>
    <w:basedOn w:val="1"/>
    <w:uiPriority w:val="99"/>
    <w:pPr>
      <w:widowControl/>
      <w:shd w:val="clear" w:color="auto" w:fill="FFFFFF"/>
      <w:spacing w:before="100" w:beforeAutospacing="1" w:after="100" w:afterAutospacing="1"/>
      <w:ind w:left="562"/>
      <w:jc w:val="center"/>
    </w:pPr>
    <w:rPr>
      <w:rFonts w:ascii="宋体" w:cs="宋体"/>
      <w:b/>
      <w:bCs/>
    </w:rPr>
  </w:style>
  <w:style w:type="paragraph" w:styleId="3">
    <w:name w:val="annotation text"/>
    <w:basedOn w:val="1"/>
    <w:link w:val="14"/>
    <w:uiPriority w:val="99"/>
    <w:pPr>
      <w:jc w:val="left"/>
    </w:pPr>
    <w:rPr>
      <w:rFonts w:ascii="Times New Roman" w:hAnsi="Times New Roman"/>
      <w:szCs w:val="24"/>
    </w:rPr>
  </w:style>
  <w:style w:type="paragraph" w:styleId="4">
    <w:name w:val="Body Text"/>
    <w:basedOn w:val="1"/>
    <w:link w:val="15"/>
    <w:autoRedefine/>
    <w:uiPriority w:val="99"/>
    <w:rPr>
      <w:sz w:val="32"/>
      <w:szCs w:val="32"/>
    </w:rPr>
  </w:style>
  <w:style w:type="paragraph" w:styleId="5">
    <w:name w:val="Balloon Text"/>
    <w:basedOn w:val="1"/>
    <w:link w:val="16"/>
    <w:uiPriority w:val="99"/>
    <w:rPr>
      <w:rFonts w:ascii="Times New Roman" w:hAnsi="Times New Roman"/>
      <w:sz w:val="18"/>
      <w:szCs w:val="18"/>
    </w:rPr>
  </w:style>
  <w:style w:type="paragraph" w:styleId="6">
    <w:name w:val="footer"/>
    <w:basedOn w:val="1"/>
    <w:link w:val="17"/>
    <w:autoRedefine/>
    <w:qFormat/>
    <w:uiPriority w:val="99"/>
    <w:pPr>
      <w:tabs>
        <w:tab w:val="center" w:pos="4153"/>
        <w:tab w:val="right" w:pos="8306"/>
      </w:tabs>
      <w:snapToGrid w:val="0"/>
      <w:jc w:val="left"/>
    </w:pPr>
    <w:rPr>
      <w:sz w:val="18"/>
      <w:szCs w:val="18"/>
    </w:rPr>
  </w:style>
  <w:style w:type="paragraph" w:styleId="7">
    <w:name w:val="header"/>
    <w:basedOn w:val="1"/>
    <w:link w:val="18"/>
    <w:autoRedefine/>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autoRedefine/>
    <w:semiHidden/>
    <w:qFormat/>
    <w:locked/>
    <w:uiPriority w:val="99"/>
  </w:style>
  <w:style w:type="paragraph" w:styleId="9">
    <w:name w:val="Normal (Web)"/>
    <w:basedOn w:val="1"/>
    <w:semiHidden/>
    <w:uiPriority w:val="99"/>
    <w:pPr>
      <w:widowControl/>
      <w:spacing w:before="100" w:beforeAutospacing="1" w:after="100" w:afterAutospacing="1"/>
      <w:jc w:val="left"/>
    </w:pPr>
    <w:rPr>
      <w:rFonts w:ascii="宋体" w:hAnsi="宋体" w:cs="宋体"/>
      <w:kern w:val="0"/>
      <w:sz w:val="24"/>
      <w:szCs w:val="24"/>
    </w:rPr>
  </w:style>
  <w:style w:type="character" w:styleId="12">
    <w:name w:val="page number"/>
    <w:basedOn w:val="11"/>
    <w:qFormat/>
    <w:uiPriority w:val="99"/>
    <w:rPr>
      <w:rFonts w:cs="Times New Roman"/>
    </w:rPr>
  </w:style>
  <w:style w:type="character" w:styleId="13">
    <w:name w:val="annotation reference"/>
    <w:basedOn w:val="11"/>
    <w:uiPriority w:val="99"/>
    <w:rPr>
      <w:rFonts w:cs="Times New Roman"/>
      <w:sz w:val="21"/>
      <w:szCs w:val="21"/>
    </w:rPr>
  </w:style>
  <w:style w:type="character" w:customStyle="1" w:styleId="14">
    <w:name w:val="Comment Text Char"/>
    <w:basedOn w:val="11"/>
    <w:link w:val="3"/>
    <w:locked/>
    <w:uiPriority w:val="99"/>
    <w:rPr>
      <w:rFonts w:ascii="Times New Roman" w:hAnsi="Times New Roman" w:eastAsia="宋体" w:cs="Times New Roman"/>
      <w:sz w:val="24"/>
      <w:szCs w:val="24"/>
    </w:rPr>
  </w:style>
  <w:style w:type="character" w:customStyle="1" w:styleId="15">
    <w:name w:val="Body Text Char"/>
    <w:basedOn w:val="11"/>
    <w:link w:val="4"/>
    <w:semiHidden/>
    <w:uiPriority w:val="99"/>
  </w:style>
  <w:style w:type="character" w:customStyle="1" w:styleId="16">
    <w:name w:val="Balloon Text Char"/>
    <w:basedOn w:val="11"/>
    <w:link w:val="5"/>
    <w:locked/>
    <w:uiPriority w:val="99"/>
    <w:rPr>
      <w:rFonts w:ascii="Times New Roman" w:hAnsi="Times New Roman" w:eastAsia="宋体" w:cs="Times New Roman"/>
      <w:sz w:val="18"/>
      <w:szCs w:val="18"/>
    </w:rPr>
  </w:style>
  <w:style w:type="character" w:customStyle="1" w:styleId="17">
    <w:name w:val="Footer Char"/>
    <w:basedOn w:val="11"/>
    <w:link w:val="6"/>
    <w:qFormat/>
    <w:locked/>
    <w:uiPriority w:val="99"/>
    <w:rPr>
      <w:rFonts w:cs="Times New Roman"/>
      <w:sz w:val="18"/>
      <w:szCs w:val="18"/>
    </w:rPr>
  </w:style>
  <w:style w:type="character" w:customStyle="1" w:styleId="18">
    <w:name w:val="Header Char"/>
    <w:basedOn w:val="11"/>
    <w:link w:val="7"/>
    <w:locked/>
    <w:uiPriority w:val="99"/>
    <w:rPr>
      <w:rFonts w:cs="Times New Roman"/>
      <w:sz w:val="18"/>
      <w:szCs w:val="18"/>
    </w:rPr>
  </w:style>
  <w:style w:type="paragraph" w:customStyle="1" w:styleId="19">
    <w:name w:val="列出段落1"/>
    <w:basedOn w:val="1"/>
    <w:qFormat/>
    <w:uiPriority w:val="99"/>
    <w:pPr>
      <w:ind w:firstLine="420" w:firstLineChars="200"/>
    </w:pPr>
    <w:rPr>
      <w:rFonts w:ascii="Times New Roman" w:hAnsi="Times New Roman"/>
      <w:szCs w:val="24"/>
    </w:rPr>
  </w:style>
  <w:style w:type="paragraph" w:styleId="20">
    <w:name w:val="List Paragraph"/>
    <w:basedOn w:val="1"/>
    <w:qFormat/>
    <w:uiPriority w:val="99"/>
    <w:pPr>
      <w:ind w:firstLine="420" w:firstLineChars="200"/>
    </w:pPr>
    <w:rPr>
      <w:rFonts w:ascii="Times New Roman" w:hAnsi="Times New Roman"/>
      <w:szCs w:val="24"/>
    </w:rPr>
  </w:style>
  <w:style w:type="paragraph" w:customStyle="1" w:styleId="21">
    <w:name w:val="修订1"/>
    <w:hidden/>
    <w:uiPriority w:val="99"/>
    <w:rPr>
      <w:rFonts w:ascii="Times New Roman" w:hAnsi="Times New Roman" w:eastAsia="宋体" w:cs="Times New Roman"/>
      <w:kern w:val="2"/>
      <w:sz w:val="21"/>
      <w:szCs w:val="24"/>
      <w:lang w:val="en-US" w:eastAsia="zh-CN" w:bidi="ar-SA"/>
    </w:rPr>
  </w:style>
  <w:style w:type="paragraph" w:customStyle="1" w:styleId="22">
    <w:name w:val="Table Paragraph"/>
    <w:basedOn w:val="1"/>
    <w:uiPriority w:val="99"/>
    <w:rPr>
      <w:rFonts w:ascii="楷体" w:hAnsi="楷体" w:eastAsia="楷体" w:cs="楷体"/>
    </w:rPr>
  </w:style>
  <w:style w:type="paragraph" w:customStyle="1" w:styleId="23">
    <w:name w:val="BodyText1I"/>
    <w:basedOn w:val="1"/>
    <w:qFormat/>
    <w:uiPriority w:val="99"/>
    <w:pPr>
      <w:snapToGrid w:val="0"/>
      <w:spacing w:line="360" w:lineRule="auto"/>
      <w:ind w:firstLine="420" w:firstLineChars="100"/>
    </w:pPr>
    <w:rPr>
      <w:sz w:val="28"/>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19</Pages>
  <Words>8636</Words>
  <Characters>9028</Characters>
  <Lines>0</Lines>
  <Paragraphs>0</Paragraphs>
  <TotalTime>342</TotalTime>
  <ScaleCrop>false</ScaleCrop>
  <LinksUpToDate>false</LinksUpToDate>
  <CharactersWithSpaces>9051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2024-01-02T08:33:00Z</dcterms:created>
  <dc:creator>lenovo</dc:creator>
  <cp:lastModifiedBy>邓婷</cp:lastModifiedBy>
  <cp:lastPrinted>2023-04-24T09:49:00Z</cp:lastPrinted>
  <dcterms:modified xsi:type="dcterms:W3CDTF">2025-01-16T07:59:48Z</dcterms:modified>
  <dc:title>附件1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6544562402CE4DAB8B079CF336650AC9_13</vt:lpwstr>
  </property>
  <property fmtid="{D5CDD505-2E9C-101B-9397-08002B2CF9AE}" pid="4" name="KSOTemplateDocerSaveRecord">
    <vt:lpwstr>eyJoZGlkIjoiYjI3ZDJkMmNlYjY4NGYzMGFmNzM3Y2FhNWM3Zjc0Y2IiLCJ1c2VySWQiOiIxMDY5MjgzMDcxIn0=</vt:lpwstr>
  </property>
</Properties>
</file>