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关于进一步加强衡阳市网络预约出租汽车</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市场管理的通知</w:t>
      </w:r>
      <w:r>
        <w:rPr>
          <w:rFonts w:hint="eastAsia" w:ascii="方正小标宋简体" w:hAnsi="方正小标宋简体" w:eastAsia="方正小标宋简体" w:cs="方正小标宋简体"/>
          <w:b w:val="0"/>
          <w:bCs/>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eastAsia="zh-CN"/>
        </w:rPr>
        <w:t>为更好的规范我市网约车行业健康有序发展，维护驾驶员合法权益，保障社会公众安全出行，根据《国务院办公厅关于深化改革推进出租汽车行业健康发展的指导意见》（国办发〔2016〕58号）、</w:t>
      </w:r>
      <w:r>
        <w:rPr>
          <w:rFonts w:hint="eastAsia" w:ascii="仿宋_GB2312" w:hAnsi="仿宋_GB2312" w:eastAsia="仿宋_GB2312" w:cs="仿宋_GB2312"/>
          <w:kern w:val="0"/>
          <w:sz w:val="32"/>
          <w:szCs w:val="32"/>
          <w:lang w:val="en-US" w:eastAsia="zh-CN"/>
        </w:rPr>
        <w:t>交通运输部等六部门《关于修改〈网络预约出租汽车经营服务管理暂行办法〉的决定》（交通运输部令2022年第42号）等有关规定，结合我市实际，</w:t>
      </w:r>
      <w:r>
        <w:rPr>
          <w:rFonts w:hint="eastAsia" w:ascii="仿宋_GB2312" w:hAnsi="仿宋_GB2312" w:eastAsia="仿宋_GB2312" w:cs="仿宋_GB2312"/>
          <w:color w:val="auto"/>
          <w:sz w:val="32"/>
          <w:szCs w:val="32"/>
          <w:lang w:val="en-US" w:eastAsia="zh-CN"/>
        </w:rPr>
        <w:t>现就加强我市网约车行业规范化经营有关事项通知如下：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color w:val="auto"/>
          <w:sz w:val="32"/>
          <w:szCs w:val="32"/>
          <w:lang w:val="en-US" w:eastAsia="zh-CN"/>
        </w:rPr>
        <w:t>一、实施网约车市场运力规模总体调控机制。</w:t>
      </w:r>
      <w:r>
        <w:rPr>
          <w:rFonts w:hint="eastAsia" w:ascii="仿宋_GB2312" w:hAnsi="仿宋_GB2312" w:eastAsia="仿宋_GB2312" w:cs="仿宋_GB2312"/>
          <w:color w:val="auto"/>
          <w:kern w:val="0"/>
          <w:sz w:val="32"/>
          <w:szCs w:val="32"/>
          <w:lang w:val="en-US" w:eastAsia="zh-CN"/>
        </w:rPr>
        <w:t>按照市场主导、总量调控的策略，综合考虑车辆更新、居民需求、差异化服务等因素，结合2023年市局牵头组织编制并经市政府审核同意的《衡阳市出租汽车运力规模评估报告》，综合采用行政、科技等直接或间接手段，调控巡游车和网约车的总体规模，使运力规模与市场需求相适应，逐步实现新老业态协调、融合发展。</w:t>
      </w:r>
      <w:r>
        <w:rPr>
          <w:rFonts w:hint="eastAsia" w:ascii="仿宋_GB2312" w:hAnsi="仿宋_GB2312" w:eastAsia="仿宋_GB2312" w:cs="仿宋_GB2312"/>
          <w:kern w:val="0"/>
          <w:sz w:val="32"/>
          <w:szCs w:val="32"/>
          <w:lang w:val="en-US" w:eastAsia="zh-CN"/>
        </w:rPr>
        <w:t>其中，2024年底市城区网约车运力规模控制在2500台以内，2025年底规模控制在2800台以内。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color w:val="auto"/>
          <w:sz w:val="32"/>
          <w:szCs w:val="32"/>
          <w:lang w:val="en-US" w:eastAsia="zh-CN"/>
        </w:rPr>
        <w:t>二、实施网约车平台车辆新增申请考核机制。</w:t>
      </w:r>
      <w:r>
        <w:rPr>
          <w:rFonts w:hint="eastAsia" w:ascii="仿宋_GB2312" w:hAnsi="仿宋_GB2312" w:eastAsia="仿宋_GB2312" w:cs="仿宋_GB2312"/>
          <w:kern w:val="0"/>
          <w:sz w:val="32"/>
          <w:szCs w:val="32"/>
          <w:lang w:val="en-US" w:eastAsia="zh-CN"/>
        </w:rPr>
        <w:t>开展以车辆日均服务订单、服务质量、平台合规运营为考核要素的百分制考核模式，考核周期一般为一季度一次。网约车平台车辆日均服务订单量考核分为40分，由局运输科负责（详见附件一）；网约车平台服务质量考核分为30分，由市道路运输服务中心负责（详见附件二）；网约车平台合规运营考核分为30分，由市交通综合行政执法支队负责（详见附件三）。网约车平台综合考核得分达到90分及以上的，方可按考核周期申请车辆新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三、实施网约车平台及车辆投放数量动态管理。</w:t>
      </w:r>
      <w:r>
        <w:rPr>
          <w:rFonts w:hint="eastAsia" w:ascii="仿宋_GB2312" w:hAnsi="仿宋_GB2312" w:eastAsia="仿宋_GB2312" w:cs="仿宋_GB2312"/>
          <w:kern w:val="0"/>
          <w:sz w:val="32"/>
          <w:szCs w:val="32"/>
          <w:lang w:eastAsia="zh-CN"/>
        </w:rPr>
        <w:t>一是将结合企业申请、市场运营及运力评估意见，</w:t>
      </w:r>
      <w:r>
        <w:rPr>
          <w:rFonts w:hint="eastAsia" w:ascii="仿宋_GB2312" w:hAnsi="仿宋_GB2312" w:eastAsia="仿宋_GB2312" w:cs="仿宋_GB2312"/>
          <w:color w:val="auto"/>
          <w:kern w:val="0"/>
          <w:sz w:val="32"/>
          <w:szCs w:val="32"/>
          <w:lang w:eastAsia="zh-CN"/>
        </w:rPr>
        <w:t>参照每年车辆的新增速度有序批准网约车平台新增，</w:t>
      </w:r>
      <w:r>
        <w:rPr>
          <w:rFonts w:hint="eastAsia" w:ascii="仿宋_GB2312" w:hAnsi="仿宋_GB2312" w:eastAsia="仿宋_GB2312" w:cs="仿宋_GB2312"/>
          <w:color w:val="auto"/>
          <w:kern w:val="0"/>
          <w:sz w:val="32"/>
          <w:szCs w:val="32"/>
          <w:lang w:val="en-US" w:eastAsia="zh-CN"/>
        </w:rPr>
        <w:t>并给予当季度新增平台最高5台车辆的标准支持首批车辆落地运营，后续配额按该通知进行考核分配。</w:t>
      </w:r>
      <w:r>
        <w:rPr>
          <w:rFonts w:hint="eastAsia" w:ascii="仿宋_GB2312" w:hAnsi="仿宋_GB2312" w:eastAsia="仿宋_GB2312" w:cs="仿宋_GB2312"/>
          <w:kern w:val="0"/>
          <w:sz w:val="32"/>
          <w:szCs w:val="32"/>
          <w:lang w:val="en-US" w:eastAsia="zh-CN"/>
        </w:rPr>
        <w:t>二是已落地开展运营的网约车公司车辆新增，根据公司提出的新增需求及考核得分，给予其基础指标及奖励指标，两者之和为网约车公司</w:t>
      </w:r>
      <w:r>
        <w:rPr>
          <w:rFonts w:hint="eastAsia" w:ascii="仿宋_GB2312" w:hAnsi="仿宋_GB2312" w:eastAsia="仿宋_GB2312" w:cs="仿宋_GB2312"/>
          <w:color w:val="auto"/>
          <w:kern w:val="0"/>
          <w:sz w:val="32"/>
          <w:szCs w:val="32"/>
          <w:lang w:val="en-US" w:eastAsia="zh-CN"/>
        </w:rPr>
        <w:t>当季度车辆指标配额，具体计算方法详见附件四。三是网约车公司已办证的在有效期内车辆因各种原因办理机动车报废手续后需更新的不在新增车辆申请考核内，其他因营改非等原因或达到使用年限办理注销后的车辆数</w:t>
      </w:r>
      <w:r>
        <w:rPr>
          <w:rFonts w:hint="eastAsia" w:ascii="仿宋_GB2312" w:hAnsi="仿宋_GB2312" w:eastAsia="仿宋_GB2312" w:cs="仿宋_GB2312"/>
          <w:color w:val="auto"/>
          <w:sz w:val="32"/>
          <w:szCs w:val="32"/>
          <w:lang w:val="en-US" w:eastAsia="zh-CN"/>
        </w:rPr>
        <w:t>计入当季度新增车辆指标内。四是当季度未分配完的新增车辆指标，累计计入下一季度新增车辆指标内；网约车公司在当季度最后一个工作日未全部完成新增车辆营运手续的办理，如未完成新增车辆占该公司新增车辆配额不超10%（含），则不得申请下一季度新增车辆指标，并在下一季度最后一个工作日完成剩余配额新增车辆营运手续的办理，否则该指标收回；如未完成新增车辆占该公司新增车辆配额10%（不含）以上，则未完成新增车辆配额全部收回并计入下一季度新增车辆指标内，且该公司在接下来的四个季度不得申请新增车辆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四、明确网约车平台车辆新增的流程。</w:t>
      </w:r>
      <w:r>
        <w:rPr>
          <w:rFonts w:hint="eastAsia" w:ascii="仿宋_GB2312" w:hAnsi="仿宋_GB2312" w:eastAsia="仿宋_GB2312" w:cs="仿宋_GB2312"/>
          <w:color w:val="auto"/>
          <w:sz w:val="32"/>
          <w:szCs w:val="32"/>
          <w:lang w:val="en-US" w:eastAsia="zh-CN"/>
        </w:rPr>
        <w:t>严格执行“网约车平台提出拟新增运力申请——市交通运输局道路运输科根据考核情况核定指标配额并下达新增计划——网约车公司按计划采购车辆并上报车辆资料——市道路运输服务中心开展车辆相关技术参数核定——市政务中心交通窗口按计划办理新增车辆营运证件——车辆办证后上路营运”的车辆新增流程。各节点内容要求及完成时限详见附件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b w:val="0"/>
          <w:bCs w:val="0"/>
          <w:color w:val="auto"/>
          <w:sz w:val="32"/>
          <w:szCs w:val="32"/>
          <w:lang w:val="en-US" w:eastAsia="zh-CN"/>
        </w:rPr>
        <w:t>完善网约车平台及车辆的退出机制。</w:t>
      </w:r>
      <w:r>
        <w:rPr>
          <w:rFonts w:hint="eastAsia" w:ascii="仿宋_GB2312" w:hAnsi="仿宋_GB2312" w:eastAsia="仿宋_GB2312" w:cs="仿宋_GB2312"/>
          <w:color w:val="auto"/>
          <w:sz w:val="32"/>
          <w:szCs w:val="32"/>
          <w:lang w:val="en-US" w:eastAsia="zh-CN"/>
        </w:rPr>
        <w:t>一是网约车平台在我市取得《网络预约出租汽车经营许可证》后，超过180天未投入车辆运营，交通运输主管部门引导其退出网约车市场经营；二是网约车平台无法维持运转的，由网约车平台提出申请后，交通运输主管部门协助将其管理的车辆转入其他网约车平台开展运营；三是原已办理《网络预约出租汽车道路运输证》，但不再从事网约车运输的车辆，交通运输主管部门督促引导办理注销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六、严格规范网约车市场经营行为。</w:t>
      </w:r>
      <w:r>
        <w:rPr>
          <w:rFonts w:hint="eastAsia" w:ascii="仿宋_GB2312" w:hAnsi="仿宋_GB2312" w:eastAsia="仿宋_GB2312" w:cs="仿宋_GB2312"/>
          <w:color w:val="auto"/>
          <w:sz w:val="32"/>
          <w:szCs w:val="32"/>
          <w:lang w:val="en-US" w:eastAsia="zh-CN"/>
        </w:rPr>
        <w:t>网约车平台企业要切实承担起依法合规经营的主体责任，不得接入不合规车辆和驾驶员，不得向未取得相关资质的车辆和人员派单；严禁网约车驾驶员巡游揽客或者以先上车后下单等方式揽客；严禁网约车平台有组织的开展定点、定线、定时的非法城际客运和农村班线客运；严禁未取得经营许可擅自或变相从事网约车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本通知自印发之日起实施，请相关单位和网约车平台企业认真遵照执行。如上级部门有关政策调整的，按最新规定执行。本通知由衡阳市交通运输局负责解释。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附件：1.关于网约车平台车辆日均服务订单量考核办法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2.网约车平台服务质量考核评分表（试行）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3.网约车平台合规运营考核评分表（试行）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4.网约车平台新增网约车指标配额确定办法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5.网约车平台车辆新增流程</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222222"/>
          <w:kern w:val="0"/>
          <w:sz w:val="32"/>
          <w:szCs w:val="32"/>
          <w:lang w:val="en-US" w:eastAsia="zh-CN"/>
        </w:rPr>
      </w:pPr>
      <w:r>
        <w:rPr>
          <w:rFonts w:hint="eastAsia" w:ascii="黑体" w:hAnsi="黑体" w:eastAsia="黑体" w:cs="黑体"/>
          <w:color w:val="222222"/>
          <w:kern w:val="0"/>
          <w:sz w:val="32"/>
          <w:szCs w:val="32"/>
          <w:lang w:val="en-US" w:eastAsia="zh-CN"/>
        </w:rPr>
        <w:t>附件一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22222"/>
          <w:kern w:val="0"/>
          <w:sz w:val="32"/>
          <w:szCs w:val="32"/>
          <w:lang w:val="en-US" w:eastAsia="zh-CN"/>
        </w:rPr>
      </w:pPr>
      <w:r>
        <w:rPr>
          <w:rFonts w:hint="eastAsia" w:ascii="方正小标宋简体" w:hAnsi="方正小标宋简体" w:eastAsia="方正小标宋简体" w:cs="方正小标宋简体"/>
          <w:color w:val="222222"/>
          <w:kern w:val="0"/>
          <w:sz w:val="44"/>
          <w:szCs w:val="44"/>
          <w:lang w:val="en-US" w:eastAsia="zh-CN"/>
        </w:rPr>
        <w:t>关于网约车平台车辆日均服务订单量考核办法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222222"/>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为促进出租车行业健康规范发展，引导网约车运力有序增加，现将网约车平台车辆日均服务订单量考核办法明确如下：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222222"/>
          <w:kern w:val="0"/>
          <w:sz w:val="32"/>
          <w:szCs w:val="32"/>
          <w:lang w:val="en-US" w:eastAsia="zh-CN"/>
        </w:rPr>
      </w:pPr>
      <w:r>
        <w:rPr>
          <w:rFonts w:hint="eastAsia" w:ascii="黑体" w:hAnsi="黑体" w:eastAsia="黑体" w:cs="黑体"/>
          <w:color w:val="222222"/>
          <w:kern w:val="0"/>
          <w:sz w:val="32"/>
          <w:szCs w:val="32"/>
          <w:lang w:val="en-US" w:eastAsia="zh-CN"/>
        </w:rPr>
        <w:t>一、考核对象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已在我市办理《网络预约出租汽车经营许可证》的网约车平台公司。</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222222"/>
          <w:kern w:val="0"/>
          <w:sz w:val="32"/>
          <w:szCs w:val="32"/>
          <w:lang w:val="en-US" w:eastAsia="zh-CN"/>
        </w:rPr>
      </w:pPr>
      <w:r>
        <w:rPr>
          <w:rFonts w:hint="eastAsia" w:ascii="黑体" w:hAnsi="黑体" w:eastAsia="黑体" w:cs="黑体"/>
          <w:color w:val="222222"/>
          <w:kern w:val="0"/>
          <w:sz w:val="32"/>
          <w:szCs w:val="32"/>
          <w:lang w:val="en-US" w:eastAsia="zh-CN"/>
        </w:rPr>
        <w:t>二、考核周期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网约车平台公司开展考核周期一般为一季度一次。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222222"/>
          <w:kern w:val="0"/>
          <w:sz w:val="32"/>
          <w:szCs w:val="32"/>
          <w:lang w:val="en-US" w:eastAsia="zh-CN"/>
        </w:rPr>
      </w:pPr>
      <w:r>
        <w:rPr>
          <w:rFonts w:hint="eastAsia" w:ascii="黑体" w:hAnsi="黑体" w:eastAsia="黑体" w:cs="黑体"/>
          <w:color w:val="222222"/>
          <w:kern w:val="0"/>
          <w:sz w:val="32"/>
          <w:szCs w:val="32"/>
          <w:lang w:val="en-US" w:eastAsia="zh-CN"/>
        </w:rPr>
        <w:t>三、考核标准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（一）订单来源依据。</w:t>
      </w:r>
      <w:r>
        <w:rPr>
          <w:rFonts w:hint="eastAsia" w:ascii="仿宋_GB2312" w:hAnsi="仿宋_GB2312" w:eastAsia="仿宋_GB2312" w:cs="仿宋_GB2312"/>
          <w:color w:val="auto"/>
          <w:kern w:val="0"/>
          <w:sz w:val="32"/>
          <w:szCs w:val="32"/>
          <w:lang w:val="en-US" w:eastAsia="zh-CN"/>
        </w:rPr>
        <w:t>以衡阳市出租汽车监管平台提供的季度订单数据为依据。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（二）订单评分标准。</w:t>
      </w:r>
      <w:r>
        <w:rPr>
          <w:rFonts w:hint="eastAsia" w:ascii="仿宋_GB2312" w:hAnsi="仿宋_GB2312" w:eastAsia="仿宋_GB2312" w:cs="仿宋_GB2312"/>
          <w:color w:val="auto"/>
          <w:kern w:val="0"/>
          <w:sz w:val="32"/>
          <w:szCs w:val="32"/>
          <w:lang w:val="en-US" w:eastAsia="zh-CN"/>
        </w:rPr>
        <w:t>车辆日均服务订单对应考核总分40分，实行阶梯式计分，计分方式为：网约车平台车辆日均服务订单（监管平台提供的合规车日均服务订单量/许可车辆数）15单及以上的，计满分40分；车辆日均服务订单每降低1单递减1分，依此类推；车辆日均服务订单5单（不含）以下的，直接不予计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1067"/>
        <w:gridCol w:w="833"/>
        <w:gridCol w:w="817"/>
        <w:gridCol w:w="883"/>
        <w:gridCol w:w="8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w w:val="90"/>
                <w:kern w:val="0"/>
                <w:sz w:val="28"/>
                <w:szCs w:val="28"/>
                <w:vertAlign w:val="baseline"/>
                <w:lang w:val="en-US" w:eastAsia="zh-CN"/>
              </w:rPr>
              <w:t>车辆</w:t>
            </w:r>
            <w:r>
              <w:rPr>
                <w:rFonts w:hint="eastAsia" w:ascii="黑体" w:hAnsi="黑体" w:eastAsia="黑体" w:cs="黑体"/>
                <w:color w:val="auto"/>
                <w:w w:val="90"/>
                <w:kern w:val="0"/>
                <w:sz w:val="28"/>
                <w:szCs w:val="28"/>
                <w:lang w:val="en-US" w:eastAsia="zh-CN"/>
              </w:rPr>
              <w:t>日均服务订单（单）</w:t>
            </w:r>
          </w:p>
        </w:tc>
        <w:tc>
          <w:tcPr>
            <w:tcW w:w="10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≥15</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14</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13</w:t>
            </w: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12</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11</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分值（分）</w:t>
            </w:r>
          </w:p>
        </w:tc>
        <w:tc>
          <w:tcPr>
            <w:tcW w:w="10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40</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39</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38</w:t>
            </w: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37</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36</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vertAlign w:val="baseline"/>
                <w:lang w:val="en-US" w:eastAsia="zh-CN"/>
              </w:rPr>
            </w:pPr>
            <w:r>
              <w:rPr>
                <w:rFonts w:hint="eastAsia" w:ascii="仿宋_GB2312" w:hAnsi="仿宋_GB2312" w:eastAsia="仿宋_GB2312" w:cs="仿宋_GB2312"/>
                <w:color w:val="auto"/>
                <w:kern w:val="0"/>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w w:val="90"/>
                <w:kern w:val="0"/>
                <w:sz w:val="28"/>
                <w:szCs w:val="28"/>
                <w:vertAlign w:val="baseline"/>
                <w:lang w:val="en-US" w:eastAsia="zh-CN"/>
              </w:rPr>
              <w:t>车辆</w:t>
            </w:r>
            <w:r>
              <w:rPr>
                <w:rFonts w:hint="eastAsia" w:ascii="黑体" w:hAnsi="黑体" w:eastAsia="黑体" w:cs="黑体"/>
                <w:color w:val="auto"/>
                <w:w w:val="90"/>
                <w:kern w:val="0"/>
                <w:sz w:val="28"/>
                <w:szCs w:val="28"/>
                <w:lang w:val="en-US" w:eastAsia="zh-CN"/>
              </w:rPr>
              <w:t>日均服务订单（单）</w:t>
            </w:r>
          </w:p>
        </w:tc>
        <w:tc>
          <w:tcPr>
            <w:tcW w:w="10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9</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8</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7</w:t>
            </w: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6</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5</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rPr>
              <w:t>分值（分）</w:t>
            </w:r>
          </w:p>
        </w:tc>
        <w:tc>
          <w:tcPr>
            <w:tcW w:w="10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34</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33</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32</w:t>
            </w: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31</w:t>
            </w:r>
          </w:p>
        </w:tc>
        <w:tc>
          <w:tcPr>
            <w:tcW w:w="8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30</w:t>
            </w:r>
          </w:p>
        </w:tc>
        <w:tc>
          <w:tcPr>
            <w:tcW w:w="9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网约车平台采取自营或者合作经营者均为经租模式【指通过经营性租赁的方式使用车辆，即承租人通过与车辆所有人（企业法人）签订合同，获得车辆的使用权，接受公司管理，并在合同规定的期限内支付租金】可给予附加分3分；网约车平台虚报经营模式被查证核实的，总分直接计0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考核总分为车辆日均服务订单对应得分与附加分之和，总分超过40分的按40分计。</w:t>
      </w:r>
    </w:p>
    <w:p>
      <w:pPr>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rPr>
        <w:br w:type="page"/>
      </w:r>
    </w:p>
    <w:p>
      <w:pPr>
        <w:rPr>
          <w:rFonts w:hint="eastAsia" w:ascii="仿宋_GB2312" w:hAnsi="仿宋_GB2312" w:eastAsia="仿宋_GB2312" w:cs="仿宋_GB2312"/>
          <w:color w:val="222222"/>
          <w:kern w:val="0"/>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4"/>
          <w:szCs w:val="44"/>
          <w:lang w:val="en-US" w:eastAsia="zh-CN"/>
        </w:rPr>
      </w:pPr>
      <w:r>
        <w:rPr>
          <w:rFonts w:hint="eastAsia" w:ascii="方正小标宋简体" w:hAnsi="方正小标宋简体" w:eastAsia="方正小标宋简体" w:cs="方正小标宋简体"/>
          <w:color w:val="222222"/>
          <w:kern w:val="0"/>
          <w:sz w:val="44"/>
          <w:szCs w:val="44"/>
          <w:lang w:val="en-US" w:eastAsia="zh-CN"/>
        </w:rPr>
        <w:t>网约车平台服务质量考核评分表（试行）</w:t>
      </w:r>
    </w:p>
    <w:p>
      <w:pPr>
        <w:jc w:val="left"/>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被考核单位：                                                                 考核日期：    年   月   日</w:t>
      </w:r>
    </w:p>
    <w:tbl>
      <w:tblPr>
        <w:tblStyle w:val="9"/>
        <w:tblW w:w="14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065"/>
        <w:gridCol w:w="1100"/>
        <w:gridCol w:w="7784"/>
        <w:gridCol w:w="1916"/>
        <w:gridCol w:w="111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考核项目</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考核分数</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考核评分标准</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数据来源</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20"/>
                <w:w w:val="9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得分情况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20"/>
                <w:w w:val="9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6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服务质量信誉考核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上年度质量信誉考核结果为5A的，计5分；结果为4A的，计4分；结果为3A的，计3分；结果为2A的，计2分：结果为A的，计1分。</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质量信誉考核数据</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综治维稳</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考核期内因企业管理不当等原因发生5人以上驾驶员聚集的不稳定事件，市级层面每发生一起扣2分，导致省级及以上部门信访的每起扣4分，扣完为止。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按照维稳事项统计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理</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参会及资料报送</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考核期内未按要求参加行业部门组织会议或活动、未按行业部门要求领取文件资料、未在规定时间内上报行业部门规定的各项台账报表资料的，每次扣0.5分，扣完为止。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批评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通报</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考核期内企业被行业部门约谈、通报或下达《工作提醒函》、《问题交办单》的，每次扣1分，扣完为止。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舆情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处置</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考核期内发生负面舆情的，每次扣0.5分，处置不到位的，每次扣1分，扣完为止。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工作完成情况</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考核期内未及时完成行业部门交付的各项工作任务，每次扣0.5分，扣完为止。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服务投诉</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778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总投诉率考核：考核期内平台及CP公司总投诉率=投诉次数/公司车辆数Х100%，每增加0.1%扣0.05分，扣完为止；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投诉处理考核：考核期内未按规定要求对行业部门交办的投诉进行调查、处理、回复和上报的每起扣0.5分，处理不当造成二次投诉的每起扣0.5分，处理情况与上报情况不符的每起扣0.5分，扣完为止。</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否决事项</w:t>
            </w:r>
          </w:p>
        </w:tc>
        <w:tc>
          <w:tcPr>
            <w:tcW w:w="778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上年度质量信誉考核结果为B的；</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考核期内发生群体性不稳定事件，未及时有效处置造成恶劣影响的；</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考核期内发生重特大恶性服务质量事件的。</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1.服务投诉中，市交通运输综合行政执法支队受理的关于服务类投诉每季度末进行汇总，并抄送市道路运输服务中心，确保各网约车平台投诉及处理数据完整。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28"/>
          <w:szCs w:val="28"/>
          <w:lang w:eastAsia="zh-CN"/>
        </w:rPr>
      </w:pPr>
      <w:r>
        <w:rPr>
          <w:rFonts w:hint="eastAsia" w:ascii="仿宋_GB2312" w:hAnsi="仿宋_GB2312" w:eastAsia="仿宋_GB2312" w:cs="仿宋_GB2312"/>
          <w:color w:val="auto"/>
          <w:sz w:val="32"/>
          <w:szCs w:val="32"/>
          <w:lang w:val="en-US" w:eastAsia="zh-CN"/>
        </w:rPr>
        <w:t>2.附加分总分共计6分，其中：①获得部、省、市级荣誉称号的，每增加1次加1.5分，累计不超过3分，该附加分在获得称号之日后四个考核周期有效；②考核期内圆满完成县级以上人民政府、交通主管部门或道路运输管理机构指令性应急运输任务或主动参加公益性活动（如爱心送考等），每增加1次加1分，累计不超过3分，该附加分在参加活动之日后四个考核周期有效。附加分需由网约车平台提供相关佐证资料方可获得该分数，</w:t>
      </w:r>
      <w:r>
        <w:rPr>
          <w:rFonts w:hint="eastAsia" w:ascii="仿宋_GB2312" w:hAnsi="仿宋_GB2312" w:eastAsia="仿宋_GB2312" w:cs="仿宋_GB2312"/>
          <w:color w:val="auto"/>
          <w:kern w:val="0"/>
          <w:sz w:val="32"/>
          <w:szCs w:val="32"/>
          <w:lang w:val="en-US" w:eastAsia="zh-CN"/>
        </w:rPr>
        <w:t>网约车平台虚报资料被查证核实的，服务质量考核评分总分直接计0分。服务质量考核评分与</w:t>
      </w:r>
      <w:r>
        <w:rPr>
          <w:rFonts w:hint="eastAsia" w:ascii="仿宋_GB2312" w:hAnsi="仿宋_GB2312" w:eastAsia="仿宋_GB2312" w:cs="仿宋_GB2312"/>
          <w:color w:val="auto"/>
          <w:sz w:val="32"/>
          <w:szCs w:val="32"/>
          <w:lang w:val="en-US" w:eastAsia="zh-CN"/>
        </w:rPr>
        <w:t>附加分</w:t>
      </w:r>
      <w:r>
        <w:rPr>
          <w:rFonts w:hint="eastAsia" w:ascii="仿宋_GB2312" w:hAnsi="仿宋_GB2312" w:eastAsia="仿宋_GB2312" w:cs="仿宋_GB2312"/>
          <w:color w:val="auto"/>
          <w:kern w:val="0"/>
          <w:sz w:val="32"/>
          <w:szCs w:val="32"/>
          <w:lang w:val="en-US" w:eastAsia="zh-CN"/>
        </w:rPr>
        <w:t>之和超过30分的按30分计。</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kern w:val="0"/>
          <w:sz w:val="44"/>
          <w:szCs w:val="44"/>
          <w:lang w:val="en-US" w:eastAsia="zh-CN"/>
        </w:rPr>
      </w:pPr>
      <w:r>
        <w:rPr>
          <w:rFonts w:hint="eastAsia" w:ascii="方正小标宋简体" w:hAnsi="方正小标宋简体" w:eastAsia="方正小标宋简体" w:cs="方正小标宋简体"/>
          <w:color w:val="222222"/>
          <w:kern w:val="0"/>
          <w:sz w:val="44"/>
          <w:szCs w:val="44"/>
          <w:lang w:val="en-US" w:eastAsia="zh-CN"/>
        </w:rPr>
        <w:t>网约车平台合规运营考核评分表（试行）</w:t>
      </w:r>
    </w:p>
    <w:p>
      <w:pPr>
        <w:jc w:val="left"/>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被考核单位：                                                                 考核日期：    年   月   日</w:t>
      </w:r>
    </w:p>
    <w:tbl>
      <w:tblPr>
        <w:tblStyle w:val="9"/>
        <w:tblW w:w="14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916"/>
        <w:gridCol w:w="1117"/>
        <w:gridCol w:w="7683"/>
        <w:gridCol w:w="2218"/>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考核项目</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考核分数</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考核评分标准</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数据来源</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20"/>
                <w:w w:val="9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得分情况</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20"/>
                <w:w w:val="9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网约车监管平台数据</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入网率</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公司车辆车载定位数据接入“</w:t>
            </w:r>
            <w:r>
              <w:rPr>
                <w:rFonts w:hint="eastAsia" w:asciiTheme="minorEastAsia" w:hAnsiTheme="minorEastAsia" w:cstheme="minorEastAsia"/>
                <w:b w:val="0"/>
                <w:bCs w:val="0"/>
                <w:sz w:val="28"/>
                <w:szCs w:val="28"/>
                <w:vertAlign w:val="baseline"/>
                <w:lang w:val="en-US" w:eastAsia="zh-CN"/>
              </w:rPr>
              <w:t>衡阳市出租汽车监管平台</w:t>
            </w:r>
            <w:r>
              <w:rPr>
                <w:rFonts w:hint="eastAsia" w:asciiTheme="minorEastAsia" w:hAnsiTheme="minorEastAsia" w:eastAsiaTheme="minorEastAsia" w:cstheme="minorEastAsia"/>
                <w:b w:val="0"/>
                <w:bCs w:val="0"/>
                <w:sz w:val="28"/>
                <w:szCs w:val="28"/>
                <w:vertAlign w:val="baseline"/>
                <w:lang w:val="en-US" w:eastAsia="zh-CN"/>
              </w:rPr>
              <w:t>”，得分为：接入监管平台车辆数/公司合规车辆数Х3。</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统计监管平台数据</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上线率</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公司车辆车载定位数据接入“</w:t>
            </w:r>
            <w:r>
              <w:rPr>
                <w:rFonts w:hint="eastAsia" w:asciiTheme="minorEastAsia" w:hAnsiTheme="minorEastAsia" w:cstheme="minorEastAsia"/>
                <w:b w:val="0"/>
                <w:bCs w:val="0"/>
                <w:sz w:val="28"/>
                <w:szCs w:val="28"/>
                <w:vertAlign w:val="baseline"/>
                <w:lang w:val="en-US" w:eastAsia="zh-CN"/>
              </w:rPr>
              <w:t>衡阳市出租汽车监管平台</w:t>
            </w:r>
            <w:r>
              <w:rPr>
                <w:rFonts w:hint="eastAsia" w:asciiTheme="minorEastAsia" w:hAnsiTheme="minorEastAsia" w:eastAsiaTheme="minorEastAsia" w:cstheme="minorEastAsia"/>
                <w:b w:val="0"/>
                <w:bCs w:val="0"/>
                <w:sz w:val="28"/>
                <w:szCs w:val="28"/>
                <w:vertAlign w:val="baseline"/>
                <w:lang w:val="en-US" w:eastAsia="zh-CN"/>
              </w:rPr>
              <w:t>”后有合格动态数据传输率，得分为：考核期内向监管平台传输合格动态数据的车辆数/车载定位数据接入监管平台的车辆数Х3。</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统计监管平台数据</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pacing w:val="-20"/>
                <w:w w:val="9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平台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pacing w:val="-20"/>
                <w:w w:val="90"/>
                <w:sz w:val="28"/>
                <w:szCs w:val="28"/>
                <w:vertAlign w:val="baseline"/>
                <w:lang w:val="en-US" w:eastAsia="zh-CN"/>
              </w:rPr>
              <w:t>合规率</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4</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接入网约车平台的接单车辆合规率数据，总体合规率为100%不扣分，每下降0.1%扣0.0</w:t>
            </w:r>
            <w:r>
              <w:rPr>
                <w:rFonts w:hint="eastAsia" w:asciiTheme="minorEastAsia" w:hAnsiTheme="minorEastAsia" w:cstheme="minorEastAsia"/>
                <w:b w:val="0"/>
                <w:bCs w:val="0"/>
                <w:color w:val="auto"/>
                <w:sz w:val="28"/>
                <w:szCs w:val="28"/>
                <w:vertAlign w:val="baseline"/>
                <w:lang w:val="en-US" w:eastAsia="zh-CN"/>
              </w:rPr>
              <w:t>1</w:t>
            </w:r>
            <w:r>
              <w:rPr>
                <w:rFonts w:hint="eastAsia" w:asciiTheme="minorEastAsia" w:hAnsiTheme="minorEastAsia" w:eastAsiaTheme="minorEastAsia" w:cstheme="minorEastAsia"/>
                <w:b w:val="0"/>
                <w:bCs w:val="0"/>
                <w:color w:val="auto"/>
                <w:sz w:val="28"/>
                <w:szCs w:val="28"/>
                <w:vertAlign w:val="baseline"/>
                <w:lang w:val="en-US" w:eastAsia="zh-CN"/>
              </w:rPr>
              <w:t>分，扣完为止。</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统计监管平台数据</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CellMar>
            <w:top w:w="0" w:type="dxa"/>
            <w:left w:w="108" w:type="dxa"/>
            <w:bottom w:w="0" w:type="dxa"/>
            <w:right w:w="108" w:type="dxa"/>
          </w:tblCellMar>
        </w:tblPrEx>
        <w:trPr>
          <w:trHeight w:val="697" w:hRule="atLeast"/>
        </w:trPr>
        <w:tc>
          <w:tcPr>
            <w:tcW w:w="7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日常管理</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违章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处理</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cstheme="minorEastAsia"/>
                <w:b w:val="0"/>
                <w:bCs w:val="0"/>
                <w:color w:val="auto"/>
                <w:sz w:val="28"/>
                <w:szCs w:val="28"/>
                <w:vertAlign w:val="baseline"/>
                <w:lang w:val="en-US" w:eastAsia="zh-CN"/>
              </w:rPr>
              <w:t>考核期内企业发生的立案查处有责违章，每起处罚</w:t>
            </w:r>
            <w:r>
              <w:rPr>
                <w:rFonts w:hint="eastAsia" w:asciiTheme="minorEastAsia" w:hAnsiTheme="minorEastAsia" w:eastAsiaTheme="minorEastAsia" w:cstheme="minorEastAsia"/>
                <w:b w:val="0"/>
                <w:bCs w:val="0"/>
                <w:color w:val="auto"/>
                <w:sz w:val="28"/>
                <w:szCs w:val="28"/>
                <w:vertAlign w:val="baseline"/>
                <w:lang w:val="en-US" w:eastAsia="zh-CN"/>
              </w:rPr>
              <w:t>扣0.</w:t>
            </w:r>
            <w:r>
              <w:rPr>
                <w:rFonts w:hint="eastAsia" w:asciiTheme="minorEastAsia" w:hAnsiTheme="minorEastAsia" w:cstheme="minorEastAsia"/>
                <w:b w:val="0"/>
                <w:bCs w:val="0"/>
                <w:color w:val="auto"/>
                <w:sz w:val="28"/>
                <w:szCs w:val="28"/>
                <w:vertAlign w:val="baseline"/>
                <w:lang w:val="en-US" w:eastAsia="zh-CN"/>
              </w:rPr>
              <w:t>1</w:t>
            </w:r>
            <w:r>
              <w:rPr>
                <w:rFonts w:hint="eastAsia" w:asciiTheme="minorEastAsia" w:hAnsiTheme="minorEastAsia" w:eastAsiaTheme="minorEastAsia" w:cstheme="minorEastAsia"/>
                <w:b w:val="0"/>
                <w:bCs w:val="0"/>
                <w:color w:val="auto"/>
                <w:sz w:val="28"/>
                <w:szCs w:val="28"/>
                <w:vertAlign w:val="baseline"/>
                <w:lang w:val="en-US" w:eastAsia="zh-CN"/>
              </w:rPr>
              <w:t>分，扣完为止。</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执法</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b w:val="0"/>
                <w:bCs w:val="0"/>
                <w:color w:val="auto"/>
                <w:sz w:val="28"/>
                <w:szCs w:val="28"/>
                <w:vertAlign w:val="baseline"/>
                <w:lang w:val="en-US" w:eastAsia="zh-CN"/>
              </w:rPr>
              <w:t>考核期内公司未按规定履行企业安全生产主体责任，被省、市级交通执法部门立案查处的，每起扣1分，扣完为止</w:t>
            </w:r>
            <w:r>
              <w:rPr>
                <w:rFonts w:hint="eastAsia" w:asciiTheme="minorEastAsia" w:hAnsiTheme="minorEastAsia" w:cstheme="minorEastAsia"/>
                <w:b w:val="0"/>
                <w:bCs w:val="0"/>
                <w:color w:val="auto"/>
                <w:sz w:val="28"/>
                <w:szCs w:val="28"/>
                <w:vertAlign w:val="baseline"/>
                <w:lang w:val="en-US" w:eastAsia="zh-CN"/>
              </w:rPr>
              <w:t>；情节严重的，被立案处罚的，每起</w:t>
            </w:r>
            <w:r>
              <w:rPr>
                <w:rFonts w:hint="eastAsia" w:asciiTheme="minorEastAsia" w:hAnsiTheme="minorEastAsia" w:eastAsiaTheme="minorEastAsia" w:cstheme="minorEastAsia"/>
                <w:b w:val="0"/>
                <w:bCs w:val="0"/>
                <w:color w:val="auto"/>
                <w:sz w:val="28"/>
                <w:szCs w:val="28"/>
                <w:vertAlign w:val="baseline"/>
                <w:lang w:val="en-US" w:eastAsia="zh-CN"/>
              </w:rPr>
              <w:t>扣</w:t>
            </w:r>
            <w:r>
              <w:rPr>
                <w:rFonts w:hint="eastAsia" w:asciiTheme="minorEastAsia" w:hAnsiTheme="minorEastAsia" w:cstheme="minorEastAsia"/>
                <w:b w:val="0"/>
                <w:bCs w:val="0"/>
                <w:color w:val="auto"/>
                <w:sz w:val="28"/>
                <w:szCs w:val="28"/>
                <w:vertAlign w:val="baseline"/>
                <w:lang w:val="en-US" w:eastAsia="zh-CN"/>
              </w:rPr>
              <w:t>3</w:t>
            </w:r>
            <w:r>
              <w:rPr>
                <w:rFonts w:hint="eastAsia" w:asciiTheme="minorEastAsia" w:hAnsiTheme="minorEastAsia" w:eastAsiaTheme="minorEastAsia" w:cstheme="minorEastAsia"/>
                <w:b w:val="0"/>
                <w:bCs w:val="0"/>
                <w:color w:val="auto"/>
                <w:sz w:val="28"/>
                <w:szCs w:val="28"/>
                <w:vertAlign w:val="baseline"/>
                <w:lang w:val="en-US" w:eastAsia="zh-CN"/>
              </w:rPr>
              <w:t>分，扣完为止</w:t>
            </w:r>
            <w:r>
              <w:rPr>
                <w:rFonts w:hint="eastAsia" w:asciiTheme="minorEastAsia" w:hAnsiTheme="minorEastAsia" w:cstheme="minorEastAsia"/>
                <w:b w:val="0"/>
                <w:bCs w:val="0"/>
                <w:color w:val="auto"/>
                <w:sz w:val="28"/>
                <w:szCs w:val="28"/>
                <w:vertAlign w:val="baseline"/>
                <w:lang w:val="en-US" w:eastAsia="zh-CN"/>
              </w:rPr>
              <w:t>。</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根据工作记录及相关事实依据统计</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安全事故</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10</w:t>
            </w:r>
          </w:p>
        </w:tc>
        <w:tc>
          <w:tcPr>
            <w:tcW w:w="768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考核期内发生同等及以上责任交通事故，按照每死亡1人扣3分、每受伤1人扣1分的标准实施扣分，扣完为止；</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考核期内瞒报、虚报、漏报交通安全事故的，每次扣5分，扣完为止。</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根据安全报表及相关事实依据统计</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否决事项</w:t>
            </w:r>
          </w:p>
        </w:tc>
        <w:tc>
          <w:tcPr>
            <w:tcW w:w="76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列入重点监管企业名单未解除的。</w:t>
            </w: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pacing w:val="-20"/>
                <w:w w:val="90"/>
                <w:sz w:val="28"/>
                <w:szCs w:val="28"/>
                <w:vertAlign w:val="baseline"/>
                <w:lang w:val="en-US" w:eastAsia="zh-CN"/>
              </w:rPr>
            </w:pPr>
            <w:r>
              <w:rPr>
                <w:rFonts w:hint="eastAsia" w:asciiTheme="minorEastAsia" w:hAnsiTheme="minorEastAsia" w:eastAsiaTheme="minorEastAsia" w:cstheme="minorEastAsia"/>
                <w:b w:val="0"/>
                <w:bCs w:val="0"/>
                <w:spacing w:val="-20"/>
                <w:w w:val="90"/>
                <w:sz w:val="28"/>
                <w:szCs w:val="28"/>
                <w:vertAlign w:val="baseline"/>
                <w:lang w:val="en-US" w:eastAsia="zh-CN"/>
              </w:rPr>
              <w:t>根据相关文件为依据</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z w:val="28"/>
                <w:szCs w:val="28"/>
                <w:vertAlign w:val="baseline"/>
                <w:lang w:val="en-US" w:eastAsia="zh-CN"/>
              </w:rPr>
            </w:pPr>
          </w:p>
        </w:tc>
      </w:tr>
    </w:tbl>
    <w:p>
      <w:pPr>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仿宋_GB2312" w:hAnsi="仿宋_GB2312" w:eastAsia="仿宋_GB2312" w:cs="仿宋_GB2312"/>
          <w:color w:val="222222"/>
          <w:kern w:val="0"/>
          <w:sz w:val="32"/>
          <w:szCs w:val="32"/>
          <w:lang w:val="en-US" w:eastAsia="zh-CN"/>
        </w:rPr>
        <w:sectPr>
          <w:pgSz w:w="16838" w:h="11906" w:orient="landscape"/>
          <w:pgMar w:top="1417" w:right="1134" w:bottom="1134" w:left="1134"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方正小标宋简体" w:hAnsi="方正小标宋简体" w:eastAsia="方正小标宋简体" w:cs="方正小标宋简体"/>
          <w:color w:val="auto"/>
          <w:kern w:val="0"/>
          <w:sz w:val="44"/>
          <w:szCs w:val="44"/>
          <w:lang w:val="en-US" w:eastAsia="zh-CN"/>
        </w:rPr>
        <w:t>网约车平台新增网约车指标配额确定办法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一、名词释义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1.季度指标：以“a”表示。根据市交通运输局公布的</w:t>
      </w:r>
      <w:r>
        <w:rPr>
          <w:rFonts w:hint="eastAsia" w:ascii="仿宋_GB2312" w:hAnsi="仿宋_GB2312" w:eastAsia="仿宋_GB2312" w:cs="仿宋_GB2312"/>
          <w:color w:val="auto"/>
          <w:sz w:val="32"/>
          <w:szCs w:val="32"/>
          <w:lang w:val="en-US" w:eastAsia="zh-CN"/>
        </w:rPr>
        <w:t>《衡阳市出租汽车运力规模评估报告》，提出2024年底网约车运力合理需求规模达到2500台，2025年底网约车运力合理需求规模达到2800台。因此，初步考虑2024年度每季度新增车辆指标为100辆，2025年每季度新增车辆指标为75辆。</w:t>
      </w:r>
      <w:r>
        <w:rPr>
          <w:rFonts w:hint="eastAsia" w:ascii="仿宋_GB2312" w:hAnsi="仿宋_GB2312" w:eastAsia="仿宋_GB2312" w:cs="仿宋_GB2312"/>
          <w:color w:val="auto"/>
          <w:kern w:val="0"/>
          <w:sz w:val="32"/>
          <w:szCs w:val="32"/>
          <w:lang w:val="en-US" w:eastAsia="zh-CN"/>
        </w:rPr>
        <w:t>“a”指当季度目标规模与上季度末市局三级协同平台实际注册网约车规模之差。</w:t>
      </w:r>
    </w:p>
    <w:tbl>
      <w:tblPr>
        <w:tblStyle w:val="9"/>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850"/>
        <w:gridCol w:w="850"/>
        <w:gridCol w:w="850"/>
        <w:gridCol w:w="850"/>
        <w:gridCol w:w="850"/>
        <w:gridCol w:w="850"/>
        <w:gridCol w:w="850"/>
        <w:gridCol w:w="85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时间</w:t>
            </w:r>
          </w:p>
        </w:tc>
        <w:tc>
          <w:tcPr>
            <w:tcW w:w="340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2024年度</w:t>
            </w:r>
          </w:p>
        </w:tc>
        <w:tc>
          <w:tcPr>
            <w:tcW w:w="340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2025年度</w:t>
            </w: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一季度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二季度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三季度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四季度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一季度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二季度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三季度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w w:val="80"/>
                <w:sz w:val="28"/>
                <w:szCs w:val="28"/>
                <w:vertAlign w:val="baseline"/>
                <w:lang w:val="en-US" w:eastAsia="zh-CN"/>
              </w:rPr>
            </w:pPr>
            <w:r>
              <w:rPr>
                <w:rFonts w:hint="eastAsia" w:ascii="仿宋_GB2312" w:hAnsi="仿宋_GB2312" w:eastAsia="仿宋_GB2312" w:cs="仿宋_GB2312"/>
                <w:color w:val="auto"/>
                <w:spacing w:val="-20"/>
                <w:w w:val="80"/>
                <w:sz w:val="28"/>
                <w:szCs w:val="28"/>
                <w:vertAlign w:val="baseline"/>
                <w:lang w:val="en-US" w:eastAsia="zh-CN"/>
              </w:rPr>
              <w:t>四季度</w:t>
            </w:r>
          </w:p>
        </w:tc>
        <w:tc>
          <w:tcPr>
            <w:tcW w:w="19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目标规模指当季度末预计网约车规模最大值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目标规模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2200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2300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2400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2500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2575</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2650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2725</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2800</w:t>
            </w:r>
          </w:p>
        </w:tc>
        <w:tc>
          <w:tcPr>
            <w:tcW w:w="19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2.基础指标总值：以“b”表示。当季度给予经市局许可并符合基础指标发放条件的网约车公司新增车辆基础指标之和。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3.奖励指标总值：以“e”表示。为季度指标与基础指标总值之差。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二、指标确定标准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各网约车公司每季度新增车辆指标综合平台申请数量、考核得分等因素实行合理分配。</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（一）基础指标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网约车公司考核得分为90分及以上时，给予每家公司2台新增车辆基础指标，考核得分为90分以下时，当季度不得新增车辆；网约车公司名下无许可车辆时，可不考虑考核得分，直接给予2台新增车辆基础指标；符合条件的网约车公司当季度申请车辆指标小于2台基础指标值时，以公司申请数为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（二）奖励指标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当网约车公司考核得分为90分以上且申报指标大于2辆时，给予上车奖励指标，其中每增加1分，给予其申报指标10%奖励，其中奖励指标值按公式（1）核定。</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e</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=（c</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-90）×10%×（d</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e</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网约车公司奖励指标值，单位为辆；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c</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上季度网约车公司车辆日均服务订单量考核分、服务质量考核分、合规运营考核分之和；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d</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当季度网约车公司提出需新增网约车数量（最大不得超过季度指标），</w:t>
      </w:r>
      <w:r>
        <w:rPr>
          <w:rFonts w:hint="eastAsia" w:ascii="仿宋_GB2312" w:hAnsi="仿宋_GB2312" w:eastAsia="仿宋_GB2312" w:cs="仿宋_GB2312"/>
          <w:b w:val="0"/>
          <w:bCs w:val="0"/>
          <w:color w:val="auto"/>
          <w:kern w:val="0"/>
          <w:sz w:val="32"/>
          <w:szCs w:val="32"/>
          <w:lang w:val="en-US" w:eastAsia="zh-CN"/>
        </w:rPr>
        <w:t>单位为辆</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（三）车辆指标配额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1.当e</w:t>
      </w:r>
      <w:r>
        <w:rPr>
          <w:rFonts w:hint="eastAsia" w:ascii="仿宋_GB2312" w:hAnsi="仿宋_GB2312" w:eastAsia="仿宋_GB2312" w:cs="仿宋_GB2312"/>
          <w:color w:val="auto"/>
          <w:kern w:val="0"/>
          <w:sz w:val="32"/>
          <w:szCs w:val="32"/>
          <w:vertAlign w:val="subscript"/>
          <w:lang w:val="en-US" w:eastAsia="zh-CN"/>
        </w:rPr>
        <w:t>总</w:t>
      </w:r>
      <w:r>
        <w:rPr>
          <w:rFonts w:hint="eastAsia" w:ascii="仿宋_GB2312" w:hAnsi="仿宋_GB2312" w:eastAsia="仿宋_GB2312" w:cs="仿宋_GB2312"/>
          <w:color w:val="auto"/>
          <w:kern w:val="0"/>
          <w:sz w:val="32"/>
          <w:szCs w:val="32"/>
          <w:lang w:val="en-US" w:eastAsia="zh-CN"/>
        </w:rPr>
        <w:t>≤e时，各网约车公司奖励指标值为有效指标值，e</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小数点进位取整即为当季度奖励指标车辆台数，与基础指标台数之和即为该网约车公司当季度车辆指标配额，当季度车辆指标配额按公式（2）核定。</w:t>
      </w:r>
    </w:p>
    <w:p>
      <w:pPr>
        <w:keepNext w:val="0"/>
        <w:keepLines w:val="0"/>
        <w:pageBreakBefore w:val="0"/>
        <w:widowControl w:val="0"/>
        <w:kinsoku/>
        <w:wordWrap/>
        <w:overflowPunct/>
        <w:topLinePunct w:val="0"/>
        <w:autoSpaceDE/>
        <w:autoSpaceDN/>
        <w:bidi w:val="0"/>
        <w:adjustRightInd/>
        <w:snapToGrid/>
        <w:spacing w:line="240" w:lineRule="auto"/>
        <w:ind w:firstLine="2240" w:firstLineChars="7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p</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=e</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（小数点进位取整）+2…………………（2）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e</w:t>
      </w:r>
      <w:r>
        <w:rPr>
          <w:rFonts w:hint="eastAsia" w:ascii="仿宋_GB2312" w:hAnsi="仿宋_GB2312" w:eastAsia="仿宋_GB2312" w:cs="仿宋_GB2312"/>
          <w:color w:val="auto"/>
          <w:kern w:val="0"/>
          <w:sz w:val="32"/>
          <w:szCs w:val="32"/>
          <w:vertAlign w:val="subscript"/>
          <w:lang w:val="en-US" w:eastAsia="zh-CN"/>
        </w:rPr>
        <w:t>总</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各网约车公司奖励指标值之和为奖励指标需求总值，</w:t>
      </w:r>
      <w:r>
        <w:rPr>
          <w:rFonts w:hint="eastAsia" w:ascii="仿宋_GB2312" w:hAnsi="仿宋_GB2312" w:eastAsia="仿宋_GB2312" w:cs="仿宋_GB2312"/>
          <w:b w:val="0"/>
          <w:bCs w:val="0"/>
          <w:color w:val="auto"/>
          <w:kern w:val="0"/>
          <w:sz w:val="32"/>
          <w:szCs w:val="32"/>
          <w:lang w:val="en-US" w:eastAsia="zh-CN"/>
        </w:rPr>
        <w:t>单位为辆</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p</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网约车公司当季度车辆指标配额，</w:t>
      </w:r>
      <w:r>
        <w:rPr>
          <w:rFonts w:hint="eastAsia" w:ascii="仿宋_GB2312" w:hAnsi="仿宋_GB2312" w:eastAsia="仿宋_GB2312" w:cs="仿宋_GB2312"/>
          <w:b w:val="0"/>
          <w:bCs w:val="0"/>
          <w:color w:val="auto"/>
          <w:kern w:val="0"/>
          <w:sz w:val="32"/>
          <w:szCs w:val="32"/>
          <w:lang w:val="en-US" w:eastAsia="zh-CN"/>
        </w:rPr>
        <w:t>单位为辆</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2.当e</w:t>
      </w:r>
      <w:r>
        <w:rPr>
          <w:rFonts w:hint="eastAsia" w:ascii="仿宋_GB2312" w:hAnsi="仿宋_GB2312" w:eastAsia="仿宋_GB2312" w:cs="仿宋_GB2312"/>
          <w:color w:val="auto"/>
          <w:kern w:val="0"/>
          <w:sz w:val="32"/>
          <w:szCs w:val="32"/>
          <w:vertAlign w:val="subscript"/>
          <w:lang w:val="en-US" w:eastAsia="zh-CN"/>
        </w:rPr>
        <w:t>总</w:t>
      </w:r>
      <w:r>
        <w:rPr>
          <w:rFonts w:hint="eastAsia" w:ascii="仿宋_GB2312" w:hAnsi="仿宋_GB2312" w:eastAsia="仿宋_GB2312" w:cs="仿宋_GB2312"/>
          <w:color w:val="auto"/>
          <w:kern w:val="0"/>
          <w:sz w:val="32"/>
          <w:szCs w:val="32"/>
          <w:lang w:val="en-US" w:eastAsia="zh-CN"/>
        </w:rPr>
        <w:t>＞e时，先求得当季度奖励指标车辆系数，按公式（3）核定。当季度奖励指标车辆系数与各网约车公司奖励指标值之积为有效指标值，小数点进位取整即为当季度奖励指标车辆台数，与基础指标台数之和即为该网约车公司当季度车辆指标配额，当季度车辆指标配额按公式（4）核定。</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f=（a-b）÷e</w:t>
      </w:r>
      <w:r>
        <w:rPr>
          <w:rFonts w:hint="eastAsia" w:ascii="仿宋_GB2312" w:hAnsi="仿宋_GB2312" w:eastAsia="仿宋_GB2312" w:cs="仿宋_GB2312"/>
          <w:color w:val="auto"/>
          <w:kern w:val="0"/>
          <w:sz w:val="32"/>
          <w:szCs w:val="32"/>
          <w:vertAlign w:val="subscript"/>
          <w:lang w:val="en-US" w:eastAsia="zh-CN"/>
        </w:rPr>
        <w:t>总</w:t>
      </w:r>
      <w:r>
        <w:rPr>
          <w:rFonts w:hint="eastAsia" w:ascii="仿宋_GB2312" w:hAnsi="仿宋_GB2312" w:eastAsia="仿宋_GB2312" w:cs="仿宋_GB2312"/>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p</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=f×e</w:t>
      </w:r>
      <w:r>
        <w:rPr>
          <w:rFonts w:hint="eastAsia" w:ascii="仿宋_GB2312" w:hAnsi="仿宋_GB2312" w:eastAsia="仿宋_GB2312" w:cs="仿宋_GB2312"/>
          <w:color w:val="auto"/>
          <w:kern w:val="0"/>
          <w:sz w:val="32"/>
          <w:szCs w:val="32"/>
          <w:vertAlign w:val="subscript"/>
          <w:lang w:val="en-US" w:eastAsia="zh-CN"/>
        </w:rPr>
        <w:t>i</w:t>
      </w:r>
      <w:r>
        <w:rPr>
          <w:rFonts w:hint="eastAsia" w:ascii="仿宋_GB2312" w:hAnsi="仿宋_GB2312" w:eastAsia="仿宋_GB2312" w:cs="仿宋_GB2312"/>
          <w:color w:val="auto"/>
          <w:kern w:val="0"/>
          <w:sz w:val="32"/>
          <w:szCs w:val="32"/>
          <w:lang w:val="en-US" w:eastAsia="zh-CN"/>
        </w:rPr>
        <w:t>（小数点进位取整）+2…………………（4）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f</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当季度奖励指标车辆系数。</w:t>
      </w:r>
    </w:p>
    <w:p>
      <w:p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网约车平台车辆新增流程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一、下达季度指标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每季度首月1号（如遇节假日顺延），市交通运输局道路运输科会同行政审批科确定季度指标，将季度指标向各网约车平台公司进行通报。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二、网约车平台提出拟新增运力申请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首月5号前（如遇节假日顺延），各网约车平台公司根据自身发展计划提出拟新增运力申请。新增运力申请以网约车平台公司申报为准，不接受线下运营服务公司单独申报，申报内容中体现拟新增运力数量及经营模式，提供带签章原件至市交通运输局道路运输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t>三、市交通运输主管部门组织考核</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每季度首月5号前（如遇节假日顺延），完成网约车平台公司运力新增申请考核工作。其中市局道路运输科完成</w:t>
      </w:r>
      <w:r>
        <w:rPr>
          <w:rFonts w:hint="eastAsia" w:ascii="仿宋_GB2312" w:hAnsi="仿宋_GB2312" w:eastAsia="仿宋_GB2312" w:cs="仿宋_GB2312"/>
          <w:kern w:val="0"/>
          <w:sz w:val="32"/>
          <w:szCs w:val="32"/>
          <w:lang w:val="en-US" w:eastAsia="zh-CN"/>
        </w:rPr>
        <w:t>网约车平台车辆日均服务订单量考核并提供表一签章件，市道路运输服务中心完成网约车平台服务质量考核并提供表二签章件，市交通综合行政执法支队完成网约车平台合规运营考核并提供表三签章件。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w w:val="90"/>
          <w:kern w:val="0"/>
          <w:sz w:val="40"/>
          <w:szCs w:val="40"/>
          <w:lang w:val="en-US" w:eastAsia="zh-CN"/>
        </w:rPr>
      </w:pPr>
      <w:r>
        <w:rPr>
          <w:rFonts w:hint="eastAsia" w:ascii="方正小标宋简体" w:hAnsi="方正小标宋简体" w:eastAsia="方正小标宋简体" w:cs="方正小标宋简体"/>
          <w:color w:val="222222"/>
          <w:w w:val="90"/>
          <w:kern w:val="0"/>
          <w:sz w:val="40"/>
          <w:szCs w:val="40"/>
          <w:lang w:val="en-US" w:eastAsia="zh-CN"/>
        </w:rPr>
        <w:t>表一  网约车平台车辆日均服务订单量考核评分汇总表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填报单位：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填报日期：    年   月   日</w:t>
      </w:r>
    </w:p>
    <w:tbl>
      <w:tblPr>
        <w:tblStyle w:val="9"/>
        <w:tblW w:w="10291"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50"/>
        <w:gridCol w:w="1133"/>
        <w:gridCol w:w="1700"/>
        <w:gridCol w:w="883"/>
        <w:gridCol w:w="1705"/>
        <w:gridCol w:w="80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4"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序号</w:t>
            </w:r>
          </w:p>
        </w:tc>
        <w:tc>
          <w:tcPr>
            <w:tcW w:w="235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网约车平台名称</w:t>
            </w:r>
          </w:p>
        </w:tc>
        <w:tc>
          <w:tcPr>
            <w:tcW w:w="113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车辆数</w:t>
            </w:r>
          </w:p>
        </w:tc>
        <w:tc>
          <w:tcPr>
            <w:tcW w:w="2583"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车辆日均服务订单</w:t>
            </w:r>
          </w:p>
        </w:tc>
        <w:tc>
          <w:tcPr>
            <w:tcW w:w="2513"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经营模式（附加分）</w:t>
            </w:r>
          </w:p>
        </w:tc>
        <w:tc>
          <w:tcPr>
            <w:tcW w:w="878"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34"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235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133"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日均订单量</w:t>
            </w: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得分</w:t>
            </w:r>
          </w:p>
        </w:tc>
        <w:tc>
          <w:tcPr>
            <w:tcW w:w="17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经营模式</w:t>
            </w:r>
          </w:p>
        </w:tc>
        <w:tc>
          <w:tcPr>
            <w:tcW w:w="80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得分</w:t>
            </w:r>
          </w:p>
        </w:tc>
        <w:tc>
          <w:tcPr>
            <w:tcW w:w="878"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23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1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0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23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1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0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8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w w:val="90"/>
          <w:kern w:val="0"/>
          <w:sz w:val="40"/>
          <w:szCs w:val="40"/>
          <w:lang w:val="en-US" w:eastAsia="zh-CN"/>
        </w:rPr>
      </w:pPr>
      <w:r>
        <w:rPr>
          <w:rFonts w:hint="eastAsia" w:ascii="方正小标宋简体" w:hAnsi="方正小标宋简体" w:eastAsia="方正小标宋简体" w:cs="方正小标宋简体"/>
          <w:color w:val="222222"/>
          <w:w w:val="90"/>
          <w:kern w:val="0"/>
          <w:sz w:val="40"/>
          <w:szCs w:val="40"/>
          <w:lang w:val="en-US" w:eastAsia="zh-CN"/>
        </w:rPr>
        <w:t>表二  网约车平台服务质量考核评分汇总表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填报单位：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填报日期：    年   月   日</w:t>
      </w:r>
    </w:p>
    <w:tbl>
      <w:tblPr>
        <w:tblStyle w:val="9"/>
        <w:tblW w:w="10318"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003"/>
        <w:gridCol w:w="168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序号</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网约车平台名称</w:t>
            </w: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考核得分</w:t>
            </w: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否决事项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22222"/>
          <w:w w:val="90"/>
          <w:kern w:val="0"/>
          <w:sz w:val="40"/>
          <w:szCs w:val="40"/>
          <w:lang w:val="en-US" w:eastAsia="zh-CN"/>
        </w:rPr>
      </w:pPr>
      <w:r>
        <w:rPr>
          <w:rFonts w:hint="eastAsia" w:ascii="方正小标宋简体" w:hAnsi="方正小标宋简体" w:eastAsia="方正小标宋简体" w:cs="方正小标宋简体"/>
          <w:color w:val="222222"/>
          <w:w w:val="90"/>
          <w:kern w:val="0"/>
          <w:sz w:val="40"/>
          <w:szCs w:val="40"/>
          <w:lang w:val="en-US" w:eastAsia="zh-CN"/>
        </w:rPr>
        <w:t>表三  网约车平台合规运营考核评分汇总表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填报单位：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填报日期：    年   月   日</w:t>
      </w:r>
    </w:p>
    <w:tbl>
      <w:tblPr>
        <w:tblStyle w:val="9"/>
        <w:tblW w:w="10318"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003"/>
        <w:gridCol w:w="168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序号</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网约车平台名称</w:t>
            </w: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考核得分</w:t>
            </w: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否决事项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60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6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c>
          <w:tcPr>
            <w:tcW w:w="172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color w:val="auto"/>
                <w:kern w:val="0"/>
                <w:sz w:val="28"/>
                <w:szCs w:val="28"/>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四、根据考核情况核定指标配额并下达新增计划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每季度首月10号前（如遇节假日顺延），市局道路运输科</w:t>
      </w:r>
      <w:r>
        <w:rPr>
          <w:rFonts w:hint="eastAsia" w:ascii="仿宋_GB2312" w:hAnsi="仿宋_GB2312" w:eastAsia="仿宋_GB2312" w:cs="仿宋_GB2312"/>
          <w:kern w:val="0"/>
          <w:sz w:val="32"/>
          <w:szCs w:val="32"/>
          <w:lang w:val="en-US" w:eastAsia="zh-CN"/>
        </w:rPr>
        <w:t>根据网约车平台公司提出的新增需求及考核得分，按照附件四《网约车平台新增网约车指标配额确定办法》，确定各网约车平台公司</w:t>
      </w:r>
      <w:r>
        <w:rPr>
          <w:rFonts w:hint="eastAsia" w:ascii="仿宋_GB2312" w:hAnsi="仿宋_GB2312" w:eastAsia="仿宋_GB2312" w:cs="仿宋_GB2312"/>
          <w:color w:val="auto"/>
          <w:kern w:val="0"/>
          <w:sz w:val="32"/>
          <w:szCs w:val="32"/>
          <w:lang w:val="en-US" w:eastAsia="zh-CN"/>
        </w:rPr>
        <w:t>季度车辆指标配额并下达新增计划，向市道路运输服务中心及各网约车平台公司进行通报。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color w:val="222222"/>
          <w:kern w:val="0"/>
          <w:sz w:val="32"/>
          <w:szCs w:val="32"/>
          <w:lang w:val="en-US" w:eastAsia="zh-CN"/>
        </w:rPr>
        <w:t>五、网约车平台公司按计划采购车辆并上报车辆资料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各网约车平台公司按计划采购车辆并将车辆资料报市道路运输服务中心。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六、市交通运输主管部门开展车辆相关技术参数核定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lang w:val="en-US" w:eastAsia="zh-CN"/>
        </w:rPr>
        <w:t>市道路运输服务中心在收到各网约车平台公司上报的车辆资料后，于5个工作日内开展车辆相关技术参数核定工作。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七、市政务中心交通窗口按计划办理新增车辆营运证件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每季度末月最后一个工作日前</w:t>
      </w:r>
      <w:r>
        <w:rPr>
          <w:rFonts w:hint="eastAsia" w:ascii="仿宋_GB2312" w:hAnsi="仿宋_GB2312" w:eastAsia="仿宋_GB2312" w:cs="仿宋_GB2312"/>
          <w:kern w:val="0"/>
          <w:sz w:val="32"/>
          <w:szCs w:val="32"/>
          <w:lang w:val="en-US" w:eastAsia="zh-CN"/>
        </w:rPr>
        <w:t>各网约车平台公司</w:t>
      </w:r>
      <w:r>
        <w:rPr>
          <w:rFonts w:hint="eastAsia" w:ascii="仿宋_GB2312" w:hAnsi="仿宋_GB2312" w:eastAsia="仿宋_GB2312" w:cs="仿宋_GB2312"/>
          <w:color w:val="auto"/>
          <w:kern w:val="0"/>
          <w:sz w:val="32"/>
          <w:szCs w:val="32"/>
          <w:lang w:val="en-US" w:eastAsia="zh-CN"/>
        </w:rPr>
        <w:t>将相关资料递交市政务中心交通窗口，原则上市政务中心交通窗口当日办理新增车辆营运证件，因工作量原因未完成的顺延至下个工作日办理，该种情况不影响</w:t>
      </w:r>
      <w:r>
        <w:rPr>
          <w:rFonts w:hint="eastAsia" w:ascii="仿宋_GB2312" w:hAnsi="仿宋_GB2312" w:eastAsia="仿宋_GB2312" w:cs="仿宋_GB2312"/>
          <w:kern w:val="0"/>
          <w:sz w:val="32"/>
          <w:szCs w:val="32"/>
          <w:lang w:val="en-US" w:eastAsia="zh-CN"/>
        </w:rPr>
        <w:t>网约车平台公司下季度新增运力申请。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222222"/>
          <w:kern w:val="0"/>
          <w:sz w:val="32"/>
          <w:szCs w:val="32"/>
          <w:lang w:val="en-US" w:eastAsia="zh-CN"/>
        </w:rPr>
        <w:t>八、车辆办证后上路营运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网约车平台公司确保车辆取得《道路运输证》后方可安排车辆上路营运。</w:t>
      </w: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2pt" joinstyle="round"/>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2pt" joinstyle="round"/>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p>
            </w:txbxContent>
          </v:textbox>
        </v:shape>
      </w:pict>
    </w: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2pt" joinstyle="round"/>
          <v:imagedata o:title=""/>
          <o:lock v:ext="edit" aspectratio="f"/>
          <v:textbox inset="0mm,0mm,0mm,0mm" style="mso-fit-shape-to-text:t;">
            <w:txbxContent>
              <w:p>
                <w:pPr>
                  <w:pStyle w:val="4"/>
                </w:pP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2B95"/>
    <w:multiLevelType w:val="singleLevel"/>
    <w:tmpl w:val="80DC2B95"/>
    <w:lvl w:ilvl="0" w:tentative="0">
      <w:start w:val="1"/>
      <w:numFmt w:val="decimal"/>
      <w:suff w:val="nothing"/>
      <w:lvlText w:val="%1、"/>
      <w:lvlJc w:val="left"/>
    </w:lvl>
  </w:abstractNum>
  <w:abstractNum w:abstractNumId="1">
    <w:nsid w:val="AEE9CB05"/>
    <w:multiLevelType w:val="singleLevel"/>
    <w:tmpl w:val="AEE9CB05"/>
    <w:lvl w:ilvl="0" w:tentative="0">
      <w:start w:val="1"/>
      <w:numFmt w:val="decimal"/>
      <w:suff w:val="nothing"/>
      <w:lvlText w:val="%1、"/>
      <w:lvlJc w:val="left"/>
    </w:lvl>
  </w:abstractNum>
  <w:abstractNum w:abstractNumId="2">
    <w:nsid w:val="61F096F8"/>
    <w:multiLevelType w:val="singleLevel"/>
    <w:tmpl w:val="61F096F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hNGJiMWVmZTg4ZjFhYWZhYWFiMzBkODkwYWRkZmUifQ=="/>
  </w:docVars>
  <w:rsids>
    <w:rsidRoot w:val="000259D7"/>
    <w:rsid w:val="00016B7D"/>
    <w:rsid w:val="00022EFC"/>
    <w:rsid w:val="000259D7"/>
    <w:rsid w:val="00030952"/>
    <w:rsid w:val="000E1039"/>
    <w:rsid w:val="000E5039"/>
    <w:rsid w:val="001236B7"/>
    <w:rsid w:val="00163D21"/>
    <w:rsid w:val="00164B02"/>
    <w:rsid w:val="00172F4E"/>
    <w:rsid w:val="00191FB0"/>
    <w:rsid w:val="0019497A"/>
    <w:rsid w:val="001D4034"/>
    <w:rsid w:val="001D555E"/>
    <w:rsid w:val="002A2CA4"/>
    <w:rsid w:val="002B7625"/>
    <w:rsid w:val="002E3802"/>
    <w:rsid w:val="002E43E2"/>
    <w:rsid w:val="0031008B"/>
    <w:rsid w:val="00362597"/>
    <w:rsid w:val="00374922"/>
    <w:rsid w:val="003A0C61"/>
    <w:rsid w:val="003C6128"/>
    <w:rsid w:val="003E370F"/>
    <w:rsid w:val="003F0747"/>
    <w:rsid w:val="00480EDE"/>
    <w:rsid w:val="00483C8F"/>
    <w:rsid w:val="004B782C"/>
    <w:rsid w:val="004D104E"/>
    <w:rsid w:val="004E0FD6"/>
    <w:rsid w:val="004F5286"/>
    <w:rsid w:val="00511A63"/>
    <w:rsid w:val="0055503A"/>
    <w:rsid w:val="00587CB1"/>
    <w:rsid w:val="005A17C2"/>
    <w:rsid w:val="005A5C1B"/>
    <w:rsid w:val="005E7C10"/>
    <w:rsid w:val="00602B88"/>
    <w:rsid w:val="00672B72"/>
    <w:rsid w:val="00680B16"/>
    <w:rsid w:val="00692C55"/>
    <w:rsid w:val="006A384F"/>
    <w:rsid w:val="006B798C"/>
    <w:rsid w:val="00715EA3"/>
    <w:rsid w:val="00754097"/>
    <w:rsid w:val="00760AA6"/>
    <w:rsid w:val="007632FD"/>
    <w:rsid w:val="0079695B"/>
    <w:rsid w:val="007B31B2"/>
    <w:rsid w:val="007E32F0"/>
    <w:rsid w:val="007E4542"/>
    <w:rsid w:val="00841D53"/>
    <w:rsid w:val="00863325"/>
    <w:rsid w:val="00870518"/>
    <w:rsid w:val="00883F41"/>
    <w:rsid w:val="00891216"/>
    <w:rsid w:val="00923AAF"/>
    <w:rsid w:val="00993AD0"/>
    <w:rsid w:val="009C3A10"/>
    <w:rsid w:val="009E0BAF"/>
    <w:rsid w:val="00A14E7C"/>
    <w:rsid w:val="00A4196E"/>
    <w:rsid w:val="00A67153"/>
    <w:rsid w:val="00A83BC0"/>
    <w:rsid w:val="00AA3BF9"/>
    <w:rsid w:val="00AA71F8"/>
    <w:rsid w:val="00AF30A0"/>
    <w:rsid w:val="00B00D1C"/>
    <w:rsid w:val="00B14C9B"/>
    <w:rsid w:val="00B26C3B"/>
    <w:rsid w:val="00B428B5"/>
    <w:rsid w:val="00B52282"/>
    <w:rsid w:val="00B737BA"/>
    <w:rsid w:val="00B811A2"/>
    <w:rsid w:val="00BC74C5"/>
    <w:rsid w:val="00BE02AD"/>
    <w:rsid w:val="00BE51B2"/>
    <w:rsid w:val="00C06B85"/>
    <w:rsid w:val="00C24D61"/>
    <w:rsid w:val="00CA7F6E"/>
    <w:rsid w:val="00CD497A"/>
    <w:rsid w:val="00D206F9"/>
    <w:rsid w:val="00D23A44"/>
    <w:rsid w:val="00D24C90"/>
    <w:rsid w:val="00D30E14"/>
    <w:rsid w:val="00D55900"/>
    <w:rsid w:val="00D62B22"/>
    <w:rsid w:val="00D67DEB"/>
    <w:rsid w:val="00D72D22"/>
    <w:rsid w:val="00DB7ECF"/>
    <w:rsid w:val="00DC1D66"/>
    <w:rsid w:val="00DE1285"/>
    <w:rsid w:val="00DF77FF"/>
    <w:rsid w:val="00E51683"/>
    <w:rsid w:val="00E91B8D"/>
    <w:rsid w:val="00EF18DB"/>
    <w:rsid w:val="014F03EF"/>
    <w:rsid w:val="01BC51FD"/>
    <w:rsid w:val="02227C61"/>
    <w:rsid w:val="02483BA6"/>
    <w:rsid w:val="02692397"/>
    <w:rsid w:val="02D019C8"/>
    <w:rsid w:val="03F05EC4"/>
    <w:rsid w:val="0454428C"/>
    <w:rsid w:val="04FC5BB5"/>
    <w:rsid w:val="0670355F"/>
    <w:rsid w:val="074B239C"/>
    <w:rsid w:val="07520C39"/>
    <w:rsid w:val="07AA637F"/>
    <w:rsid w:val="07EA7CA9"/>
    <w:rsid w:val="07F27D26"/>
    <w:rsid w:val="07FEC10F"/>
    <w:rsid w:val="08185D4F"/>
    <w:rsid w:val="093A19D0"/>
    <w:rsid w:val="096418D6"/>
    <w:rsid w:val="097C1F9D"/>
    <w:rsid w:val="09807C0D"/>
    <w:rsid w:val="09B74D83"/>
    <w:rsid w:val="09E6049D"/>
    <w:rsid w:val="0A583AEC"/>
    <w:rsid w:val="0A7079FF"/>
    <w:rsid w:val="0A846594"/>
    <w:rsid w:val="0AAC35AD"/>
    <w:rsid w:val="0AEC737F"/>
    <w:rsid w:val="0B9F55BF"/>
    <w:rsid w:val="0BD82F32"/>
    <w:rsid w:val="0C4C20FB"/>
    <w:rsid w:val="0CB24662"/>
    <w:rsid w:val="0CE95616"/>
    <w:rsid w:val="0D2334C2"/>
    <w:rsid w:val="0D77525F"/>
    <w:rsid w:val="0DC342F5"/>
    <w:rsid w:val="0EAF24CD"/>
    <w:rsid w:val="0EB36461"/>
    <w:rsid w:val="0ED4462A"/>
    <w:rsid w:val="0FF561C3"/>
    <w:rsid w:val="0FFC5BE6"/>
    <w:rsid w:val="10795E18"/>
    <w:rsid w:val="10A66D02"/>
    <w:rsid w:val="11810653"/>
    <w:rsid w:val="11983117"/>
    <w:rsid w:val="11E9219A"/>
    <w:rsid w:val="120D5E88"/>
    <w:rsid w:val="125E723D"/>
    <w:rsid w:val="139B6027"/>
    <w:rsid w:val="13D51BD5"/>
    <w:rsid w:val="140018C8"/>
    <w:rsid w:val="14AB0DE0"/>
    <w:rsid w:val="14FFBCB4"/>
    <w:rsid w:val="15F70226"/>
    <w:rsid w:val="166444E5"/>
    <w:rsid w:val="16682E84"/>
    <w:rsid w:val="16C21F74"/>
    <w:rsid w:val="16E21EF5"/>
    <w:rsid w:val="178D7A2D"/>
    <w:rsid w:val="17FBD89A"/>
    <w:rsid w:val="18AD7078"/>
    <w:rsid w:val="18B01C58"/>
    <w:rsid w:val="18C9062F"/>
    <w:rsid w:val="19B34EDA"/>
    <w:rsid w:val="1A105874"/>
    <w:rsid w:val="1A5F56EF"/>
    <w:rsid w:val="1AFA571C"/>
    <w:rsid w:val="1B7E299C"/>
    <w:rsid w:val="1B8E0006"/>
    <w:rsid w:val="1B934A90"/>
    <w:rsid w:val="1C4701E9"/>
    <w:rsid w:val="1CEF7AFF"/>
    <w:rsid w:val="1D1F2F14"/>
    <w:rsid w:val="1D560758"/>
    <w:rsid w:val="1DFF1D43"/>
    <w:rsid w:val="1E0F2EA0"/>
    <w:rsid w:val="1E67DD1C"/>
    <w:rsid w:val="1EB678A8"/>
    <w:rsid w:val="1ECDA81B"/>
    <w:rsid w:val="1F0F68F3"/>
    <w:rsid w:val="1FC06C69"/>
    <w:rsid w:val="1FFB37AD"/>
    <w:rsid w:val="21BC456B"/>
    <w:rsid w:val="21F37904"/>
    <w:rsid w:val="22626666"/>
    <w:rsid w:val="229B4EA4"/>
    <w:rsid w:val="233D5EA2"/>
    <w:rsid w:val="23AF4D60"/>
    <w:rsid w:val="23CD57EE"/>
    <w:rsid w:val="24030B16"/>
    <w:rsid w:val="24D42836"/>
    <w:rsid w:val="25076767"/>
    <w:rsid w:val="25C64EA0"/>
    <w:rsid w:val="269B5307"/>
    <w:rsid w:val="27181BEA"/>
    <w:rsid w:val="272B64D9"/>
    <w:rsid w:val="273209D6"/>
    <w:rsid w:val="27F10261"/>
    <w:rsid w:val="285D49B8"/>
    <w:rsid w:val="28BFC0D3"/>
    <w:rsid w:val="290737CB"/>
    <w:rsid w:val="296D5007"/>
    <w:rsid w:val="2A491A28"/>
    <w:rsid w:val="2BB14C96"/>
    <w:rsid w:val="2BFF29F7"/>
    <w:rsid w:val="2C3F1174"/>
    <w:rsid w:val="2CE35087"/>
    <w:rsid w:val="2D0C6F17"/>
    <w:rsid w:val="2D655860"/>
    <w:rsid w:val="2DE16ACB"/>
    <w:rsid w:val="2E3F560B"/>
    <w:rsid w:val="2E5F6222"/>
    <w:rsid w:val="2E666BF4"/>
    <w:rsid w:val="2EC1207D"/>
    <w:rsid w:val="2F6644D4"/>
    <w:rsid w:val="2FBF961A"/>
    <w:rsid w:val="2FFC70ED"/>
    <w:rsid w:val="2FFE3F02"/>
    <w:rsid w:val="30A819F9"/>
    <w:rsid w:val="30DC13F0"/>
    <w:rsid w:val="318B3899"/>
    <w:rsid w:val="31B9528D"/>
    <w:rsid w:val="31C56625"/>
    <w:rsid w:val="32082898"/>
    <w:rsid w:val="32511AF9"/>
    <w:rsid w:val="32A42C0C"/>
    <w:rsid w:val="32FF0FD7"/>
    <w:rsid w:val="330B5497"/>
    <w:rsid w:val="336B4587"/>
    <w:rsid w:val="33B94F9A"/>
    <w:rsid w:val="33E03A30"/>
    <w:rsid w:val="33FECE27"/>
    <w:rsid w:val="34C45D01"/>
    <w:rsid w:val="357F6D1F"/>
    <w:rsid w:val="35BFD1A5"/>
    <w:rsid w:val="36204947"/>
    <w:rsid w:val="369B66B9"/>
    <w:rsid w:val="36B301DC"/>
    <w:rsid w:val="36CF37F9"/>
    <w:rsid w:val="37046FAB"/>
    <w:rsid w:val="376935FD"/>
    <w:rsid w:val="37F735EE"/>
    <w:rsid w:val="38374BC1"/>
    <w:rsid w:val="385F8DD6"/>
    <w:rsid w:val="38A71675"/>
    <w:rsid w:val="38F13DA3"/>
    <w:rsid w:val="39773891"/>
    <w:rsid w:val="398614B6"/>
    <w:rsid w:val="39997837"/>
    <w:rsid w:val="39A71892"/>
    <w:rsid w:val="39BF0661"/>
    <w:rsid w:val="3A3A6EC8"/>
    <w:rsid w:val="3A6C61A2"/>
    <w:rsid w:val="3AE80991"/>
    <w:rsid w:val="3B8C3A12"/>
    <w:rsid w:val="3BA79E2B"/>
    <w:rsid w:val="3BF7E740"/>
    <w:rsid w:val="3BFCA5C4"/>
    <w:rsid w:val="3BFDCE53"/>
    <w:rsid w:val="3CFE44F8"/>
    <w:rsid w:val="3D712EC0"/>
    <w:rsid w:val="3DEE7706"/>
    <w:rsid w:val="3DFF66EF"/>
    <w:rsid w:val="3E0A2FBF"/>
    <w:rsid w:val="3E265A58"/>
    <w:rsid w:val="3E7FCFC7"/>
    <w:rsid w:val="3E9B1566"/>
    <w:rsid w:val="3EAF4F22"/>
    <w:rsid w:val="3EE272E7"/>
    <w:rsid w:val="3EE8672F"/>
    <w:rsid w:val="3EEF3F14"/>
    <w:rsid w:val="3EFE700C"/>
    <w:rsid w:val="3F3ECA17"/>
    <w:rsid w:val="3F623AE9"/>
    <w:rsid w:val="3F6F6A69"/>
    <w:rsid w:val="3F7BB77D"/>
    <w:rsid w:val="3F963A86"/>
    <w:rsid w:val="3FBE8847"/>
    <w:rsid w:val="3FBF3BDF"/>
    <w:rsid w:val="3FC14755"/>
    <w:rsid w:val="3FDC670A"/>
    <w:rsid w:val="3FFFD9A7"/>
    <w:rsid w:val="40ED15EC"/>
    <w:rsid w:val="41984EBF"/>
    <w:rsid w:val="421507B9"/>
    <w:rsid w:val="437811E1"/>
    <w:rsid w:val="439F4A5A"/>
    <w:rsid w:val="441D6930"/>
    <w:rsid w:val="44C81996"/>
    <w:rsid w:val="45073EE6"/>
    <w:rsid w:val="46593897"/>
    <w:rsid w:val="467C2046"/>
    <w:rsid w:val="471C3EBC"/>
    <w:rsid w:val="472F27C4"/>
    <w:rsid w:val="479E2B03"/>
    <w:rsid w:val="48881682"/>
    <w:rsid w:val="488C03D8"/>
    <w:rsid w:val="48F86D5F"/>
    <w:rsid w:val="490022B5"/>
    <w:rsid w:val="496442AA"/>
    <w:rsid w:val="4B677815"/>
    <w:rsid w:val="4BAD1F7E"/>
    <w:rsid w:val="4BB8BAE2"/>
    <w:rsid w:val="4BBB755F"/>
    <w:rsid w:val="4BC66ACD"/>
    <w:rsid w:val="4BFF3014"/>
    <w:rsid w:val="4C6A5459"/>
    <w:rsid w:val="4CA04E09"/>
    <w:rsid w:val="4DAE7818"/>
    <w:rsid w:val="4DE7197B"/>
    <w:rsid w:val="4E4761EE"/>
    <w:rsid w:val="4E99F08E"/>
    <w:rsid w:val="4F154142"/>
    <w:rsid w:val="4F3C51DF"/>
    <w:rsid w:val="4F6AD247"/>
    <w:rsid w:val="4F73BA5A"/>
    <w:rsid w:val="4F7515D5"/>
    <w:rsid w:val="4FDF5CF8"/>
    <w:rsid w:val="4FFF155C"/>
    <w:rsid w:val="50C653FF"/>
    <w:rsid w:val="50F86043"/>
    <w:rsid w:val="52C80C0F"/>
    <w:rsid w:val="52F7158D"/>
    <w:rsid w:val="53526F66"/>
    <w:rsid w:val="537C90C4"/>
    <w:rsid w:val="542A7AF4"/>
    <w:rsid w:val="54D85973"/>
    <w:rsid w:val="552B1103"/>
    <w:rsid w:val="555D090C"/>
    <w:rsid w:val="557D37EA"/>
    <w:rsid w:val="55BF1D9F"/>
    <w:rsid w:val="55D911AB"/>
    <w:rsid w:val="566505EA"/>
    <w:rsid w:val="56C42563"/>
    <w:rsid w:val="56FD7A8D"/>
    <w:rsid w:val="575C590B"/>
    <w:rsid w:val="57B6FD40"/>
    <w:rsid w:val="57DE7E7E"/>
    <w:rsid w:val="57E66CEB"/>
    <w:rsid w:val="585E5EA8"/>
    <w:rsid w:val="58864113"/>
    <w:rsid w:val="58AE4B70"/>
    <w:rsid w:val="595B8065"/>
    <w:rsid w:val="5A8E37B3"/>
    <w:rsid w:val="5AE05193"/>
    <w:rsid w:val="5B7B4F6A"/>
    <w:rsid w:val="5BC276BB"/>
    <w:rsid w:val="5BE8525E"/>
    <w:rsid w:val="5C4C72F8"/>
    <w:rsid w:val="5CC4362B"/>
    <w:rsid w:val="5D5A43F9"/>
    <w:rsid w:val="5D9D5307"/>
    <w:rsid w:val="5DD4400C"/>
    <w:rsid w:val="5DD62E45"/>
    <w:rsid w:val="5DDF1BDE"/>
    <w:rsid w:val="5DEC3B1C"/>
    <w:rsid w:val="5DF8926D"/>
    <w:rsid w:val="5DFBD9AC"/>
    <w:rsid w:val="5DFD2CC7"/>
    <w:rsid w:val="5E4F2952"/>
    <w:rsid w:val="5E6BCE2B"/>
    <w:rsid w:val="5EAA0736"/>
    <w:rsid w:val="5F5FE55A"/>
    <w:rsid w:val="5F9E0967"/>
    <w:rsid w:val="5FA665A1"/>
    <w:rsid w:val="5FCFEE3A"/>
    <w:rsid w:val="5FF76B49"/>
    <w:rsid w:val="5FFE70AB"/>
    <w:rsid w:val="5FFF29A0"/>
    <w:rsid w:val="5FFFD620"/>
    <w:rsid w:val="605E3B83"/>
    <w:rsid w:val="607A115F"/>
    <w:rsid w:val="60D24D28"/>
    <w:rsid w:val="60D7582D"/>
    <w:rsid w:val="61A92379"/>
    <w:rsid w:val="61C75219"/>
    <w:rsid w:val="62CE653B"/>
    <w:rsid w:val="63147812"/>
    <w:rsid w:val="633A597E"/>
    <w:rsid w:val="638E2F9A"/>
    <w:rsid w:val="63CA2D41"/>
    <w:rsid w:val="63FFC14B"/>
    <w:rsid w:val="64C20DA1"/>
    <w:rsid w:val="656B2C0F"/>
    <w:rsid w:val="65F3001F"/>
    <w:rsid w:val="668E4404"/>
    <w:rsid w:val="66B6356E"/>
    <w:rsid w:val="6773320D"/>
    <w:rsid w:val="67BFEED4"/>
    <w:rsid w:val="67FE0386"/>
    <w:rsid w:val="680D4581"/>
    <w:rsid w:val="68741084"/>
    <w:rsid w:val="68854635"/>
    <w:rsid w:val="68893F2D"/>
    <w:rsid w:val="689A35A9"/>
    <w:rsid w:val="68C77CB4"/>
    <w:rsid w:val="68D514B6"/>
    <w:rsid w:val="694D4A5C"/>
    <w:rsid w:val="69ADC3CA"/>
    <w:rsid w:val="69E63132"/>
    <w:rsid w:val="6A8D33AE"/>
    <w:rsid w:val="6AA11D0E"/>
    <w:rsid w:val="6AAF546A"/>
    <w:rsid w:val="6AD95A7D"/>
    <w:rsid w:val="6AF07553"/>
    <w:rsid w:val="6AFE6FCF"/>
    <w:rsid w:val="6BCE353E"/>
    <w:rsid w:val="6C152415"/>
    <w:rsid w:val="6C2B67AC"/>
    <w:rsid w:val="6C766A60"/>
    <w:rsid w:val="6D950D62"/>
    <w:rsid w:val="6DBADF7B"/>
    <w:rsid w:val="6DFBF84E"/>
    <w:rsid w:val="6EEF71D7"/>
    <w:rsid w:val="6F1E43EE"/>
    <w:rsid w:val="6FA78092"/>
    <w:rsid w:val="6FDF0D2D"/>
    <w:rsid w:val="6FDF1C5A"/>
    <w:rsid w:val="6FFA9082"/>
    <w:rsid w:val="6FFB7EB8"/>
    <w:rsid w:val="6FFD57F8"/>
    <w:rsid w:val="6FFDA936"/>
    <w:rsid w:val="704A0180"/>
    <w:rsid w:val="7080699B"/>
    <w:rsid w:val="70873342"/>
    <w:rsid w:val="71A7C602"/>
    <w:rsid w:val="71BAB171"/>
    <w:rsid w:val="71DF65B7"/>
    <w:rsid w:val="71F96A05"/>
    <w:rsid w:val="72165809"/>
    <w:rsid w:val="721C5CB0"/>
    <w:rsid w:val="7225577E"/>
    <w:rsid w:val="722E4900"/>
    <w:rsid w:val="72347001"/>
    <w:rsid w:val="727F4619"/>
    <w:rsid w:val="72CF05C0"/>
    <w:rsid w:val="72EFA266"/>
    <w:rsid w:val="72FB1BB1"/>
    <w:rsid w:val="73294DF4"/>
    <w:rsid w:val="735D048D"/>
    <w:rsid w:val="736F5699"/>
    <w:rsid w:val="73E3171A"/>
    <w:rsid w:val="73F500AF"/>
    <w:rsid w:val="74073271"/>
    <w:rsid w:val="74485636"/>
    <w:rsid w:val="747358D4"/>
    <w:rsid w:val="7477AED0"/>
    <w:rsid w:val="750E01A7"/>
    <w:rsid w:val="756CC143"/>
    <w:rsid w:val="75FD574A"/>
    <w:rsid w:val="763C7E2C"/>
    <w:rsid w:val="7676061A"/>
    <w:rsid w:val="76FE3577"/>
    <w:rsid w:val="76FE3C64"/>
    <w:rsid w:val="76FFB310"/>
    <w:rsid w:val="770D7413"/>
    <w:rsid w:val="777FABAC"/>
    <w:rsid w:val="7793D27B"/>
    <w:rsid w:val="77DF6FE0"/>
    <w:rsid w:val="77ECDCEB"/>
    <w:rsid w:val="77F9064B"/>
    <w:rsid w:val="77FE0438"/>
    <w:rsid w:val="77FF886A"/>
    <w:rsid w:val="77FF8E17"/>
    <w:rsid w:val="77FFE023"/>
    <w:rsid w:val="78174088"/>
    <w:rsid w:val="797FD2DD"/>
    <w:rsid w:val="799565DD"/>
    <w:rsid w:val="799ED248"/>
    <w:rsid w:val="79CD4CC5"/>
    <w:rsid w:val="79FD8F65"/>
    <w:rsid w:val="79FF7ACA"/>
    <w:rsid w:val="7A739C96"/>
    <w:rsid w:val="7AAD458A"/>
    <w:rsid w:val="7AD02CDB"/>
    <w:rsid w:val="7AF3519D"/>
    <w:rsid w:val="7AFB17E4"/>
    <w:rsid w:val="7AFD1D6F"/>
    <w:rsid w:val="7AFE4113"/>
    <w:rsid w:val="7B6F5A33"/>
    <w:rsid w:val="7B97E8A8"/>
    <w:rsid w:val="7BBF4F6B"/>
    <w:rsid w:val="7BD20B32"/>
    <w:rsid w:val="7BDBDD8A"/>
    <w:rsid w:val="7BEFFD9D"/>
    <w:rsid w:val="7BF12629"/>
    <w:rsid w:val="7BF6F828"/>
    <w:rsid w:val="7BFA6227"/>
    <w:rsid w:val="7BFF38C0"/>
    <w:rsid w:val="7C117A70"/>
    <w:rsid w:val="7CB77AAF"/>
    <w:rsid w:val="7CD97B5E"/>
    <w:rsid w:val="7CED0551"/>
    <w:rsid w:val="7CF1862F"/>
    <w:rsid w:val="7CF44204"/>
    <w:rsid w:val="7CFFD2D2"/>
    <w:rsid w:val="7D1666BD"/>
    <w:rsid w:val="7D7718A6"/>
    <w:rsid w:val="7D7F5523"/>
    <w:rsid w:val="7D8DC619"/>
    <w:rsid w:val="7DBAF671"/>
    <w:rsid w:val="7DD7ABA4"/>
    <w:rsid w:val="7DE33FD1"/>
    <w:rsid w:val="7DEFF4EB"/>
    <w:rsid w:val="7DF51FB5"/>
    <w:rsid w:val="7DFFFD40"/>
    <w:rsid w:val="7E5BFDF2"/>
    <w:rsid w:val="7E9F61D5"/>
    <w:rsid w:val="7EEF7F2C"/>
    <w:rsid w:val="7EF4FA2E"/>
    <w:rsid w:val="7EFFC9B9"/>
    <w:rsid w:val="7F080287"/>
    <w:rsid w:val="7F3799FA"/>
    <w:rsid w:val="7F6F1214"/>
    <w:rsid w:val="7F7678E7"/>
    <w:rsid w:val="7FA2692E"/>
    <w:rsid w:val="7FAA261F"/>
    <w:rsid w:val="7FB39C2E"/>
    <w:rsid w:val="7FBE89A6"/>
    <w:rsid w:val="7FCA69AA"/>
    <w:rsid w:val="7FCA9B37"/>
    <w:rsid w:val="7FDA91FC"/>
    <w:rsid w:val="7FDE40FA"/>
    <w:rsid w:val="7FEECD51"/>
    <w:rsid w:val="7FEF4580"/>
    <w:rsid w:val="7FF4A15C"/>
    <w:rsid w:val="7FF78D11"/>
    <w:rsid w:val="7FF7A026"/>
    <w:rsid w:val="7FF7F960"/>
    <w:rsid w:val="7FF96F0E"/>
    <w:rsid w:val="7FF9773A"/>
    <w:rsid w:val="7FFA761B"/>
    <w:rsid w:val="7FFB8033"/>
    <w:rsid w:val="7FFD21C7"/>
    <w:rsid w:val="7FFDD087"/>
    <w:rsid w:val="7FFF3DC9"/>
    <w:rsid w:val="7FFF8B41"/>
    <w:rsid w:val="875FA0DC"/>
    <w:rsid w:val="8DFB4CF0"/>
    <w:rsid w:val="8EFF34C9"/>
    <w:rsid w:val="8F3F7E1C"/>
    <w:rsid w:val="90EAA3ED"/>
    <w:rsid w:val="97A50CE2"/>
    <w:rsid w:val="9BFFCBD4"/>
    <w:rsid w:val="9E8BE334"/>
    <w:rsid w:val="9EB73F39"/>
    <w:rsid w:val="9FCFADAE"/>
    <w:rsid w:val="A67F4823"/>
    <w:rsid w:val="A7B671F5"/>
    <w:rsid w:val="A997B50D"/>
    <w:rsid w:val="A9ABFC4B"/>
    <w:rsid w:val="A9E304CB"/>
    <w:rsid w:val="ABFBC47C"/>
    <w:rsid w:val="AF6FD951"/>
    <w:rsid w:val="AFDBF3D1"/>
    <w:rsid w:val="AFFD0772"/>
    <w:rsid w:val="AFFDFA3F"/>
    <w:rsid w:val="B2DEEC72"/>
    <w:rsid w:val="B38AB1F8"/>
    <w:rsid w:val="B53835AA"/>
    <w:rsid w:val="B6FB52DB"/>
    <w:rsid w:val="B77D8899"/>
    <w:rsid w:val="B7CBBD76"/>
    <w:rsid w:val="B8E6F598"/>
    <w:rsid w:val="BAEEF70B"/>
    <w:rsid w:val="BB6E6E3B"/>
    <w:rsid w:val="BDDF3FA3"/>
    <w:rsid w:val="BEB779BB"/>
    <w:rsid w:val="BEBCF7C6"/>
    <w:rsid w:val="BEDF28B7"/>
    <w:rsid w:val="BEF1F48C"/>
    <w:rsid w:val="BEFF526A"/>
    <w:rsid w:val="BEFF8FB3"/>
    <w:rsid w:val="BF5F0EF1"/>
    <w:rsid w:val="BF7F049B"/>
    <w:rsid w:val="BFAD58FF"/>
    <w:rsid w:val="BFCFE01B"/>
    <w:rsid w:val="BFEFB51A"/>
    <w:rsid w:val="BFF3F400"/>
    <w:rsid w:val="BFF5B4DB"/>
    <w:rsid w:val="BFF710B6"/>
    <w:rsid w:val="BFFF0A3F"/>
    <w:rsid w:val="BFFF44AC"/>
    <w:rsid w:val="BFFFB7CB"/>
    <w:rsid w:val="C48FE7A1"/>
    <w:rsid w:val="C7ADAD5B"/>
    <w:rsid w:val="CCEF854B"/>
    <w:rsid w:val="CF7D346B"/>
    <w:rsid w:val="CFD92F30"/>
    <w:rsid w:val="CFFDABEB"/>
    <w:rsid w:val="CFFEFB81"/>
    <w:rsid w:val="D134B35B"/>
    <w:rsid w:val="D1EFEA86"/>
    <w:rsid w:val="D2FF73F9"/>
    <w:rsid w:val="D35584ED"/>
    <w:rsid w:val="D4799F6F"/>
    <w:rsid w:val="D6D7AE73"/>
    <w:rsid w:val="D7FD2132"/>
    <w:rsid w:val="D8FFE4EC"/>
    <w:rsid w:val="DAFCF720"/>
    <w:rsid w:val="DB798F53"/>
    <w:rsid w:val="DB7F5730"/>
    <w:rsid w:val="DBBD055F"/>
    <w:rsid w:val="DBBD61FC"/>
    <w:rsid w:val="DBE700B5"/>
    <w:rsid w:val="DBEF9282"/>
    <w:rsid w:val="DCFF1D41"/>
    <w:rsid w:val="DD4F91E9"/>
    <w:rsid w:val="DD793BE6"/>
    <w:rsid w:val="DDDF0173"/>
    <w:rsid w:val="DDF249B0"/>
    <w:rsid w:val="DDF31111"/>
    <w:rsid w:val="DDF45E94"/>
    <w:rsid w:val="DDF59B48"/>
    <w:rsid w:val="DE65D0BB"/>
    <w:rsid w:val="DEDF2F32"/>
    <w:rsid w:val="DEFE6D45"/>
    <w:rsid w:val="DF3ECF63"/>
    <w:rsid w:val="DF7D2F8F"/>
    <w:rsid w:val="DF8FE072"/>
    <w:rsid w:val="DFAD373F"/>
    <w:rsid w:val="DFB41D04"/>
    <w:rsid w:val="DFFBCEC5"/>
    <w:rsid w:val="DFFD1344"/>
    <w:rsid w:val="DFFF9A42"/>
    <w:rsid w:val="E2DD9250"/>
    <w:rsid w:val="E3745E4F"/>
    <w:rsid w:val="E5FF49E5"/>
    <w:rsid w:val="E6DE517B"/>
    <w:rsid w:val="E7234B21"/>
    <w:rsid w:val="E7AEF89F"/>
    <w:rsid w:val="E7E788EE"/>
    <w:rsid w:val="E91F908A"/>
    <w:rsid w:val="E9C3FBED"/>
    <w:rsid w:val="EBA73AAA"/>
    <w:rsid w:val="EBBFAA55"/>
    <w:rsid w:val="EBED28B3"/>
    <w:rsid w:val="EBF77A90"/>
    <w:rsid w:val="EBFD8E6D"/>
    <w:rsid w:val="ECFE8E86"/>
    <w:rsid w:val="EDF762F7"/>
    <w:rsid w:val="EDF78B1E"/>
    <w:rsid w:val="EDFDC6A7"/>
    <w:rsid w:val="EDFEB288"/>
    <w:rsid w:val="EE98F73C"/>
    <w:rsid w:val="EF7B3503"/>
    <w:rsid w:val="EF97A6FC"/>
    <w:rsid w:val="EFB76D0E"/>
    <w:rsid w:val="EFBBD61B"/>
    <w:rsid w:val="EFCF66F5"/>
    <w:rsid w:val="EFDFEDE2"/>
    <w:rsid w:val="EFE57B0C"/>
    <w:rsid w:val="F21BC94A"/>
    <w:rsid w:val="F3BF3765"/>
    <w:rsid w:val="F49738DE"/>
    <w:rsid w:val="F5750C4F"/>
    <w:rsid w:val="F59F9753"/>
    <w:rsid w:val="F5BD84A3"/>
    <w:rsid w:val="F5D6E0DF"/>
    <w:rsid w:val="F5DDC6D0"/>
    <w:rsid w:val="F5FDBE6E"/>
    <w:rsid w:val="F6B6C557"/>
    <w:rsid w:val="F6BFE96B"/>
    <w:rsid w:val="F6FB96A2"/>
    <w:rsid w:val="F777FE5A"/>
    <w:rsid w:val="F77E3DEC"/>
    <w:rsid w:val="F79FEE2A"/>
    <w:rsid w:val="F7ABAED5"/>
    <w:rsid w:val="FABEBCFD"/>
    <w:rsid w:val="FAFD8D07"/>
    <w:rsid w:val="FAFF24AE"/>
    <w:rsid w:val="FB77CDC5"/>
    <w:rsid w:val="FB77EDC2"/>
    <w:rsid w:val="FBAFE942"/>
    <w:rsid w:val="FBB7C91F"/>
    <w:rsid w:val="FBBD0781"/>
    <w:rsid w:val="FBD6B26B"/>
    <w:rsid w:val="FBDFFBD3"/>
    <w:rsid w:val="FBF5FB43"/>
    <w:rsid w:val="FBFC9480"/>
    <w:rsid w:val="FCF7B49B"/>
    <w:rsid w:val="FD744C87"/>
    <w:rsid w:val="FD7CE035"/>
    <w:rsid w:val="FD7F701D"/>
    <w:rsid w:val="FDADCE62"/>
    <w:rsid w:val="FDB6B5E9"/>
    <w:rsid w:val="FDF7E712"/>
    <w:rsid w:val="FDFF686A"/>
    <w:rsid w:val="FDFFA134"/>
    <w:rsid w:val="FDFFB48E"/>
    <w:rsid w:val="FDFFDE4F"/>
    <w:rsid w:val="FDFFEF3A"/>
    <w:rsid w:val="FDFFFC12"/>
    <w:rsid w:val="FE6E0BF0"/>
    <w:rsid w:val="FECE23BB"/>
    <w:rsid w:val="FEDA3B3E"/>
    <w:rsid w:val="FEDD250E"/>
    <w:rsid w:val="FEFB62E5"/>
    <w:rsid w:val="FEFDBCDE"/>
    <w:rsid w:val="FF1B89B6"/>
    <w:rsid w:val="FF1EB8EF"/>
    <w:rsid w:val="FF3E15A5"/>
    <w:rsid w:val="FF5F3AD9"/>
    <w:rsid w:val="FF6D870D"/>
    <w:rsid w:val="FF6F061A"/>
    <w:rsid w:val="FF7E4F7D"/>
    <w:rsid w:val="FF7E6DA2"/>
    <w:rsid w:val="FF7EECE4"/>
    <w:rsid w:val="FF7F16B7"/>
    <w:rsid w:val="FF7FD9E6"/>
    <w:rsid w:val="FF8CFA31"/>
    <w:rsid w:val="FF9D3053"/>
    <w:rsid w:val="FFBBDB3F"/>
    <w:rsid w:val="FFBF17B8"/>
    <w:rsid w:val="FFC7081A"/>
    <w:rsid w:val="FFCB0FFA"/>
    <w:rsid w:val="FFDF55FD"/>
    <w:rsid w:val="FFEB1640"/>
    <w:rsid w:val="FFECEF5F"/>
    <w:rsid w:val="FFEE15CF"/>
    <w:rsid w:val="FFEE1D42"/>
    <w:rsid w:val="FFEE701C"/>
    <w:rsid w:val="FFF73912"/>
    <w:rsid w:val="FFF94285"/>
    <w:rsid w:val="FFFA6BD6"/>
    <w:rsid w:val="FFFB7022"/>
    <w:rsid w:val="FFFC661F"/>
    <w:rsid w:val="FFFD6AE8"/>
    <w:rsid w:val="FFFF63AE"/>
    <w:rsid w:val="FFFF6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Pages>
  <Words>617</Words>
  <Characters>3520</Characters>
  <Lines>29</Lines>
  <Paragraphs>8</Paragraphs>
  <TotalTime>0</TotalTime>
  <ScaleCrop>false</ScaleCrop>
  <LinksUpToDate>false</LinksUpToDate>
  <CharactersWithSpaces>4129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2021-05-20T11:42:00Z</dcterms:created>
  <dc:creator>xb21cn</dc:creator>
  <cp:lastModifiedBy>YSK305</cp:lastModifiedBy>
  <cp:lastPrinted>2024-08-17T18:06:00Z</cp:lastPrinted>
  <dcterms:modified xsi:type="dcterms:W3CDTF">2024-11-19T15:40:16Z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EF264DEF4852699E0EE8F062AD9C62BB</vt:lpwstr>
  </property>
</Properties>
</file>