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5283C">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0" w:name="_Toc1943436483_WPSOffice_Level1"/>
      <w:bookmarkStart w:id="1" w:name="_Toc675207575_WPSOffice_Level1"/>
      <w:bookmarkStart w:id="2" w:name="_Toc428459867_WPSOffice_Level1"/>
      <w:bookmarkStart w:id="3" w:name="_Toc724883321_WPSOffice_Level1"/>
      <w:bookmarkStart w:id="4" w:name="_Toc933355002_WPSOffice_Level1"/>
      <w:bookmarkStart w:id="5" w:name="_Toc135442652_WPSOffice_Level1"/>
      <w:bookmarkStart w:id="6" w:name="_Toc1651683302_WPSOffice_Level1"/>
      <w:r>
        <w:rPr>
          <w:rFonts w:hint="eastAsia" w:ascii="方正小标宋简体" w:hAnsi="方正小标宋简体" w:eastAsia="方正小标宋简体" w:cs="方正小标宋简体"/>
          <w:color w:val="auto"/>
          <w:sz w:val="44"/>
          <w:szCs w:val="44"/>
          <w:lang w:eastAsia="zh-CN"/>
        </w:rPr>
        <w:t>松木经开区湖南湘硕化工有限公司</w:t>
      </w:r>
    </w:p>
    <w:p w14:paraId="615D0693">
      <w:pPr>
        <w:spacing w:line="590" w:lineRule="exact"/>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lang w:val="en-US" w:eastAsia="zh-CN"/>
        </w:rPr>
        <w:t>7·30</w:t>
      </w:r>
      <w:r>
        <w:rPr>
          <w:rFonts w:hint="eastAsia" w:ascii="方正小标宋简体" w:hAnsi="方正小标宋简体" w:eastAsia="方正小标宋简体" w:cs="方正小标宋简体"/>
          <w:color w:val="auto"/>
          <w:sz w:val="44"/>
          <w:szCs w:val="44"/>
          <w:lang w:eastAsia="zh-CN"/>
        </w:rPr>
        <w:t>”一般爆炸事故调查报告</w:t>
      </w:r>
      <w:bookmarkEnd w:id="0"/>
      <w:bookmarkEnd w:id="1"/>
      <w:bookmarkEnd w:id="2"/>
      <w:bookmarkEnd w:id="3"/>
      <w:bookmarkEnd w:id="4"/>
      <w:bookmarkEnd w:id="5"/>
      <w:bookmarkEnd w:id="6"/>
    </w:p>
    <w:p w14:paraId="2DD5F514">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仿宋" w:cs="方正小标宋简体"/>
          <w:color w:val="auto"/>
          <w:sz w:val="44"/>
          <w:szCs w:val="44"/>
          <w:lang w:eastAsia="zh-CN"/>
        </w:rPr>
      </w:pPr>
    </w:p>
    <w:p w14:paraId="3971D37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ascii="仿宋" w:hAnsi="仿宋" w:eastAsia="仿宋" w:cs="仿宋"/>
          <w:color w:val="auto"/>
          <w:kern w:val="1"/>
          <w:sz w:val="32"/>
          <w:szCs w:val="32"/>
        </w:rPr>
        <w:t>2024年7月30日11时 59分</w:t>
      </w:r>
      <w:r>
        <w:rPr>
          <w:rFonts w:hint="eastAsia" w:eastAsia="仿宋"/>
          <w:color w:val="auto"/>
          <w:sz w:val="32"/>
          <w:szCs w:val="32"/>
        </w:rPr>
        <w:t>，</w:t>
      </w:r>
      <w:bookmarkStart w:id="7" w:name="OLE_LINK22"/>
      <w:bookmarkStart w:id="8" w:name="OLE_LINK34"/>
      <w:r>
        <w:rPr>
          <w:rFonts w:hint="eastAsia" w:eastAsia="仿宋"/>
          <w:color w:val="auto"/>
          <w:sz w:val="32"/>
          <w:szCs w:val="32"/>
        </w:rPr>
        <w:t>衡阳市</w:t>
      </w:r>
      <w:r>
        <w:rPr>
          <w:rFonts w:hint="eastAsia" w:ascii="Times New Roman" w:hAnsi="Times New Roman" w:eastAsia="仿宋" w:cs="Times New Roman"/>
          <w:color w:val="auto"/>
          <w:sz w:val="32"/>
          <w:szCs w:val="32"/>
          <w:lang w:eastAsia="zh-CN"/>
        </w:rPr>
        <w:t>松木经开区湖南湘硕化工有限公司</w:t>
      </w:r>
      <w:r>
        <w:rPr>
          <w:rFonts w:hint="eastAsia" w:ascii="仿宋" w:hAnsi="仿宋" w:eastAsia="仿宋" w:cs="仿宋"/>
          <w:color w:val="auto"/>
          <w:kern w:val="1"/>
          <w:sz w:val="32"/>
          <w:szCs w:val="32"/>
        </w:rPr>
        <w:t>三氮唑一车间蒸发装置</w:t>
      </w:r>
      <w:r>
        <w:rPr>
          <w:rFonts w:hint="eastAsia" w:ascii="仿宋" w:hAnsi="仿宋" w:eastAsia="仿宋" w:cs="仿宋"/>
          <w:color w:val="auto"/>
          <w:kern w:val="1"/>
          <w:sz w:val="32"/>
          <w:szCs w:val="32"/>
          <w:lang w:eastAsia="zh-CN"/>
        </w:rPr>
        <w:t>，</w:t>
      </w:r>
      <w:r>
        <w:rPr>
          <w:rFonts w:hint="eastAsia" w:eastAsia="仿宋"/>
          <w:color w:val="auto"/>
          <w:sz w:val="32"/>
          <w:szCs w:val="32"/>
        </w:rPr>
        <w:t>发生一起</w:t>
      </w:r>
      <w:r>
        <w:rPr>
          <w:rFonts w:hint="eastAsia" w:eastAsia="仿宋"/>
          <w:color w:val="auto"/>
          <w:sz w:val="32"/>
          <w:szCs w:val="32"/>
          <w:lang w:eastAsia="zh-CN"/>
        </w:rPr>
        <w:t>容器爆炸</w:t>
      </w:r>
      <w:r>
        <w:rPr>
          <w:rFonts w:hint="eastAsia" w:eastAsia="仿宋"/>
          <w:color w:val="auto"/>
          <w:sz w:val="32"/>
          <w:szCs w:val="32"/>
        </w:rPr>
        <w:t>事故，造成</w:t>
      </w:r>
      <w:r>
        <w:rPr>
          <w:rFonts w:hint="eastAsia" w:ascii="Times New Roman" w:hAnsi="Times New Roman" w:eastAsia="仿宋" w:cs="Times New Roman"/>
          <w:color w:val="auto"/>
          <w:sz w:val="32"/>
          <w:szCs w:val="30"/>
          <w:lang w:val="en-US" w:eastAsia="zh-CN"/>
        </w:rPr>
        <w:t>2人死亡、1人受伤</w:t>
      </w:r>
      <w:r>
        <w:rPr>
          <w:rFonts w:hint="eastAsia" w:eastAsia="仿宋"/>
          <w:color w:val="auto"/>
          <w:sz w:val="32"/>
          <w:szCs w:val="32"/>
        </w:rPr>
        <w:t>，直接经济损失</w:t>
      </w:r>
      <w:r>
        <w:rPr>
          <w:rFonts w:hint="eastAsia" w:ascii="Times New Roman" w:hAnsi="Times New Roman" w:eastAsia="仿宋" w:cs="Times New Roman"/>
          <w:color w:val="auto"/>
          <w:sz w:val="32"/>
          <w:szCs w:val="32"/>
          <w:lang w:val="en-US" w:eastAsia="zh-CN"/>
        </w:rPr>
        <w:t>455</w:t>
      </w:r>
      <w:r>
        <w:rPr>
          <w:rFonts w:hint="eastAsia" w:ascii="Times New Roman" w:hAnsi="Times New Roman" w:eastAsia="仿宋" w:cs="Times New Roman"/>
          <w:color w:val="auto"/>
          <w:sz w:val="32"/>
          <w:szCs w:val="32"/>
        </w:rPr>
        <w:t>万元</w:t>
      </w:r>
      <w:r>
        <w:rPr>
          <w:rFonts w:hint="eastAsia" w:eastAsia="仿宋"/>
          <w:color w:val="auto"/>
          <w:sz w:val="32"/>
          <w:szCs w:val="32"/>
        </w:rPr>
        <w:t>。</w:t>
      </w:r>
      <w:bookmarkEnd w:id="7"/>
      <w:bookmarkEnd w:id="8"/>
    </w:p>
    <w:p w14:paraId="2A99EE5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kern w:val="0"/>
          <w:sz w:val="32"/>
          <w:szCs w:val="32"/>
        </w:rPr>
        <w:t>事故发生</w:t>
      </w:r>
      <w:r>
        <w:rPr>
          <w:rFonts w:hint="eastAsia" w:ascii="仿宋" w:hAnsi="仿宋" w:eastAsia="仿宋"/>
          <w:kern w:val="0"/>
          <w:sz w:val="32"/>
          <w:szCs w:val="32"/>
          <w:lang w:val="en"/>
        </w:rPr>
        <w:t>后</w:t>
      </w:r>
      <w:r>
        <w:rPr>
          <w:rFonts w:ascii="仿宋" w:hAnsi="仿宋" w:eastAsia="仿宋"/>
          <w:kern w:val="0"/>
          <w:sz w:val="32"/>
          <w:szCs w:val="32"/>
          <w:lang w:val="en"/>
        </w:rPr>
        <w:t>,</w:t>
      </w:r>
      <w:r>
        <w:rPr>
          <w:rFonts w:hint="eastAsia" w:ascii="仿宋" w:hAnsi="仿宋" w:eastAsia="仿宋"/>
          <w:kern w:val="0"/>
          <w:sz w:val="32"/>
          <w:szCs w:val="32"/>
        </w:rPr>
        <w:t>省、市领导高度重视，</w:t>
      </w:r>
      <w:r>
        <w:rPr>
          <w:rFonts w:hint="eastAsia" w:eastAsia="仿宋"/>
          <w:sz w:val="32"/>
          <w:szCs w:val="30"/>
        </w:rPr>
        <w:t>省安办下发《关于生产安全事故调查处理挂牌督办的通知书》（湘安办函</w:t>
      </w:r>
      <w:r>
        <w:rPr>
          <w:rFonts w:hint="eastAsia" w:ascii="Times New Roman" w:hAnsi="Times New Roman" w:eastAsia="仿宋_GB2312" w:cs="Times New Roman"/>
          <w:sz w:val="32"/>
          <w:szCs w:val="32"/>
          <w:lang w:val="en-US" w:eastAsia="zh-CN"/>
        </w:rPr>
        <w:t>〔2024〕</w:t>
      </w:r>
      <w:r>
        <w:rPr>
          <w:rFonts w:hint="eastAsia" w:eastAsia="仿宋"/>
          <w:sz w:val="32"/>
          <w:szCs w:val="30"/>
          <w:lang w:val="en-US" w:eastAsia="zh-CN"/>
        </w:rPr>
        <w:t>276</w:t>
      </w:r>
      <w:r>
        <w:rPr>
          <w:rFonts w:hint="eastAsia" w:eastAsia="仿宋"/>
          <w:sz w:val="32"/>
          <w:szCs w:val="30"/>
        </w:rPr>
        <w:t>号），要求彻查事故原因</w:t>
      </w:r>
      <w:r>
        <w:rPr>
          <w:rFonts w:hint="eastAsia" w:eastAsia="仿宋"/>
          <w:sz w:val="32"/>
          <w:szCs w:val="30"/>
          <w:lang w:eastAsia="zh-CN"/>
        </w:rPr>
        <w:t>、性质和责任，</w:t>
      </w:r>
      <w:r>
        <w:rPr>
          <w:rFonts w:hint="eastAsia" w:eastAsia="仿宋"/>
          <w:sz w:val="32"/>
          <w:szCs w:val="30"/>
        </w:rPr>
        <w:t>并依法严肃处理，举一反三，防止</w:t>
      </w:r>
      <w:r>
        <w:rPr>
          <w:rFonts w:hint="eastAsia" w:ascii="仿宋" w:hAnsi="仿宋" w:eastAsia="仿宋"/>
          <w:kern w:val="0"/>
          <w:sz w:val="32"/>
          <w:szCs w:val="32"/>
        </w:rPr>
        <w:t>类似事故发生。</w:t>
      </w:r>
      <w:r>
        <w:rPr>
          <w:rFonts w:hint="eastAsia" w:eastAsia="仿宋"/>
          <w:color w:val="auto"/>
          <w:sz w:val="32"/>
          <w:szCs w:val="32"/>
        </w:rPr>
        <w:t>根据《中华人民共</w:t>
      </w:r>
      <w:bookmarkStart w:id="132" w:name="_GoBack"/>
      <w:bookmarkEnd w:id="132"/>
      <w:r>
        <w:rPr>
          <w:rFonts w:hint="eastAsia" w:eastAsia="仿宋"/>
          <w:color w:val="auto"/>
          <w:sz w:val="32"/>
          <w:szCs w:val="32"/>
        </w:rPr>
        <w:t>和国安全生产法》、《生产安全事故报告和调查处理条例》（国务院第493号令）和《湖南省生产安全事故调查处理办法》（湘政发〔2022〕9号）等有关规定，经衡阳市人民政府批准同意，成立了由</w:t>
      </w:r>
      <w:r>
        <w:rPr>
          <w:rFonts w:hint="eastAsia" w:ascii="Times New Roman" w:hAnsi="Times New Roman" w:eastAsia="仿宋" w:cs="Times New Roman"/>
          <w:color w:val="auto"/>
          <w:sz w:val="32"/>
          <w:szCs w:val="30"/>
          <w:lang w:val="en-US" w:eastAsia="zh-CN"/>
        </w:rPr>
        <w:t>市应急局、市总工会、市公安局、</w:t>
      </w:r>
      <w:r>
        <w:rPr>
          <w:rFonts w:hint="eastAsia" w:eastAsia="仿宋" w:cs="Times New Roman"/>
          <w:color w:val="auto"/>
          <w:sz w:val="32"/>
          <w:szCs w:val="30"/>
          <w:lang w:val="en-US" w:eastAsia="zh-CN"/>
        </w:rPr>
        <w:t>市消防救援支队、市市场监管局及松木经开区管委会</w:t>
      </w:r>
      <w:r>
        <w:rPr>
          <w:rFonts w:hint="eastAsia" w:eastAsia="仿宋"/>
          <w:color w:val="auto"/>
          <w:sz w:val="32"/>
          <w:szCs w:val="32"/>
        </w:rPr>
        <w:t>等单位组成的</w:t>
      </w:r>
      <w:r>
        <w:rPr>
          <w:rFonts w:hint="eastAsia" w:ascii="仿宋" w:hAnsi="仿宋" w:eastAsia="仿宋" w:cs="仿宋"/>
          <w:color w:val="auto"/>
          <w:kern w:val="1"/>
          <w:sz w:val="32"/>
          <w:szCs w:val="32"/>
          <w:lang w:eastAsia="zh-CN"/>
        </w:rPr>
        <w:t>松木经开区湖南湘硕化工有限公司</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7·30</w:t>
      </w:r>
      <w:r>
        <w:rPr>
          <w:rFonts w:hint="eastAsia" w:ascii="仿宋" w:hAnsi="仿宋" w:eastAsia="仿宋" w:cs="仿宋"/>
          <w:color w:val="auto"/>
          <w:kern w:val="1"/>
          <w:sz w:val="32"/>
          <w:szCs w:val="32"/>
        </w:rPr>
        <w:t>”一般</w:t>
      </w:r>
      <w:r>
        <w:rPr>
          <w:rFonts w:hint="eastAsia" w:ascii="仿宋" w:hAnsi="仿宋" w:eastAsia="仿宋" w:cs="仿宋"/>
          <w:color w:val="auto"/>
          <w:kern w:val="1"/>
          <w:sz w:val="32"/>
          <w:szCs w:val="32"/>
          <w:lang w:eastAsia="zh-CN"/>
        </w:rPr>
        <w:t>爆炸</w:t>
      </w:r>
      <w:r>
        <w:rPr>
          <w:rFonts w:hint="eastAsia" w:ascii="仿宋" w:hAnsi="仿宋" w:eastAsia="仿宋" w:cs="仿宋"/>
          <w:color w:val="auto"/>
          <w:kern w:val="1"/>
          <w:sz w:val="32"/>
          <w:szCs w:val="32"/>
        </w:rPr>
        <w:t>事故</w:t>
      </w:r>
      <w:r>
        <w:rPr>
          <w:rFonts w:hint="eastAsia" w:ascii="仿宋" w:hAnsi="仿宋" w:eastAsia="仿宋" w:cs="仿宋"/>
          <w:color w:val="auto"/>
          <w:kern w:val="1"/>
          <w:sz w:val="32"/>
          <w:szCs w:val="32"/>
          <w:lang w:eastAsia="zh-CN"/>
        </w:rPr>
        <w:t>调查组</w:t>
      </w:r>
      <w:r>
        <w:rPr>
          <w:rFonts w:hint="eastAsia" w:eastAsia="仿宋"/>
          <w:color w:val="auto"/>
          <w:sz w:val="32"/>
          <w:szCs w:val="32"/>
        </w:rPr>
        <w:t>（简称“事故调查组”），对该事故开展调查。</w:t>
      </w:r>
    </w:p>
    <w:p w14:paraId="32D4B5B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eastAsia="仿宋"/>
          <w:color w:val="auto"/>
          <w:sz w:val="32"/>
          <w:szCs w:val="32"/>
        </w:rPr>
        <w:t>事故调查组按照“四不放过”和“科学严谨、依法依规、实事求是、注重实效”的原则，通过现场勘查、调查取证和综合分析，查清了事故发生经过、原因、人员伤亡和直接经济损失等情况，认定了事故性质和责任，提出了对有关责任人和责任单位的处理建议，并提出了事故防范和整改</w:t>
      </w:r>
      <w:r>
        <w:rPr>
          <w:rFonts w:hint="eastAsia" w:eastAsia="仿宋"/>
          <w:color w:val="auto"/>
          <w:sz w:val="32"/>
          <w:szCs w:val="32"/>
          <w:lang w:eastAsia="zh-CN"/>
        </w:rPr>
        <w:t>措施</w:t>
      </w:r>
      <w:r>
        <w:rPr>
          <w:rFonts w:hint="eastAsia" w:eastAsia="仿宋"/>
          <w:color w:val="auto"/>
          <w:sz w:val="32"/>
          <w:szCs w:val="32"/>
        </w:rPr>
        <w:t>建议。现将有关情况报告如下：</w:t>
      </w:r>
    </w:p>
    <w:p w14:paraId="0F6D97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0"/>
        <w:rPr>
          <w:rFonts w:eastAsia="微软雅黑"/>
          <w:color w:val="auto"/>
          <w:sz w:val="32"/>
          <w:szCs w:val="32"/>
        </w:rPr>
      </w:pPr>
      <w:bookmarkStart w:id="9" w:name="_Toc1140662014_WPSOffice_Level1"/>
      <w:bookmarkStart w:id="10" w:name="_Toc23498"/>
      <w:bookmarkStart w:id="11" w:name="_Toc60971895_WPSOffice_Level1"/>
      <w:bookmarkStart w:id="12" w:name="_Toc1661520118_WPSOffice_Level1"/>
      <w:bookmarkStart w:id="13" w:name="_Toc1947031817_WPSOffice_Level1"/>
      <w:bookmarkStart w:id="14" w:name="_Toc1385917846_WPSOffice_Level1"/>
      <w:bookmarkStart w:id="15" w:name="_Toc343804916_WPSOffice_Level1"/>
      <w:bookmarkStart w:id="16" w:name="_Toc177076390_WPSOffice_Level1"/>
      <w:r>
        <w:rPr>
          <w:rFonts w:eastAsia="微软雅黑"/>
          <w:color w:val="auto"/>
          <w:sz w:val="32"/>
          <w:szCs w:val="32"/>
        </w:rPr>
        <w:t>一</w:t>
      </w:r>
      <w:r>
        <w:rPr>
          <w:rFonts w:hint="eastAsia" w:eastAsia="微软雅黑"/>
          <w:color w:val="auto"/>
          <w:sz w:val="32"/>
          <w:szCs w:val="32"/>
        </w:rPr>
        <w:t>、</w:t>
      </w:r>
      <w:r>
        <w:rPr>
          <w:rFonts w:eastAsia="微软雅黑"/>
          <w:color w:val="auto"/>
          <w:sz w:val="32"/>
          <w:szCs w:val="32"/>
        </w:rPr>
        <w:t>事故基本情况</w:t>
      </w:r>
      <w:bookmarkEnd w:id="9"/>
      <w:bookmarkEnd w:id="10"/>
      <w:bookmarkEnd w:id="11"/>
      <w:bookmarkEnd w:id="12"/>
      <w:bookmarkEnd w:id="13"/>
      <w:bookmarkEnd w:id="14"/>
      <w:bookmarkEnd w:id="15"/>
      <w:bookmarkEnd w:id="16"/>
    </w:p>
    <w:p w14:paraId="062DD83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rPr>
      </w:pPr>
      <w:bookmarkStart w:id="17" w:name="_Toc1132058557_WPSOffice_Level2"/>
      <w:bookmarkStart w:id="18" w:name="_Toc1805321045_WPSOffice_Level2"/>
      <w:bookmarkStart w:id="19" w:name="_Toc938706479_WPSOffice_Level2"/>
      <w:bookmarkStart w:id="20" w:name="_Toc1172192304_WPSOffice_Level2"/>
      <w:bookmarkStart w:id="21" w:name="_Toc986777454_WPSOffice_Level2"/>
      <w:r>
        <w:rPr>
          <w:rFonts w:hint="eastAsia" w:ascii="楷体" w:hAnsi="楷体" w:eastAsia="楷体" w:cs="楷体"/>
          <w:color w:val="auto"/>
          <w:sz w:val="32"/>
          <w:szCs w:val="32"/>
        </w:rPr>
        <w:t>（一）涉事单位基本情况。</w:t>
      </w:r>
      <w:bookmarkEnd w:id="17"/>
      <w:bookmarkEnd w:id="18"/>
      <w:bookmarkEnd w:id="19"/>
      <w:bookmarkEnd w:id="20"/>
      <w:bookmarkEnd w:id="21"/>
    </w:p>
    <w:p w14:paraId="3942981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1.</w:t>
      </w:r>
      <w:r>
        <w:rPr>
          <w:rFonts w:hint="eastAsia" w:ascii="Times New Roman" w:hAnsi="Times New Roman" w:eastAsia="仿宋_GB2312" w:cs="Times New Roman"/>
          <w:b/>
          <w:bCs/>
          <w:color w:val="auto"/>
          <w:kern w:val="0"/>
          <w:sz w:val="32"/>
          <w:szCs w:val="32"/>
        </w:rPr>
        <w:t>湖南湘硕化工有限公司</w:t>
      </w:r>
      <w:r>
        <w:rPr>
          <w:rFonts w:hint="eastAsia" w:eastAsia="仿宋_GB2312"/>
          <w:b/>
          <w:bCs/>
          <w:color w:val="auto"/>
          <w:kern w:val="0"/>
          <w:sz w:val="32"/>
          <w:szCs w:val="32"/>
        </w:rPr>
        <w:t>（以下简称“</w:t>
      </w:r>
      <w:r>
        <w:rPr>
          <w:rFonts w:hint="eastAsia" w:ascii="Times New Roman" w:hAnsi="Times New Roman" w:eastAsia="仿宋_GB2312" w:cs="Times New Roman"/>
          <w:b/>
          <w:bCs/>
          <w:color w:val="auto"/>
          <w:kern w:val="0"/>
          <w:sz w:val="32"/>
          <w:szCs w:val="32"/>
        </w:rPr>
        <w:t>湘硕</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仿宋" w:hAnsi="仿宋" w:eastAsia="仿宋" w:cs="仿宋"/>
          <w:color w:val="auto"/>
          <w:kern w:val="1"/>
          <w:sz w:val="32"/>
          <w:szCs w:val="32"/>
          <w:lang w:eastAsia="zh-CN"/>
        </w:rPr>
        <w:t>该公司</w:t>
      </w:r>
      <w:r>
        <w:rPr>
          <w:rFonts w:hint="eastAsia" w:ascii="仿宋" w:hAnsi="仿宋" w:eastAsia="仿宋" w:cs="仿宋"/>
          <w:color w:val="auto"/>
          <w:kern w:val="1"/>
          <w:sz w:val="32"/>
          <w:szCs w:val="32"/>
          <w:lang w:val="en-US" w:eastAsia="zh-CN"/>
        </w:rPr>
        <w:t>为事故发生单位，</w:t>
      </w:r>
      <w:r>
        <w:rPr>
          <w:rFonts w:hint="eastAsia" w:ascii="仿宋" w:hAnsi="仿宋" w:eastAsia="仿宋" w:cs="仿宋"/>
          <w:color w:val="auto"/>
          <w:kern w:val="1"/>
          <w:sz w:val="32"/>
          <w:szCs w:val="32"/>
        </w:rPr>
        <w:t>成立于2013年6月14日，地址为衡阳市石鼓区松木经济开发区埝塘路6号，法定代表人</w:t>
      </w:r>
      <w:r>
        <w:rPr>
          <w:rFonts w:hint="eastAsia" w:ascii="仿宋" w:hAnsi="仿宋" w:eastAsia="仿宋" w:cs="仿宋"/>
          <w:color w:val="auto"/>
          <w:kern w:val="1"/>
          <w:sz w:val="32"/>
          <w:szCs w:val="32"/>
          <w:lang w:eastAsia="zh-CN"/>
        </w:rPr>
        <w:t>肖**</w:t>
      </w:r>
      <w:r>
        <w:rPr>
          <w:rFonts w:hint="eastAsia" w:ascii="仿宋" w:hAnsi="仿宋" w:eastAsia="仿宋" w:cs="仿宋"/>
          <w:color w:val="auto"/>
          <w:kern w:val="1"/>
          <w:sz w:val="32"/>
          <w:szCs w:val="32"/>
        </w:rPr>
        <w:t>，类型为有限责任公司（自然人投资或控股)，统一社会信用代码为91430400070586</w:t>
      </w:r>
      <w:r>
        <w:rPr>
          <w:rFonts w:hint="eastAsia" w:ascii="仿宋" w:hAnsi="仿宋" w:eastAsia="仿宋" w:cs="仿宋"/>
          <w:color w:val="auto"/>
          <w:kern w:val="1"/>
          <w:sz w:val="32"/>
          <w:szCs w:val="32"/>
          <w:lang w:val="en-US" w:eastAsia="zh-CN"/>
        </w:rPr>
        <w:t>****</w:t>
      </w:r>
      <w:r>
        <w:rPr>
          <w:rFonts w:hint="eastAsia" w:ascii="仿宋" w:hAnsi="仿宋" w:eastAsia="仿宋" w:cs="仿宋"/>
          <w:color w:val="auto"/>
          <w:kern w:val="1"/>
          <w:sz w:val="32"/>
          <w:szCs w:val="32"/>
        </w:rPr>
        <w:t>，注册资金600万元</w:t>
      </w:r>
      <w:r>
        <w:rPr>
          <w:rFonts w:hint="eastAsia" w:eastAsia="仿宋"/>
          <w:color w:val="auto"/>
          <w:sz w:val="32"/>
          <w:szCs w:val="32"/>
        </w:rPr>
        <w:t>，登记</w:t>
      </w:r>
      <w:r>
        <w:rPr>
          <w:rFonts w:hint="eastAsia" w:ascii="仿宋" w:hAnsi="仿宋" w:eastAsia="仿宋" w:cs="仿宋"/>
          <w:color w:val="auto"/>
          <w:kern w:val="1"/>
          <w:sz w:val="32"/>
          <w:szCs w:val="32"/>
        </w:rPr>
        <w:t>机关为衡阳市市场监督管理局</w:t>
      </w:r>
      <w:r>
        <w:rPr>
          <w:rFonts w:hint="eastAsia" w:ascii="仿宋" w:hAnsi="仿宋" w:eastAsia="仿宋" w:cs="仿宋"/>
          <w:color w:val="auto"/>
          <w:kern w:val="1"/>
          <w:sz w:val="32"/>
          <w:szCs w:val="32"/>
          <w:lang w:eastAsia="zh-CN"/>
        </w:rPr>
        <w:t>。企业</w:t>
      </w:r>
      <w:r>
        <w:rPr>
          <w:rFonts w:hint="eastAsia" w:ascii="仿宋" w:hAnsi="仿宋" w:eastAsia="仿宋" w:cs="仿宋"/>
          <w:color w:val="auto"/>
          <w:kern w:val="1"/>
          <w:sz w:val="32"/>
          <w:szCs w:val="32"/>
        </w:rPr>
        <w:t>占地约49394平方米。主要从事三氮唑、三氮唑钠盐、三氮唑钾盐和吩噻嗪产品的生产，建有三氮唑10000吨/年、三氮唑钠盐1500吨/年、三氮唑钾盐500吨/年、吩噻嗪150吨/年。</w:t>
      </w:r>
    </w:p>
    <w:p w14:paraId="246141E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eastAsia="zh-CN"/>
        </w:rPr>
        <w:t>经查，该单位于</w:t>
      </w:r>
      <w:r>
        <w:rPr>
          <w:rFonts w:hint="eastAsia" w:ascii="仿宋" w:hAnsi="仿宋" w:eastAsia="仿宋" w:cs="仿宋"/>
          <w:color w:val="auto"/>
          <w:kern w:val="1"/>
          <w:sz w:val="32"/>
          <w:szCs w:val="32"/>
          <w:lang w:val="en-US" w:eastAsia="zh-CN"/>
        </w:rPr>
        <w:t>2021年12月24日</w:t>
      </w:r>
      <w:r>
        <w:rPr>
          <w:rFonts w:hint="eastAsia" w:ascii="仿宋" w:hAnsi="仿宋" w:eastAsia="仿宋" w:cs="仿宋"/>
          <w:color w:val="auto"/>
          <w:kern w:val="1"/>
          <w:sz w:val="32"/>
          <w:szCs w:val="32"/>
        </w:rPr>
        <w:t>取得</w:t>
      </w:r>
      <w:r>
        <w:rPr>
          <w:rFonts w:hint="eastAsia" w:ascii="仿宋" w:hAnsi="仿宋" w:eastAsia="仿宋" w:cs="仿宋"/>
          <w:color w:val="auto"/>
          <w:kern w:val="1"/>
          <w:sz w:val="32"/>
          <w:szCs w:val="32"/>
          <w:lang w:eastAsia="zh-CN"/>
        </w:rPr>
        <w:t>了</w:t>
      </w:r>
      <w:r>
        <w:rPr>
          <w:rFonts w:hint="eastAsia" w:ascii="仿宋" w:hAnsi="仿宋" w:eastAsia="仿宋" w:cs="仿宋"/>
          <w:color w:val="auto"/>
          <w:kern w:val="1"/>
          <w:sz w:val="32"/>
          <w:szCs w:val="32"/>
        </w:rPr>
        <w:t>危险化学品安全生产许可证</w:t>
      </w:r>
      <w:r>
        <w:rPr>
          <w:rFonts w:hint="eastAsia" w:ascii="仿宋" w:hAnsi="仿宋" w:eastAsia="仿宋" w:cs="仿宋"/>
          <w:color w:val="auto"/>
          <w:kern w:val="1"/>
          <w:sz w:val="32"/>
          <w:szCs w:val="32"/>
          <w:lang w:eastAsia="zh-CN"/>
        </w:rPr>
        <w:t>（证件编号：（湘）</w:t>
      </w:r>
      <w:r>
        <w:rPr>
          <w:rFonts w:hint="eastAsia" w:ascii="仿宋" w:hAnsi="仿宋" w:eastAsia="仿宋" w:cs="仿宋"/>
          <w:color w:val="auto"/>
          <w:kern w:val="1"/>
          <w:sz w:val="32"/>
          <w:szCs w:val="32"/>
          <w:lang w:val="en-US" w:eastAsia="zh-CN"/>
        </w:rPr>
        <w:t>WH安许证字</w:t>
      </w:r>
      <w:r>
        <w:rPr>
          <w:rFonts w:hint="eastAsia" w:eastAsia="仿宋"/>
          <w:color w:val="auto"/>
          <w:sz w:val="32"/>
          <w:szCs w:val="32"/>
        </w:rPr>
        <w:t>﹝202</w:t>
      </w:r>
      <w:r>
        <w:rPr>
          <w:rFonts w:hint="eastAsia" w:eastAsia="仿宋"/>
          <w:color w:val="auto"/>
          <w:sz w:val="32"/>
          <w:szCs w:val="32"/>
          <w:lang w:val="en-US" w:eastAsia="zh-CN"/>
        </w:rPr>
        <w:t>1</w:t>
      </w:r>
      <w:r>
        <w:rPr>
          <w:rFonts w:hint="eastAsia" w:eastAsia="仿宋"/>
          <w:color w:val="auto"/>
          <w:sz w:val="32"/>
          <w:szCs w:val="32"/>
        </w:rPr>
        <w:t>﹞</w:t>
      </w:r>
      <w:r>
        <w:rPr>
          <w:rFonts w:hint="eastAsia" w:eastAsia="仿宋"/>
          <w:color w:val="auto"/>
          <w:sz w:val="32"/>
          <w:szCs w:val="32"/>
          <w:lang w:val="en-US" w:eastAsia="zh-CN"/>
        </w:rPr>
        <w:t>H-****</w:t>
      </w:r>
      <w:r>
        <w:rPr>
          <w:rFonts w:hint="eastAsia" w:ascii="仿宋" w:hAnsi="仿宋" w:eastAsia="仿宋" w:cs="仿宋"/>
          <w:color w:val="auto"/>
          <w:kern w:val="1"/>
          <w:sz w:val="32"/>
          <w:szCs w:val="32"/>
          <w:lang w:eastAsia="zh-CN"/>
        </w:rPr>
        <w:t>），发证机关</w:t>
      </w:r>
      <w:r>
        <w:rPr>
          <w:rFonts w:hint="eastAsia" w:ascii="仿宋" w:hAnsi="仿宋" w:eastAsia="仿宋" w:cs="仿宋"/>
          <w:color w:val="auto"/>
          <w:kern w:val="1"/>
          <w:sz w:val="32"/>
          <w:szCs w:val="32"/>
        </w:rPr>
        <w:t>湖南省应急管理厅</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有效期至2024年12月23日</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许可范围</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氨溶液22270吨/年，硫化钠200吨/年</w:t>
      </w:r>
      <w:r>
        <w:rPr>
          <w:rFonts w:hint="eastAsia" w:ascii="仿宋" w:hAnsi="仿宋" w:eastAsia="仿宋" w:cs="仿宋"/>
          <w:color w:val="auto"/>
          <w:kern w:val="1"/>
          <w:sz w:val="32"/>
          <w:szCs w:val="32"/>
          <w:lang w:eastAsia="zh-CN"/>
        </w:rPr>
        <w:t>；于</w:t>
      </w:r>
      <w:r>
        <w:rPr>
          <w:rFonts w:hint="eastAsia" w:ascii="仿宋" w:hAnsi="仿宋" w:eastAsia="仿宋" w:cs="仿宋"/>
          <w:color w:val="auto"/>
          <w:kern w:val="1"/>
          <w:sz w:val="32"/>
          <w:szCs w:val="32"/>
          <w:lang w:val="en-US" w:eastAsia="zh-CN"/>
        </w:rPr>
        <w:t>2023年3月6日取得了危险化学品登记证，登记机关为湖南省应急管理部危险化学品登记中心，有效期至2026年5月4日。</w:t>
      </w:r>
    </w:p>
    <w:p w14:paraId="1FB455A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22" w:name="_Toc2066501209_WPSOffice_Level2"/>
      <w:bookmarkStart w:id="23" w:name="_Toc586738741_WPSOffice_Level2"/>
      <w:bookmarkStart w:id="24" w:name="_Toc1530688922_WPSOffice_Level2"/>
      <w:bookmarkStart w:id="25" w:name="_Toc1175228647_WPSOffice_Level2"/>
      <w:r>
        <w:rPr>
          <w:rFonts w:hint="eastAsia" w:ascii="仿宋" w:hAnsi="仿宋" w:eastAsia="仿宋" w:cs="仿宋"/>
          <w:color w:val="auto"/>
          <w:kern w:val="1"/>
          <w:sz w:val="32"/>
          <w:szCs w:val="32"/>
          <w:lang w:eastAsia="zh-CN"/>
        </w:rPr>
        <w:t>该单位</w:t>
      </w:r>
      <w:r>
        <w:rPr>
          <w:rFonts w:hint="eastAsia" w:ascii="仿宋" w:hAnsi="仿宋" w:eastAsia="仿宋" w:cs="仿宋"/>
          <w:color w:val="auto"/>
          <w:kern w:val="1"/>
          <w:sz w:val="32"/>
          <w:szCs w:val="32"/>
        </w:rPr>
        <w:t>现有员工107人</w:t>
      </w:r>
      <w:r>
        <w:rPr>
          <w:rFonts w:hint="eastAsia" w:ascii="仿宋" w:hAnsi="仿宋" w:eastAsia="仿宋" w:cs="仿宋"/>
          <w:color w:val="auto"/>
          <w:kern w:val="1"/>
          <w:sz w:val="32"/>
          <w:szCs w:val="32"/>
          <w:lang w:eastAsia="zh-CN"/>
        </w:rPr>
        <w:t>，建立了安全生产机构</w:t>
      </w:r>
      <w:r>
        <w:rPr>
          <w:rFonts w:hint="eastAsia" w:ascii="仿宋" w:hAnsi="仿宋" w:eastAsia="仿宋" w:cs="仿宋"/>
          <w:color w:val="auto"/>
          <w:kern w:val="1"/>
          <w:sz w:val="32"/>
          <w:szCs w:val="32"/>
        </w:rPr>
        <w:t>，其中</w:t>
      </w:r>
      <w:r>
        <w:rPr>
          <w:rFonts w:hint="eastAsia" w:ascii="仿宋" w:hAnsi="仿宋" w:eastAsia="仿宋" w:cs="仿宋"/>
          <w:color w:val="auto"/>
          <w:kern w:val="1"/>
          <w:sz w:val="32"/>
          <w:szCs w:val="32"/>
          <w:lang w:eastAsia="zh-CN"/>
        </w:rPr>
        <w:t>配备了</w:t>
      </w:r>
      <w:r>
        <w:rPr>
          <w:rFonts w:hint="eastAsia" w:ascii="仿宋" w:hAnsi="仿宋" w:eastAsia="仿宋" w:cs="仿宋"/>
          <w:color w:val="auto"/>
          <w:kern w:val="1"/>
          <w:sz w:val="32"/>
          <w:szCs w:val="32"/>
          <w:lang w:val="en-US" w:eastAsia="zh-CN"/>
        </w:rPr>
        <w:t>2名</w:t>
      </w:r>
      <w:r>
        <w:rPr>
          <w:rFonts w:hint="eastAsia" w:ascii="仿宋" w:hAnsi="仿宋" w:eastAsia="仿宋" w:cs="仿宋"/>
          <w:color w:val="auto"/>
          <w:kern w:val="1"/>
          <w:sz w:val="32"/>
          <w:szCs w:val="32"/>
        </w:rPr>
        <w:t>注册安全工程师</w:t>
      </w:r>
      <w:r>
        <w:rPr>
          <w:rFonts w:hint="eastAsia" w:ascii="仿宋" w:hAnsi="仿宋" w:eastAsia="仿宋" w:cs="仿宋"/>
          <w:color w:val="auto"/>
          <w:kern w:val="1"/>
          <w:sz w:val="32"/>
          <w:szCs w:val="32"/>
          <w:lang w:eastAsia="zh-CN"/>
        </w:rPr>
        <w:t>和</w:t>
      </w:r>
      <w:r>
        <w:rPr>
          <w:rFonts w:hint="eastAsia" w:ascii="仿宋" w:hAnsi="仿宋" w:eastAsia="仿宋" w:cs="仿宋"/>
          <w:color w:val="auto"/>
          <w:kern w:val="1"/>
          <w:sz w:val="32"/>
          <w:szCs w:val="32"/>
          <w:lang w:val="en-US" w:eastAsia="zh-CN"/>
        </w:rPr>
        <w:t>3名</w:t>
      </w:r>
      <w:r>
        <w:rPr>
          <w:rFonts w:hint="eastAsia" w:ascii="仿宋" w:hAnsi="仿宋" w:eastAsia="仿宋" w:cs="仿宋"/>
          <w:color w:val="auto"/>
          <w:kern w:val="1"/>
          <w:sz w:val="32"/>
          <w:szCs w:val="32"/>
        </w:rPr>
        <w:t>专职安全管理人员</w:t>
      </w:r>
      <w:r>
        <w:rPr>
          <w:rFonts w:hint="eastAsia" w:ascii="仿宋" w:hAnsi="仿宋" w:eastAsia="仿宋" w:cs="仿宋"/>
          <w:color w:val="auto"/>
          <w:kern w:val="1"/>
          <w:sz w:val="32"/>
          <w:szCs w:val="32"/>
          <w:lang w:eastAsia="zh-CN"/>
        </w:rPr>
        <w:t>，相关安全管理人员均已取得安全生产管理资格证。</w:t>
      </w:r>
    </w:p>
    <w:p w14:paraId="59D9CAC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color w:val="auto"/>
          <w:kern w:val="0"/>
          <w:sz w:val="32"/>
          <w:szCs w:val="32"/>
          <w:lang w:val="en-US" w:eastAsia="zh-CN"/>
        </w:rPr>
      </w:pPr>
      <w:bookmarkStart w:id="26" w:name="_Toc1707553524_WPSOffice_Level2"/>
      <w:r>
        <w:rPr>
          <w:rFonts w:hint="eastAsia" w:ascii="Times New Roman" w:hAnsi="Times New Roman" w:eastAsia="仿宋_GB2312" w:cs="Times New Roman"/>
          <w:b/>
          <w:bCs/>
          <w:color w:val="auto"/>
          <w:kern w:val="0"/>
          <w:sz w:val="32"/>
          <w:szCs w:val="32"/>
          <w:lang w:val="en-US" w:eastAsia="zh-CN"/>
        </w:rPr>
        <w:t>2.设计公司</w:t>
      </w:r>
    </w:p>
    <w:p w14:paraId="13D56C8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该单位为湘硕公司建设项目设计和安全设施设计专篇设计单位，成立于2000年1月27日</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企业</w:t>
      </w:r>
      <w:r>
        <w:rPr>
          <w:rFonts w:hint="eastAsia" w:ascii="仿宋" w:hAnsi="仿宋" w:eastAsia="仿宋" w:cs="仿宋"/>
          <w:color w:val="auto"/>
          <w:kern w:val="1"/>
          <w:sz w:val="32"/>
          <w:szCs w:val="32"/>
        </w:rPr>
        <w:t>类型为有限责任公司（自然人投资或控股)</w:t>
      </w:r>
      <w:r>
        <w:rPr>
          <w:rFonts w:hint="eastAsia" w:ascii="仿宋" w:hAnsi="仿宋" w:eastAsia="仿宋" w:cs="仿宋"/>
          <w:color w:val="auto"/>
          <w:kern w:val="1"/>
          <w:sz w:val="32"/>
          <w:szCs w:val="32"/>
          <w:lang w:val="en-US" w:eastAsia="zh-CN"/>
        </w:rPr>
        <w:t>，统一社会代码91430000717048****，注册资本500万元，地址：长沙市雨花区芙蓉中路251号，登记机关：湖南省市场监督管理局，经营范围：工程咨询、化工石化医药行业工程设计、市政行业工程设计、建筑行业工程设计、压力管道设计、压力容器设计、建设项目环境影响评价；研究、开发化工新技术、新产品、计算机应用软件、并提供成果推广、转让服务（依法须经批准的项目，经相关部门批准后方可开展经营活动）。2018年11月13日，该单位取得了工程设计资质证书，证书编号：A14300****，资质等级：化工石化医药行业（化工工程）专业甲级，发证机关：中华人民共和国住房和城乡建设部。</w:t>
      </w:r>
    </w:p>
    <w:p w14:paraId="0198EC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2018年6月28日为湘硕公司三氮唑精细化工产品建设项目设计了《安全设施设计专篇》。该专篇对薄膜蒸发器（升膜发生器）设计的压力为管程0.05MP、壳程0.5MP；对蒸发冷凝器设计的压力为管程0.05MP、壳程0.3MP。该专篇对升膜发生器、蒸发冷凝器安全阀等泄压装置，未进行相关的设置设计。</w:t>
      </w:r>
    </w:p>
    <w:p w14:paraId="78491A53">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val="en-US" w:eastAsia="zh-CN"/>
        </w:rPr>
      </w:pPr>
      <w:r>
        <w:rPr>
          <w:rFonts w:hint="eastAsia" w:ascii="Times New Roman" w:hAnsi="Times New Roman" w:eastAsia="仿宋_GB2312" w:cs="Times New Roman"/>
          <w:b/>
          <w:bCs/>
          <w:color w:val="auto"/>
          <w:kern w:val="0"/>
          <w:sz w:val="32"/>
          <w:szCs w:val="32"/>
          <w:lang w:val="en-US" w:eastAsia="zh-CN"/>
        </w:rPr>
        <w:t>3.设计诊断公司</w:t>
      </w:r>
    </w:p>
    <w:p w14:paraId="0F956F1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安全设计的设计诊断单位，成立于2019年12月25日，企业类型为其他有限责任公司分公司，统一社会代码91430111MA4R2Q****，注册资本为5100万元（总院），地址：长沙市雨花区同升街道环保中路210乐沃居3#栋厂房7层704号，登记机关：长沙市雨花区市场监督管理局，经营范围：在隶属企业经营范围内承接业务（依法须经批准的项目，经相关部门批准后方可开展经营活动）。该单位取得了工程设计资质证书，证书编号：A12100****，资质等级：化工石化医药行业（化工工程）专业甲级，发证机关：中华人民共和国住房和城乡建设部。</w:t>
      </w:r>
    </w:p>
    <w:p w14:paraId="761022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2023年7月为湘硕公司三氮唑等精细化工产品建设项目进行了安全设计诊断，在《诊断问题清单及整改建议》中，未指出《安全设施设计专篇》在设计安全阀相关设施方面存在的缺陷，对专篇无升膜发生器、蒸发冷凝器安全阀等泄压装置的设计未提出整改建议。</w:t>
      </w:r>
    </w:p>
    <w:p w14:paraId="28CFC49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（二）事故</w:t>
      </w:r>
      <w:r>
        <w:rPr>
          <w:rFonts w:ascii="楷体" w:hAnsi="楷体" w:eastAsia="楷体" w:cs="楷体"/>
          <w:color w:val="auto"/>
          <w:sz w:val="32"/>
          <w:szCs w:val="32"/>
        </w:rPr>
        <w:t>当事人</w:t>
      </w:r>
      <w:r>
        <w:rPr>
          <w:rFonts w:hint="eastAsia" w:ascii="楷体" w:hAnsi="楷体" w:eastAsia="楷体" w:cs="楷体"/>
          <w:color w:val="auto"/>
          <w:sz w:val="32"/>
          <w:szCs w:val="32"/>
        </w:rPr>
        <w:t>基本</w:t>
      </w:r>
      <w:r>
        <w:rPr>
          <w:rFonts w:ascii="楷体" w:hAnsi="楷体" w:eastAsia="楷体" w:cs="楷体"/>
          <w:color w:val="auto"/>
          <w:sz w:val="32"/>
          <w:szCs w:val="32"/>
        </w:rPr>
        <w:t>情况</w:t>
      </w:r>
      <w:r>
        <w:rPr>
          <w:rFonts w:hint="eastAsia" w:ascii="楷体" w:hAnsi="楷体" w:eastAsia="楷体" w:cs="楷体"/>
          <w:color w:val="auto"/>
          <w:sz w:val="32"/>
          <w:szCs w:val="32"/>
        </w:rPr>
        <w:t>。</w:t>
      </w:r>
      <w:bookmarkEnd w:id="22"/>
      <w:bookmarkEnd w:id="23"/>
      <w:bookmarkEnd w:id="24"/>
      <w:bookmarkEnd w:id="25"/>
      <w:bookmarkEnd w:id="26"/>
    </w:p>
    <w:p w14:paraId="730A546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eastAsia="zh-CN"/>
        </w:rPr>
        <w:t>黄**</w:t>
      </w:r>
      <w:r>
        <w:rPr>
          <w:rFonts w:hint="eastAsia" w:ascii="仿宋" w:hAnsi="仿宋" w:eastAsia="仿宋" w:cs="仿宋"/>
          <w:color w:val="auto"/>
          <w:kern w:val="1"/>
          <w:sz w:val="32"/>
          <w:szCs w:val="32"/>
        </w:rPr>
        <w:t>，男，年龄：33岁，身份证号码：</w:t>
      </w:r>
      <w:r>
        <w:rPr>
          <w:rFonts w:hint="eastAsia" w:ascii="仿宋" w:hAnsi="仿宋" w:eastAsia="仿宋" w:cs="仿宋"/>
          <w:color w:val="auto"/>
          <w:spacing w:val="-23"/>
          <w:kern w:val="1"/>
          <w:sz w:val="32"/>
          <w:szCs w:val="32"/>
        </w:rPr>
        <w:t>43040719910102</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，家庭住址：湖南省衡阳市石鼓区松木乡桎木村西牛嘴村民组，系该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，系当班升膜发生工艺操作工，</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2D62868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lang w:eastAsia="zh-CN"/>
        </w:rPr>
        <w:t>王**</w:t>
      </w:r>
      <w:r>
        <w:rPr>
          <w:rFonts w:hint="eastAsia" w:ascii="仿宋" w:hAnsi="仿宋" w:eastAsia="仿宋" w:cs="仿宋"/>
          <w:color w:val="auto"/>
          <w:kern w:val="1"/>
          <w:sz w:val="32"/>
          <w:szCs w:val="32"/>
        </w:rPr>
        <w:t>，男，年龄：36岁，身份证号码：</w:t>
      </w:r>
      <w:r>
        <w:rPr>
          <w:rFonts w:hint="eastAsia" w:ascii="仿宋" w:hAnsi="仿宋" w:eastAsia="仿宋" w:cs="仿宋"/>
          <w:color w:val="auto"/>
          <w:spacing w:val="-23"/>
          <w:kern w:val="1"/>
          <w:sz w:val="32"/>
          <w:szCs w:val="32"/>
        </w:rPr>
        <w:t>43058119870904</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，家庭住址：湖南省武冈市双牌乡田中村7组13号，系该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，系当班升膜发生工艺班长，</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4FDEABF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lang w:eastAsia="zh-CN"/>
        </w:rPr>
        <w:t>周**</w:t>
      </w:r>
      <w:r>
        <w:rPr>
          <w:rFonts w:hint="eastAsia" w:ascii="仿宋" w:hAnsi="仿宋" w:eastAsia="仿宋" w:cs="仿宋"/>
          <w:color w:val="auto"/>
          <w:kern w:val="1"/>
          <w:sz w:val="32"/>
          <w:szCs w:val="32"/>
        </w:rPr>
        <w:t>，男，年龄：57岁，身份证号码：</w:t>
      </w:r>
      <w:r>
        <w:rPr>
          <w:rFonts w:hint="eastAsia" w:ascii="仿宋" w:hAnsi="仿宋" w:eastAsia="仿宋" w:cs="仿宋"/>
          <w:color w:val="auto"/>
          <w:spacing w:val="-23"/>
          <w:kern w:val="1"/>
          <w:sz w:val="32"/>
          <w:szCs w:val="32"/>
        </w:rPr>
        <w:t>43042619670318</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，家庭住址：湖南省祁东县金桥镇新屋町村大万里，系该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，系当班安全员，</w:t>
      </w:r>
      <w:r>
        <w:rPr>
          <w:rFonts w:hint="eastAsia" w:eastAsia="仿宋"/>
          <w:color w:val="auto"/>
          <w:sz w:val="32"/>
          <w:szCs w:val="32"/>
        </w:rPr>
        <w:t>在事故中</w:t>
      </w:r>
      <w:r>
        <w:rPr>
          <w:rFonts w:hint="eastAsia" w:eastAsia="仿宋"/>
          <w:color w:val="auto"/>
          <w:sz w:val="32"/>
          <w:szCs w:val="32"/>
          <w:lang w:eastAsia="zh-CN"/>
        </w:rPr>
        <w:t>受伤</w:t>
      </w:r>
      <w:bookmarkStart w:id="27" w:name="_Toc1448436317_WPSOffice_Level2"/>
      <w:bookmarkStart w:id="28" w:name="_Toc1698379623_WPSOffice_Level2"/>
      <w:bookmarkStart w:id="29" w:name="_Toc2045293740_WPSOffice_Level2"/>
      <w:bookmarkStart w:id="30" w:name="_Toc1242960272_WPSOffice_Level2"/>
      <w:bookmarkStart w:id="31" w:name="_Toc380767465_WPSOffice_Level2"/>
      <w:r>
        <w:rPr>
          <w:rFonts w:hint="eastAsia" w:eastAsia="仿宋"/>
          <w:color w:val="auto"/>
          <w:sz w:val="32"/>
          <w:szCs w:val="32"/>
          <w:lang w:eastAsia="zh-CN"/>
        </w:rPr>
        <w:t>。</w:t>
      </w:r>
    </w:p>
    <w:bookmarkEnd w:id="27"/>
    <w:bookmarkEnd w:id="28"/>
    <w:bookmarkEnd w:id="29"/>
    <w:p w14:paraId="0C72FB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eastAsia="zh-CN"/>
        </w:rPr>
      </w:pPr>
      <w:bookmarkStart w:id="32" w:name="_Toc1031661342_WPSOffice_Level1"/>
      <w:r>
        <w:rPr>
          <w:rFonts w:hint="eastAsia" w:ascii="楷体" w:hAnsi="楷体" w:eastAsia="楷体" w:cs="楷体"/>
          <w:color w:val="auto"/>
          <w:sz w:val="32"/>
          <w:szCs w:val="32"/>
          <w:lang w:eastAsia="zh-CN"/>
        </w:rPr>
        <w:t>（三）事故当天气象情况。</w:t>
      </w:r>
    </w:p>
    <w:p w14:paraId="321E5D6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b/>
          <w:bCs/>
          <w:color w:val="auto"/>
          <w:kern w:val="1"/>
          <w:sz w:val="32"/>
          <w:szCs w:val="32"/>
          <w:lang w:eastAsia="zh-CN"/>
        </w:rPr>
      </w:pPr>
      <w:r>
        <w:rPr>
          <w:rFonts w:hint="eastAsia" w:ascii="仿宋" w:hAnsi="仿宋" w:eastAsia="仿宋" w:cs="仿宋"/>
          <w:color w:val="auto"/>
          <w:kern w:val="1"/>
          <w:sz w:val="32"/>
          <w:szCs w:val="32"/>
          <w:lang w:eastAsia="zh-CN"/>
        </w:rPr>
        <w:t>经调取当地气象资料：2024年</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月</w:t>
      </w:r>
      <w:r>
        <w:rPr>
          <w:rFonts w:hint="eastAsia"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eastAsia="zh-CN"/>
        </w:rPr>
        <w:t>日，衡阳市松木经开区天气晴，高气温3</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℃以上，事故发生期间厂区范围天气晴朗，东南风2级，天气预报显示相对湿度68%，无雷雨大风气象。</w:t>
      </w:r>
    </w:p>
    <w:p w14:paraId="78C33A9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kern w:val="1"/>
          <w:sz w:val="32"/>
          <w:szCs w:val="32"/>
          <w:lang w:eastAsia="zh-CN"/>
        </w:rPr>
        <w:t>二</w:t>
      </w:r>
      <w:r>
        <w:rPr>
          <w:rFonts w:hint="eastAsia" w:ascii="仿宋" w:hAnsi="仿宋" w:eastAsia="仿宋" w:cs="仿宋"/>
          <w:b/>
          <w:bCs/>
          <w:color w:val="auto"/>
          <w:kern w:val="1"/>
          <w:sz w:val="32"/>
          <w:szCs w:val="32"/>
        </w:rPr>
        <w:t>、事故所涉工艺流程</w:t>
      </w:r>
      <w:r>
        <w:rPr>
          <w:rFonts w:hint="eastAsia" w:ascii="仿宋" w:hAnsi="仿宋" w:eastAsia="仿宋" w:cs="仿宋"/>
          <w:b/>
          <w:bCs/>
          <w:color w:val="auto"/>
          <w:sz w:val="32"/>
          <w:szCs w:val="32"/>
          <w:lang w:eastAsia="zh-CN"/>
        </w:rPr>
        <w:t>情况</w:t>
      </w:r>
      <w:bookmarkEnd w:id="32"/>
    </w:p>
    <w:p w14:paraId="5A2E1EA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事故发生在升膜蒸发操作系统，该操作系统主要是将母液通过蒸发工艺，将其中的三氮唑和水进行分组，最终提取产品三氮唑。</w:t>
      </w:r>
    </w:p>
    <w:p w14:paraId="6775C7A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工艺流程按先后顺序分为四个环节，即负压形成、</w:t>
      </w:r>
      <w:r>
        <w:rPr>
          <w:rFonts w:hint="eastAsia" w:ascii="仿宋" w:hAnsi="仿宋" w:eastAsia="仿宋" w:cs="仿宋"/>
          <w:color w:val="auto"/>
          <w:kern w:val="1"/>
          <w:sz w:val="32"/>
          <w:szCs w:val="32"/>
          <w:lang w:val="en-US" w:eastAsia="zh-CN"/>
        </w:rPr>
        <w:t>母液加注</w:t>
      </w:r>
      <w:r>
        <w:rPr>
          <w:rFonts w:hint="eastAsia" w:ascii="仿宋" w:hAnsi="仿宋" w:eastAsia="仿宋" w:cs="仿宋"/>
          <w:color w:val="auto"/>
          <w:kern w:val="1"/>
          <w:sz w:val="32"/>
          <w:szCs w:val="32"/>
          <w:lang w:eastAsia="zh-CN"/>
        </w:rPr>
        <w:t>、循环操作、</w:t>
      </w:r>
      <w:r>
        <w:rPr>
          <w:rFonts w:hint="eastAsia" w:ascii="仿宋" w:hAnsi="仿宋" w:eastAsia="仿宋" w:cs="仿宋"/>
          <w:color w:val="auto"/>
          <w:kern w:val="1"/>
          <w:sz w:val="32"/>
          <w:szCs w:val="32"/>
          <w:lang w:val="en-US" w:eastAsia="zh-CN"/>
        </w:rPr>
        <w:t>转料操作。</w:t>
      </w:r>
      <w:r>
        <w:rPr>
          <w:rFonts w:hint="eastAsia" w:ascii="仿宋" w:hAnsi="仿宋" w:eastAsia="仿宋" w:cs="仿宋"/>
          <w:color w:val="auto"/>
          <w:kern w:val="1"/>
          <w:sz w:val="32"/>
          <w:szCs w:val="32"/>
          <w:lang w:eastAsia="zh-CN"/>
        </w:rPr>
        <w:t>在升膜蒸发系统形成负压系统后，在负压状况下向系统加注母液，控制进母液流量：300～400L/h，慢慢开启蒸汽阀进行升温，待气液分离罐的液位达到第二块视镜时，停进料；接着操作有关阀门，开启循环泵进行强制循环；进入转料操作时，气相经冷凝后进入轻组分罐，通过调节冷却水量控制轻组分的温度低于45℃左右，蒸发结束后，将重组分泵入重组分冷却釜，轻组分泵入轻组分中间釜（附图三、四）。</w:t>
      </w:r>
    </w:p>
    <w:p w14:paraId="6243A53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事发时，升膜蒸发系统正处于循环操作环节。在此环节，蒸汽吹扫阀（</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）、转料阀（</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）应处于关闭状态，阻断高温蒸汽进入升膜蒸发器，防止温度和压力失控。</w:t>
      </w:r>
    </w:p>
    <w:p w14:paraId="02B18292">
      <w:pPr>
        <w:bidi w:val="0"/>
        <w:rPr>
          <w:rFonts w:hint="eastAsia"/>
          <w:lang w:eastAsia="zh-CN"/>
        </w:rPr>
      </w:pPr>
    </w:p>
    <w:p w14:paraId="557B78B7">
      <w:pPr>
        <w:rPr>
          <w:rFonts w:hint="eastAsia" w:ascii="仿宋" w:hAnsi="仿宋" w:eastAsia="仿宋" w:cs="仿宋"/>
          <w:color w:val="auto"/>
          <w:kern w:val="1"/>
          <w:sz w:val="32"/>
          <w:szCs w:val="32"/>
          <w:lang w:eastAsia="zh-CN"/>
        </w:rPr>
      </w:pPr>
    </w:p>
    <w:p w14:paraId="193185E1">
      <w:pPr>
        <w:bidi w:val="0"/>
        <w:rPr>
          <w:rFonts w:hint="eastAsia"/>
          <w:lang w:eastAsia="zh-CN"/>
        </w:rPr>
      </w:pPr>
    </w:p>
    <w:p w14:paraId="2B12E21F">
      <w:pPr>
        <w:pStyle w:val="9"/>
        <w:rPr>
          <w:rFonts w:hint="eastAsia" w:ascii="仿宋" w:hAnsi="仿宋" w:eastAsia="仿宋" w:cs="仿宋"/>
          <w:color w:val="auto"/>
          <w:sz w:val="30"/>
        </w:rPr>
      </w:pPr>
    </w:p>
    <w:p w14:paraId="67ACB67B">
      <w:pPr>
        <w:rPr>
          <w:rFonts w:hint="eastAsia" w:ascii="仿宋" w:hAnsi="仿宋" w:eastAsia="仿宋" w:cs="仿宋"/>
          <w:color w:val="auto"/>
          <w:sz w:val="30"/>
        </w:rPr>
      </w:pPr>
      <w:r>
        <w:rPr>
          <w:rFonts w:hint="eastAsia" w:ascii="仿宋" w:hAnsi="仿宋" w:eastAsia="仿宋" w:cs="仿宋"/>
          <w:color w:val="auto"/>
          <w:sz w:val="30"/>
        </w:rPr>
        <mc:AlternateContent>
          <mc:Choice Requires="wpg">
            <w:drawing>
              <wp:anchor distT="0" distB="0" distL="114300" distR="114300" simplePos="0" relativeHeight="251659264" behindDoc="0" locked="0" layoutInCell="1" allowOverlap="1">
                <wp:simplePos x="0" y="0"/>
                <wp:positionH relativeFrom="column">
                  <wp:posOffset>-24130</wp:posOffset>
                </wp:positionH>
                <wp:positionV relativeFrom="paragraph">
                  <wp:posOffset>-328295</wp:posOffset>
                </wp:positionV>
                <wp:extent cx="5326380" cy="2720975"/>
                <wp:effectExtent l="4445" t="4445" r="22225" b="17780"/>
                <wp:wrapNone/>
                <wp:docPr id="52" name="组合 52"/>
                <wp:cNvGraphicFramePr/>
                <a:graphic xmlns:a="http://schemas.openxmlformats.org/drawingml/2006/main">
                  <a:graphicData uri="http://schemas.microsoft.com/office/word/2010/wordprocessingGroup">
                    <wpg:wgp>
                      <wpg:cNvGrpSpPr/>
                      <wpg:grpSpPr>
                        <a:xfrm>
                          <a:off x="0" y="0"/>
                          <a:ext cx="5326380" cy="2720975"/>
                          <a:chOff x="7051" y="437808"/>
                          <a:chExt cx="9453" cy="5230"/>
                        </a:xfrm>
                      </wpg:grpSpPr>
                      <wps:wsp>
                        <wps:cNvPr id="4" name="文本框 4"/>
                        <wps:cNvSpPr txBox="1"/>
                        <wps:spPr>
                          <a:xfrm>
                            <a:off x="12292" y="437808"/>
                            <a:ext cx="66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E8B37F7">
                              <w:r>
                                <w:rPr>
                                  <w:rFonts w:hint="eastAsia"/>
                                </w:rPr>
                                <w:t>气相</w:t>
                              </w:r>
                            </w:p>
                          </w:txbxContent>
                        </wps:txbx>
                        <wps:bodyPr lIns="46800" tIns="45720" rIns="46800" bIns="45720" upright="1"/>
                      </wps:wsp>
                      <wpg:grpSp>
                        <wpg:cNvPr id="51" name="组合 51"/>
                        <wpg:cNvGrpSpPr/>
                        <wpg:grpSpPr>
                          <a:xfrm>
                            <a:off x="7051" y="438171"/>
                            <a:ext cx="9453" cy="4867"/>
                            <a:chOff x="6751" y="437976"/>
                            <a:chExt cx="9454" cy="4867"/>
                          </a:xfrm>
                        </wpg:grpSpPr>
                        <wps:wsp>
                          <wps:cNvPr id="5" name="文本框 5"/>
                          <wps:cNvSpPr txBox="1"/>
                          <wps:spPr>
                            <a:xfrm>
                              <a:off x="11050" y="440551"/>
                              <a:ext cx="11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2EB6041">
                                <w:r>
                                  <w:rPr>
                                    <w:rFonts w:hint="eastAsia"/>
                                  </w:rPr>
                                  <w:t>冷却回水</w:t>
                                </w:r>
                              </w:p>
                            </w:txbxContent>
                          </wps:txbx>
                          <wps:bodyPr lIns="46800" tIns="45720" rIns="46800" bIns="45720" upright="1"/>
                        </wps:wsp>
                        <wps:wsp>
                          <wps:cNvPr id="6" name="文本框 6"/>
                          <wps:cNvSpPr txBox="1"/>
                          <wps:spPr>
                            <a:xfrm>
                              <a:off x="11183" y="439684"/>
                              <a:ext cx="8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E94A6A2">
                                <w:r>
                                  <w:rPr>
                                    <w:rFonts w:hint="eastAsia"/>
                                  </w:rPr>
                                  <w:t>母液</w:t>
                                </w:r>
                              </w:p>
                            </w:txbxContent>
                          </wps:txbx>
                          <wps:bodyPr lIns="46800" tIns="45720" rIns="46800" bIns="45720" upright="1"/>
                        </wps:wsp>
                        <wps:wsp>
                          <wps:cNvPr id="7" name="文本框 7"/>
                          <wps:cNvSpPr txBox="1"/>
                          <wps:spPr>
                            <a:xfrm>
                              <a:off x="12044" y="438372"/>
                              <a:ext cx="667"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9F999D">
                                <w:r>
                                  <w:rPr>
                                    <w:rFonts w:hint="eastAsia"/>
                                  </w:rPr>
                                  <w:t>蒸汽</w:t>
                                </w:r>
                              </w:p>
                            </w:txbxContent>
                          </wps:txbx>
                          <wps:bodyPr lIns="46800" tIns="45720" rIns="46800" bIns="45720" upright="1"/>
                        </wps:wsp>
                        <wps:wsp>
                          <wps:cNvPr id="8" name="文本框 8"/>
                          <wps:cNvSpPr txBox="1"/>
                          <wps:spPr>
                            <a:xfrm>
                              <a:off x="9829" y="442231"/>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928713">
                                <w:r>
                                  <w:rPr>
                                    <w:rFonts w:hint="eastAsia"/>
                                  </w:rPr>
                                  <w:t>轻组分</w:t>
                                </w:r>
                              </w:p>
                            </w:txbxContent>
                          </wps:txbx>
                          <wps:bodyPr lIns="46800" tIns="45720" rIns="46800" bIns="45720" upright="1"/>
                        </wps:wsp>
                        <wps:wsp>
                          <wps:cNvPr id="9" name="文本框 9"/>
                          <wps:cNvSpPr txBox="1"/>
                          <wps:spPr>
                            <a:xfrm>
                              <a:off x="13672" y="440157"/>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8D4149">
                                <w:r>
                                  <w:rPr>
                                    <w:rFonts w:hint="eastAsia"/>
                                  </w:rPr>
                                  <w:t>重组分</w:t>
                                </w:r>
                              </w:p>
                            </w:txbxContent>
                          </wps:txbx>
                          <wps:bodyPr lIns="46800" tIns="45720" rIns="46800" bIns="45720" upright="1"/>
                        </wps:wsp>
                        <wps:wsp>
                          <wps:cNvPr id="10" name="文本框 10"/>
                          <wps:cNvSpPr txBox="1"/>
                          <wps:spPr>
                            <a:xfrm>
                              <a:off x="11836" y="441470"/>
                              <a:ext cx="68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E57834">
                                <w:r>
                                  <w:rPr>
                                    <w:rFonts w:hint="eastAsia"/>
                                  </w:rPr>
                                  <w:t>尾气</w:t>
                                </w:r>
                              </w:p>
                            </w:txbxContent>
                          </wps:txbx>
                          <wps:bodyPr lIns="46800" tIns="45720" rIns="46800" bIns="45720" upright="1"/>
                        </wps:wsp>
                        <wps:wsp>
                          <wps:cNvPr id="11" name="文本框 11"/>
                          <wps:cNvSpPr txBox="1"/>
                          <wps:spPr>
                            <a:xfrm>
                              <a:off x="9809" y="440294"/>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129766">
                                <w:r>
                                  <w:rPr>
                                    <w:rFonts w:hint="eastAsia"/>
                                  </w:rPr>
                                  <w:t>母液</w:t>
                                </w:r>
                              </w:p>
                            </w:txbxContent>
                          </wps:txbx>
                          <wps:bodyPr lIns="46800" tIns="45720" rIns="46800" bIns="45720" upright="1"/>
                        </wps:wsp>
                        <wps:wsp>
                          <wps:cNvPr id="12" name="文本框 12"/>
                          <wps:cNvSpPr txBox="1"/>
                          <wps:spPr>
                            <a:xfrm>
                              <a:off x="9492" y="441111"/>
                              <a:ext cx="11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78B741">
                                <w:r>
                                  <w:rPr>
                                    <w:rFonts w:hint="eastAsia"/>
                                  </w:rPr>
                                  <w:t>冷却上水</w:t>
                                </w:r>
                              </w:p>
                            </w:txbxContent>
                          </wps:txbx>
                          <wps:bodyPr lIns="46800" tIns="45720" rIns="46800" bIns="45720" upright="1"/>
                        </wps:wsp>
                        <wps:wsp>
                          <wps:cNvPr id="13" name="文本框 13"/>
                          <wps:cNvSpPr txBox="1"/>
                          <wps:spPr>
                            <a:xfrm>
                              <a:off x="8252" y="438770"/>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4847C50">
                                <w:r>
                                  <w:rPr>
                                    <w:rFonts w:hint="eastAsia"/>
                                  </w:rPr>
                                  <w:t>母液</w:t>
                                </w:r>
                              </w:p>
                            </w:txbxContent>
                          </wps:txbx>
                          <wps:bodyPr lIns="46800" tIns="45720" rIns="46800" bIns="45720" upright="1"/>
                        </wps:wsp>
                        <wps:wsp>
                          <wps:cNvPr id="14" name="文本框 14"/>
                          <wps:cNvSpPr txBox="1"/>
                          <wps:spPr>
                            <a:xfrm>
                              <a:off x="13921" y="441483"/>
                              <a:ext cx="685"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EE5C81">
                                <w:r>
                                  <w:rPr>
                                    <w:rFonts w:hint="eastAsia"/>
                                  </w:rPr>
                                  <w:t>尾气</w:t>
                                </w:r>
                              </w:p>
                            </w:txbxContent>
                          </wps:txbx>
                          <wps:bodyPr lIns="46800" tIns="45720" rIns="46800" bIns="45720" upright="1"/>
                        </wps:wsp>
                        <wps:wsp>
                          <wps:cNvPr id="15" name="流程图: 过程 15"/>
                          <wps:cNvSpPr/>
                          <wps:spPr>
                            <a:xfrm>
                              <a:off x="7286" y="43890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930A1">
                                <w:r>
                                  <w:rPr>
                                    <w:rFonts w:hint="eastAsia"/>
                                  </w:rPr>
                                  <w:t>母液槽</w:t>
                                </w:r>
                              </w:p>
                            </w:txbxContent>
                          </wps:txbx>
                          <wps:bodyPr lIns="46800" tIns="45720" rIns="46800" bIns="45720" upright="1"/>
                        </wps:wsp>
                        <wps:wsp>
                          <wps:cNvPr id="16" name="流程图: 过程 16"/>
                          <wps:cNvSpPr/>
                          <wps:spPr>
                            <a:xfrm>
                              <a:off x="8945" y="438896"/>
                              <a:ext cx="1250"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3D5272">
                                <w:r>
                                  <w:rPr>
                                    <w:rFonts w:hint="eastAsia"/>
                                  </w:rPr>
                                  <w:t>母液高位槽</w:t>
                                </w:r>
                              </w:p>
                            </w:txbxContent>
                          </wps:txbx>
                          <wps:bodyPr lIns="46800" tIns="45720" rIns="46800" bIns="45720" upright="1"/>
                        </wps:wsp>
                        <wps:wsp>
                          <wps:cNvPr id="17" name="直接连接符 17"/>
                          <wps:cNvCnPr/>
                          <wps:spPr>
                            <a:xfrm>
                              <a:off x="13875" y="437976"/>
                              <a:ext cx="3" cy="936"/>
                            </a:xfrm>
                            <a:prstGeom prst="line">
                              <a:avLst/>
                            </a:prstGeom>
                            <a:ln w="9525" cap="flat" cmpd="sng">
                              <a:solidFill>
                                <a:srgbClr val="000000"/>
                              </a:solidFill>
                              <a:prstDash val="solid"/>
                              <a:round/>
                              <a:headEnd type="none" w="med" len="med"/>
                              <a:tailEnd type="none" w="lg" len="med"/>
                            </a:ln>
                          </wps:spPr>
                          <wps:bodyPr upright="1"/>
                        </wps:wsp>
                        <wps:wsp>
                          <wps:cNvPr id="18" name="直接连接符 18"/>
                          <wps:cNvCnPr/>
                          <wps:spPr>
                            <a:xfrm>
                              <a:off x="13723" y="441958"/>
                              <a:ext cx="916" cy="1"/>
                            </a:xfrm>
                            <a:prstGeom prst="line">
                              <a:avLst/>
                            </a:prstGeom>
                            <a:ln w="9525" cap="flat" cmpd="sng">
                              <a:solidFill>
                                <a:srgbClr val="000000"/>
                              </a:solidFill>
                              <a:prstDash val="solid"/>
                              <a:round/>
                              <a:headEnd type="none" w="med" len="med"/>
                              <a:tailEnd type="triangle" w="med" len="med"/>
                            </a:ln>
                          </wps:spPr>
                          <wps:bodyPr upright="1"/>
                        </wps:wsp>
                        <wps:wsp>
                          <wps:cNvPr id="19" name="流程图: 过程 19"/>
                          <wps:cNvSpPr/>
                          <wps:spPr>
                            <a:xfrm>
                              <a:off x="11352" y="438885"/>
                              <a:ext cx="123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8EF18D">
                                <w:r>
                                  <w:rPr>
                                    <w:rFonts w:hint="eastAsia"/>
                                  </w:rPr>
                                  <w:t>升膜蒸发器</w:t>
                                </w:r>
                              </w:p>
                            </w:txbxContent>
                          </wps:txbx>
                          <wps:bodyPr lIns="46800" tIns="45720" rIns="46800" bIns="45720" upright="1"/>
                        </wps:wsp>
                        <wps:wsp>
                          <wps:cNvPr id="20" name="流程图: 过程 20"/>
                          <wps:cNvSpPr/>
                          <wps:spPr>
                            <a:xfrm>
                              <a:off x="13509" y="438891"/>
                              <a:ext cx="1237"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6075CC">
                                <w:r>
                                  <w:rPr>
                                    <w:rFonts w:hint="eastAsia"/>
                                  </w:rPr>
                                  <w:t>气液分离罐</w:t>
                                </w:r>
                              </w:p>
                            </w:txbxContent>
                          </wps:txbx>
                          <wps:bodyPr lIns="46800" tIns="45720" rIns="46800" bIns="45720" upright="1"/>
                        </wps:wsp>
                        <wps:wsp>
                          <wps:cNvPr id="21" name="矩形 21"/>
                          <wps:cNvSpPr/>
                          <wps:spPr>
                            <a:xfrm>
                              <a:off x="10552" y="439998"/>
                              <a:ext cx="484" cy="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08138"/>
                              <w:p w14:paraId="3E443985">
                                <w:r>
                                  <w:rPr>
                                    <w:rFonts w:hint="eastAsia"/>
                                  </w:rPr>
                                  <w:t>冷凝器</w:t>
                                </w:r>
                              </w:p>
                            </w:txbxContent>
                          </wps:txbx>
                          <wps:bodyPr upright="1"/>
                        </wps:wsp>
                        <wps:wsp>
                          <wps:cNvPr id="22" name="直接连接符 22"/>
                          <wps:cNvCnPr/>
                          <wps:spPr>
                            <a:xfrm>
                              <a:off x="10552" y="440900"/>
                              <a:ext cx="500" cy="1"/>
                            </a:xfrm>
                            <a:prstGeom prst="line">
                              <a:avLst/>
                            </a:prstGeom>
                            <a:ln w="9525" cap="flat" cmpd="sng">
                              <a:solidFill>
                                <a:srgbClr val="000000"/>
                              </a:solidFill>
                              <a:prstDash val="solid"/>
                              <a:round/>
                              <a:headEnd type="none" w="med" len="med"/>
                              <a:tailEnd type="none" w="med" len="med"/>
                            </a:ln>
                          </wps:spPr>
                          <wps:bodyPr upright="1"/>
                        </wps:wsp>
                        <wps:wsp>
                          <wps:cNvPr id="23" name="直接连接符 23"/>
                          <wps:cNvCnPr/>
                          <wps:spPr>
                            <a:xfrm>
                              <a:off x="9585" y="439350"/>
                              <a:ext cx="1" cy="1400"/>
                            </a:xfrm>
                            <a:prstGeom prst="line">
                              <a:avLst/>
                            </a:prstGeom>
                            <a:ln w="9525" cap="flat" cmpd="sng">
                              <a:solidFill>
                                <a:srgbClr val="000000"/>
                              </a:solidFill>
                              <a:prstDash val="solid"/>
                              <a:round/>
                              <a:headEnd type="none" w="med" len="med"/>
                              <a:tailEnd type="none" w="med" len="med"/>
                            </a:ln>
                          </wps:spPr>
                          <wps:bodyPr upright="1"/>
                        </wps:wsp>
                        <wps:wsp>
                          <wps:cNvPr id="24" name="直接连接符 24"/>
                          <wps:cNvCnPr/>
                          <wps:spPr>
                            <a:xfrm flipV="1">
                              <a:off x="9586" y="440735"/>
                              <a:ext cx="966" cy="15"/>
                            </a:xfrm>
                            <a:prstGeom prst="line">
                              <a:avLst/>
                            </a:prstGeom>
                            <a:ln w="9525" cap="flat" cmpd="sng">
                              <a:solidFill>
                                <a:srgbClr val="000000"/>
                              </a:solidFill>
                              <a:prstDash val="solid"/>
                              <a:round/>
                              <a:headEnd type="none" w="med" len="med"/>
                              <a:tailEnd type="triangle" w="med" len="med"/>
                            </a:ln>
                          </wps:spPr>
                          <wps:bodyPr upright="1"/>
                        </wps:wsp>
                        <wps:wsp>
                          <wps:cNvPr id="25" name="直接连接符 25"/>
                          <wps:cNvCnPr/>
                          <wps:spPr>
                            <a:xfrm flipH="1">
                              <a:off x="11734" y="439350"/>
                              <a:ext cx="1" cy="799"/>
                            </a:xfrm>
                            <a:prstGeom prst="line">
                              <a:avLst/>
                            </a:prstGeom>
                            <a:ln w="9525" cap="flat" cmpd="sng">
                              <a:solidFill>
                                <a:srgbClr val="000000"/>
                              </a:solidFill>
                              <a:prstDash val="solid"/>
                              <a:round/>
                              <a:headEnd type="triangle" w="med" len="med"/>
                              <a:tailEnd type="none" w="med" len="med"/>
                            </a:ln>
                          </wps:spPr>
                          <wps:bodyPr upright="1"/>
                        </wps:wsp>
                        <wps:wsp>
                          <wps:cNvPr id="26" name="直接连接符 26"/>
                          <wps:cNvCnPr/>
                          <wps:spPr>
                            <a:xfrm flipH="1">
                              <a:off x="11035" y="440132"/>
                              <a:ext cx="689" cy="2"/>
                            </a:xfrm>
                            <a:prstGeom prst="line">
                              <a:avLst/>
                            </a:prstGeom>
                            <a:ln w="9525" cap="flat" cmpd="sng">
                              <a:solidFill>
                                <a:srgbClr val="000000"/>
                              </a:solidFill>
                              <a:prstDash val="solid"/>
                              <a:round/>
                              <a:headEnd type="none" w="med" len="med"/>
                              <a:tailEnd type="none" w="med" len="med"/>
                            </a:ln>
                          </wps:spPr>
                          <wps:bodyPr upright="1"/>
                        </wps:wsp>
                        <wps:wsp>
                          <wps:cNvPr id="27" name="直接连接符 27"/>
                          <wps:cNvCnPr/>
                          <wps:spPr>
                            <a:xfrm flipV="1">
                              <a:off x="8090" y="439166"/>
                              <a:ext cx="915" cy="1"/>
                            </a:xfrm>
                            <a:prstGeom prst="line">
                              <a:avLst/>
                            </a:prstGeom>
                            <a:ln w="9525" cap="flat" cmpd="sng">
                              <a:solidFill>
                                <a:srgbClr val="000000"/>
                              </a:solidFill>
                              <a:prstDash val="solid"/>
                              <a:round/>
                              <a:headEnd type="none" w="med" len="med"/>
                              <a:tailEnd type="triangle" w="med" len="med"/>
                            </a:ln>
                          </wps:spPr>
                          <wps:bodyPr upright="1"/>
                        </wps:wsp>
                        <wps:wsp>
                          <wps:cNvPr id="28" name="直接连接符 28"/>
                          <wps:cNvCnPr/>
                          <wps:spPr>
                            <a:xfrm flipH="1" flipV="1">
                              <a:off x="10819" y="437997"/>
                              <a:ext cx="1" cy="1983"/>
                            </a:xfrm>
                            <a:prstGeom prst="line">
                              <a:avLst/>
                            </a:prstGeom>
                            <a:ln w="9525" cap="flat" cmpd="sng">
                              <a:solidFill>
                                <a:srgbClr val="000000"/>
                              </a:solidFill>
                              <a:prstDash val="solid"/>
                              <a:round/>
                              <a:headEnd type="triangle" w="med" len="med"/>
                              <a:tailEnd type="none" w="med" len="med"/>
                            </a:ln>
                          </wps:spPr>
                          <wps:bodyPr upright="1"/>
                        </wps:wsp>
                        <wps:wsp>
                          <wps:cNvPr id="29" name="直接连接符 29"/>
                          <wps:cNvCnPr/>
                          <wps:spPr>
                            <a:xfrm>
                              <a:off x="10819" y="437997"/>
                              <a:ext cx="3050" cy="15"/>
                            </a:xfrm>
                            <a:prstGeom prst="line">
                              <a:avLst/>
                            </a:prstGeom>
                            <a:ln w="9525" cap="flat" cmpd="sng">
                              <a:solidFill>
                                <a:srgbClr val="000000"/>
                              </a:solidFill>
                              <a:prstDash val="solid"/>
                              <a:round/>
                              <a:headEnd type="none" w="med" len="med"/>
                              <a:tailEnd type="none" w="med" len="med"/>
                            </a:ln>
                          </wps:spPr>
                          <wps:bodyPr upright="1"/>
                        </wps:wsp>
                        <wps:wsp>
                          <wps:cNvPr id="30" name="直接连接符 30"/>
                          <wps:cNvCnPr/>
                          <wps:spPr>
                            <a:xfrm>
                              <a:off x="10802" y="441714"/>
                              <a:ext cx="1" cy="683"/>
                            </a:xfrm>
                            <a:prstGeom prst="line">
                              <a:avLst/>
                            </a:prstGeom>
                            <a:ln w="9525" cap="flat" cmpd="sng">
                              <a:solidFill>
                                <a:srgbClr val="000000"/>
                              </a:solidFill>
                              <a:prstDash val="solid"/>
                              <a:round/>
                              <a:headEnd type="none" w="med" len="med"/>
                              <a:tailEnd type="triangle" w="med" len="med"/>
                            </a:ln>
                          </wps:spPr>
                          <wps:bodyPr upright="1"/>
                        </wps:wsp>
                        <wps:wsp>
                          <wps:cNvPr id="31" name="流程图: 过程 31"/>
                          <wps:cNvSpPr/>
                          <wps:spPr>
                            <a:xfrm>
                              <a:off x="10625" y="442393"/>
                              <a:ext cx="1401"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B016BC">
                                <w:pPr>
                                  <w:ind w:firstLine="210" w:firstLineChars="100"/>
                                </w:pPr>
                                <w:r>
                                  <w:rPr>
                                    <w:rFonts w:hint="eastAsia"/>
                                  </w:rPr>
                                  <w:t>轻组分罐</w:t>
                                </w:r>
                              </w:p>
                            </w:txbxContent>
                          </wps:txbx>
                          <wps:bodyPr lIns="46800" tIns="45720" rIns="46800" bIns="45720" upright="1"/>
                        </wps:wsp>
                        <wps:wsp>
                          <wps:cNvPr id="32" name="直接连接符 32"/>
                          <wps:cNvCnPr/>
                          <wps:spPr>
                            <a:xfrm flipV="1">
                              <a:off x="12597" y="439125"/>
                              <a:ext cx="915" cy="1"/>
                            </a:xfrm>
                            <a:prstGeom prst="line">
                              <a:avLst/>
                            </a:prstGeom>
                            <a:ln w="9525" cap="flat" cmpd="sng">
                              <a:solidFill>
                                <a:srgbClr val="000000"/>
                              </a:solidFill>
                              <a:prstDash val="solid"/>
                              <a:round/>
                              <a:headEnd type="none" w="med" len="med"/>
                              <a:tailEnd type="triangle" w="med" len="med"/>
                            </a:ln>
                          </wps:spPr>
                          <wps:bodyPr upright="1"/>
                        </wps:wsp>
                        <wps:wsp>
                          <wps:cNvPr id="33" name="直接连接符 33"/>
                          <wps:cNvCnPr/>
                          <wps:spPr>
                            <a:xfrm>
                              <a:off x="11741" y="441937"/>
                              <a:ext cx="1" cy="465"/>
                            </a:xfrm>
                            <a:prstGeom prst="line">
                              <a:avLst/>
                            </a:prstGeom>
                            <a:ln w="9525" cap="flat" cmpd="sng">
                              <a:solidFill>
                                <a:srgbClr val="000000"/>
                              </a:solidFill>
                              <a:prstDash val="solid"/>
                              <a:round/>
                              <a:headEnd type="none" w="med" len="med"/>
                              <a:tailEnd type="none" w="med" len="med"/>
                            </a:ln>
                          </wps:spPr>
                          <wps:bodyPr upright="1"/>
                        </wps:wsp>
                        <wps:wsp>
                          <wps:cNvPr id="34" name="直接连接符 34"/>
                          <wps:cNvCnPr/>
                          <wps:spPr>
                            <a:xfrm flipV="1">
                              <a:off x="11751" y="441932"/>
                              <a:ext cx="817" cy="15"/>
                            </a:xfrm>
                            <a:prstGeom prst="line">
                              <a:avLst/>
                            </a:prstGeom>
                            <a:ln w="9525" cap="flat" cmpd="sng">
                              <a:solidFill>
                                <a:srgbClr val="000000"/>
                              </a:solidFill>
                              <a:prstDash val="solid"/>
                              <a:round/>
                              <a:headEnd type="none" w="med" len="med"/>
                              <a:tailEnd type="triangle" w="med" len="med"/>
                            </a:ln>
                          </wps:spPr>
                          <wps:bodyPr upright="1"/>
                        </wps:wsp>
                        <wps:wsp>
                          <wps:cNvPr id="35" name="流程图: 过程 35"/>
                          <wps:cNvSpPr/>
                          <wps:spPr>
                            <a:xfrm>
                              <a:off x="12549" y="441748"/>
                              <a:ext cx="1269"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76FD56">
                                <w:r>
                                  <w:rPr>
                                    <w:rFonts w:hint="eastAsia"/>
                                  </w:rPr>
                                  <w:t>真空冷凝器</w:t>
                                </w:r>
                              </w:p>
                            </w:txbxContent>
                          </wps:txbx>
                          <wps:bodyPr lIns="46800" tIns="45720" rIns="46800" bIns="45720" upright="1"/>
                        </wps:wsp>
                        <wps:wsp>
                          <wps:cNvPr id="36" name="直接连接符 36"/>
                          <wps:cNvCnPr/>
                          <wps:spPr>
                            <a:xfrm flipH="1" flipV="1">
                              <a:off x="11979" y="438246"/>
                              <a:ext cx="1" cy="666"/>
                            </a:xfrm>
                            <a:prstGeom prst="line">
                              <a:avLst/>
                            </a:prstGeom>
                            <a:ln w="9525" cap="flat" cmpd="sng">
                              <a:solidFill>
                                <a:srgbClr val="000000"/>
                              </a:solidFill>
                              <a:prstDash val="solid"/>
                              <a:round/>
                              <a:headEnd type="triangle" w="med" len="med"/>
                              <a:tailEnd type="none" w="med" len="med"/>
                            </a:ln>
                          </wps:spPr>
                          <wps:bodyPr upright="1"/>
                        </wps:wsp>
                        <wps:wsp>
                          <wps:cNvPr id="37" name="直接连接符 37"/>
                          <wps:cNvCnPr/>
                          <wps:spPr>
                            <a:xfrm flipV="1">
                              <a:off x="9610" y="441525"/>
                              <a:ext cx="966" cy="15"/>
                            </a:xfrm>
                            <a:prstGeom prst="line">
                              <a:avLst/>
                            </a:prstGeom>
                            <a:ln w="9525" cap="flat" cmpd="sng">
                              <a:solidFill>
                                <a:srgbClr val="000000"/>
                              </a:solidFill>
                              <a:prstDash val="solid"/>
                              <a:round/>
                              <a:headEnd type="none" w="med" len="med"/>
                              <a:tailEnd type="triangle" w="med" len="med"/>
                            </a:ln>
                          </wps:spPr>
                          <wps:bodyPr upright="1"/>
                        </wps:wsp>
                        <wps:wsp>
                          <wps:cNvPr id="38" name="直接连接符 38"/>
                          <wps:cNvCnPr/>
                          <wps:spPr>
                            <a:xfrm flipV="1">
                              <a:off x="11050" y="440998"/>
                              <a:ext cx="966" cy="15"/>
                            </a:xfrm>
                            <a:prstGeom prst="line">
                              <a:avLst/>
                            </a:prstGeom>
                            <a:ln w="9525" cap="flat" cmpd="sng">
                              <a:solidFill>
                                <a:srgbClr val="000000"/>
                              </a:solidFill>
                              <a:prstDash val="solid"/>
                              <a:round/>
                              <a:headEnd type="none" w="med" len="med"/>
                              <a:tailEnd type="triangle" w="med" len="med"/>
                            </a:ln>
                          </wps:spPr>
                          <wps:bodyPr upright="1"/>
                        </wps:wsp>
                        <wps:wsp>
                          <wps:cNvPr id="39" name="直接连接符 39"/>
                          <wps:cNvCnPr/>
                          <wps:spPr>
                            <a:xfrm>
                              <a:off x="13758" y="439356"/>
                              <a:ext cx="16" cy="633"/>
                            </a:xfrm>
                            <a:prstGeom prst="line">
                              <a:avLst/>
                            </a:prstGeom>
                            <a:ln w="9525" cap="flat" cmpd="sng">
                              <a:solidFill>
                                <a:srgbClr val="000000"/>
                              </a:solidFill>
                              <a:prstDash val="solid"/>
                              <a:round/>
                              <a:headEnd type="none" w="med" len="med"/>
                              <a:tailEnd type="none" w="med" len="med"/>
                            </a:ln>
                          </wps:spPr>
                          <wps:bodyPr upright="1"/>
                        </wps:wsp>
                        <wps:wsp>
                          <wps:cNvPr id="40" name="直接连接符 40"/>
                          <wps:cNvCnPr/>
                          <wps:spPr>
                            <a:xfrm flipH="1" flipV="1">
                              <a:off x="12417" y="440114"/>
                              <a:ext cx="318" cy="16"/>
                            </a:xfrm>
                            <a:prstGeom prst="line">
                              <a:avLst/>
                            </a:prstGeom>
                            <a:ln w="9525" cap="flat" cmpd="sng">
                              <a:solidFill>
                                <a:srgbClr val="000000"/>
                              </a:solidFill>
                              <a:prstDash val="solid"/>
                              <a:round/>
                              <a:headEnd type="none" w="med" len="med"/>
                              <a:tailEnd type="none" w="med" len="med"/>
                            </a:ln>
                          </wps:spPr>
                          <wps:bodyPr upright="1"/>
                        </wps:wsp>
                        <wps:wsp>
                          <wps:cNvPr id="41" name="直接连接符 41"/>
                          <wps:cNvCnPr/>
                          <wps:spPr>
                            <a:xfrm flipH="1">
                              <a:off x="12423" y="439340"/>
                              <a:ext cx="1" cy="799"/>
                            </a:xfrm>
                            <a:prstGeom prst="line">
                              <a:avLst/>
                            </a:prstGeom>
                            <a:ln w="9525" cap="flat" cmpd="sng">
                              <a:solidFill>
                                <a:srgbClr val="000000"/>
                              </a:solidFill>
                              <a:prstDash val="solid"/>
                              <a:round/>
                              <a:headEnd type="triangle" w="med" len="med"/>
                              <a:tailEnd type="none" w="med" len="med"/>
                            </a:ln>
                          </wps:spPr>
                          <wps:bodyPr upright="1"/>
                        </wps:wsp>
                        <wps:wsp>
                          <wps:cNvPr id="42" name="流程图: 过程 42"/>
                          <wps:cNvSpPr/>
                          <wps:spPr>
                            <a:xfrm>
                              <a:off x="12699" y="43988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7BE242">
                                <w:r>
                                  <w:rPr>
                                    <w:rFonts w:hint="eastAsia"/>
                                  </w:rPr>
                                  <w:t>循环泵</w:t>
                                </w:r>
                              </w:p>
                            </w:txbxContent>
                          </wps:txbx>
                          <wps:bodyPr lIns="46800" tIns="45720" rIns="46800" bIns="45720" upright="1"/>
                        </wps:wsp>
                        <wps:wsp>
                          <wps:cNvPr id="43" name="直接连接符 43"/>
                          <wps:cNvCnPr/>
                          <wps:spPr>
                            <a:xfrm>
                              <a:off x="9632" y="442613"/>
                              <a:ext cx="984" cy="2"/>
                            </a:xfrm>
                            <a:prstGeom prst="line">
                              <a:avLst/>
                            </a:prstGeom>
                            <a:ln w="9525" cap="flat" cmpd="sng">
                              <a:solidFill>
                                <a:srgbClr val="000000"/>
                              </a:solidFill>
                              <a:prstDash val="solid"/>
                              <a:round/>
                              <a:headEnd type="triangle" w="med" len="med"/>
                              <a:tailEnd type="none" w="med" len="med"/>
                            </a:ln>
                          </wps:spPr>
                          <wps:bodyPr upright="1"/>
                        </wps:wsp>
                        <wps:wsp>
                          <wps:cNvPr id="44" name="流程图: 过程 44"/>
                          <wps:cNvSpPr/>
                          <wps:spPr>
                            <a:xfrm>
                              <a:off x="8825" y="442359"/>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83D790">
                                <w:pPr>
                                  <w:ind w:firstLine="210" w:firstLineChars="100"/>
                                </w:pPr>
                                <w:r>
                                  <w:rPr>
                                    <w:rFonts w:hint="eastAsia"/>
                                  </w:rPr>
                                  <w:t>泵</w:t>
                                </w:r>
                              </w:p>
                            </w:txbxContent>
                          </wps:txbx>
                          <wps:bodyPr lIns="46800" tIns="45720" rIns="46800" bIns="45720" upright="1"/>
                        </wps:wsp>
                        <wps:wsp>
                          <wps:cNvPr id="45" name="直接连接符 45"/>
                          <wps:cNvCnPr/>
                          <wps:spPr>
                            <a:xfrm flipV="1">
                              <a:off x="8209" y="442574"/>
                              <a:ext cx="616" cy="15"/>
                            </a:xfrm>
                            <a:prstGeom prst="line">
                              <a:avLst/>
                            </a:prstGeom>
                            <a:ln w="9525" cap="flat" cmpd="sng">
                              <a:solidFill>
                                <a:srgbClr val="000000"/>
                              </a:solidFill>
                              <a:prstDash val="solid"/>
                              <a:round/>
                              <a:headEnd type="triangle" w="med" len="med"/>
                              <a:tailEnd type="none" w="med" len="med"/>
                            </a:ln>
                          </wps:spPr>
                          <wps:bodyPr upright="1"/>
                        </wps:wsp>
                        <wps:wsp>
                          <wps:cNvPr id="46" name="流程图: 过程 46"/>
                          <wps:cNvSpPr/>
                          <wps:spPr>
                            <a:xfrm>
                              <a:off x="6751" y="442343"/>
                              <a:ext cx="1462" cy="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C53A2B">
                                <w:r>
                                  <w:rPr>
                                    <w:rFonts w:hint="eastAsia"/>
                                  </w:rPr>
                                  <w:t>轻组分中间釜</w:t>
                                </w:r>
                              </w:p>
                            </w:txbxContent>
                          </wps:txbx>
                          <wps:bodyPr lIns="46800" tIns="45720" rIns="46800" bIns="45720" upright="1"/>
                        </wps:wsp>
                        <wps:wsp>
                          <wps:cNvPr id="47" name="直接连接符 47"/>
                          <wps:cNvCnPr/>
                          <wps:spPr>
                            <a:xfrm flipH="1" flipV="1">
                              <a:off x="13490" y="439971"/>
                              <a:ext cx="285" cy="16"/>
                            </a:xfrm>
                            <a:prstGeom prst="line">
                              <a:avLst/>
                            </a:prstGeom>
                            <a:ln w="9525" cap="flat" cmpd="sng">
                              <a:solidFill>
                                <a:srgbClr val="000000"/>
                              </a:solidFill>
                              <a:prstDash val="solid"/>
                              <a:round/>
                              <a:headEnd type="none" w="med" len="med"/>
                              <a:tailEnd type="none" w="med" len="med"/>
                            </a:ln>
                          </wps:spPr>
                          <wps:bodyPr upright="1"/>
                        </wps:wsp>
                        <wps:wsp>
                          <wps:cNvPr id="48" name="直接连接符 48"/>
                          <wps:cNvCnPr/>
                          <wps:spPr>
                            <a:xfrm>
                              <a:off x="13503" y="440216"/>
                              <a:ext cx="1232" cy="16"/>
                            </a:xfrm>
                            <a:prstGeom prst="line">
                              <a:avLst/>
                            </a:prstGeom>
                            <a:ln w="9525" cap="flat" cmpd="sng">
                              <a:solidFill>
                                <a:srgbClr val="000000"/>
                              </a:solidFill>
                              <a:prstDash val="solid"/>
                              <a:round/>
                              <a:headEnd type="none" w="med" len="med"/>
                              <a:tailEnd type="triangle" w="med" len="med"/>
                            </a:ln>
                          </wps:spPr>
                          <wps:bodyPr upright="1"/>
                        </wps:wsp>
                        <wps:wsp>
                          <wps:cNvPr id="49" name="流程图: 过程 49"/>
                          <wps:cNvSpPr/>
                          <wps:spPr>
                            <a:xfrm>
                              <a:off x="14742" y="440024"/>
                              <a:ext cx="1463"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AED037">
                                <w:r>
                                  <w:rPr>
                                    <w:rFonts w:hint="eastAsia"/>
                                  </w:rPr>
                                  <w:t>重组分冷却釜</w:t>
                                </w:r>
                              </w:p>
                            </w:txbxContent>
                          </wps:txbx>
                          <wps:bodyPr lIns="46800" tIns="45720" rIns="46800" bIns="45720" upright="1"/>
                        </wps:wsp>
                        <wps:wsp>
                          <wps:cNvPr id="50" name="流程图: 过程 50"/>
                          <wps:cNvSpPr/>
                          <wps:spPr>
                            <a:xfrm>
                              <a:off x="14619" y="441673"/>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463A71">
                                <w:r>
                                  <w:rPr>
                                    <w:rFonts w:hint="eastAsia"/>
                                  </w:rPr>
                                  <w:t>真空泵</w:t>
                                </w:r>
                              </w:p>
                            </w:txbxContent>
                          </wps:txbx>
                          <wps:bodyPr lIns="46800" tIns="45720" rIns="46800" bIns="45720" upright="1"/>
                        </wps:wsp>
                      </wpg:grpSp>
                    </wpg:wgp>
                  </a:graphicData>
                </a:graphic>
              </wp:anchor>
            </w:drawing>
          </mc:Choice>
          <mc:Fallback>
            <w:pict>
              <v:group id="_x0000_s1026" o:spid="_x0000_s1026" o:spt="203" style="position:absolute;left:0pt;margin-left:-1.9pt;margin-top:-25.85pt;height:214.25pt;width:419.4pt;z-index:251659264;mso-width-relative:page;mso-height-relative:page;" coordorigin="7051,437808" coordsize="9453,5230" o:gfxdata="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">
                <o:lock v:ext="edit" aspectratio="f"/>
                <v:shape id="_x0000_s1026" o:spid="_x0000_s1026" o:spt="202" type="#_x0000_t202" style="position:absolute;left:12292;top:437808;height:472;width:666;" fillcolor="#FFFFFF" filled="t" stroked="t" coordsize="21600,21600" o:gfxdata="UEsDBAoAAAAAAIdO4kAAAAAAAAAAAAAAAAAEAAAAZHJzL1BLAwQUAAAACACHTuJAXuhYsb4AAADa&#10;AAAADwAAAGRycy9kb3ducmV2LnhtbEWPQWvCQBSE70L/w/IKXkQ3Sik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hYsb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2E8B37F7">
                        <w:r>
                          <w:rPr>
                            <w:rFonts w:hint="eastAsia"/>
                          </w:rPr>
                          <w:t>气相</w:t>
                        </w:r>
                      </w:p>
                    </w:txbxContent>
                  </v:textbox>
                </v:shape>
                <v:group id="_x0000_s1026" o:spid="_x0000_s1026" o:spt="203" style="position:absolute;left:7051;top:438171;height:4867;width:9453;" coordorigin="6751,437976" coordsize="9454,486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1050;top:440551;height:472;width:1101;" fillcolor="#FFFFFF" filled="t" stroked="t" coordsize="21600,21600" o:gfxdata="UEsDBAoAAAAAAIdO4kAAAAAAAAAAAAAAAAAEAAAAZHJzL1BLAwQUAAAACACHTuJAMaT9Kr4AAADa&#10;AAAADwAAAGRycy9kb3ducmV2LnhtbEWPQWvCQBSE70L/w/IKXkQ3Ci0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T9K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32EB6041">
                          <w:r>
                            <w:rPr>
                              <w:rFonts w:hint="eastAsia"/>
                            </w:rPr>
                            <w:t>冷却回水</w:t>
                          </w:r>
                        </w:p>
                      </w:txbxContent>
                    </v:textbox>
                  </v:shape>
                  <v:shape id="_x0000_s1026" o:spid="_x0000_s1026" o:spt="202" type="#_x0000_t202" style="position:absolute;left:11183;top:439684;height:472;width:801;" fillcolor="#FFFFFF" filled="t" stroked="t" coordsize="21600,21600" o:gfxdata="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2Y12/&#10;AAAA2g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4E94A6A2">
                          <w:r>
                            <w:rPr>
                              <w:rFonts w:hint="eastAsia"/>
                            </w:rPr>
                            <w:t>母液</w:t>
                          </w:r>
                        </w:p>
                      </w:txbxContent>
                    </v:textbox>
                  </v:shape>
                  <v:shape id="_x0000_s1026" o:spid="_x0000_s1026" o:spt="202" type="#_x0000_t202" style="position:absolute;left:12044;top:438372;height:472;width:667;" fillcolor="#FFFFFF" filled="t" stroked="t" coordsize="21600,21600" o:gfxdata="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Gx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4F9F999D">
                          <w:r>
                            <w:rPr>
                              <w:rFonts w:hint="eastAsia"/>
                            </w:rPr>
                            <w:t>蒸汽</w:t>
                          </w:r>
                        </w:p>
                      </w:txbxContent>
                    </v:textbox>
                  </v:shape>
                  <v:shape id="_x0000_s1026" o:spid="_x0000_s1026" o:spt="202" type="#_x0000_t202" style="position:absolute;left:9829;top:442231;height:472;width:800;" fillcolor="#FFFFFF" filled="t" stroked="t" coordsize="21600,21600" o:gfxdata="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rS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1.3mm,1.27mm,1.3mm,1.27mm">
                      <w:txbxContent>
                        <w:p w14:paraId="28928713">
                          <w:r>
                            <w:rPr>
                              <w:rFonts w:hint="eastAsia"/>
                            </w:rPr>
                            <w:t>轻组分</w:t>
                          </w:r>
                        </w:p>
                      </w:txbxContent>
                    </v:textbox>
                  </v:shape>
                  <v:shape id="_x0000_s1026" o:spid="_x0000_s1026" o:spt="202" type="#_x0000_t202" style="position:absolute;left:13672;top:440157;height:472;width:800;" fillcolor="#FFFFFF" filled="t" stroked="t" coordsize="21600,21600" o:gfxdata="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3L7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718D4149">
                          <w:r>
                            <w:rPr>
                              <w:rFonts w:hint="eastAsia"/>
                            </w:rPr>
                            <w:t>重组分</w:t>
                          </w:r>
                        </w:p>
                      </w:txbxContent>
                    </v:textbox>
                  </v:shape>
                  <v:shape id="_x0000_s1026" o:spid="_x0000_s1026" o:spt="202" type="#_x0000_t202" style="position:absolute;left:11836;top:441470;height:472;width:686;" fillcolor="#FFFFFF" filled="t" stroked="t" coordsize="21600,21600" o:gfxdata="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PdhO/&#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28E57834">
                          <w:r>
                            <w:rPr>
                              <w:rFonts w:hint="eastAsia"/>
                            </w:rPr>
                            <w:t>尾气</w:t>
                          </w:r>
                        </w:p>
                      </w:txbxContent>
                    </v:textbox>
                  </v:shape>
                  <v:shape id="_x0000_s1026" o:spid="_x0000_s1026" o:spt="202" type="#_x0000_t202" style="position:absolute;left:9809;top:440294;height:472;width:800;" fillcolor="#FFFFFF" filled="t" stroked="t" coordsize="21600,21600" o:gfxdata="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OI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71129766">
                          <w:r>
                            <w:rPr>
                              <w:rFonts w:hint="eastAsia"/>
                            </w:rPr>
                            <w:t>母液</w:t>
                          </w:r>
                        </w:p>
                      </w:txbxContent>
                    </v:textbox>
                  </v:shape>
                  <v:shape id="_x0000_s1026" o:spid="_x0000_s1026" o:spt="202" type="#_x0000_t202" style="position:absolute;left:9492;top:441111;height:472;width:1100;" fillcolor="#FFFFFF" filled="t" stroked="t" coordsize="21600,21600" o:gfxdata="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U3/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2978B741">
                          <w:r>
                            <w:rPr>
                              <w:rFonts w:hint="eastAsia"/>
                            </w:rPr>
                            <w:t>冷却上水</w:t>
                          </w:r>
                        </w:p>
                      </w:txbxContent>
                    </v:textbox>
                  </v:shape>
                  <v:shape id="_x0000_s1026" o:spid="_x0000_s1026" o:spt="202" type="#_x0000_t202" style="position:absolute;left:8252;top:438770;height:472;width:800;" fillcolor="#FFFFFF" filled="t" stroked="t" coordsize="21600,21600" o:gfxdata="UEsDBAoAAAAAAIdO4kAAAAAAAAAAAAAAAAAEAAAAZHJzL1BLAwQUAAAACACHTuJAS93oZL0AAADb&#10;AAAADwAAAGRycy9kb3ducmV2LnhtbEVPS2vCQBC+F/oflil4KbrRg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ehk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14847C50">
                          <w:r>
                            <w:rPr>
                              <w:rFonts w:hint="eastAsia"/>
                            </w:rPr>
                            <w:t>母液</w:t>
                          </w:r>
                        </w:p>
                      </w:txbxContent>
                    </v:textbox>
                  </v:shape>
                  <v:shape id="_x0000_s1026" o:spid="_x0000_s1026" o:spt="202" type="#_x0000_t202" style="position:absolute;left:13921;top:441483;height:472;width:685;" fillcolor="#FFFFFF" filled="t" stroked="t" coordsize="21600,21600" o:gfxdata="UEsDBAoAAAAAAIdO4kAAAAAAAAAAAAAAAAAEAAAAZHJzL1BLAwQUAAAACACHTuJAxDRwEL0AAADb&#10;AAAADwAAAGRycy9kb3ducmV2LnhtbEVPS2vCQBC+F/oflil4KbpRi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HAQ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3BEE5C81">
                          <w:r>
                            <w:rPr>
                              <w:rFonts w:hint="eastAsia"/>
                            </w:rPr>
                            <w:t>尾气</w:t>
                          </w:r>
                        </w:p>
                      </w:txbxContent>
                    </v:textbox>
                  </v:shape>
                  <v:shape id="_x0000_s1026" o:spid="_x0000_s1026" o:spt="109" type="#_x0000_t109" style="position:absolute;left:7286;top:438901;height:450;width:804;" fillcolor="#FFFFFF" filled="t" stroked="t" coordsize="21600,21600" o:gfxdata="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5GB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307930A1">
                          <w:r>
                            <w:rPr>
                              <w:rFonts w:hint="eastAsia"/>
                            </w:rPr>
                            <w:t>母液槽</w:t>
                          </w:r>
                        </w:p>
                      </w:txbxContent>
                    </v:textbox>
                  </v:shape>
                  <v:shape id="_x0000_s1026" o:spid="_x0000_s1026" o:spt="109" type="#_x0000_t109" style="position:absolute;left:8945;top:438896;height:450;width:1250;" fillcolor="#FFFFFF" filled="t" stroked="t" coordsize="21600,21600" o:gfxdata="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rhm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173D5272">
                          <w:r>
                            <w:rPr>
                              <w:rFonts w:hint="eastAsia"/>
                            </w:rPr>
                            <w:t>母液高位槽</w:t>
                          </w:r>
                        </w:p>
                      </w:txbxContent>
                    </v:textbox>
                  </v:shape>
                  <v:line id="_x0000_s1026" o:spid="_x0000_s1026" o:spt="20" style="position:absolute;left:13875;top:437976;height:936;width:3;" filled="f" stroked="t" coordsize="21600,21600" o:gfxdata="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FlmvQAA&#10;ANsAAAAPAAAAAAAAAAEAIAAAACIAAABkcnMvZG93bnJldi54bWxQSwECFAAUAAAACACHTuJAMy8F&#10;njsAAAA5AAAAEAAAAAAAAAABACAAAAAMAQAAZHJzL3NoYXBleG1sLnhtbFBLBQYAAAAABgAGAFsB&#10;AAC2AwAAAAA=&#10;">
                    <v:fill on="f" focussize="0,0"/>
                    <v:stroke color="#000000" joinstyle="round" endarrowwidth="wide"/>
                    <v:imagedata o:title=""/>
                    <o:lock v:ext="edit" aspectratio="f"/>
                  </v:line>
                  <v:line id="_x0000_s1026" o:spid="_x0000_s1026" o:spt="20" style="position:absolute;left:13723;top:441958;height:1;width:916;"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1352;top:438885;height:450;width:1234;" fillcolor="#FFFFFF" filled="t" stroked="t" coordsize="21600,21600" o:gfxdata="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bQSE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008EF18D">
                          <w:r>
                            <w:rPr>
                              <w:rFonts w:hint="eastAsia"/>
                            </w:rPr>
                            <w:t>升膜蒸发器</w:t>
                          </w:r>
                        </w:p>
                      </w:txbxContent>
                    </v:textbox>
                  </v:shape>
                  <v:shape id="_x0000_s1026" o:spid="_x0000_s1026" o:spt="109" type="#_x0000_t109" style="position:absolute;left:13509;top:438891;height:450;width:1237;" fillcolor="#FFFFFF" filled="t" stroked="t" coordsize="21600,21600" o:gfxdata="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JxM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226075CC">
                          <w:r>
                            <w:rPr>
                              <w:rFonts w:hint="eastAsia"/>
                            </w:rPr>
                            <w:t>气液分离罐</w:t>
                          </w:r>
                        </w:p>
                      </w:txbxContent>
                    </v:textbox>
                  </v:shape>
                  <v:rect id="_x0000_s1026" o:spid="_x0000_s1026" o:spt="1" style="position:absolute;left:10552;top:439998;height:1700;width:484;"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D08138"/>
                        <w:p w14:paraId="3E443985">
                          <w:r>
                            <w:rPr>
                              <w:rFonts w:hint="eastAsia"/>
                            </w:rPr>
                            <w:t>冷凝器</w:t>
                          </w:r>
                        </w:p>
                      </w:txbxContent>
                    </v:textbox>
                  </v:rect>
                  <v:line id="_x0000_s1026" o:spid="_x0000_s1026" o:spt="20" style="position:absolute;left:10552;top:440900;height:1;width:50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585;top:439350;height:1400;width:1;"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586;top:440735;flip:y;height:15;width:966;" filled="f" stroked="t" coordsize="21600,21600" o:gfxdata="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lFs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34;top:439350;flip:x;height:799;width:1;" filled="f" stroked="t" coordsize="21600,21600" o:gfxdata="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2/I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11035;top:440132;flip:x;height:2;width:689;"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090;top:439166;flip:y;height:1;width:915;"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819;top:437997;flip:x y;height:1983;width:1;" filled="f" stroked="t" coordsize="21600,21600" o:gfxdata="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cEG+8AAAA&#10;2w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line id="_x0000_s1026" o:spid="_x0000_s1026" o:spt="20" style="position:absolute;left:10819;top:437997;height:15;width:305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02;top:441714;height:68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0625;top:442393;height:450;width:1401;" fillcolor="#FFFFFF" filled="t" stroked="t" coordsize="21600,21600" o:gfxdata="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d0J0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61B016BC">
                          <w:pPr>
                            <w:ind w:firstLine="210" w:firstLineChars="100"/>
                          </w:pPr>
                          <w:r>
                            <w:rPr>
                              <w:rFonts w:hint="eastAsia"/>
                            </w:rPr>
                            <w:t>轻组分罐</w:t>
                          </w:r>
                        </w:p>
                      </w:txbxContent>
                    </v:textbox>
                  </v:shape>
                  <v:line id="_x0000_s1026" o:spid="_x0000_s1026" o:spt="20" style="position:absolute;left:12597;top:439125;flip:y;height:1;width:915;" filled="f" stroked="t" coordsize="21600,21600" o:gfxdata="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vf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41;top:441937;height:465;width:1;"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751;top:441932;flip:y;height:15;width:817;" filled="f" stroked="t" coordsize="21600,21600" o:gfxdata="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gB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2549;top:441748;height:450;width:1269;" fillcolor="#FFFFFF" filled="t" stroked="t" coordsize="21600,21600" o:gfxdata="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MR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7876FD56">
                          <w:r>
                            <w:rPr>
                              <w:rFonts w:hint="eastAsia"/>
                            </w:rPr>
                            <w:t>真空冷凝器</w:t>
                          </w:r>
                        </w:p>
                      </w:txbxContent>
                    </v:textbox>
                  </v:shape>
                  <v:line id="_x0000_s1026" o:spid="_x0000_s1026" o:spt="20" style="position:absolute;left:11979;top:438246;flip:x y;height:666;width:1;" filled="f" stroked="t" coordsize="21600,21600" o:gfxdata="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a3W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9610;top:441525;flip:y;height:15;width:966;"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50;top:440998;flip:y;height:15;width:966;"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758;top:439356;height:633;width:16;"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417;top:440114;flip:x y;height:16;width:318;" filled="f" stroked="t" coordsize="21600,21600" o:gfxdata="UEsDBAoAAAAAAIdO4kAAAAAAAAAAAAAAAAAEAAAAZHJzL1BLAwQUAAAACACHTuJAYGppe7cAAADb&#10;AAAADwAAAGRycy9kb3ducmV2LnhtbEVPTWsCMRC9F/wPYQRvNdki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aml7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_x0000_s1026" o:spid="_x0000_s1026" o:spt="20" style="position:absolute;left:12423;top:439340;flip:x;height:799;width:1;" filled="f" stroked="t" coordsize="21600,21600" o:gfxdata="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cg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_x0000_s1026" o:spid="_x0000_s1026" o:spt="109" type="#_x0000_t109" style="position:absolute;left:12699;top:439881;height:450;width:804;" fillcolor="#FFFFFF" filled="t" stroked="t" coordsize="21600,21600" o:gfxdata="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69+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537BE242">
                          <w:r>
                            <w:rPr>
                              <w:rFonts w:hint="eastAsia"/>
                            </w:rPr>
                            <w:t>循环泵</w:t>
                          </w:r>
                        </w:p>
                      </w:txbxContent>
                    </v:textbox>
                  </v:shape>
                  <v:line id="_x0000_s1026" o:spid="_x0000_s1026" o:spt="20" style="position:absolute;left:9632;top:442613;height:2;width:984;" filled="f" stroked="t" coordsize="21600,21600" o:gfxdata="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BGc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8825;top:442359;height:450;width:804;" fillcolor="#FFFFFF" filled="t" stroked="t" coordsize="21600,21600" o:gfxdata="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BpK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0383D790">
                          <w:pPr>
                            <w:ind w:firstLine="210" w:firstLineChars="100"/>
                          </w:pPr>
                          <w:r>
                            <w:rPr>
                              <w:rFonts w:hint="eastAsia"/>
                            </w:rPr>
                            <w:t>泵</w:t>
                          </w:r>
                        </w:p>
                      </w:txbxContent>
                    </v:textbox>
                  </v:shape>
                  <v:line id="_x0000_s1026" o:spid="_x0000_s1026" o:spt="20" style="position:absolute;left:8209;top:442574;flip:y;height:15;width:616;" filled="f" stroked="t" coordsize="21600,21600" o:gfxdata="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lqA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6751;top:442343;height:465;width:1462;" fillcolor="#FFFFFF" filled="t" stroked="t" coordsize="21600,21600" o:gfxdata="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ip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3mm,1.27mm,1.3mm,1.27mm">
                      <w:txbxContent>
                        <w:p w14:paraId="42C53A2B">
                          <w:r>
                            <w:rPr>
                              <w:rFonts w:hint="eastAsia"/>
                            </w:rPr>
                            <w:t>轻组分中间釜</w:t>
                          </w:r>
                        </w:p>
                      </w:txbxContent>
                    </v:textbox>
                  </v:shape>
                  <v:line id="_x0000_s1026" o:spid="_x0000_s1026" o:spt="20" style="position:absolute;left:13490;top:439971;flip:x y;height:16;width:285;" filled="f" stroked="t" coordsize="21600,21600" o:gfxdata="UEsDBAoAAAAAAIdO4kAAAAAAAAAAAAAAAAAEAAAAZHJzL1BLAwQUAAAACACHTuJA74PxD7kAAADb&#10;AAAADwAAAGRycy9kb3ducmV2LnhtbEWPzWoCMRSF94LvEK7QnSYj0h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8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3503;top:440216;height:16;width:1232;"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4742;top:440024;height:450;width:1463;" fillcolor="#FFFFFF" filled="t" stroked="t" coordsize="21600,21600" o:gfxdata="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H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06AED037">
                          <w:r>
                            <w:rPr>
                              <w:rFonts w:hint="eastAsia"/>
                            </w:rPr>
                            <w:t>重组分冷却釜</w:t>
                          </w:r>
                        </w:p>
                      </w:txbxContent>
                    </v:textbox>
                  </v:shape>
                  <v:shape id="_x0000_s1026" o:spid="_x0000_s1026" o:spt="109" type="#_x0000_t109" style="position:absolute;left:14619;top:441673;height:450;width:804;" fillcolor="#FFFFFF" filled="t" stroked="t" coordsize="21600,21600" o:gfxdata="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kAk+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60463A71">
                          <w:r>
                            <w:rPr>
                              <w:rFonts w:hint="eastAsia"/>
                            </w:rPr>
                            <w:t>真空泵</w:t>
                          </w:r>
                        </w:p>
                      </w:txbxContent>
                    </v:textbox>
                  </v:shape>
                </v:group>
              </v:group>
            </w:pict>
          </mc:Fallback>
        </mc:AlternateContent>
      </w:r>
    </w:p>
    <w:p w14:paraId="358B8C90">
      <w:pPr>
        <w:pStyle w:val="9"/>
        <w:rPr>
          <w:rFonts w:hint="eastAsia" w:ascii="仿宋" w:hAnsi="仿宋" w:eastAsia="仿宋" w:cs="仿宋"/>
          <w:color w:val="auto"/>
          <w:sz w:val="30"/>
        </w:rPr>
      </w:pPr>
    </w:p>
    <w:p w14:paraId="2D42ACB1">
      <w:pPr>
        <w:rPr>
          <w:rFonts w:hint="eastAsia" w:ascii="仿宋" w:hAnsi="仿宋" w:eastAsia="仿宋" w:cs="仿宋"/>
          <w:color w:val="auto"/>
          <w:sz w:val="30"/>
        </w:rPr>
      </w:pPr>
    </w:p>
    <w:p w14:paraId="7DF6281F">
      <w:pPr>
        <w:pStyle w:val="9"/>
        <w:rPr>
          <w:rFonts w:hint="eastAsia" w:ascii="仿宋" w:hAnsi="仿宋" w:eastAsia="仿宋" w:cs="仿宋"/>
          <w:color w:val="auto"/>
          <w:sz w:val="30"/>
        </w:rPr>
      </w:pPr>
    </w:p>
    <w:p w14:paraId="789A011A">
      <w:pPr>
        <w:rPr>
          <w:rFonts w:hint="eastAsia" w:ascii="仿宋" w:hAnsi="仿宋" w:eastAsia="仿宋" w:cs="仿宋"/>
          <w:color w:val="auto"/>
          <w:sz w:val="30"/>
        </w:rPr>
      </w:pPr>
    </w:p>
    <w:p w14:paraId="60D55B98">
      <w:pPr>
        <w:pStyle w:val="9"/>
        <w:rPr>
          <w:rFonts w:hint="eastAsia" w:ascii="仿宋" w:hAnsi="仿宋" w:eastAsia="仿宋" w:cs="仿宋"/>
          <w:color w:val="auto"/>
          <w:sz w:val="30"/>
        </w:rPr>
      </w:pPr>
    </w:p>
    <w:p w14:paraId="7442CEA4">
      <w:pPr>
        <w:keepNext w:val="0"/>
        <w:keepLines w:val="0"/>
        <w:pageBreakBefore w:val="0"/>
        <w:kinsoku/>
        <w:wordWrap/>
        <w:overflowPunct/>
        <w:topLinePunct w:val="0"/>
        <w:autoSpaceDE/>
        <w:autoSpaceDN/>
        <w:bidi w:val="0"/>
        <w:adjustRightInd/>
        <w:snapToGrid/>
        <w:spacing w:line="578" w:lineRule="exact"/>
        <w:ind w:firstLine="1716" w:firstLineChars="613"/>
        <w:textAlignment w:val="auto"/>
        <w:rPr>
          <w:rFonts w:hint="eastAsia" w:ascii="仿宋" w:hAnsi="仿宋" w:eastAsia="仿宋" w:cs="仿宋"/>
          <w:color w:val="auto"/>
          <w:kern w:val="1"/>
          <w:sz w:val="28"/>
          <w:szCs w:val="28"/>
          <w:lang w:eastAsia="zh-CN"/>
        </w:rPr>
      </w:pPr>
      <w:bookmarkStart w:id="33" w:name="_Toc580395991_WPSOffice_Level2"/>
      <w:r>
        <w:rPr>
          <w:rFonts w:hint="eastAsia" w:ascii="Times New Roman" w:hAnsi="Times New Roman" w:eastAsia="仿宋" w:cs="Times New Roman"/>
          <w:color w:val="auto"/>
          <w:sz w:val="28"/>
          <w:szCs w:val="28"/>
          <w:lang w:eastAsia="zh-CN"/>
        </w:rPr>
        <w:t>附图三</w:t>
      </w:r>
      <w:r>
        <w:rPr>
          <w:rFonts w:hint="eastAsia" w:ascii="Times New Roman" w:hAnsi="Times New Roman" w:eastAsia="仿宋" w:cs="Times New Roman"/>
          <w:color w:val="auto"/>
          <w:sz w:val="28"/>
          <w:szCs w:val="28"/>
          <w:lang w:val="en-US" w:eastAsia="zh-CN"/>
        </w:rPr>
        <w:t xml:space="preserve">  </w:t>
      </w:r>
      <w:r>
        <w:rPr>
          <w:rFonts w:hint="eastAsia" w:ascii="仿宋" w:hAnsi="仿宋" w:eastAsia="仿宋" w:cs="仿宋"/>
          <w:color w:val="auto"/>
          <w:kern w:val="1"/>
          <w:sz w:val="28"/>
          <w:szCs w:val="28"/>
        </w:rPr>
        <w:t>三氮唑蒸发装置</w:t>
      </w:r>
      <w:r>
        <w:rPr>
          <w:rFonts w:hint="eastAsia" w:ascii="仿宋" w:hAnsi="仿宋" w:eastAsia="仿宋" w:cs="仿宋"/>
          <w:color w:val="auto"/>
          <w:kern w:val="1"/>
          <w:sz w:val="28"/>
          <w:szCs w:val="28"/>
          <w:lang w:eastAsia="zh-CN"/>
        </w:rPr>
        <w:t>工艺流程图</w:t>
      </w:r>
      <w:bookmarkEnd w:id="33"/>
    </w:p>
    <w:p w14:paraId="02195220">
      <w:pPr>
        <w:pStyle w:val="9"/>
        <w:rPr>
          <w:rFonts w:hint="eastAsia"/>
          <w:lang w:eastAsia="zh-CN"/>
        </w:rPr>
      </w:pPr>
    </w:p>
    <w:p w14:paraId="27A646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Times New Roman"/>
          <w:color w:val="auto"/>
          <w:sz w:val="32"/>
          <w:szCs w:val="30"/>
          <w:lang w:eastAsia="zh-CN"/>
        </w:rPr>
      </w:pPr>
      <w:r>
        <w:rPr>
          <w:rFonts w:hint="default" w:ascii="Times New Roman" w:hAnsi="Times New Roman" w:eastAsia="仿宋" w:cs="Times New Roman"/>
          <w:color w:val="auto"/>
          <w:sz w:val="32"/>
          <w:szCs w:val="30"/>
          <w:lang w:val="en" w:eastAsia="zh-CN"/>
        </w:rPr>
        <w:drawing>
          <wp:inline distT="0" distB="0" distL="114300" distR="114300">
            <wp:extent cx="5615940" cy="4063365"/>
            <wp:effectExtent l="0" t="0" r="3810" b="13335"/>
            <wp:docPr id="3" name="图片 1" descr="设备布置图（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设备布置图（dn）"/>
                    <pic:cNvPicPr>
                      <a:picLocks noChangeAspect="1"/>
                    </pic:cNvPicPr>
                  </pic:nvPicPr>
                  <pic:blipFill>
                    <a:blip r:embed="rId5"/>
                    <a:stretch>
                      <a:fillRect/>
                    </a:stretch>
                  </pic:blipFill>
                  <pic:spPr>
                    <a:xfrm>
                      <a:off x="0" y="0"/>
                      <a:ext cx="5615940" cy="4063365"/>
                    </a:xfrm>
                    <a:prstGeom prst="rect">
                      <a:avLst/>
                    </a:prstGeom>
                    <a:noFill/>
                    <a:ln>
                      <a:noFill/>
                    </a:ln>
                  </pic:spPr>
                </pic:pic>
              </a:graphicData>
            </a:graphic>
          </wp:inline>
        </w:drawing>
      </w:r>
      <w:r>
        <w:rPr>
          <w:rFonts w:hint="eastAsia" w:ascii="Times New Roman" w:hAnsi="Times New Roman" w:eastAsia="仿宋" w:cs="Times New Roman"/>
          <w:color w:val="auto"/>
          <w:sz w:val="32"/>
          <w:szCs w:val="30"/>
          <w:lang w:eastAsia="zh-CN"/>
        </w:rPr>
        <w:t>附图四</w:t>
      </w:r>
      <w:r>
        <w:rPr>
          <w:rFonts w:hint="eastAsia" w:ascii="Times New Roman" w:hAnsi="Times New Roman" w:eastAsia="仿宋" w:cs="Times New Roman"/>
          <w:color w:val="auto"/>
          <w:sz w:val="32"/>
          <w:szCs w:val="30"/>
          <w:lang w:val="en-US" w:eastAsia="zh-CN"/>
        </w:rPr>
        <w:t xml:space="preserve">  </w:t>
      </w:r>
      <w:r>
        <w:rPr>
          <w:rFonts w:hint="eastAsia" w:ascii="仿宋" w:hAnsi="仿宋" w:eastAsia="仿宋" w:cs="仿宋"/>
          <w:color w:val="auto"/>
          <w:kern w:val="1"/>
          <w:sz w:val="32"/>
          <w:szCs w:val="32"/>
        </w:rPr>
        <w:t>三氮唑蒸发装置</w:t>
      </w:r>
      <w:r>
        <w:rPr>
          <w:rFonts w:hint="eastAsia" w:ascii="仿宋" w:hAnsi="仿宋" w:eastAsia="仿宋" w:cs="仿宋"/>
          <w:color w:val="auto"/>
          <w:kern w:val="1"/>
          <w:sz w:val="32"/>
          <w:szCs w:val="32"/>
          <w:lang w:eastAsia="zh-CN"/>
        </w:rPr>
        <w:t>布置示意图</w:t>
      </w:r>
    </w:p>
    <w:bookmarkEnd w:id="30"/>
    <w:bookmarkEnd w:id="31"/>
    <w:p w14:paraId="5EA917D2">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kern w:val="1"/>
          <w:sz w:val="32"/>
          <w:szCs w:val="32"/>
          <w:lang w:eastAsia="zh-CN"/>
        </w:rPr>
      </w:pPr>
      <w:bookmarkStart w:id="34" w:name="_Toc2045960436_WPSOffice_Level1"/>
      <w:bookmarkStart w:id="35" w:name="_Toc434791755_WPSOffice_Level1"/>
      <w:r>
        <w:rPr>
          <w:rFonts w:hint="eastAsia" w:ascii="仿宋" w:hAnsi="仿宋" w:eastAsia="仿宋" w:cs="仿宋"/>
          <w:b/>
          <w:bCs/>
          <w:color w:val="auto"/>
          <w:kern w:val="1"/>
          <w:sz w:val="32"/>
          <w:szCs w:val="32"/>
          <w:lang w:eastAsia="zh-CN"/>
        </w:rPr>
        <w:t>三、事故现场勘查情况</w:t>
      </w:r>
    </w:p>
    <w:p w14:paraId="249F082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b/>
          <w:bCs/>
          <w:color w:val="auto"/>
          <w:kern w:val="1"/>
          <w:sz w:val="32"/>
          <w:szCs w:val="32"/>
          <w:lang w:eastAsia="zh-CN"/>
        </w:rPr>
        <w:t>（一）</w:t>
      </w:r>
      <w:r>
        <w:rPr>
          <w:rFonts w:hint="eastAsia" w:ascii="仿宋" w:hAnsi="仿宋" w:eastAsia="仿宋" w:cs="仿宋"/>
          <w:b/>
          <w:bCs/>
          <w:color w:val="auto"/>
          <w:kern w:val="1"/>
          <w:sz w:val="32"/>
          <w:szCs w:val="32"/>
        </w:rPr>
        <w:t>事故</w:t>
      </w:r>
      <w:r>
        <w:rPr>
          <w:rFonts w:hint="eastAsia" w:ascii="仿宋" w:hAnsi="仿宋" w:eastAsia="仿宋" w:cs="仿宋"/>
          <w:b/>
          <w:bCs/>
          <w:color w:val="auto"/>
          <w:kern w:val="1"/>
          <w:sz w:val="32"/>
          <w:szCs w:val="32"/>
          <w:lang w:eastAsia="zh-CN"/>
        </w:rPr>
        <w:t>现场</w:t>
      </w:r>
      <w:r>
        <w:rPr>
          <w:rFonts w:hint="eastAsia" w:ascii="仿宋" w:hAnsi="仿宋" w:eastAsia="仿宋" w:cs="仿宋"/>
          <w:b/>
          <w:bCs/>
          <w:color w:val="auto"/>
          <w:kern w:val="1"/>
          <w:sz w:val="32"/>
          <w:szCs w:val="32"/>
        </w:rPr>
        <w:t>基本情况</w:t>
      </w:r>
    </w:p>
    <w:p w14:paraId="390C195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事故发生在湖南湘硕化工有限公司三氮唑一车间蒸发装置，</w:t>
      </w:r>
      <w:r>
        <w:rPr>
          <w:rFonts w:hint="eastAsia" w:ascii="仿宋" w:hAnsi="仿宋" w:eastAsia="仿宋" w:cs="仿宋"/>
          <w:color w:val="auto"/>
          <w:kern w:val="1"/>
          <w:sz w:val="32"/>
          <w:szCs w:val="32"/>
          <w:lang w:eastAsia="zh-CN"/>
        </w:rPr>
        <w:t>该车间位于厂区中部北面、其东侧为与纯水机组相邻，西侧与综合一车间相邻，南面是闲置的厂房，</w:t>
      </w:r>
      <w:r>
        <w:rPr>
          <w:rFonts w:hint="eastAsia" w:ascii="仿宋" w:hAnsi="仿宋" w:eastAsia="仿宋" w:cs="仿宋"/>
          <w:color w:val="auto"/>
          <w:kern w:val="1"/>
          <w:sz w:val="32"/>
          <w:szCs w:val="32"/>
        </w:rPr>
        <w:t>该装置有1#和2#两条相同的生产线，生产规模和设备相同，事故发生时1#线处于生产状态，2#线停运，发生事故的是1#生产线。该装置于2019年9月10日开始试生产，事故发生点位于三氮唑一车间东南角二楼和三楼蒸发装置的气液分离罐（V135A）</w:t>
      </w:r>
      <w:r>
        <w:rPr>
          <w:rFonts w:hint="eastAsia" w:ascii="仿宋" w:hAnsi="仿宋" w:eastAsia="仿宋" w:cs="仿宋"/>
          <w:color w:val="auto"/>
          <w:kern w:val="1"/>
          <w:sz w:val="32"/>
          <w:szCs w:val="32"/>
          <w:lang w:eastAsia="zh-CN"/>
        </w:rPr>
        <w:t>（见附图一）。</w:t>
      </w:r>
    </w:p>
    <w:p w14:paraId="47D5429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事故现场大量设备、管道、建筑框架损毁严重，其中</w:t>
      </w:r>
      <w:bookmarkStart w:id="36" w:name="_Hlk173541532"/>
      <w:r>
        <w:rPr>
          <w:rFonts w:hint="eastAsia" w:ascii="仿宋" w:hAnsi="仿宋" w:eastAsia="仿宋" w:cs="仿宋"/>
          <w:color w:val="auto"/>
          <w:kern w:val="1"/>
          <w:sz w:val="32"/>
          <w:szCs w:val="32"/>
        </w:rPr>
        <w:t>一号线的气液分离罐底部的管道断裂</w:t>
      </w:r>
      <w:bookmarkEnd w:id="36"/>
      <w:r>
        <w:rPr>
          <w:rFonts w:hint="eastAsia" w:ascii="仿宋" w:hAnsi="仿宋" w:eastAsia="仿宋" w:cs="仿宋"/>
          <w:color w:val="auto"/>
          <w:kern w:val="1"/>
          <w:sz w:val="32"/>
          <w:szCs w:val="32"/>
        </w:rPr>
        <w:t>，气液分离罐被炸成扭曲的钢板</w:t>
      </w:r>
      <w:r>
        <w:rPr>
          <w:rFonts w:hint="eastAsia" w:ascii="仿宋" w:hAnsi="仿宋" w:eastAsia="仿宋" w:cs="仿宋"/>
          <w:color w:val="auto"/>
          <w:kern w:val="1"/>
          <w:sz w:val="32"/>
          <w:szCs w:val="32"/>
          <w:lang w:eastAsia="zh-CN"/>
        </w:rPr>
        <w:t>形态</w:t>
      </w:r>
      <w:r>
        <w:rPr>
          <w:rFonts w:hint="eastAsia" w:ascii="仿宋" w:hAnsi="仿宋" w:eastAsia="仿宋" w:cs="仿宋"/>
          <w:color w:val="auto"/>
          <w:kern w:val="1"/>
          <w:sz w:val="32"/>
          <w:szCs w:val="32"/>
        </w:rPr>
        <w:t>，蒸发冷凝器被炸飞至临近通道对面的绿化带泥土中，装置框架的多处横梁、立柱几近断裂。</w:t>
      </w:r>
      <w:r>
        <w:rPr>
          <w:rFonts w:hint="eastAsia" w:ascii="仿宋" w:hAnsi="仿宋" w:eastAsia="仿宋" w:cs="仿宋"/>
          <w:color w:val="auto"/>
          <w:kern w:val="1"/>
          <w:sz w:val="32"/>
          <w:szCs w:val="32"/>
          <w:lang w:eastAsia="zh-CN"/>
        </w:rPr>
        <w:t>事故导致</w:t>
      </w:r>
      <w:r>
        <w:rPr>
          <w:rFonts w:hint="eastAsia" w:ascii="仿宋" w:hAnsi="仿宋" w:eastAsia="仿宋" w:cs="仿宋"/>
          <w:color w:val="auto"/>
          <w:kern w:val="1"/>
          <w:sz w:val="32"/>
          <w:szCs w:val="32"/>
        </w:rPr>
        <w:t>蒸发岗位1#线完全损毁，2#线部分设施损坏，临近岗位部分设施受损，装置2楼、3楼框架部分横梁、立柱受损</w:t>
      </w:r>
      <w:r>
        <w:rPr>
          <w:rFonts w:hint="eastAsia" w:ascii="仿宋" w:hAnsi="仿宋" w:eastAsia="仿宋" w:cs="仿宋"/>
          <w:color w:val="auto"/>
          <w:kern w:val="1"/>
          <w:sz w:val="32"/>
          <w:szCs w:val="32"/>
          <w:lang w:eastAsia="zh-CN"/>
        </w:rPr>
        <w:t>。</w:t>
      </w:r>
    </w:p>
    <w:p w14:paraId="6DFB05AD">
      <w:pPr>
        <w:spacing w:line="360" w:lineRule="auto"/>
        <w:jc w:val="center"/>
        <w:outlineLvl w:val="0"/>
        <w:rPr>
          <w:rFonts w:ascii="宋体" w:hAnsi="宋体" w:eastAsia="宋体"/>
          <w:color w:val="auto"/>
          <w:kern w:val="1"/>
          <w:sz w:val="32"/>
          <w:szCs w:val="32"/>
        </w:rPr>
      </w:pPr>
      <w:r>
        <w:rPr>
          <w:rFonts w:ascii="宋体" w:hAnsi="宋体" w:eastAsia="宋体"/>
          <w:color w:val="auto"/>
        </w:rPr>
        <mc:AlternateContent>
          <mc:Choice Requires="wps">
            <w:drawing>
              <wp:anchor distT="0" distB="0" distL="114300" distR="114300" simplePos="0" relativeHeight="251660288" behindDoc="0" locked="0" layoutInCell="1" allowOverlap="1">
                <wp:simplePos x="0" y="0"/>
                <wp:positionH relativeFrom="margin">
                  <wp:posOffset>4093845</wp:posOffset>
                </wp:positionH>
                <wp:positionV relativeFrom="paragraph">
                  <wp:posOffset>480695</wp:posOffset>
                </wp:positionV>
                <wp:extent cx="1061085" cy="447675"/>
                <wp:effectExtent l="153035" t="19050" r="24130" b="47625"/>
                <wp:wrapNone/>
                <wp:docPr id="53" name="矩形标注 53"/>
                <wp:cNvGraphicFramePr/>
                <a:graphic xmlns:a="http://schemas.openxmlformats.org/drawingml/2006/main">
                  <a:graphicData uri="http://schemas.microsoft.com/office/word/2010/wordprocessingShape">
                    <wps:wsp>
                      <wps:cNvSpPr/>
                      <wps:spPr>
                        <a:xfrm>
                          <a:off x="0" y="0"/>
                          <a:ext cx="1061085" cy="447675"/>
                        </a:xfrm>
                        <a:prstGeom prst="wedgeRectCallout">
                          <a:avLst>
                            <a:gd name="adj1" fmla="val -50000"/>
                            <a:gd name="adj2" fmla="val 51843"/>
                          </a:avLst>
                        </a:prstGeom>
                        <a:noFill/>
                        <a:ln w="38100" cap="flat" cmpd="sng">
                          <a:solidFill>
                            <a:srgbClr val="FF0000"/>
                          </a:solidFill>
                          <a:prstDash val="solid"/>
                          <a:miter/>
                          <a:headEnd type="none" w="med" len="med"/>
                          <a:tailEnd type="none" w="med" len="med"/>
                        </a:ln>
                      </wps:spPr>
                      <wps:txbx>
                        <w:txbxContent>
                          <w:p w14:paraId="0BC8C318">
                            <w:pPr>
                              <w:jc w:val="center"/>
                              <w:rPr>
                                <w:b/>
                                <w:bCs/>
                                <w:color w:val="FF0000"/>
                                <w:sz w:val="24"/>
                                <w:szCs w:val="24"/>
                              </w:rPr>
                            </w:pPr>
                            <w:r>
                              <w:rPr>
                                <w:rFonts w:hint="eastAsia"/>
                                <w:b/>
                                <w:bCs/>
                                <w:color w:val="FF0000"/>
                                <w:sz w:val="24"/>
                                <w:szCs w:val="24"/>
                                <w:highlight w:val="yellow"/>
                              </w:rPr>
                              <w:t>事故点位置</w:t>
                            </w:r>
                          </w:p>
                        </w:txbxContent>
                      </wps:txbx>
                      <wps:bodyPr upright="1"/>
                    </wps:wsp>
                  </a:graphicData>
                </a:graphic>
              </wp:anchor>
            </w:drawing>
          </mc:Choice>
          <mc:Fallback>
            <w:pict>
              <v:shape id="_x0000_s1026" o:spid="_x0000_s1026" o:spt="61" type="#_x0000_t61" style="position:absolute;left:0pt;margin-left:322.35pt;margin-top:37.85pt;height:35.25pt;width:83.55pt;mso-position-horizontal-relative:margin;z-index:251660288;mso-width-relative:page;mso-height-relative:page;" filled="f" stroked="t" coordsize="21600,21600" o:gfxdata="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EmOnrYAAAACgEAAA8AAAAAAAAAAQAgAAAAIgAAAGRycy9kb3du&#10;cmV2LnhtbFBLAQIUABQAAAAIAIdO4kAjeRr6OAIAAGcEAAAOAAAAAAAAAAEAIAAAACcBAABkcnMv&#10;ZTJvRG9jLnhtbFBLBQYAAAAABgAGAFkBAADRBQAAAAA=&#10;" adj="0,21998">
                <v:fill on="f" focussize="0,0"/>
                <v:stroke weight="3pt" color="#FF0000" joinstyle="miter"/>
                <v:imagedata o:title=""/>
                <o:lock v:ext="edit" aspectratio="f"/>
                <v:textbox>
                  <w:txbxContent>
                    <w:p w14:paraId="0BC8C318">
                      <w:pPr>
                        <w:jc w:val="center"/>
                        <w:rPr>
                          <w:b/>
                          <w:bCs/>
                          <w:color w:val="FF0000"/>
                          <w:sz w:val="24"/>
                          <w:szCs w:val="24"/>
                        </w:rPr>
                      </w:pPr>
                      <w:r>
                        <w:rPr>
                          <w:rFonts w:hint="eastAsia"/>
                          <w:b/>
                          <w:bCs/>
                          <w:color w:val="FF0000"/>
                          <w:sz w:val="24"/>
                          <w:szCs w:val="24"/>
                          <w:highlight w:val="yellow"/>
                        </w:rPr>
                        <w:t>事故点位置</w:t>
                      </w:r>
                    </w:p>
                  </w:txbxContent>
                </v:textbox>
              </v:shape>
            </w:pict>
          </mc:Fallback>
        </mc:AlternateContent>
      </w:r>
      <w:r>
        <w:rPr>
          <w:rFonts w:hint="eastAsia" w:ascii="宋体" w:hAnsi="宋体" w:eastAsia="宋体"/>
          <w:color w:val="auto"/>
          <w:sz w:val="28"/>
          <w:szCs w:val="28"/>
        </w:rPr>
        <w:drawing>
          <wp:inline distT="0" distB="0" distL="114300" distR="114300">
            <wp:extent cx="3315970" cy="2282190"/>
            <wp:effectExtent l="0" t="0" r="17780" b="3810"/>
            <wp:docPr id="1" name="图片 2" descr="微信图片_2024080315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40803155409"/>
                    <pic:cNvPicPr>
                      <a:picLocks noChangeAspect="1"/>
                    </pic:cNvPicPr>
                  </pic:nvPicPr>
                  <pic:blipFill>
                    <a:blip r:embed="rId6"/>
                    <a:stretch>
                      <a:fillRect/>
                    </a:stretch>
                  </pic:blipFill>
                  <pic:spPr>
                    <a:xfrm>
                      <a:off x="0" y="0"/>
                      <a:ext cx="3315970" cy="2282190"/>
                    </a:xfrm>
                    <a:prstGeom prst="rect">
                      <a:avLst/>
                    </a:prstGeom>
                    <a:noFill/>
                    <a:ln>
                      <a:noFill/>
                    </a:ln>
                  </pic:spPr>
                </pic:pic>
              </a:graphicData>
            </a:graphic>
          </wp:inline>
        </w:drawing>
      </w:r>
    </w:p>
    <w:p w14:paraId="05C12055">
      <w:pPr>
        <w:keepNext w:val="0"/>
        <w:keepLines w:val="0"/>
        <w:pageBreakBefore w:val="0"/>
        <w:widowControl w:val="0"/>
        <w:kinsoku/>
        <w:wordWrap/>
        <w:overflowPunct/>
        <w:topLinePunct w:val="0"/>
        <w:autoSpaceDE/>
        <w:autoSpaceDN/>
        <w:bidi w:val="0"/>
        <w:adjustRightInd/>
        <w:snapToGrid/>
        <w:spacing w:line="578" w:lineRule="exact"/>
        <w:ind w:firstLine="2556" w:firstLineChars="9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附图一</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事故点位置照片</w:t>
      </w:r>
    </w:p>
    <w:p w14:paraId="4756E26E">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b/>
          <w:bCs/>
          <w:color w:val="auto"/>
          <w:kern w:val="1"/>
          <w:sz w:val="32"/>
          <w:szCs w:val="32"/>
        </w:rPr>
      </w:pPr>
      <w:r>
        <w:rPr>
          <w:rFonts w:hint="eastAsia" w:ascii="仿宋" w:hAnsi="仿宋" w:eastAsia="仿宋" w:cs="仿宋"/>
          <w:b/>
          <w:bCs/>
          <w:color w:val="auto"/>
          <w:kern w:val="1"/>
          <w:sz w:val="32"/>
          <w:szCs w:val="32"/>
          <w:lang w:val="en-US" w:eastAsia="zh-CN"/>
        </w:rPr>
        <w:t>（二）</w:t>
      </w:r>
      <w:r>
        <w:rPr>
          <w:rFonts w:hint="eastAsia" w:ascii="仿宋" w:hAnsi="仿宋" w:eastAsia="仿宋" w:cs="仿宋"/>
          <w:b/>
          <w:bCs/>
          <w:color w:val="auto"/>
          <w:kern w:val="1"/>
          <w:sz w:val="32"/>
          <w:szCs w:val="32"/>
        </w:rPr>
        <w:t>事故所涉装置</w:t>
      </w:r>
      <w:r>
        <w:rPr>
          <w:rFonts w:hint="eastAsia" w:ascii="仿宋" w:hAnsi="仿宋" w:eastAsia="仿宋" w:cs="仿宋"/>
          <w:b/>
          <w:bCs/>
          <w:color w:val="auto"/>
          <w:kern w:val="1"/>
          <w:sz w:val="32"/>
          <w:szCs w:val="32"/>
          <w:lang w:eastAsia="zh-CN"/>
        </w:rPr>
        <w:t>现场勘查</w:t>
      </w:r>
      <w:r>
        <w:rPr>
          <w:rFonts w:hint="eastAsia" w:ascii="仿宋" w:hAnsi="仿宋" w:eastAsia="仿宋" w:cs="仿宋"/>
          <w:b/>
          <w:bCs/>
          <w:color w:val="auto"/>
          <w:kern w:val="1"/>
          <w:sz w:val="32"/>
          <w:szCs w:val="32"/>
        </w:rPr>
        <w:t>情况</w:t>
      </w:r>
    </w:p>
    <w:p w14:paraId="29F5A81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sz w:val="32"/>
          <w:szCs w:val="32"/>
          <w:lang w:eastAsia="zh-CN"/>
        </w:rPr>
        <w:t>事故涉及的主要设备情况（见下表）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573"/>
        <w:gridCol w:w="2964"/>
        <w:gridCol w:w="2076"/>
      </w:tblGrid>
      <w:tr w14:paraId="58CF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8C7C22E">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设备名称</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3E1D1C2">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材质</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280BA59">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规格型号</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C332A6">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数量</w:t>
            </w:r>
          </w:p>
        </w:tc>
      </w:tr>
      <w:tr w14:paraId="4E50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41CDD9A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升膜蒸发器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6A3C5AC">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316L/Q345</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02FBCE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Ф550×4000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D5A25F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108B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A0D3BA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蒸发冷凝器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9C2638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D994CB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Ф600×3600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2C992B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59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3223820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分离罐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7345F89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36062E29">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Ф1000×3500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9B34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68E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27E73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DEF36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7D03A17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Ф1300×1800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C4B91F">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4个</w:t>
            </w:r>
          </w:p>
        </w:tc>
      </w:tr>
      <w:tr w14:paraId="6B44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ECA678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4171A253">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组合件</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4F655CE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WLW-150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264DE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3台</w:t>
            </w:r>
          </w:p>
        </w:tc>
      </w:tr>
      <w:tr w14:paraId="33DD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6B64A0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真空缓冲罐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4917206">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304</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3AA33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Ф600×1000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55D711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27E6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F3DCD0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5BE9B2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E5EFCF0">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3C8BB0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r w14:paraId="4753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B4D88E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循环泵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D7C946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51BF3E0E">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0665036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bl>
    <w:p w14:paraId="1D95DC6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）被错误打开：该阀属于</w:t>
      </w:r>
      <w:r>
        <w:rPr>
          <w:rFonts w:hint="eastAsia" w:ascii="仿宋" w:hAnsi="仿宋" w:eastAsia="仿宋" w:cs="仿宋"/>
          <w:color w:val="auto"/>
          <w:kern w:val="1"/>
          <w:sz w:val="32"/>
          <w:szCs w:val="32"/>
        </w:rPr>
        <w:t>重组分冷却</w:t>
      </w:r>
      <w:r>
        <w:rPr>
          <w:rFonts w:hint="eastAsia" w:ascii="仿宋" w:hAnsi="仿宋" w:eastAsia="仿宋" w:cs="仿宋"/>
          <w:color w:val="auto"/>
          <w:kern w:val="1"/>
          <w:sz w:val="32"/>
          <w:szCs w:val="32"/>
          <w:lang w:eastAsia="zh-CN"/>
        </w:rPr>
        <w:t>系统，</w:t>
      </w:r>
      <w:r>
        <w:rPr>
          <w:rFonts w:hint="eastAsia" w:ascii="仿宋" w:hAnsi="仿宋" w:eastAsia="仿宋" w:cs="仿宋"/>
          <w:color w:val="auto"/>
          <w:kern w:val="1"/>
          <w:sz w:val="32"/>
          <w:szCs w:val="32"/>
          <w:lang w:val="en-US" w:eastAsia="zh-CN" w:bidi="ar-SA"/>
        </w:rPr>
        <w:t>在系统蒸发完成后，进入</w:t>
      </w:r>
      <w:r>
        <w:rPr>
          <w:rFonts w:hint="eastAsia" w:ascii="仿宋" w:hAnsi="仿宋" w:eastAsia="仿宋" w:cs="仿宋"/>
          <w:color w:val="auto"/>
          <w:sz w:val="32"/>
          <w:szCs w:val="32"/>
          <w:lang w:val="en-US" w:eastAsia="zh-CN"/>
        </w:rPr>
        <w:t>转料操作的后续环节时需将该阀</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rPr>
        <w:t>对</w:t>
      </w:r>
      <w:r>
        <w:rPr>
          <w:rFonts w:hint="eastAsia" w:ascii="仿宋" w:hAnsi="仿宋" w:eastAsia="仿宋" w:cs="仿宋"/>
          <w:color w:val="auto"/>
          <w:sz w:val="32"/>
          <w:szCs w:val="32"/>
          <w:lang w:val="en-US" w:eastAsia="zh-CN"/>
        </w:rPr>
        <w:t>重组分</w:t>
      </w:r>
      <w:r>
        <w:rPr>
          <w:rFonts w:hint="eastAsia" w:ascii="仿宋" w:hAnsi="仿宋" w:eastAsia="仿宋" w:cs="仿宋"/>
          <w:color w:val="auto"/>
          <w:kern w:val="1"/>
          <w:sz w:val="32"/>
          <w:szCs w:val="32"/>
        </w:rPr>
        <w:t>管线</w:t>
      </w:r>
      <w:r>
        <w:rPr>
          <w:rFonts w:hint="eastAsia" w:ascii="仿宋" w:hAnsi="仿宋" w:eastAsia="仿宋" w:cs="仿宋"/>
          <w:color w:val="auto"/>
          <w:sz w:val="32"/>
          <w:szCs w:val="32"/>
          <w:lang w:val="en-US" w:eastAsia="zh-CN"/>
        </w:rPr>
        <w:t>进行吹扫，使其温度在合适状态</w:t>
      </w:r>
      <w:r>
        <w:rPr>
          <w:rFonts w:hint="eastAsia" w:ascii="仿宋" w:hAnsi="仿宋" w:eastAsia="仿宋" w:cs="仿宋"/>
          <w:color w:val="auto"/>
          <w:kern w:val="1"/>
          <w:sz w:val="32"/>
          <w:szCs w:val="32"/>
        </w:rPr>
        <w:t>，防止物料在转料过程中发生结晶而堵塞管道</w:t>
      </w:r>
      <w:r>
        <w:rPr>
          <w:rFonts w:hint="eastAsia" w:ascii="仿宋" w:hAnsi="仿宋" w:eastAsia="仿宋" w:cs="仿宋"/>
          <w:color w:val="auto"/>
          <w:sz w:val="32"/>
          <w:szCs w:val="32"/>
          <w:lang w:val="en-US"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升膜蒸发系统操作流程，该阀在前期操作中均应当关闭。事故现场勘查，</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打开</w:t>
      </w:r>
      <w:r>
        <w:rPr>
          <w:rFonts w:hint="eastAsia" w:ascii="仿宋" w:hAnsi="仿宋" w:eastAsia="仿宋" w:cs="仿宋"/>
          <w:color w:val="auto"/>
          <w:kern w:val="1"/>
          <w:sz w:val="32"/>
          <w:szCs w:val="32"/>
          <w:lang w:eastAsia="zh-CN"/>
        </w:rPr>
        <w:t>状态。事发时系统还未进入</w:t>
      </w:r>
      <w:r>
        <w:rPr>
          <w:rFonts w:hint="eastAsia" w:ascii="仿宋" w:hAnsi="仿宋" w:eastAsia="仿宋" w:cs="仿宋"/>
          <w:color w:val="auto"/>
          <w:sz w:val="32"/>
          <w:szCs w:val="32"/>
          <w:lang w:val="en-US" w:eastAsia="zh-CN"/>
        </w:rPr>
        <w:t>转料后续环节，该阀提前打开属误操作，使</w:t>
      </w:r>
      <w:r>
        <w:rPr>
          <w:rFonts w:hint="eastAsia" w:ascii="仿宋" w:hAnsi="仿宋" w:eastAsia="仿宋" w:cs="仿宋"/>
          <w:color w:val="auto"/>
          <w:kern w:val="1"/>
          <w:sz w:val="32"/>
          <w:szCs w:val="32"/>
          <w:lang w:eastAsia="zh-CN"/>
        </w:rPr>
        <w:t>蒸汽失控进入系统，</w:t>
      </w:r>
      <w:r>
        <w:rPr>
          <w:rFonts w:hint="eastAsia" w:ascii="仿宋" w:hAnsi="仿宋" w:eastAsia="仿宋" w:cs="仿宋"/>
          <w:color w:val="auto"/>
          <w:sz w:val="32"/>
          <w:szCs w:val="32"/>
          <w:lang w:val="en-US" w:eastAsia="zh-CN"/>
        </w:rPr>
        <w:t>导致</w:t>
      </w:r>
      <w:r>
        <w:rPr>
          <w:rFonts w:hint="eastAsia" w:ascii="仿宋" w:hAnsi="仿宋" w:eastAsia="仿宋" w:cs="仿宋"/>
          <w:color w:val="auto"/>
          <w:kern w:val="1"/>
          <w:sz w:val="32"/>
          <w:szCs w:val="32"/>
        </w:rPr>
        <w:t>蒸发系统系统温度</w:t>
      </w:r>
      <w:r>
        <w:rPr>
          <w:rFonts w:hint="eastAsia" w:ascii="仿宋" w:hAnsi="仿宋" w:eastAsia="仿宋" w:cs="仿宋"/>
          <w:color w:val="auto"/>
          <w:kern w:val="1"/>
          <w:sz w:val="32"/>
          <w:szCs w:val="32"/>
          <w:lang w:eastAsia="zh-CN"/>
        </w:rPr>
        <w:t>突然升高。</w:t>
      </w:r>
    </w:p>
    <w:p w14:paraId="62AFE43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）存在内漏：该阀属于</w:t>
      </w:r>
      <w:r>
        <w:rPr>
          <w:rFonts w:hint="eastAsia" w:ascii="仿宋" w:hAnsi="仿宋" w:eastAsia="仿宋" w:cs="仿宋"/>
          <w:color w:val="auto"/>
          <w:kern w:val="1"/>
          <w:sz w:val="32"/>
          <w:szCs w:val="32"/>
        </w:rPr>
        <w:t>循环泵P128至重组分冷却釜</w:t>
      </w:r>
      <w:r>
        <w:rPr>
          <w:rFonts w:hint="eastAsia" w:ascii="仿宋" w:hAnsi="仿宋" w:eastAsia="仿宋" w:cs="仿宋"/>
          <w:color w:val="auto"/>
          <w:kern w:val="1"/>
          <w:sz w:val="32"/>
          <w:szCs w:val="32"/>
          <w:lang w:eastAsia="zh-CN"/>
        </w:rPr>
        <w:t>系统，在系统</w:t>
      </w:r>
      <w:r>
        <w:rPr>
          <w:rFonts w:hint="eastAsia" w:ascii="仿宋" w:hAnsi="仿宋" w:eastAsia="仿宋" w:cs="仿宋"/>
          <w:color w:val="auto"/>
          <w:kern w:val="1"/>
          <w:sz w:val="32"/>
          <w:szCs w:val="32"/>
        </w:rPr>
        <w:t>蒸发完成后，</w:t>
      </w:r>
      <w:r>
        <w:rPr>
          <w:rFonts w:hint="eastAsia" w:ascii="仿宋" w:hAnsi="仿宋" w:eastAsia="仿宋" w:cs="仿宋"/>
          <w:color w:val="auto"/>
          <w:kern w:val="1"/>
          <w:sz w:val="32"/>
          <w:szCs w:val="32"/>
          <w:lang w:val="en-US" w:eastAsia="zh-CN" w:bidi="ar-SA"/>
        </w:rPr>
        <w:t>进入</w:t>
      </w:r>
      <w:r>
        <w:rPr>
          <w:rFonts w:hint="eastAsia" w:ascii="仿宋" w:hAnsi="仿宋" w:eastAsia="仿宋" w:cs="仿宋"/>
          <w:color w:val="auto"/>
          <w:sz w:val="32"/>
          <w:szCs w:val="32"/>
          <w:lang w:val="en-US" w:eastAsia="zh-CN"/>
        </w:rPr>
        <w:t>转料操作的后续环节时需将其</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lang w:eastAsia="zh-CN"/>
        </w:rPr>
        <w:t>使</w:t>
      </w:r>
      <w:r>
        <w:rPr>
          <w:rFonts w:hint="eastAsia" w:ascii="仿宋" w:hAnsi="仿宋" w:eastAsia="仿宋" w:cs="仿宋"/>
          <w:color w:val="auto"/>
          <w:kern w:val="1"/>
          <w:sz w:val="32"/>
          <w:szCs w:val="32"/>
        </w:rPr>
        <w:t>系统内的气液分离器的重组分转移至重组分冷却釜</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关闭状态</w:t>
      </w:r>
      <w:r>
        <w:rPr>
          <w:rFonts w:hint="eastAsia" w:ascii="仿宋" w:hAnsi="仿宋" w:eastAsia="仿宋" w:cs="仿宋"/>
          <w:color w:val="auto"/>
          <w:kern w:val="1"/>
          <w:sz w:val="32"/>
          <w:szCs w:val="32"/>
          <w:lang w:eastAsia="zh-CN"/>
        </w:rPr>
        <w:t>，外观未见异常。但</w:t>
      </w:r>
      <w:r>
        <w:rPr>
          <w:rFonts w:hint="eastAsia" w:ascii="仿宋" w:hAnsi="仿宋" w:eastAsia="仿宋" w:cs="仿宋"/>
          <w:color w:val="auto"/>
          <w:kern w:val="1"/>
          <w:sz w:val="32"/>
          <w:szCs w:val="32"/>
        </w:rPr>
        <w:t>事后专家组</w:t>
      </w:r>
      <w:r>
        <w:rPr>
          <w:rFonts w:hint="eastAsia" w:ascii="仿宋" w:hAnsi="仿宋" w:eastAsia="仿宋" w:cs="仿宋"/>
          <w:color w:val="auto"/>
          <w:kern w:val="1"/>
          <w:sz w:val="32"/>
          <w:szCs w:val="32"/>
          <w:lang w:eastAsia="zh-CN"/>
        </w:rPr>
        <w:t>对该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进行</w:t>
      </w:r>
      <w:r>
        <w:rPr>
          <w:rFonts w:hint="eastAsia" w:ascii="仿宋" w:hAnsi="仿宋" w:eastAsia="仿宋" w:cs="仿宋"/>
          <w:color w:val="auto"/>
          <w:kern w:val="1"/>
          <w:sz w:val="32"/>
          <w:szCs w:val="32"/>
        </w:rPr>
        <w:t>拆检并试压</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发现此球阀内密封垫片变形</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存在</w:t>
      </w:r>
      <w:r>
        <w:rPr>
          <w:rFonts w:hint="eastAsia" w:ascii="仿宋" w:hAnsi="仿宋" w:eastAsia="仿宋" w:cs="仿宋"/>
          <w:color w:val="auto"/>
          <w:kern w:val="1"/>
          <w:sz w:val="32"/>
          <w:szCs w:val="32"/>
          <w:lang w:eastAsia="zh-CN"/>
        </w:rPr>
        <w:t>蒸汽</w:t>
      </w:r>
      <w:r>
        <w:rPr>
          <w:rFonts w:hint="eastAsia" w:ascii="仿宋" w:hAnsi="仿宋" w:eastAsia="仿宋" w:cs="仿宋"/>
          <w:color w:val="auto"/>
          <w:kern w:val="1"/>
          <w:sz w:val="32"/>
          <w:szCs w:val="32"/>
        </w:rPr>
        <w:t>内漏现象</w:t>
      </w:r>
      <w:r>
        <w:rPr>
          <w:rFonts w:hint="eastAsia" w:ascii="仿宋" w:hAnsi="仿宋" w:eastAsia="仿宋" w:cs="仿宋"/>
          <w:color w:val="auto"/>
          <w:kern w:val="1"/>
          <w:sz w:val="32"/>
          <w:szCs w:val="32"/>
          <w:lang w:eastAsia="zh-CN"/>
        </w:rPr>
        <w:t>（附图二）。当</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）因误操作打开后，</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）内漏不能有效直到隔断作用，高温蒸汽</w:t>
      </w:r>
      <w:r>
        <w:rPr>
          <w:rFonts w:hint="eastAsia" w:ascii="仿宋" w:hAnsi="仿宋" w:eastAsia="仿宋" w:cs="仿宋"/>
          <w:color w:val="auto"/>
          <w:kern w:val="1"/>
          <w:sz w:val="32"/>
          <w:szCs w:val="32"/>
        </w:rPr>
        <w:t>通过转料</w:t>
      </w:r>
      <w:r>
        <w:rPr>
          <w:rFonts w:hint="eastAsia" w:ascii="仿宋" w:hAnsi="仿宋" w:eastAsia="仿宋" w:cs="仿宋"/>
          <w:color w:val="auto"/>
          <w:kern w:val="1"/>
          <w:sz w:val="32"/>
          <w:szCs w:val="32"/>
          <w:lang w:eastAsia="zh-CN"/>
        </w:rPr>
        <w:t>阀</w:t>
      </w:r>
      <w:r>
        <w:rPr>
          <w:rFonts w:hint="eastAsia" w:ascii="仿宋" w:hAnsi="仿宋" w:eastAsia="仿宋" w:cs="仿宋"/>
          <w:color w:val="auto"/>
          <w:kern w:val="1"/>
          <w:sz w:val="32"/>
          <w:szCs w:val="32"/>
        </w:rPr>
        <w:t>内漏进入蒸发系统</w:t>
      </w:r>
      <w:r>
        <w:rPr>
          <w:rFonts w:hint="eastAsia" w:ascii="仿宋" w:hAnsi="仿宋" w:eastAsia="仿宋" w:cs="仿宋"/>
          <w:color w:val="auto"/>
          <w:kern w:val="1"/>
          <w:sz w:val="32"/>
          <w:szCs w:val="32"/>
          <w:lang w:eastAsia="zh-CN"/>
        </w:rPr>
        <w:t>升膜发生器内，</w:t>
      </w:r>
      <w:r>
        <w:rPr>
          <w:rFonts w:hint="eastAsia" w:ascii="仿宋" w:hAnsi="仿宋" w:eastAsia="仿宋" w:cs="仿宋"/>
          <w:color w:val="auto"/>
          <w:kern w:val="1"/>
          <w:sz w:val="32"/>
          <w:szCs w:val="32"/>
        </w:rPr>
        <w:t>致使系统温度</w:t>
      </w:r>
      <w:r>
        <w:rPr>
          <w:rFonts w:hint="eastAsia" w:ascii="仿宋" w:hAnsi="仿宋" w:eastAsia="仿宋" w:cs="仿宋"/>
          <w:color w:val="auto"/>
          <w:kern w:val="1"/>
          <w:sz w:val="32"/>
          <w:szCs w:val="32"/>
          <w:lang w:eastAsia="zh-CN"/>
        </w:rPr>
        <w:t>升高。</w:t>
      </w:r>
    </w:p>
    <w:p w14:paraId="7C57702B">
      <w:pPr>
        <w:spacing w:line="360" w:lineRule="auto"/>
        <w:ind w:firstLine="420" w:firstLineChars="200"/>
        <w:jc w:val="center"/>
        <w:outlineLvl w:val="0"/>
        <w:rPr>
          <w:rFonts w:hint="eastAsia" w:ascii="仿宋" w:hAnsi="仿宋" w:eastAsia="仿宋" w:cs="仿宋"/>
          <w:b/>
          <w:bCs/>
          <w:color w:val="auto"/>
          <w:kern w:val="1"/>
          <w:sz w:val="32"/>
          <w:szCs w:val="32"/>
        </w:rPr>
      </w:pPr>
      <w:r>
        <w:rPr>
          <w:color w:val="auto"/>
        </w:rPr>
        <w:drawing>
          <wp:inline distT="0" distB="0" distL="114300" distR="114300">
            <wp:extent cx="3543935" cy="3244850"/>
            <wp:effectExtent l="0" t="0" r="18415"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7"/>
                    <a:stretch>
                      <a:fillRect/>
                    </a:stretch>
                  </pic:blipFill>
                  <pic:spPr>
                    <a:xfrm>
                      <a:off x="0" y="0"/>
                      <a:ext cx="3543935" cy="3244850"/>
                    </a:xfrm>
                    <a:prstGeom prst="rect">
                      <a:avLst/>
                    </a:prstGeom>
                    <a:noFill/>
                    <a:ln>
                      <a:noFill/>
                    </a:ln>
                  </pic:spPr>
                </pic:pic>
              </a:graphicData>
            </a:graphic>
          </wp:inline>
        </w:drawing>
      </w:r>
    </w:p>
    <w:p w14:paraId="1374405A">
      <w:pPr>
        <w:keepNext w:val="0"/>
        <w:keepLines w:val="0"/>
        <w:pageBreakBefore w:val="0"/>
        <w:kinsoku/>
        <w:wordWrap/>
        <w:overflowPunct/>
        <w:topLinePunct w:val="0"/>
        <w:autoSpaceDE/>
        <w:autoSpaceDN/>
        <w:bidi w:val="0"/>
        <w:adjustRightInd/>
        <w:snapToGrid/>
        <w:spacing w:line="578" w:lineRule="exact"/>
        <w:ind w:firstLine="1996" w:firstLineChars="7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附图二</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转料阀（</w:t>
      </w:r>
      <w:r>
        <w:rPr>
          <w:rFonts w:hint="default" w:ascii="Times New Roman" w:hAnsi="Times New Roman" w:eastAsia="仿宋" w:cs="Times New Roman"/>
          <w:color w:val="auto"/>
          <w:sz w:val="28"/>
          <w:szCs w:val="28"/>
          <w:lang w:val="en" w:eastAsia="zh-CN"/>
        </w:rPr>
        <w:t>DN50</w:t>
      </w:r>
      <w:r>
        <w:rPr>
          <w:rFonts w:hint="eastAsia" w:ascii="Times New Roman" w:hAnsi="Times New Roman" w:eastAsia="仿宋" w:cs="Times New Roman"/>
          <w:color w:val="auto"/>
          <w:sz w:val="28"/>
          <w:szCs w:val="28"/>
          <w:lang w:eastAsia="zh-CN"/>
        </w:rPr>
        <w:t>）内密封垫片变形</w:t>
      </w:r>
    </w:p>
    <w:p w14:paraId="0557EB4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4.</w:t>
      </w:r>
      <w:r>
        <w:rPr>
          <w:rFonts w:hint="eastAsia" w:ascii="仿宋" w:hAnsi="仿宋" w:eastAsia="仿宋" w:cs="仿宋"/>
          <w:color w:val="auto"/>
          <w:kern w:val="1"/>
          <w:sz w:val="32"/>
          <w:szCs w:val="32"/>
          <w:lang w:eastAsia="zh-CN"/>
        </w:rPr>
        <w:t>物料泄漏部位勘查情况</w:t>
      </w:r>
    </w:p>
    <w:p w14:paraId="1DA9AEE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37" w:name="_Hlk173541067"/>
      <w:r>
        <w:rPr>
          <w:rFonts w:hint="eastAsia" w:ascii="仿宋" w:hAnsi="仿宋" w:eastAsia="仿宋" w:cs="仿宋"/>
          <w:color w:val="auto"/>
          <w:kern w:val="1"/>
          <w:sz w:val="32"/>
          <w:szCs w:val="32"/>
          <w:lang w:eastAsia="zh-CN"/>
        </w:rPr>
        <w:t>泄漏部位为装置二楼循环泵入口管道与气液分离罐排液管道之间的焊缝处，现场发现，该处管道焊缝崩断，从已断裂的焊缝观察，该焊缝仅从表面进行焊接，且局部未熔合。气液分离罐内高温高压物料，从管道焊缝崩断处喷出，泄露的可燃物质在空气中形成爆炸性混合气体，在高温状态下瞬间发生爆炸。</w:t>
      </w:r>
      <w:bookmarkEnd w:id="37"/>
    </w:p>
    <w:p w14:paraId="6E4603D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5.</w:t>
      </w:r>
      <w:r>
        <w:rPr>
          <w:rFonts w:hint="eastAsia" w:ascii="仿宋" w:hAnsi="仿宋" w:eastAsia="仿宋" w:cs="仿宋"/>
          <w:color w:val="auto"/>
          <w:kern w:val="1"/>
          <w:sz w:val="32"/>
          <w:szCs w:val="32"/>
          <w:lang w:eastAsia="zh-CN"/>
        </w:rPr>
        <w:t>系统安全附件设施设置情况</w:t>
      </w:r>
    </w:p>
    <w:p w14:paraId="5422B13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现场勘查，涉事系统管线、设备均未安装安全阀、泄压阀、超压预警等安全附件；</w:t>
      </w:r>
      <w:bookmarkStart w:id="38" w:name="_Hlk173603801"/>
      <w:bookmarkStart w:id="39" w:name="_Toc1425976102_WPSOffice_Level2"/>
      <w:bookmarkStart w:id="40" w:name="_Toc819977706_WPSOffice_Level2"/>
      <w:bookmarkStart w:id="41" w:name="_Toc1379242262_WPSOffice_Level2"/>
      <w:r>
        <w:rPr>
          <w:rFonts w:hint="eastAsia" w:ascii="仿宋" w:hAnsi="仿宋" w:eastAsia="仿宋" w:cs="仿宋"/>
          <w:color w:val="auto"/>
          <w:kern w:val="1"/>
          <w:sz w:val="32"/>
          <w:szCs w:val="32"/>
          <w:lang w:eastAsia="zh-CN"/>
        </w:rPr>
        <w:t>升膜蒸发器</w:t>
      </w:r>
      <w:bookmarkEnd w:id="38"/>
      <w:r>
        <w:rPr>
          <w:rFonts w:hint="eastAsia" w:ascii="仿宋" w:hAnsi="仿宋" w:eastAsia="仿宋" w:cs="仿宋"/>
          <w:color w:val="auto"/>
          <w:kern w:val="1"/>
          <w:sz w:val="32"/>
          <w:szCs w:val="32"/>
          <w:lang w:eastAsia="zh-CN"/>
        </w:rPr>
        <w:t>、气液分离罐、蒸发冷凝器等设备仅在升膜蒸发器顶部设置了压力在线监测，未设置高限报警；轻组分罐仅设置了现场玻璃管液位计，没有设置在线监测及报警；气液分离罐仅设置了两个视镜以观测液位，没有设置液位计监测和报警；厂区内蒸汽温度没有设置温度检测点；蒸发冷凝器冷媒出口管道未设置温度和流量监测、报警，当出现换热器泄漏或冷却失效时不能够第一时间予以发现。</w:t>
      </w:r>
    </w:p>
    <w:bookmarkEnd w:id="39"/>
    <w:bookmarkEnd w:id="40"/>
    <w:bookmarkEnd w:id="41"/>
    <w:p w14:paraId="059B5AEC">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sz w:val="32"/>
          <w:szCs w:val="32"/>
        </w:rPr>
      </w:pPr>
      <w:r>
        <w:rPr>
          <w:rFonts w:hint="eastAsia" w:eastAsia="微软雅黑"/>
          <w:color w:val="auto"/>
          <w:sz w:val="32"/>
          <w:szCs w:val="32"/>
          <w:lang w:eastAsia="zh-CN"/>
        </w:rPr>
        <w:t>四、</w:t>
      </w:r>
      <w:r>
        <w:rPr>
          <w:rFonts w:hint="eastAsia" w:eastAsia="微软雅黑"/>
          <w:color w:val="auto"/>
          <w:sz w:val="32"/>
          <w:szCs w:val="32"/>
        </w:rPr>
        <w:t>技术检验鉴定情况</w:t>
      </w:r>
    </w:p>
    <w:p w14:paraId="09F89B72">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outlineLvl w:val="0"/>
        <w:rPr>
          <w:rFonts w:hint="eastAsia" w:ascii="楷体" w:hAnsi="楷体" w:eastAsia="楷体" w:cs="楷体"/>
          <w:color w:val="auto"/>
          <w:sz w:val="32"/>
          <w:szCs w:val="32"/>
          <w:lang w:eastAsia="zh-CN"/>
        </w:rPr>
      </w:pPr>
      <w:bookmarkStart w:id="42" w:name="_Toc484245916_WPSOffice_Level2"/>
      <w:bookmarkStart w:id="43" w:name="_Toc1166059992_WPSOffice_Level2"/>
      <w:r>
        <w:rPr>
          <w:rFonts w:hint="eastAsia" w:ascii="楷体" w:hAnsi="楷体" w:eastAsia="楷体" w:cs="楷体"/>
          <w:color w:val="auto"/>
          <w:sz w:val="32"/>
          <w:szCs w:val="32"/>
          <w:lang w:eastAsia="zh-CN"/>
        </w:rPr>
        <w:t>（一）</w:t>
      </w:r>
      <w:bookmarkEnd w:id="42"/>
      <w:bookmarkStart w:id="44" w:name="_Toc1369388099_WPSOffice_Level2"/>
      <w:r>
        <w:rPr>
          <w:rFonts w:hint="eastAsia" w:ascii="楷体" w:hAnsi="楷体" w:eastAsia="楷体" w:cs="楷体"/>
          <w:color w:val="auto"/>
          <w:sz w:val="32"/>
          <w:szCs w:val="32"/>
          <w:lang w:eastAsia="zh-CN"/>
        </w:rPr>
        <w:t>事故类别认定</w:t>
      </w:r>
      <w:bookmarkEnd w:id="44"/>
      <w:r>
        <w:rPr>
          <w:rFonts w:hint="eastAsia" w:ascii="楷体" w:hAnsi="楷体" w:eastAsia="楷体" w:cs="楷体"/>
          <w:color w:val="auto"/>
          <w:sz w:val="32"/>
          <w:szCs w:val="32"/>
          <w:lang w:eastAsia="zh-CN"/>
        </w:rPr>
        <w:t>。</w:t>
      </w:r>
    </w:p>
    <w:p w14:paraId="4068A58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lang w:eastAsia="zh-CN"/>
        </w:rPr>
        <w:t>技术组通过</w:t>
      </w:r>
      <w:r>
        <w:rPr>
          <w:rFonts w:hint="eastAsia" w:ascii="仿宋" w:hAnsi="仿宋" w:eastAsia="仿宋" w:cs="仿宋"/>
          <w:color w:val="auto"/>
          <w:sz w:val="32"/>
          <w:szCs w:val="32"/>
        </w:rPr>
        <w:t>现场勘测、DCS数据查询、现场监控视频回放</w:t>
      </w:r>
      <w:r>
        <w:rPr>
          <w:rFonts w:hint="eastAsia" w:ascii="仿宋" w:hAnsi="仿宋" w:eastAsia="仿宋" w:cs="仿宋"/>
          <w:color w:val="auto"/>
          <w:sz w:val="32"/>
          <w:szCs w:val="32"/>
          <w:lang w:eastAsia="zh-CN"/>
        </w:rPr>
        <w:t>，并结合调查问话</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经综合科学分析，可确定以下事实</w:t>
      </w:r>
      <w:r>
        <w:rPr>
          <w:rFonts w:hint="eastAsia" w:ascii="仿宋" w:hAnsi="仿宋" w:eastAsia="仿宋" w:cs="仿宋"/>
          <w:color w:val="auto"/>
          <w:sz w:val="32"/>
          <w:szCs w:val="32"/>
        </w:rPr>
        <w:t>：</w:t>
      </w:r>
    </w:p>
    <w:p w14:paraId="0AA69370">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2024年7月30日11:59分，DCS显示升膜蒸发器底部进料温度已达213℃，高于三氮唑140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的闪点温度，和甲酰胺154</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w:t>
      </w:r>
    </w:p>
    <w:p w14:paraId="5FB0255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 xml:space="preserve">58分，DCS显示蒸发器压力从0.1Mpa </w:t>
      </w:r>
      <w:r>
        <w:rPr>
          <w:rFonts w:hint="eastAsia" w:ascii="仿宋" w:hAnsi="仿宋" w:eastAsia="仿宋" w:cs="仿宋"/>
          <w:color w:val="auto"/>
          <w:sz w:val="32"/>
          <w:szCs w:val="32"/>
          <w:lang w:eastAsia="zh-CN"/>
        </w:rPr>
        <w:t>突然急剧</w:t>
      </w:r>
      <w:r>
        <w:rPr>
          <w:rFonts w:hint="eastAsia" w:ascii="仿宋" w:hAnsi="仿宋" w:eastAsia="仿宋" w:cs="仿宋"/>
          <w:color w:val="auto"/>
          <w:sz w:val="32"/>
          <w:szCs w:val="32"/>
        </w:rPr>
        <w:t>升高</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压力</w:t>
      </w:r>
      <w:r>
        <w:rPr>
          <w:rFonts w:hint="eastAsia" w:ascii="仿宋" w:hAnsi="仿宋" w:eastAsia="仿宋" w:cs="仿宋"/>
          <w:color w:val="auto"/>
          <w:sz w:val="32"/>
          <w:szCs w:val="32"/>
          <w:lang w:eastAsia="zh-CN"/>
        </w:rPr>
        <w:t>值超过</w:t>
      </w:r>
      <w:r>
        <w:rPr>
          <w:rFonts w:hint="eastAsia" w:ascii="仿宋" w:hAnsi="仿宋" w:eastAsia="仿宋" w:cs="仿宋"/>
          <w:color w:val="auto"/>
          <w:sz w:val="32"/>
          <w:szCs w:val="32"/>
        </w:rPr>
        <w:t>0.3MPa（该表量程上限为0.3MPa）。</w:t>
      </w:r>
    </w:p>
    <w:p w14:paraId="0FAE32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气液分离罐底部管道温度计电缆保护胶皮表层碳化；现场多处发现遭受过爆燃的纸笔、抹布等物品的灰烬。</w:t>
      </w:r>
    </w:p>
    <w:p w14:paraId="0DB62E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距离爆炸中心约15米处监控摄像头下方出现过闪动的火苗。</w:t>
      </w:r>
    </w:p>
    <w:p w14:paraId="2B6ADBD5">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爆炸过后，应急救援人员到达现场未发现明火，但焦糊味明显。</w:t>
      </w:r>
    </w:p>
    <w:p w14:paraId="0BF18CA8">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综合</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事实</w:t>
      </w:r>
      <w:r>
        <w:rPr>
          <w:rFonts w:hint="eastAsia" w:ascii="仿宋" w:hAnsi="仿宋" w:eastAsia="仿宋" w:cs="仿宋"/>
          <w:color w:val="auto"/>
          <w:sz w:val="32"/>
          <w:szCs w:val="32"/>
        </w:rPr>
        <w:t>，此次爆炸符合可燃物泄漏发生闪爆的条件和</w:t>
      </w:r>
      <w:r>
        <w:rPr>
          <w:rFonts w:hint="eastAsia" w:ascii="仿宋" w:hAnsi="仿宋" w:eastAsia="仿宋" w:cs="仿宋"/>
          <w:color w:val="auto"/>
          <w:sz w:val="32"/>
          <w:szCs w:val="32"/>
          <w:lang w:eastAsia="zh-CN"/>
        </w:rPr>
        <w:t>基本</w:t>
      </w:r>
      <w:r>
        <w:rPr>
          <w:rFonts w:hint="eastAsia" w:ascii="仿宋" w:hAnsi="仿宋" w:eastAsia="仿宋" w:cs="仿宋"/>
          <w:color w:val="auto"/>
          <w:sz w:val="32"/>
          <w:szCs w:val="32"/>
        </w:rPr>
        <w:t>特征，</w:t>
      </w:r>
      <w:r>
        <w:rPr>
          <w:rFonts w:hint="eastAsia" w:ascii="仿宋" w:hAnsi="仿宋" w:eastAsia="仿宋" w:cs="仿宋"/>
          <w:color w:val="auto"/>
          <w:sz w:val="32"/>
          <w:szCs w:val="32"/>
          <w:lang w:eastAsia="zh-CN"/>
        </w:rPr>
        <w:t>属</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可燃物泄漏闪爆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该事故类别判定为容器爆炸</w:t>
      </w:r>
      <w:r>
        <w:rPr>
          <w:rFonts w:hint="eastAsia" w:ascii="仿宋" w:hAnsi="仿宋" w:eastAsia="仿宋" w:cs="宋体"/>
          <w:color w:val="auto"/>
          <w:spacing w:val="-6"/>
          <w:kern w:val="2"/>
          <w:sz w:val="24"/>
          <w:szCs w:val="24"/>
          <w:shd w:val="clear" w:color="auto" w:fill="FFFFFF"/>
          <w:vertAlign w:val="superscript"/>
          <w:lang w:val="en-US" w:eastAsia="zh-CN" w:bidi="ar-SA"/>
        </w:rPr>
        <w:t>[1]</w:t>
      </w:r>
      <w:r>
        <w:rPr>
          <w:rFonts w:hint="eastAsia" w:ascii="仿宋" w:hAnsi="仿宋" w:eastAsia="仿宋" w:cs="仿宋"/>
          <w:color w:val="auto"/>
          <w:sz w:val="32"/>
          <w:szCs w:val="32"/>
          <w:lang w:eastAsia="zh-CN"/>
        </w:rPr>
        <w:t>。</w:t>
      </w:r>
    </w:p>
    <w:p w14:paraId="01ECDF5A">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楷体" w:hAnsi="楷体" w:eastAsia="仿宋" w:cs="楷体"/>
          <w:color w:val="auto"/>
          <w:sz w:val="32"/>
          <w:szCs w:val="32"/>
          <w:lang w:eastAsia="zh-CN"/>
        </w:rPr>
      </w:pPr>
      <w:r>
        <w:rPr>
          <w:rFonts w:hint="eastAsia" w:ascii="楷体" w:hAnsi="楷体" w:eastAsia="楷体" w:cs="楷体"/>
          <w:color w:val="auto"/>
          <w:sz w:val="32"/>
          <w:szCs w:val="32"/>
          <w:lang w:eastAsia="zh-CN"/>
        </w:rPr>
        <w:t>（二）</w:t>
      </w:r>
      <w:r>
        <w:rPr>
          <w:rFonts w:hint="eastAsia" w:ascii="仿宋" w:hAnsi="仿宋" w:eastAsia="仿宋" w:cs="仿宋"/>
          <w:color w:val="auto"/>
          <w:sz w:val="32"/>
          <w:szCs w:val="32"/>
        </w:rPr>
        <w:t>导致升膜蒸发系统超压原因</w:t>
      </w:r>
      <w:r>
        <w:rPr>
          <w:rFonts w:hint="eastAsia" w:ascii="仿宋" w:hAnsi="仿宋" w:eastAsia="仿宋" w:cs="仿宋"/>
          <w:color w:val="auto"/>
          <w:sz w:val="32"/>
          <w:szCs w:val="32"/>
          <w:lang w:eastAsia="zh-CN"/>
        </w:rPr>
        <w:t>的鉴定情况。</w:t>
      </w:r>
    </w:p>
    <w:p w14:paraId="6EE4BF8E">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color w:val="auto"/>
          <w:sz w:val="32"/>
          <w:szCs w:val="32"/>
          <w:lang w:eastAsia="zh-CN"/>
        </w:rPr>
      </w:pPr>
      <w:r>
        <w:rPr>
          <w:rFonts w:hint="eastAsia" w:ascii="仿宋" w:hAnsi="仿宋" w:eastAsia="仿宋" w:cs="仿宋"/>
          <w:color w:val="auto"/>
          <w:sz w:val="32"/>
          <w:szCs w:val="32"/>
          <w:lang w:eastAsia="zh-CN"/>
        </w:rPr>
        <w:t>依据</w:t>
      </w: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工艺流程及其技术特点，</w:t>
      </w:r>
      <w:r>
        <w:rPr>
          <w:rFonts w:hint="eastAsia" w:ascii="仿宋" w:hAnsi="仿宋" w:eastAsia="仿宋" w:cs="仿宋"/>
          <w:color w:val="auto"/>
          <w:sz w:val="32"/>
          <w:szCs w:val="32"/>
        </w:rPr>
        <w:t>技术专家组</w:t>
      </w:r>
      <w:r>
        <w:rPr>
          <w:rFonts w:hint="eastAsia" w:ascii="仿宋" w:hAnsi="仿宋" w:eastAsia="仿宋" w:cs="仿宋"/>
          <w:color w:val="auto"/>
          <w:sz w:val="32"/>
          <w:szCs w:val="32"/>
          <w:lang w:eastAsia="zh-CN"/>
        </w:rPr>
        <w:t>现场勘查的基础上，</w:t>
      </w:r>
      <w:r>
        <w:rPr>
          <w:rFonts w:hint="eastAsia" w:ascii="仿宋" w:hAnsi="仿宋" w:eastAsia="仿宋" w:cs="仿宋"/>
          <w:color w:val="auto"/>
          <w:sz w:val="32"/>
          <w:szCs w:val="32"/>
        </w:rPr>
        <w:t>全面分析</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可能导致升膜蒸发系统超压的各种原因</w:t>
      </w:r>
      <w:r>
        <w:rPr>
          <w:rFonts w:hint="eastAsia" w:ascii="仿宋" w:hAnsi="仿宋" w:eastAsia="仿宋" w:cs="仿宋"/>
          <w:color w:val="auto"/>
          <w:kern w:val="1"/>
          <w:sz w:val="32"/>
          <w:szCs w:val="32"/>
          <w:lang w:eastAsia="zh-CN"/>
        </w:rPr>
        <w:t>。可认定，</w:t>
      </w:r>
      <w:r>
        <w:rPr>
          <w:rFonts w:hint="eastAsia" w:ascii="仿宋" w:hAnsi="仿宋" w:eastAsia="仿宋" w:cs="仿宋"/>
          <w:color w:val="auto"/>
          <w:sz w:val="32"/>
          <w:szCs w:val="32"/>
        </w:rPr>
        <w:t>蒸汽异常进入物料系统，</w:t>
      </w:r>
      <w:r>
        <w:rPr>
          <w:rFonts w:hint="eastAsia" w:ascii="仿宋" w:hAnsi="仿宋" w:eastAsia="仿宋" w:cs="仿宋"/>
          <w:color w:val="auto"/>
          <w:sz w:val="32"/>
          <w:szCs w:val="32"/>
          <w:lang w:eastAsia="zh-CN"/>
        </w:rPr>
        <w:t>是</w:t>
      </w:r>
      <w:r>
        <w:rPr>
          <w:rFonts w:hint="eastAsia" w:ascii="仿宋" w:hAnsi="仿宋" w:eastAsia="仿宋" w:cs="仿宋"/>
          <w:color w:val="auto"/>
          <w:sz w:val="32"/>
          <w:szCs w:val="32"/>
        </w:rPr>
        <w:t>引起</w:t>
      </w:r>
      <w:r>
        <w:rPr>
          <w:rFonts w:hint="eastAsia" w:ascii="仿宋" w:hAnsi="仿宋" w:eastAsia="仿宋" w:cs="仿宋"/>
          <w:color w:val="auto"/>
          <w:sz w:val="32"/>
          <w:szCs w:val="32"/>
          <w:lang w:eastAsia="zh-CN"/>
        </w:rPr>
        <w:t>系统</w:t>
      </w:r>
      <w:r>
        <w:rPr>
          <w:rFonts w:hint="eastAsia" w:ascii="仿宋" w:hAnsi="仿宋" w:eastAsia="仿宋" w:cs="仿宋"/>
          <w:color w:val="auto"/>
          <w:sz w:val="32"/>
          <w:szCs w:val="32"/>
        </w:rPr>
        <w:t>升温升压</w:t>
      </w:r>
      <w:r>
        <w:rPr>
          <w:rFonts w:hint="eastAsia" w:ascii="仿宋" w:hAnsi="仿宋" w:eastAsia="仿宋" w:cs="仿宋"/>
          <w:color w:val="auto"/>
          <w:sz w:val="32"/>
          <w:szCs w:val="32"/>
          <w:lang w:eastAsia="zh-CN"/>
        </w:rPr>
        <w:t>的根本原因</w:t>
      </w:r>
      <w:r>
        <w:rPr>
          <w:rFonts w:hint="eastAsia" w:ascii="仿宋" w:hAnsi="仿宋" w:eastAsia="仿宋" w:cs="仿宋"/>
          <w:color w:val="auto"/>
          <w:kern w:val="1"/>
          <w:sz w:val="32"/>
          <w:szCs w:val="32"/>
          <w:lang w:eastAsia="zh-CN"/>
        </w:rPr>
        <w:t>。</w:t>
      </w:r>
    </w:p>
    <w:p w14:paraId="3EAFAAD5">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仿宋" w:hAnsi="仿宋" w:eastAsia="仿宋" w:cs="仿宋"/>
          <w:color w:val="auto"/>
          <w:sz w:val="32"/>
          <w:szCs w:val="32"/>
          <w:lang w:eastAsia="zh-CN"/>
        </w:rPr>
      </w:pPr>
      <w:bookmarkStart w:id="45" w:name="_Toc1468321635_WPSOffice_Level2"/>
      <w:r>
        <w:rPr>
          <w:rFonts w:hint="eastAsia" w:ascii="楷体" w:hAnsi="楷体" w:eastAsia="楷体" w:cs="楷体"/>
          <w:color w:val="auto"/>
          <w:sz w:val="32"/>
          <w:szCs w:val="32"/>
          <w:lang w:eastAsia="zh-CN"/>
        </w:rPr>
        <w:t>（三）</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物泄漏成分鉴定情况。</w:t>
      </w:r>
      <w:bookmarkEnd w:id="45"/>
    </w:p>
    <w:p w14:paraId="551498E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eastAsia="zh-CN"/>
        </w:rPr>
        <w:t>为了确定事故中</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w:t>
      </w:r>
      <w:r>
        <w:rPr>
          <w:rFonts w:hint="eastAsia" w:ascii="仿宋" w:hAnsi="仿宋" w:eastAsia="仿宋" w:cs="仿宋"/>
          <w:color w:val="auto"/>
          <w:kern w:val="1"/>
          <w:sz w:val="32"/>
          <w:szCs w:val="32"/>
          <w:lang w:eastAsia="zh-CN"/>
        </w:rPr>
        <w:t>组成</w:t>
      </w:r>
      <w:r>
        <w:rPr>
          <w:rFonts w:hint="eastAsia" w:ascii="仿宋" w:hAnsi="仿宋" w:eastAsia="仿宋" w:cs="仿宋"/>
          <w:color w:val="auto"/>
          <w:sz w:val="32"/>
          <w:szCs w:val="32"/>
          <w:lang w:eastAsia="zh-CN"/>
        </w:rPr>
        <w:t>成分</w:t>
      </w:r>
      <w:r>
        <w:rPr>
          <w:rFonts w:hint="eastAsia" w:ascii="仿宋" w:hAnsi="仿宋" w:eastAsia="仿宋" w:cs="仿宋"/>
          <w:color w:val="auto"/>
          <w:kern w:val="1"/>
          <w:sz w:val="32"/>
          <w:szCs w:val="32"/>
          <w:lang w:eastAsia="zh-CN"/>
        </w:rPr>
        <w:t>，技术组通过对循环管道内残留物料进行了检测，经检测</w:t>
      </w:r>
      <w:r>
        <w:rPr>
          <w:rFonts w:hint="eastAsia" w:ascii="仿宋" w:hAnsi="仿宋" w:eastAsia="仿宋" w:cs="仿宋"/>
          <w:color w:val="auto"/>
          <w:sz w:val="32"/>
          <w:szCs w:val="32"/>
        </w:rPr>
        <w:t>物料</w:t>
      </w:r>
      <w:r>
        <w:rPr>
          <w:rFonts w:hint="eastAsia" w:ascii="仿宋" w:hAnsi="仿宋" w:eastAsia="仿宋" w:cs="仿宋"/>
          <w:color w:val="auto"/>
          <w:sz w:val="32"/>
          <w:szCs w:val="32"/>
          <w:lang w:eastAsia="zh-CN"/>
        </w:rPr>
        <w:t>成分中不含氨，</w:t>
      </w:r>
      <w:r>
        <w:rPr>
          <w:rFonts w:hint="eastAsia" w:ascii="仿宋" w:hAnsi="仿宋" w:eastAsia="仿宋" w:cs="仿宋"/>
          <w:color w:val="auto"/>
          <w:sz w:val="32"/>
          <w:szCs w:val="32"/>
        </w:rPr>
        <w:t>物料组成正常</w:t>
      </w:r>
      <w:r>
        <w:rPr>
          <w:rFonts w:hint="eastAsia" w:ascii="仿宋" w:hAnsi="仿宋" w:eastAsia="仿宋" w:cs="仿宋"/>
          <w:color w:val="auto"/>
          <w:sz w:val="32"/>
          <w:szCs w:val="32"/>
          <w:lang w:eastAsia="zh-CN"/>
        </w:rPr>
        <w:t>，确定</w:t>
      </w:r>
      <w:r>
        <w:rPr>
          <w:rFonts w:hint="eastAsia" w:ascii="仿宋" w:hAnsi="仿宋" w:eastAsia="仿宋" w:cs="仿宋"/>
          <w:color w:val="auto"/>
          <w:sz w:val="32"/>
          <w:szCs w:val="32"/>
        </w:rPr>
        <w:t>蒸发系统可燃</w:t>
      </w:r>
      <w:r>
        <w:rPr>
          <w:rFonts w:hint="eastAsia" w:ascii="仿宋" w:hAnsi="仿宋" w:eastAsia="仿宋" w:cs="仿宋"/>
          <w:color w:val="auto"/>
          <w:sz w:val="32"/>
          <w:szCs w:val="32"/>
          <w:lang w:eastAsia="zh-CN"/>
        </w:rPr>
        <w:t>物泄漏爆炸未</w:t>
      </w:r>
      <w:r>
        <w:rPr>
          <w:rFonts w:hint="eastAsia" w:ascii="仿宋" w:hAnsi="仿宋" w:eastAsia="仿宋" w:cs="仿宋"/>
          <w:color w:val="auto"/>
          <w:sz w:val="32"/>
          <w:szCs w:val="32"/>
        </w:rPr>
        <w:t>发生</w:t>
      </w:r>
      <w:r>
        <w:rPr>
          <w:rFonts w:hint="eastAsia" w:ascii="仿宋" w:hAnsi="仿宋" w:eastAsia="仿宋" w:cs="仿宋"/>
          <w:color w:val="auto"/>
          <w:sz w:val="32"/>
          <w:szCs w:val="32"/>
          <w:lang w:eastAsia="zh-CN"/>
        </w:rPr>
        <w:t>涉氨的化学</w:t>
      </w:r>
      <w:r>
        <w:rPr>
          <w:rFonts w:hint="eastAsia" w:ascii="仿宋" w:hAnsi="仿宋" w:eastAsia="仿宋" w:cs="仿宋"/>
          <w:color w:val="auto"/>
          <w:sz w:val="32"/>
          <w:szCs w:val="32"/>
        </w:rPr>
        <w:t>反应</w:t>
      </w:r>
      <w:r>
        <w:rPr>
          <w:rFonts w:hint="eastAsia" w:ascii="仿宋" w:hAnsi="仿宋" w:eastAsia="仿宋" w:cs="仿宋"/>
          <w:color w:val="auto"/>
          <w:sz w:val="32"/>
          <w:szCs w:val="32"/>
          <w:lang w:eastAsia="zh-CN"/>
        </w:rPr>
        <w:t>。</w:t>
      </w:r>
    </w:p>
    <w:p w14:paraId="41461BFF">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eastAsia="微软雅黑"/>
          <w:color w:val="auto"/>
          <w:sz w:val="32"/>
          <w:szCs w:val="32"/>
        </w:rPr>
      </w:pPr>
      <w:r>
        <w:rPr>
          <w:rFonts w:hint="eastAsia" w:eastAsia="微软雅黑"/>
          <w:color w:val="auto"/>
          <w:sz w:val="32"/>
          <w:szCs w:val="32"/>
          <w:lang w:eastAsia="zh-CN"/>
        </w:rPr>
        <w:t>五</w:t>
      </w:r>
      <w:r>
        <w:rPr>
          <w:rFonts w:hint="eastAsia" w:eastAsia="微软雅黑"/>
          <w:color w:val="auto"/>
          <w:sz w:val="32"/>
          <w:szCs w:val="32"/>
        </w:rPr>
        <w:t>、</w:t>
      </w:r>
      <w:bookmarkStart w:id="46" w:name="_Toc597273980_WPSOffice_Level1"/>
      <w:bookmarkStart w:id="47" w:name="_Toc1856814526_WPSOffice_Level1"/>
      <w:r>
        <w:rPr>
          <w:rFonts w:eastAsia="微软雅黑"/>
          <w:color w:val="auto"/>
          <w:sz w:val="32"/>
          <w:szCs w:val="32"/>
        </w:rPr>
        <w:t>事故发生经过及</w:t>
      </w:r>
      <w:r>
        <w:rPr>
          <w:rFonts w:hint="eastAsia" w:eastAsia="微软雅黑"/>
          <w:color w:val="auto"/>
          <w:sz w:val="32"/>
          <w:szCs w:val="32"/>
        </w:rPr>
        <w:t>应急</w:t>
      </w:r>
      <w:r>
        <w:rPr>
          <w:rFonts w:eastAsia="微软雅黑"/>
          <w:color w:val="auto"/>
          <w:sz w:val="32"/>
          <w:szCs w:val="32"/>
        </w:rPr>
        <w:t>救援情况</w:t>
      </w:r>
      <w:bookmarkEnd w:id="46"/>
      <w:bookmarkEnd w:id="47"/>
    </w:p>
    <w:p w14:paraId="5B602DC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bCs/>
          <w:color w:val="auto"/>
          <w:sz w:val="32"/>
          <w:szCs w:val="32"/>
        </w:rPr>
      </w:pPr>
      <w:bookmarkStart w:id="48" w:name="_Toc1138389901_WPSOffice_Level2"/>
      <w:bookmarkStart w:id="49" w:name="_Toc1948056722_WPSOffice_Level2"/>
      <w:r>
        <w:rPr>
          <w:rFonts w:hint="eastAsia" w:ascii="楷体" w:hAnsi="楷体" w:eastAsia="楷体" w:cs="楷体"/>
          <w:bCs/>
          <w:color w:val="auto"/>
          <w:sz w:val="32"/>
          <w:szCs w:val="32"/>
          <w:lang w:val="zh-CN"/>
        </w:rPr>
        <w:t>（一）</w:t>
      </w:r>
      <w:r>
        <w:rPr>
          <w:rFonts w:hint="eastAsia" w:ascii="楷体" w:hAnsi="楷体" w:eastAsia="楷体" w:cs="楷体"/>
          <w:bCs/>
          <w:color w:val="auto"/>
          <w:sz w:val="32"/>
          <w:szCs w:val="32"/>
        </w:rPr>
        <w:t>事故发生经过。</w:t>
      </w:r>
      <w:bookmarkEnd w:id="48"/>
      <w:bookmarkEnd w:id="49"/>
    </w:p>
    <w:p w14:paraId="567AAB42">
      <w:pPr>
        <w:pStyle w:val="9"/>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lang w:eastAsia="zh-CN"/>
        </w:rPr>
      </w:pP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操作实行三班作业制，早班零时到</w:t>
      </w:r>
      <w:r>
        <w:rPr>
          <w:rFonts w:hint="eastAsia" w:ascii="仿宋" w:hAnsi="仿宋" w:eastAsia="仿宋" w:cs="仿宋"/>
          <w:color w:val="auto"/>
          <w:sz w:val="32"/>
          <w:szCs w:val="32"/>
          <w:lang w:val="en-US" w:eastAsia="zh-CN"/>
        </w:rPr>
        <w:t>8时，中班8时到16时，晚班16时到24时。中班作业人员</w:t>
      </w:r>
      <w:r>
        <w:rPr>
          <w:rFonts w:hint="eastAsia" w:ascii="仿宋" w:hAnsi="仿宋" w:eastAsia="仿宋" w:cs="仿宋"/>
          <w:color w:val="auto"/>
          <w:sz w:val="32"/>
          <w:szCs w:val="32"/>
          <w:lang w:eastAsia="zh-CN"/>
        </w:rPr>
        <w:t>黄**到达作业岗位后，按照工艺流程先开启了真空系统，使升膜蒸发系统形成负压</w:t>
      </w:r>
      <w:r>
        <w:rPr>
          <w:rFonts w:hint="eastAsia" w:ascii="仿宋" w:hAnsi="仿宋" w:eastAsia="仿宋" w:cs="仿宋"/>
          <w:color w:val="auto"/>
          <w:sz w:val="32"/>
          <w:szCs w:val="32"/>
          <w:lang w:val="en-US" w:eastAsia="zh-CN"/>
        </w:rPr>
        <w:t>，接着操作加注母液。至</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切换物料启动循环泵</w:t>
      </w:r>
      <w:r>
        <w:rPr>
          <w:rFonts w:hint="eastAsia" w:ascii="仿宋" w:hAnsi="仿宋" w:eastAsia="仿宋" w:cs="仿宋"/>
          <w:color w:val="auto"/>
          <w:sz w:val="32"/>
          <w:szCs w:val="32"/>
          <w:lang w:eastAsia="zh-CN"/>
        </w:rPr>
        <w:t>开始循环操作，接着</w:t>
      </w:r>
      <w:r>
        <w:rPr>
          <w:rFonts w:hint="eastAsia" w:ascii="仿宋" w:hAnsi="仿宋" w:eastAsia="仿宋" w:cs="仿宋"/>
          <w:color w:val="auto"/>
          <w:sz w:val="32"/>
          <w:szCs w:val="32"/>
        </w:rPr>
        <w:t>打开了蒸汽</w:t>
      </w:r>
      <w:r>
        <w:rPr>
          <w:rFonts w:hint="eastAsia" w:ascii="仿宋" w:hAnsi="仿宋" w:eastAsia="仿宋" w:cs="仿宋"/>
          <w:color w:val="auto"/>
          <w:sz w:val="32"/>
          <w:szCs w:val="32"/>
          <w:lang w:eastAsia="zh-CN"/>
        </w:rPr>
        <w:t>吹扫</w:t>
      </w:r>
      <w:r>
        <w:rPr>
          <w:rFonts w:hint="eastAsia" w:ascii="仿宋" w:hAnsi="仿宋" w:eastAsia="仿宋" w:cs="仿宋"/>
          <w:color w:val="auto"/>
          <w:sz w:val="32"/>
          <w:szCs w:val="32"/>
        </w:rPr>
        <w:t>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DN20</w:t>
      </w:r>
      <w:r>
        <w:rPr>
          <w:rFonts w:hint="eastAsia" w:ascii="仿宋" w:hAnsi="仿宋" w:eastAsia="仿宋" w:cs="仿宋"/>
          <w:color w:val="auto"/>
          <w:sz w:val="32"/>
          <w:szCs w:val="32"/>
          <w:lang w:eastAsia="zh-CN"/>
        </w:rPr>
        <w:t>）。约</w:t>
      </w:r>
      <w:r>
        <w:rPr>
          <w:rFonts w:hint="eastAsia" w:ascii="仿宋" w:hAnsi="仿宋" w:eastAsia="仿宋" w:cs="仿宋"/>
          <w:color w:val="auto"/>
          <w:sz w:val="32"/>
          <w:szCs w:val="32"/>
          <w:lang w:val="en-US" w:eastAsia="zh-CN"/>
        </w:rPr>
        <w:t>2分钟后，</w:t>
      </w:r>
      <w:r>
        <w:rPr>
          <w:rFonts w:hint="eastAsia" w:ascii="仿宋" w:hAnsi="仿宋" w:eastAsia="仿宋" w:cs="仿宋"/>
          <w:color w:val="auto"/>
          <w:kern w:val="2"/>
          <w:sz w:val="32"/>
          <w:szCs w:val="32"/>
          <w:lang w:val="en-US" w:eastAsia="zh-CN" w:bidi="ar-SA"/>
        </w:rPr>
        <w:t>1#升膜蒸发器底部进料温度从正常的112</w:t>
      </w:r>
      <w:r>
        <w:rPr>
          <w:rFonts w:hint="default" w:ascii="仿宋" w:hAnsi="仿宋" w:eastAsia="仿宋" w:cs="仿宋"/>
          <w:color w:val="auto"/>
          <w:kern w:val="2"/>
          <w:sz w:val="32"/>
          <w:szCs w:val="32"/>
          <w:lang w:val="en" w:eastAsia="zh-CN" w:bidi="ar-SA"/>
        </w:rPr>
        <w:t>℃</w:t>
      </w:r>
      <w:r>
        <w:rPr>
          <w:rFonts w:hint="eastAsia" w:ascii="仿宋" w:hAnsi="仿宋" w:eastAsia="仿宋" w:cs="仿宋"/>
          <w:color w:val="auto"/>
          <w:kern w:val="2"/>
          <w:sz w:val="32"/>
          <w:szCs w:val="32"/>
          <w:lang w:val="en-US" w:eastAsia="zh-CN" w:bidi="ar-SA"/>
        </w:rPr>
        <w:t>突然升高到</w:t>
      </w:r>
      <w:r>
        <w:rPr>
          <w:rFonts w:hint="eastAsia" w:ascii="仿宋" w:hAnsi="仿宋" w:eastAsia="仿宋" w:cs="仿宋"/>
          <w:color w:val="auto"/>
          <w:spacing w:val="-23"/>
          <w:sz w:val="32"/>
          <w:szCs w:val="32"/>
        </w:rPr>
        <w:t>205.8</w:t>
      </w:r>
      <w:r>
        <w:rPr>
          <w:rFonts w:hint="default" w:ascii="仿宋" w:hAnsi="仿宋" w:eastAsia="仿宋" w:cs="仿宋"/>
          <w:color w:val="auto"/>
          <w:spacing w:val="-23"/>
          <w:sz w:val="32"/>
          <w:szCs w:val="32"/>
          <w:lang w:val="en"/>
        </w:rPr>
        <w:t>℃</w:t>
      </w:r>
      <w:r>
        <w:rPr>
          <w:rFonts w:hint="eastAsia" w:ascii="仿宋" w:hAnsi="仿宋" w:eastAsia="仿宋" w:cs="仿宋"/>
          <w:color w:val="auto"/>
          <w:sz w:val="32"/>
          <w:szCs w:val="32"/>
        </w:rPr>
        <w:t>，</w:t>
      </w:r>
    </w:p>
    <w:p w14:paraId="692C04F6">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 w:hAnsi="仿宋" w:eastAsia="仿宋" w:cs="宋体"/>
          <w:color w:val="auto"/>
          <w:spacing w:val="-6"/>
          <w:kern w:val="2"/>
          <w:sz w:val="24"/>
          <w:szCs w:val="24"/>
          <w:shd w:val="clear" w:color="auto" w:fill="FFFFFF"/>
          <w:lang w:val="en-US" w:eastAsia="zh-CN" w:bidi="ar-SA"/>
        </w:rPr>
      </w:pPr>
      <w:bookmarkStart w:id="50" w:name="_Toc15635916_WPSOffice_Level2"/>
      <w:r>
        <w:rPr>
          <w:rFonts w:hint="eastAsia" w:ascii="仿宋" w:hAnsi="仿宋" w:eastAsia="仿宋" w:cs="宋体"/>
          <w:color w:val="auto"/>
          <w:spacing w:val="-6"/>
          <w:sz w:val="24"/>
          <w:shd w:val="clear" w:color="auto" w:fill="FFFFFF"/>
        </w:rPr>
        <w:t>-------------------</w:t>
      </w:r>
    </w:p>
    <w:p w14:paraId="29FB6D4E">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left="0" w:leftChars="0" w:firstLine="485" w:firstLineChars="213"/>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[1]《企业职工伤亡事故分类》(GB 6441-1986）容器爆炸：是压力容器破裂引起的气体爆炸，即物理性爆炸，包括容器内盛装的可燃性液化气在容器破裂后，立即蒸发，与周围的空气混合形成爆炸性气体混合物，遇到火源时产生的化学爆作，也称容器的二次爆炸。</w:t>
      </w:r>
    </w:p>
    <w:p w14:paraId="66684288">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bookmarkEnd w:id="34"/>
    <w:bookmarkEnd w:id="35"/>
    <w:bookmarkEnd w:id="43"/>
    <w:bookmarkEnd w:id="50"/>
    <w:p w14:paraId="51808301">
      <w:pPr>
        <w:keepNext w:val="0"/>
        <w:keepLines w:val="0"/>
        <w:pageBreakBefore w:val="0"/>
        <w:widowControl w:val="0"/>
        <w:kinsoku/>
        <w:overflowPunct/>
        <w:topLinePunct w:val="0"/>
        <w:autoSpaceDE/>
        <w:autoSpaceDN/>
        <w:bidi w:val="0"/>
        <w:adjustRightInd/>
        <w:snapToGrid/>
        <w:spacing w:line="576" w:lineRule="exact"/>
        <w:jc w:val="left"/>
        <w:textAlignment w:val="auto"/>
        <w:rPr>
          <w:rFonts w:hint="eastAsia" w:ascii="仿宋" w:hAnsi="仿宋" w:eastAsia="仿宋" w:cs="仿宋"/>
          <w:color w:val="auto"/>
          <w:sz w:val="32"/>
          <w:szCs w:val="32"/>
          <w:lang w:val="zh-CN" w:eastAsia="zh-CN"/>
        </w:rPr>
      </w:pPr>
      <w:bookmarkStart w:id="51" w:name="_Hlk173539433"/>
      <w:bookmarkStart w:id="52" w:name="_Toc944722789_WPSOffice_Level2"/>
      <w:r>
        <w:rPr>
          <w:rFonts w:hint="eastAsia" w:ascii="仿宋" w:hAnsi="仿宋" w:eastAsia="仿宋" w:cs="仿宋"/>
          <w:color w:val="auto"/>
          <w:sz w:val="32"/>
          <w:szCs w:val="32"/>
          <w:lang w:eastAsia="zh-CN"/>
        </w:rPr>
        <w:t>随后</w:t>
      </w:r>
      <w:r>
        <w:rPr>
          <w:rFonts w:hint="eastAsia" w:ascii="仿宋" w:hAnsi="仿宋" w:eastAsia="仿宋" w:cs="仿宋"/>
          <w:color w:val="auto"/>
          <w:sz w:val="32"/>
          <w:szCs w:val="32"/>
          <w:lang w:val="en-US" w:eastAsia="zh-CN"/>
        </w:rPr>
        <w:t>温度一直处于200-213</w:t>
      </w:r>
      <w:r>
        <w:rPr>
          <w:rFonts w:hint="default" w:ascii="仿宋" w:hAnsi="仿宋" w:eastAsia="仿宋" w:cs="仿宋"/>
          <w:color w:val="auto"/>
          <w:sz w:val="32"/>
          <w:szCs w:val="32"/>
          <w:lang w:val="en" w:eastAsia="zh-CN"/>
        </w:rPr>
        <w:t>℃</w:t>
      </w:r>
      <w:r>
        <w:rPr>
          <w:rFonts w:hint="eastAsia" w:ascii="仿宋" w:hAnsi="仿宋" w:eastAsia="仿宋" w:cs="仿宋"/>
          <w:color w:val="auto"/>
          <w:sz w:val="32"/>
          <w:szCs w:val="32"/>
          <w:lang w:val="en-US" w:eastAsia="zh-CN"/>
        </w:rPr>
        <w:t>之间。</w:t>
      </w:r>
    </w:p>
    <w:p w14:paraId="34BA3BC9">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发现温度异常升高后，黄**立即</w:t>
      </w:r>
      <w:bookmarkEnd w:id="51"/>
      <w:r>
        <w:rPr>
          <w:rFonts w:hint="eastAsia" w:ascii="仿宋" w:hAnsi="仿宋" w:eastAsia="仿宋" w:cs="仿宋"/>
          <w:color w:val="auto"/>
          <w:sz w:val="32"/>
          <w:szCs w:val="32"/>
        </w:rPr>
        <w:t>通过对讲机报告</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中控室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副班长</w:t>
      </w:r>
      <w:r>
        <w:rPr>
          <w:rFonts w:hint="eastAsia" w:ascii="仿宋" w:hAnsi="仿宋" w:eastAsia="仿宋" w:cs="仿宋"/>
          <w:color w:val="auto"/>
          <w:sz w:val="32"/>
          <w:szCs w:val="32"/>
          <w:lang w:eastAsia="zh-CN"/>
        </w:rPr>
        <w:t>谭**</w:t>
      </w:r>
      <w:r>
        <w:rPr>
          <w:rFonts w:hint="eastAsia" w:ascii="仿宋" w:hAnsi="仿宋" w:eastAsia="仿宋" w:cs="仿宋"/>
          <w:color w:val="auto"/>
          <w:sz w:val="32"/>
          <w:szCs w:val="32"/>
        </w:rPr>
        <w:t>接到报告后到达现场</w:t>
      </w:r>
      <w:r>
        <w:rPr>
          <w:rFonts w:hint="eastAsia" w:ascii="仿宋" w:hAnsi="仿宋" w:eastAsia="仿宋" w:cs="仿宋"/>
          <w:color w:val="auto"/>
          <w:sz w:val="32"/>
          <w:szCs w:val="32"/>
          <w:lang w:eastAsia="zh-CN"/>
        </w:rPr>
        <w:t>，并</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黄**以及赶到现场的安全员周**</w:t>
      </w:r>
      <w:r>
        <w:rPr>
          <w:rFonts w:hint="eastAsia" w:ascii="仿宋" w:hAnsi="仿宋" w:eastAsia="仿宋" w:cs="仿宋"/>
          <w:color w:val="auto"/>
          <w:sz w:val="32"/>
          <w:szCs w:val="32"/>
        </w:rPr>
        <w:t>一起检查物料、蒸汽阀门情况，</w:t>
      </w:r>
      <w:r>
        <w:rPr>
          <w:rFonts w:hint="eastAsia" w:ascii="仿宋" w:hAnsi="仿宋" w:eastAsia="仿宋" w:cs="仿宋"/>
          <w:color w:val="auto"/>
          <w:sz w:val="32"/>
          <w:szCs w:val="32"/>
          <w:lang w:eastAsia="zh-CN"/>
        </w:rPr>
        <w:t>但未查出</w:t>
      </w:r>
      <w:r>
        <w:rPr>
          <w:rFonts w:hint="eastAsia" w:ascii="仿宋" w:hAnsi="仿宋" w:eastAsia="仿宋" w:cs="仿宋"/>
          <w:color w:val="auto"/>
          <w:sz w:val="32"/>
          <w:szCs w:val="32"/>
        </w:rPr>
        <w:t>原因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遂将检查情况汇报给了班长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48</w:t>
      </w:r>
      <w:r>
        <w:rPr>
          <w:rFonts w:hint="eastAsia" w:ascii="仿宋" w:hAnsi="仿宋" w:eastAsia="仿宋" w:cs="仿宋"/>
          <w:color w:val="auto"/>
          <w:sz w:val="32"/>
          <w:szCs w:val="32"/>
          <w:lang w:eastAsia="zh-CN"/>
        </w:rPr>
        <w:t>分左右，王**赶到</w:t>
      </w:r>
      <w:r>
        <w:rPr>
          <w:rFonts w:hint="eastAsia" w:ascii="仿宋" w:hAnsi="仿宋" w:eastAsia="仿宋" w:cs="仿宋"/>
          <w:color w:val="auto"/>
          <w:sz w:val="32"/>
          <w:szCs w:val="32"/>
        </w:rPr>
        <w:t>现场，</w:t>
      </w:r>
      <w:r>
        <w:rPr>
          <w:rFonts w:hint="eastAsia" w:ascii="仿宋" w:hAnsi="仿宋" w:eastAsia="仿宋" w:cs="仿宋"/>
          <w:color w:val="auto"/>
          <w:sz w:val="32"/>
          <w:szCs w:val="32"/>
          <w:lang w:eastAsia="zh-CN"/>
        </w:rPr>
        <w:t>进一步组织现场人员</w:t>
      </w:r>
      <w:r>
        <w:rPr>
          <w:rFonts w:hint="eastAsia" w:ascii="仿宋" w:hAnsi="仿宋" w:eastAsia="仿宋" w:cs="仿宋"/>
          <w:color w:val="auto"/>
          <w:sz w:val="32"/>
          <w:szCs w:val="32"/>
        </w:rPr>
        <w:t>在循环泵附近进行</w:t>
      </w:r>
      <w:r>
        <w:rPr>
          <w:rFonts w:hint="eastAsia" w:ascii="仿宋" w:hAnsi="仿宋" w:eastAsia="仿宋" w:cs="仿宋"/>
          <w:color w:val="auto"/>
          <w:sz w:val="32"/>
          <w:szCs w:val="32"/>
          <w:lang w:eastAsia="zh-CN"/>
        </w:rPr>
        <w:t>排</w:t>
      </w:r>
      <w:r>
        <w:rPr>
          <w:rFonts w:hint="eastAsia" w:ascii="仿宋" w:hAnsi="仿宋" w:eastAsia="仿宋" w:cs="仿宋"/>
          <w:color w:val="auto"/>
          <w:sz w:val="32"/>
          <w:szCs w:val="32"/>
        </w:rPr>
        <w:t>查</w:t>
      </w:r>
      <w:r>
        <w:rPr>
          <w:rFonts w:hint="eastAsia" w:ascii="仿宋" w:hAnsi="仿宋" w:eastAsia="仿宋" w:cs="仿宋"/>
          <w:color w:val="auto"/>
          <w:sz w:val="32"/>
          <w:szCs w:val="32"/>
          <w:lang w:eastAsia="zh-CN"/>
        </w:rPr>
        <w:t>。现场人员经过</w:t>
      </w:r>
      <w:r>
        <w:rPr>
          <w:rFonts w:hint="eastAsia" w:ascii="仿宋" w:hAnsi="仿宋" w:eastAsia="仿宋" w:cs="仿宋"/>
          <w:color w:val="auto"/>
          <w:sz w:val="32"/>
          <w:szCs w:val="32"/>
          <w:lang w:val="en-US" w:eastAsia="zh-CN"/>
        </w:rPr>
        <w:t>40多分钟的检查，一直未查出异常升温原因。</w:t>
      </w:r>
    </w:p>
    <w:p w14:paraId="09958E29">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53</w:t>
      </w:r>
      <w:r>
        <w:rPr>
          <w:rFonts w:hint="eastAsia" w:ascii="仿宋" w:hAnsi="仿宋" w:eastAsia="仿宋" w:cs="仿宋"/>
          <w:color w:val="auto"/>
          <w:sz w:val="32"/>
          <w:szCs w:val="32"/>
          <w:lang w:eastAsia="zh-CN"/>
        </w:rPr>
        <w:t>分，黄**</w:t>
      </w:r>
      <w:r>
        <w:rPr>
          <w:rFonts w:hint="eastAsia" w:ascii="仿宋" w:hAnsi="仿宋" w:eastAsia="仿宋" w:cs="仿宋"/>
          <w:color w:val="auto"/>
          <w:sz w:val="32"/>
          <w:szCs w:val="32"/>
        </w:rPr>
        <w:t>回到循环泵</w:t>
      </w:r>
      <w:r>
        <w:rPr>
          <w:rFonts w:hint="eastAsia" w:ascii="仿宋" w:hAnsi="仿宋" w:eastAsia="仿宋" w:cs="仿宋"/>
          <w:color w:val="auto"/>
          <w:sz w:val="32"/>
          <w:szCs w:val="32"/>
          <w:lang w:eastAsia="zh-CN"/>
        </w:rPr>
        <w:t>位置，</w:t>
      </w:r>
      <w:r>
        <w:rPr>
          <w:rFonts w:hint="eastAsia" w:ascii="仿宋" w:hAnsi="仿宋" w:eastAsia="仿宋" w:cs="仿宋"/>
          <w:color w:val="auto"/>
          <w:sz w:val="32"/>
          <w:szCs w:val="32"/>
        </w:rPr>
        <w:t>打开了循环泵出口通往重组分冷却釜去的转料阀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这时</w:t>
      </w:r>
      <w:r>
        <w:rPr>
          <w:rFonts w:hint="eastAsia" w:ascii="仿宋" w:hAnsi="仿宋" w:eastAsia="仿宋" w:cs="仿宋"/>
          <w:color w:val="auto"/>
          <w:sz w:val="32"/>
          <w:szCs w:val="32"/>
        </w:rPr>
        <w:t>大量蒸汽从升膜蒸发器底部进入升膜蒸发器、气液分离罐和蒸发冷凝器，升膜蒸发器顶部压力</w:t>
      </w:r>
      <w:r>
        <w:rPr>
          <w:rFonts w:hint="eastAsia" w:ascii="仿宋" w:hAnsi="仿宋" w:eastAsia="仿宋" w:cs="仿宋"/>
          <w:color w:val="auto"/>
          <w:sz w:val="32"/>
          <w:szCs w:val="32"/>
          <w:lang w:eastAsia="zh-CN"/>
        </w:rPr>
        <w:t>突然剧烈增大，压力值</w:t>
      </w:r>
      <w:r>
        <w:rPr>
          <w:rFonts w:hint="eastAsia" w:ascii="仿宋" w:hAnsi="仿宋" w:eastAsia="仿宋" w:cs="仿宋"/>
          <w:color w:val="auto"/>
          <w:sz w:val="32"/>
          <w:szCs w:val="32"/>
        </w:rPr>
        <w:t>从-0.08</w:t>
      </w:r>
      <w:r>
        <w:rPr>
          <w:rFonts w:hint="eastAsia" w:ascii="仿宋" w:hAnsi="仿宋" w:eastAsia="仿宋" w:cs="仿宋"/>
          <w:color w:val="auto"/>
          <w:sz w:val="32"/>
          <w:szCs w:val="32"/>
          <w:lang w:eastAsia="zh-CN"/>
        </w:rPr>
        <w:t>急增</w:t>
      </w:r>
      <w:r>
        <w:rPr>
          <w:rFonts w:hint="eastAsia" w:ascii="仿宋" w:hAnsi="仿宋" w:eastAsia="仿宋" w:cs="仿宋"/>
          <w:color w:val="auto"/>
          <w:sz w:val="32"/>
          <w:szCs w:val="32"/>
        </w:rPr>
        <w:t>至0.31Mpa</w:t>
      </w:r>
      <w:r>
        <w:rPr>
          <w:rFonts w:hint="eastAsia" w:ascii="仿宋" w:hAnsi="仿宋" w:eastAsia="仿宋" w:cs="仿宋"/>
          <w:color w:val="auto"/>
          <w:sz w:val="32"/>
          <w:szCs w:val="32"/>
          <w:lang w:eastAsia="zh-CN"/>
        </w:rPr>
        <w:t>。</w:t>
      </w:r>
    </w:p>
    <w:p w14:paraId="11054A8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气液分离罐底部两个三通阀之间的管道焊缝崩断，系统内200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以上的物料呈白色蒸汽状喷出，</w:t>
      </w:r>
      <w:r>
        <w:rPr>
          <w:rFonts w:hint="eastAsia" w:ascii="仿宋" w:hAnsi="仿宋" w:eastAsia="仿宋" w:cs="仿宋"/>
          <w:color w:val="auto"/>
          <w:sz w:val="32"/>
          <w:szCs w:val="32"/>
          <w:lang w:eastAsia="zh-CN"/>
        </w:rPr>
        <w:t>随即发生爆炸。</w:t>
      </w:r>
      <w:r>
        <w:rPr>
          <w:rFonts w:hint="eastAsia" w:ascii="仿宋" w:hAnsi="仿宋" w:eastAsia="仿宋" w:cs="仿宋"/>
          <w:color w:val="auto"/>
          <w:sz w:val="32"/>
          <w:szCs w:val="32"/>
        </w:rPr>
        <w:t>当班班长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被冲击波炸倒，当场身亡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操作工</w:t>
      </w:r>
      <w:r>
        <w:rPr>
          <w:rFonts w:hint="eastAsia" w:ascii="仿宋" w:hAnsi="仿宋" w:eastAsia="仿宋" w:cs="仿宋"/>
          <w:color w:val="auto"/>
          <w:sz w:val="32"/>
          <w:szCs w:val="32"/>
          <w:lang w:eastAsia="zh-CN"/>
        </w:rPr>
        <w:t>黄**</w:t>
      </w:r>
      <w:r>
        <w:rPr>
          <w:rFonts w:hint="eastAsia" w:ascii="仿宋" w:hAnsi="仿宋" w:eastAsia="仿宋" w:cs="仿宋"/>
          <w:color w:val="auto"/>
          <w:sz w:val="32"/>
          <w:szCs w:val="32"/>
        </w:rPr>
        <w:t>和安全员</w:t>
      </w:r>
      <w:r>
        <w:rPr>
          <w:rFonts w:hint="eastAsia" w:ascii="仿宋" w:hAnsi="仿宋" w:eastAsia="仿宋" w:cs="仿宋"/>
          <w:color w:val="auto"/>
          <w:sz w:val="32"/>
          <w:szCs w:val="32"/>
          <w:lang w:eastAsia="zh-CN"/>
        </w:rPr>
        <w:t>周**受</w:t>
      </w:r>
      <w:r>
        <w:rPr>
          <w:rFonts w:hint="eastAsia" w:ascii="仿宋" w:hAnsi="仿宋" w:eastAsia="仿宋" w:cs="仿宋"/>
          <w:color w:val="auto"/>
          <w:sz w:val="32"/>
          <w:szCs w:val="32"/>
        </w:rPr>
        <w:t>伤</w:t>
      </w:r>
      <w:r>
        <w:rPr>
          <w:rFonts w:hint="eastAsia" w:ascii="仿宋" w:hAnsi="仿宋" w:eastAsia="仿宋" w:cs="仿宋"/>
          <w:color w:val="auto"/>
          <w:sz w:val="32"/>
          <w:szCs w:val="32"/>
          <w:lang w:eastAsia="zh-CN"/>
        </w:rPr>
        <w:t>后立即撤出，其中黄**因受伤严重，在撤出的途中</w:t>
      </w:r>
      <w:r>
        <w:rPr>
          <w:rFonts w:hint="eastAsia" w:ascii="仿宋" w:hAnsi="仿宋" w:eastAsia="仿宋" w:cs="仿宋"/>
          <w:color w:val="auto"/>
          <w:sz w:val="32"/>
          <w:szCs w:val="32"/>
        </w:rPr>
        <w:t>倒地身亡</w:t>
      </w:r>
      <w:r>
        <w:rPr>
          <w:rFonts w:hint="eastAsia" w:ascii="仿宋" w:hAnsi="仿宋" w:eastAsia="仿宋" w:cs="仿宋"/>
          <w:color w:val="auto"/>
          <w:sz w:val="32"/>
          <w:szCs w:val="32"/>
          <w:lang w:eastAsia="zh-CN"/>
        </w:rPr>
        <w:t>。</w:t>
      </w:r>
    </w:p>
    <w:p w14:paraId="3E47DA55">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Nimbus Roman No9 L" w:hAnsi="Nimbus Roman No9 L" w:eastAsia="仿宋" w:cs="Nimbus Roman No9 L"/>
          <w:color w:val="auto"/>
          <w:sz w:val="32"/>
          <w:szCs w:val="32"/>
        </w:rPr>
      </w:pPr>
      <w:bookmarkStart w:id="53" w:name="_Toc216892520_WPSOffice_Level2"/>
      <w:r>
        <w:rPr>
          <w:rFonts w:hint="eastAsia" w:ascii="楷体" w:hAnsi="楷体" w:eastAsia="楷体" w:cs="楷体"/>
          <w:bCs/>
          <w:color w:val="auto"/>
          <w:sz w:val="32"/>
          <w:szCs w:val="32"/>
          <w:lang w:val="zh-CN"/>
        </w:rPr>
        <w:t>（二）</w:t>
      </w:r>
      <w:r>
        <w:rPr>
          <w:rFonts w:hint="eastAsia" w:ascii="楷体" w:hAnsi="楷体" w:eastAsia="楷体" w:cs="楷体"/>
          <w:bCs/>
          <w:color w:val="auto"/>
          <w:sz w:val="32"/>
          <w:szCs w:val="32"/>
        </w:rPr>
        <w:t>事故应急救援及事故报告情况。</w:t>
      </w:r>
      <w:bookmarkEnd w:id="53"/>
    </w:p>
    <w:p w14:paraId="702289C8">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事故发生后，公司总经理肖*立即从办公室赶到现场，打电话给</w:t>
      </w:r>
      <w:r>
        <w:rPr>
          <w:rFonts w:hint="eastAsia" w:ascii="仿宋" w:hAnsi="仿宋" w:eastAsia="仿宋" w:cs="仿宋"/>
          <w:color w:val="auto"/>
          <w:sz w:val="32"/>
          <w:szCs w:val="32"/>
          <w:lang w:val="en-US" w:eastAsia="zh-CN"/>
        </w:rPr>
        <w:t>119、120请示救援</w:t>
      </w:r>
      <w:r>
        <w:rPr>
          <w:rFonts w:hint="eastAsia" w:ascii="仿宋" w:hAnsi="仿宋" w:eastAsia="仿宋" w:cs="仿宋"/>
          <w:color w:val="auto"/>
          <w:sz w:val="32"/>
          <w:szCs w:val="32"/>
          <w:lang w:eastAsia="zh-CN"/>
        </w:rPr>
        <w:t>，并组织人员积极开展现场救援。当时松木园区安监局正在相邻企业组织检查工作，听到爆炸后立即赶到现场，组织开展现场救援。现场救援人员第一时间切断了升膜发生系统电源，关闭了物料阀、蒸汽阀，详细清查人员，撤出人员至安全地点，组织现场人员拉起警戒，启用应急消防设施向爆炸区域冲水，现场局面很快得到控制，未引起火灾，防止了二次事故的发生。</w:t>
      </w:r>
    </w:p>
    <w:p w14:paraId="41DCF66E">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12时2分左右</w:t>
      </w:r>
      <w:r>
        <w:rPr>
          <w:rFonts w:hint="eastAsia" w:ascii="仿宋" w:hAnsi="仿宋" w:eastAsia="仿宋" w:cs="仿宋"/>
          <w:color w:val="auto"/>
          <w:sz w:val="32"/>
          <w:szCs w:val="32"/>
          <w:lang w:eastAsia="zh-CN"/>
        </w:rPr>
        <w:t>，公司总经理肖*向松木园区党工委书记、</w:t>
      </w:r>
      <w:r>
        <w:rPr>
          <w:rFonts w:hint="eastAsia" w:ascii="仿宋" w:hAnsi="仿宋" w:eastAsia="仿宋" w:cs="仿宋"/>
          <w:color w:val="auto"/>
          <w:sz w:val="32"/>
          <w:szCs w:val="32"/>
          <w:lang w:val="en-US" w:eastAsia="zh-CN"/>
        </w:rPr>
        <w:t>管委会主任</w:t>
      </w:r>
      <w:r>
        <w:rPr>
          <w:rFonts w:hint="eastAsia" w:ascii="仿宋" w:hAnsi="仿宋" w:eastAsia="仿宋" w:cs="仿宋"/>
          <w:color w:val="auto"/>
          <w:sz w:val="32"/>
          <w:szCs w:val="32"/>
          <w:lang w:eastAsia="zh-CN"/>
        </w:rPr>
        <w:t>黄**报告了事故情况；事发时，松木园区安监局相关工作人员在现场组织救援，已知晓事故情况。</w:t>
      </w:r>
    </w:p>
    <w:bookmarkEnd w:id="52"/>
    <w:p w14:paraId="4F8CCA49">
      <w:pPr>
        <w:pStyle w:val="5"/>
        <w:keepNext w:val="0"/>
        <w:keepLines w:val="0"/>
        <w:pageBreakBefore w:val="0"/>
        <w:widowControl w:val="0"/>
        <w:tabs>
          <w:tab w:val="left" w:pos="0"/>
        </w:tabs>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黑体" w:hAnsi="黑体" w:eastAsia="黑体" w:cs="黑体"/>
          <w:color w:val="auto"/>
          <w:sz w:val="32"/>
          <w:szCs w:val="32"/>
        </w:rPr>
      </w:pPr>
      <w:bookmarkStart w:id="54" w:name="_Toc1382073552_WPSOffice_Level1"/>
      <w:bookmarkStart w:id="55" w:name="_Toc1750944596_WPSOffice_Level1"/>
      <w:bookmarkStart w:id="56" w:name="_Toc948878602_WPSOffice_Level1"/>
      <w:bookmarkStart w:id="57" w:name="_Toc1026496774_WPSOffice_Level1"/>
      <w:bookmarkStart w:id="58" w:name="_Toc443374111_WPSOffice_Level1"/>
      <w:bookmarkStart w:id="59" w:name="_Toc1056990857_WPSOffice_Level1"/>
      <w:bookmarkStart w:id="60" w:name="_Toc498124588_WPSOffice_Level1"/>
      <w:r>
        <w:rPr>
          <w:rFonts w:hint="eastAsia" w:ascii="黑体" w:hAnsi="黑体" w:eastAsia="黑体" w:cs="黑体"/>
          <w:color w:val="auto"/>
          <w:sz w:val="32"/>
          <w:szCs w:val="32"/>
          <w:lang w:eastAsia="zh-CN"/>
        </w:rPr>
        <w:t>六</w:t>
      </w:r>
      <w:r>
        <w:rPr>
          <w:rFonts w:hint="eastAsia" w:ascii="黑体" w:hAnsi="黑体" w:eastAsia="黑体" w:cs="黑体"/>
          <w:color w:val="auto"/>
          <w:sz w:val="32"/>
          <w:szCs w:val="32"/>
        </w:rPr>
        <w:t>、</w:t>
      </w:r>
      <w:bookmarkEnd w:id="54"/>
      <w:bookmarkEnd w:id="55"/>
      <w:bookmarkStart w:id="61" w:name="_Toc684848064_WPSOffice_Level1"/>
      <w:bookmarkStart w:id="62" w:name="_Toc1141933160_WPSOffice_Level1"/>
      <w:r>
        <w:rPr>
          <w:rFonts w:hint="eastAsia" w:ascii="黑体" w:hAnsi="黑体" w:eastAsia="黑体" w:cs="黑体"/>
          <w:color w:val="auto"/>
          <w:sz w:val="32"/>
          <w:szCs w:val="32"/>
        </w:rPr>
        <w:t>事故原因及性质</w:t>
      </w:r>
      <w:bookmarkEnd w:id="56"/>
      <w:bookmarkEnd w:id="57"/>
      <w:bookmarkEnd w:id="58"/>
      <w:bookmarkEnd w:id="59"/>
      <w:bookmarkEnd w:id="60"/>
      <w:bookmarkEnd w:id="61"/>
      <w:bookmarkEnd w:id="62"/>
    </w:p>
    <w:p w14:paraId="39F2CE78">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kern w:val="2"/>
          <w:sz w:val="32"/>
          <w:szCs w:val="32"/>
          <w:lang w:val="en-US" w:eastAsia="zh-CN" w:bidi="ar-SA"/>
        </w:rPr>
      </w:pPr>
      <w:bookmarkStart w:id="63" w:name="_Toc1266225825_WPSOffice_Level2"/>
      <w:bookmarkStart w:id="64" w:name="_Toc1722601188_WPSOffice_Level2"/>
      <w:bookmarkStart w:id="65" w:name="_Toc738973760_WPSOffice_Level2"/>
      <w:bookmarkStart w:id="66" w:name="_Toc145613776_WPSOffice_Level2"/>
      <w:bookmarkStart w:id="67" w:name="_Toc1307813238_WPSOffice_Level2"/>
      <w:r>
        <w:rPr>
          <w:rFonts w:hint="eastAsia" w:ascii="楷体" w:hAnsi="楷体" w:eastAsia="楷体" w:cs="楷体"/>
          <w:color w:val="auto"/>
          <w:sz w:val="32"/>
          <w:szCs w:val="32"/>
        </w:rPr>
        <w:t>（一）</w:t>
      </w:r>
      <w:r>
        <w:rPr>
          <w:rFonts w:hint="eastAsia" w:ascii="楷体" w:hAnsi="楷体" w:eastAsia="楷体" w:cs="楷体"/>
          <w:color w:val="auto"/>
          <w:spacing w:val="-6"/>
          <w:sz w:val="32"/>
          <w:szCs w:val="32"/>
        </w:rPr>
        <w:t>直接原因。</w:t>
      </w:r>
      <w:bookmarkEnd w:id="63"/>
      <w:bookmarkEnd w:id="64"/>
      <w:bookmarkEnd w:id="65"/>
      <w:bookmarkEnd w:id="66"/>
      <w:bookmarkEnd w:id="67"/>
      <w:bookmarkStart w:id="68" w:name="_Toc193392662_WPSOffice_Level2"/>
      <w:bookmarkStart w:id="69" w:name="_Toc813934152_WPSOffice_Level2"/>
      <w:bookmarkStart w:id="70" w:name="_Toc187610345_WPSOffice_Level2"/>
    </w:p>
    <w:p w14:paraId="1F6D5896">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岗位操作人员错误打开蒸汽吹扫阀和转料阀，大量高温蒸汽进入升膜发生器，因系统未安装安全阀等泄压设施，蒸发系统异常升温和系统超压，导致气液分离罐底部管道焊缝开裂及物料泄漏，喷出的高温可燃物料到空气中形成爆炸性混合气体，在高温环境下瞬间爆炸。</w:t>
      </w:r>
    </w:p>
    <w:p w14:paraId="1FBAD83E">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楷体" w:hAnsi="楷体" w:eastAsia="楷体" w:cs="楷体"/>
          <w:color w:val="auto"/>
          <w:sz w:val="32"/>
          <w:szCs w:val="32"/>
          <w:lang w:val="en-US" w:eastAsia="zh-CN"/>
        </w:rPr>
      </w:pPr>
      <w:bookmarkStart w:id="71" w:name="_Toc1563546945_WPSOffice_Level2"/>
      <w:r>
        <w:rPr>
          <w:rFonts w:hint="eastAsia" w:ascii="楷体" w:hAnsi="楷体" w:eastAsia="楷体" w:cs="楷体"/>
          <w:color w:val="auto"/>
          <w:sz w:val="32"/>
          <w:szCs w:val="32"/>
          <w:lang w:val="en-US" w:eastAsia="zh-CN"/>
        </w:rPr>
        <w:t>（二）事故间接原因。</w:t>
      </w:r>
      <w:bookmarkEnd w:id="71"/>
    </w:p>
    <w:p w14:paraId="7DD672F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1.湘硕公司安全生产主体责任落实不到位</w:t>
      </w:r>
    </w:p>
    <w:p w14:paraId="5DD3841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（1）企业</w:t>
      </w:r>
      <w:r>
        <w:rPr>
          <w:rFonts w:hint="eastAsia" w:ascii="Nimbus Roman No9 L" w:hAnsi="Nimbus Roman No9 L" w:eastAsia="仿宋" w:cs="Nimbus Roman No9 L"/>
          <w:color w:val="auto"/>
          <w:kern w:val="2"/>
          <w:sz w:val="32"/>
          <w:szCs w:val="32"/>
          <w:lang w:val="en-US" w:eastAsia="zh-CN" w:bidi="ar-SA"/>
        </w:rPr>
        <w:t>风险分级管控和隐患排查治理机制不完善。虽然升膜蒸发工艺系统属负压装置，但系统运行中一旦出现异常工况，会出现系统升温和压力增大现象。企业升膜蒸发工艺作业的风险辨识不到位，对工艺系统出现异常工况的风险认识不足；认为生产产品三氮唑属丁类化学品，仅识别到其存在燃烧风险；未辨识到异常工况的风险，未辨识到高压串低压阀门内漏产生高压的风险；未识别到在高温高压物料喷出状态下，形成爆炸混合物产生爆炸的风险。</w:t>
      </w:r>
    </w:p>
    <w:p w14:paraId="70E4AF47">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企业对系统设备设施检维修不到位，未及时掌握相关设施安全性能情况，相关设备设施未按要求定期更换；查企业日常设备检修维修台账，其中没有对阀门运行情况的检查和维护保养记录；未对涉事转料阀（DN50）的安全性能进行检查，事发时该阀带故障使用，其内密封圈变形内漏，导致系统异常工况的发生。</w:t>
      </w:r>
    </w:p>
    <w:p w14:paraId="7747A8F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（2）现场</w:t>
      </w:r>
      <w:r>
        <w:rPr>
          <w:rFonts w:hint="eastAsia" w:ascii="Nimbus Roman No9 L" w:hAnsi="Nimbus Roman No9 L" w:eastAsia="仿宋" w:cs="Nimbus Roman No9 L"/>
          <w:color w:val="auto"/>
          <w:kern w:val="2"/>
          <w:sz w:val="32"/>
          <w:szCs w:val="32"/>
          <w:lang w:val="en-US" w:eastAsia="zh-CN" w:bidi="ar-SA"/>
        </w:rPr>
        <w:t>应急处置不合理。企业编制的应急预案未明确在异常工况情况应采取的安全措施，未在全面风险辨识的基础上，针对异常工况可能存在的风险明确相应的处置措施；事发前系统出现异常升温后，未第一时间关闭系统，撤出人员；在现场人员未查出系统升温原因时，未组织技术人员实施停机检查，而是让系统继续运行，导致系统超压引发事故。</w:t>
      </w:r>
    </w:p>
    <w:p w14:paraId="6118C7A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（3）</w:t>
      </w:r>
      <w:r>
        <w:rPr>
          <w:rFonts w:hint="eastAsia" w:ascii="仿宋" w:hAnsi="仿宋" w:eastAsia="仿宋" w:cs="仿宋"/>
          <w:color w:val="auto"/>
          <w:kern w:val="1"/>
          <w:sz w:val="32"/>
          <w:szCs w:val="32"/>
          <w:rtl w:val="0"/>
          <w:lang w:val="en-US" w:eastAsia="zh-CN" w:bidi="ar-SA"/>
        </w:rPr>
        <w:t>安全生</w:t>
      </w:r>
      <w:r>
        <w:rPr>
          <w:rFonts w:hint="eastAsia" w:ascii="Nimbus Roman No9 L" w:hAnsi="Nimbus Roman No9 L" w:eastAsia="仿宋" w:cs="Nimbus Roman No9 L"/>
          <w:color w:val="auto"/>
          <w:kern w:val="2"/>
          <w:sz w:val="32"/>
          <w:szCs w:val="32"/>
          <w:rtl w:val="0"/>
          <w:lang w:val="en-US" w:eastAsia="zh-CN" w:bidi="ar-SA"/>
        </w:rPr>
        <w:t>产隐患排查治理不到位。经查企业日常安全检查及隐患排查治理记录，检查内容大多局限于表面，未涉及系统各环节操作流程、各设备配件的安全性能等方面存在的问题；对涉事</w:t>
      </w:r>
      <w:bookmarkStart w:id="72" w:name="_Hlk173603160"/>
      <w:r>
        <w:rPr>
          <w:rFonts w:hint="eastAsia" w:ascii="Nimbus Roman No9 L" w:hAnsi="Nimbus Roman No9 L" w:eastAsia="仿宋" w:cs="Nimbus Roman No9 L"/>
          <w:color w:val="auto"/>
          <w:kern w:val="2"/>
          <w:sz w:val="32"/>
          <w:szCs w:val="32"/>
          <w:lang w:val="en-US" w:eastAsia="zh-CN" w:bidi="ar-SA"/>
        </w:rPr>
        <w:t>转料阀</w:t>
      </w:r>
      <w:bookmarkEnd w:id="72"/>
      <w:r>
        <w:rPr>
          <w:rFonts w:hint="eastAsia" w:ascii="Nimbus Roman No9 L" w:hAnsi="Nimbus Roman No9 L" w:eastAsia="仿宋" w:cs="Nimbus Roman No9 L"/>
          <w:color w:val="auto"/>
          <w:kern w:val="2"/>
          <w:sz w:val="32"/>
          <w:szCs w:val="32"/>
          <w:lang w:val="en-US" w:eastAsia="zh-CN" w:bidi="ar-SA"/>
        </w:rPr>
        <w:t>（DN50）内漏、设备管线无安全附件等事故隐患，未及时组织排查处理；升膜蒸发工艺系统出现异常升温后，故障排查不全面，未排查操作人员误操作开启的阀门，最终未查出系统出现异常升温的真正原因；未及时排查和处理循环泵入口管道与气液分离罐排液管道之间的焊缝存在的隐患，系统升温超压后焊缝无法承受异常工况的压力，该处焊缝崩断，导致泄露的可燃物质喷出引发事故。</w:t>
      </w:r>
    </w:p>
    <w:p w14:paraId="71613EC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（4）安全生产管</w:t>
      </w:r>
      <w:r>
        <w:rPr>
          <w:rFonts w:hint="eastAsia" w:ascii="Nimbus Roman No9 L" w:hAnsi="Nimbus Roman No9 L" w:eastAsia="仿宋" w:cs="Nimbus Roman No9 L"/>
          <w:color w:val="auto"/>
          <w:kern w:val="2"/>
          <w:sz w:val="32"/>
          <w:szCs w:val="32"/>
          <w:lang w:val="en-US" w:eastAsia="zh-CN" w:bidi="ar-SA"/>
        </w:rPr>
        <w:t>理制度不完善。未建立健全预防升膜蒸发工艺误操作和纠正误操作的确认机制，现场操作人员未严格遵循操作规程、随意操作行为得不到及时制止；事发时只配一名岗位操作人员，无安全监护和安全确认人员，操作人员出现误操作时，未能及时发现和制止；系统出现异常工况后，由于误操作的阀门正常情况下无需开启，除误操作人员本人以外，无人知道此阀已经开启，现场人员对正常系统管线经过40多分钟检查，却一直未查出异常工况的原因。</w:t>
      </w:r>
    </w:p>
    <w:p w14:paraId="6B2E866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（5）员工</w:t>
      </w:r>
      <w:r>
        <w:rPr>
          <w:rFonts w:hint="eastAsia" w:ascii="Nimbus Roman No9 L" w:hAnsi="Nimbus Roman No9 L" w:eastAsia="仿宋" w:cs="Nimbus Roman No9 L"/>
          <w:color w:val="auto"/>
          <w:kern w:val="2"/>
          <w:sz w:val="32"/>
          <w:szCs w:val="32"/>
          <w:lang w:val="en-US" w:eastAsia="zh-CN" w:bidi="ar-SA"/>
        </w:rPr>
        <w:t>安全教育培训不到位。升膜蒸发工艺操作人员安全意识薄弱，不严格遵照操作规程进行操作，事故中先后发生二次误操作，引发系统异常工况；出现异常工况后，未第一时间关闭系统，撤出人员；在未查清异常工况原因的情况下，盲目组织继续作业，让系统存在故障情况下继续运行，导致系统超压引发事故。</w:t>
      </w:r>
    </w:p>
    <w:bookmarkEnd w:id="68"/>
    <w:bookmarkEnd w:id="69"/>
    <w:bookmarkEnd w:id="70"/>
    <w:p w14:paraId="5A428AA9">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bookmarkStart w:id="73" w:name="_Toc1293482396_WPSOffice_Level2"/>
      <w:bookmarkStart w:id="74" w:name="_Toc1176135828_WPSOffice_Level2"/>
      <w:bookmarkStart w:id="75" w:name="_Toc449140253_WPSOffice_Level2"/>
      <w:bookmarkStart w:id="76" w:name="_Toc398597154_WPSOffice_Level2"/>
      <w:bookmarkStart w:id="77" w:name="_Toc847291256_WPSOffice_Level2"/>
      <w:r>
        <w:rPr>
          <w:rFonts w:hint="eastAsia" w:ascii="Nimbus Roman No9 L" w:hAnsi="Nimbus Roman No9 L" w:eastAsia="仿宋" w:cs="Nimbus Roman No9 L"/>
          <w:color w:val="auto"/>
          <w:kern w:val="2"/>
          <w:sz w:val="32"/>
          <w:szCs w:val="32"/>
          <w:lang w:val="en-US" w:eastAsia="zh-CN" w:bidi="ar-SA"/>
        </w:rPr>
        <w:t>2.</w:t>
      </w:r>
      <w:r>
        <w:rPr>
          <w:rFonts w:hint="eastAsia" w:ascii="仿宋" w:hAnsi="仿宋" w:eastAsia="仿宋" w:cs="仿宋"/>
          <w:color w:val="auto"/>
          <w:kern w:val="1"/>
          <w:sz w:val="32"/>
          <w:szCs w:val="32"/>
          <w:lang w:val="en-US" w:eastAsia="zh-CN"/>
        </w:rPr>
        <w:t>设计公司提供的设计存在缺陷</w:t>
      </w:r>
    </w:p>
    <w:p w14:paraId="537C90A3">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（1）未严格按要求开展安全设计</w:t>
      </w:r>
      <w:r>
        <w:rPr>
          <w:rFonts w:hint="eastAsia" w:ascii="仿宋" w:hAnsi="仿宋" w:eastAsia="仿宋" w:cs="仿宋"/>
          <w:color w:val="auto"/>
          <w:kern w:val="1"/>
          <w:sz w:val="32"/>
          <w:szCs w:val="32"/>
          <w:vertAlign w:val="superscript"/>
          <w:lang w:val="en-US" w:eastAsia="zh-CN" w:bidi="ar-SA"/>
        </w:rPr>
        <w:t>[2]</w:t>
      </w:r>
      <w:r>
        <w:rPr>
          <w:rFonts w:hint="eastAsia" w:ascii="仿宋" w:hAnsi="仿宋" w:eastAsia="仿宋" w:cs="仿宋"/>
          <w:color w:val="auto"/>
          <w:kern w:val="1"/>
          <w:sz w:val="32"/>
          <w:szCs w:val="32"/>
          <w:lang w:val="en-US" w:eastAsia="zh-CN" w:bidi="ar-SA"/>
        </w:rPr>
        <w:t>。该单位作出的安全设施设计专篇中，薄膜蒸发器（升膜发生器）设计的压力为管程0.05MP、壳程0.5MP；蒸发冷凝器设计的压力为管程0.05MP、壳程0.3MP，升膜发生系统各部件通过管道联接，内部压力属均等，设计压力已达到应当设置安全阀的限值，但未对安全阀等泄压设施进行设计。</w:t>
      </w:r>
    </w:p>
    <w:p w14:paraId="551B964B">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（2）</w:t>
      </w:r>
      <w:r>
        <w:rPr>
          <w:rFonts w:hint="eastAsia" w:ascii="仿宋" w:hAnsi="仿宋" w:eastAsia="仿宋" w:cs="仿宋"/>
          <w:color w:val="auto"/>
          <w:kern w:val="1"/>
          <w:sz w:val="32"/>
          <w:szCs w:val="32"/>
          <w:lang w:val="en-US" w:eastAsia="zh-CN"/>
        </w:rPr>
        <w:t>设计缺陷导致系统超压失控</w:t>
      </w:r>
    </w:p>
    <w:p w14:paraId="2B8D4C02">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因</w:t>
      </w:r>
      <w:r>
        <w:rPr>
          <w:rFonts w:hint="eastAsia" w:ascii="仿宋" w:hAnsi="仿宋" w:eastAsia="仿宋" w:cs="仿宋"/>
          <w:color w:val="auto"/>
          <w:kern w:val="1"/>
          <w:sz w:val="32"/>
          <w:szCs w:val="32"/>
          <w:lang w:val="en-US" w:eastAsia="zh-CN"/>
        </w:rPr>
        <w:t>设计存在的缺陷，企业及相关管理部门在组织安全风险辨识中，</w:t>
      </w:r>
      <w:r>
        <w:rPr>
          <w:rFonts w:hint="eastAsia" w:ascii="Nimbus Roman No9 L" w:hAnsi="Nimbus Roman No9 L" w:eastAsia="仿宋" w:cs="Nimbus Roman No9 L"/>
          <w:color w:val="auto"/>
          <w:kern w:val="2"/>
          <w:sz w:val="32"/>
          <w:szCs w:val="32"/>
          <w:lang w:val="en-US" w:eastAsia="zh-CN" w:bidi="ar-SA"/>
        </w:rPr>
        <w:t>对未安装安全阀等相关泄压设施的安全风险辨识，缺乏必要的技术依据，系统事故预防的源头管控失控；系统出现异常工况且产生高温高压后，在系统未安装安全阀等泄压设施的情况下，系统不能及时发出超压预警，高压得不到及时释放，最终发生事故。</w:t>
      </w:r>
    </w:p>
    <w:p w14:paraId="041F95B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Nimbus Roman No9 L" w:hAnsi="Nimbus Roman No9 L" w:eastAsia="仿宋" w:cs="Nimbus Roman No9 L"/>
          <w:color w:val="auto"/>
          <w:kern w:val="2"/>
          <w:sz w:val="32"/>
          <w:szCs w:val="32"/>
          <w:lang w:val="en-US" w:eastAsia="zh-CN" w:bidi="ar-SA"/>
        </w:rPr>
        <w:t>3.</w:t>
      </w:r>
      <w:r>
        <w:rPr>
          <w:rFonts w:hint="eastAsia" w:ascii="仿宋" w:hAnsi="仿宋" w:eastAsia="仿宋" w:cs="仿宋"/>
          <w:color w:val="auto"/>
          <w:kern w:val="1"/>
          <w:sz w:val="32"/>
          <w:szCs w:val="32"/>
          <w:lang w:val="en-US" w:eastAsia="zh-CN"/>
        </w:rPr>
        <w:t>设计诊断公司</w:t>
      </w:r>
      <w:r>
        <w:rPr>
          <w:rFonts w:hint="eastAsia" w:ascii="Nimbus Roman No9 L" w:hAnsi="Nimbus Roman No9 L" w:eastAsia="仿宋" w:cs="Nimbus Roman No9 L"/>
          <w:color w:val="auto"/>
          <w:kern w:val="2"/>
          <w:sz w:val="32"/>
          <w:szCs w:val="32"/>
          <w:lang w:val="en-US" w:eastAsia="zh-CN" w:bidi="ar-SA"/>
        </w:rPr>
        <w:t>提供的设计诊断未补正</w:t>
      </w:r>
      <w:r>
        <w:rPr>
          <w:rFonts w:hint="eastAsia" w:ascii="仿宋" w:hAnsi="仿宋" w:eastAsia="仿宋" w:cs="仿宋"/>
          <w:color w:val="auto"/>
          <w:kern w:val="1"/>
          <w:sz w:val="32"/>
          <w:szCs w:val="32"/>
          <w:lang w:val="en-US" w:eastAsia="zh-CN"/>
        </w:rPr>
        <w:t>设计缺陷</w:t>
      </w:r>
    </w:p>
    <w:p w14:paraId="1700635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bidi="ar-SA"/>
        </w:rPr>
        <w:t>未严格按要求开展</w:t>
      </w:r>
      <w:r>
        <w:rPr>
          <w:rFonts w:hint="eastAsia" w:ascii="Nimbus Roman No9 L" w:hAnsi="Nimbus Roman No9 L" w:eastAsia="仿宋" w:cs="Nimbus Roman No9 L"/>
          <w:color w:val="auto"/>
          <w:kern w:val="2"/>
          <w:sz w:val="32"/>
          <w:szCs w:val="32"/>
          <w:lang w:val="en-US" w:eastAsia="zh-CN" w:bidi="ar-SA"/>
        </w:rPr>
        <w:t>设计诊断。</w:t>
      </w:r>
      <w:r>
        <w:rPr>
          <w:rFonts w:hint="eastAsia" w:ascii="仿宋" w:hAnsi="仿宋" w:eastAsia="仿宋" w:cs="仿宋"/>
          <w:color w:val="auto"/>
          <w:kern w:val="1"/>
          <w:sz w:val="32"/>
          <w:szCs w:val="32"/>
          <w:lang w:val="en-US" w:eastAsia="zh-CN"/>
        </w:rPr>
        <w:t>该单位在为湘硕公司建设项目安全设计的设计诊断时，未指出《安全设施设计专篇》在设计安全阀相关设施方面存在的缺陷；对专篇无升膜发生器、蒸发冷凝器安全阀等泄压装置的设计未提出整改建议；</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w:t>
      </w:r>
    </w:p>
    <w:p w14:paraId="22AF112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w:t>
      </w:r>
      <w:r>
        <w:rPr>
          <w:rFonts w:hint="eastAsia" w:ascii="Nimbus Roman No9 L" w:hAnsi="Nimbus Roman No9 L" w:eastAsia="仿宋" w:cs="Nimbus Roman No9 L"/>
          <w:color w:val="auto"/>
          <w:kern w:val="2"/>
          <w:sz w:val="32"/>
          <w:szCs w:val="32"/>
          <w:lang w:val="en-US" w:eastAsia="zh-CN" w:bidi="ar-SA"/>
        </w:rPr>
        <w:t>设计诊断不严谨。设计诊断中未对原设计进行严格诊断，未根据在役</w:t>
      </w:r>
      <w:r>
        <w:rPr>
          <w:rFonts w:hint="eastAsia" w:ascii="仿宋" w:hAnsi="仿宋" w:eastAsia="仿宋" w:cs="仿宋"/>
          <w:color w:val="auto"/>
          <w:kern w:val="1"/>
          <w:sz w:val="32"/>
          <w:szCs w:val="32"/>
          <w:lang w:val="en-US" w:eastAsia="zh-CN"/>
        </w:rPr>
        <w:t>生产系统的实际情况提出正确的诊断结果。如原设计图纸将升膜蒸发系统循环泵出口物料走向方向标反，但在设计诊断中未发现错误，出具的图纸仍是原设计存在错误的图纸；未进行在役系统的实际诊断，存在照抄原安全设计内容的情况。如升膜蒸发系统原设计提出了二个可供选择的消真空方式，即氮</w:t>
      </w:r>
    </w:p>
    <w:p w14:paraId="20901483">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5803FB36">
      <w:pPr>
        <w:pStyle w:val="6"/>
        <w:keepNext w:val="0"/>
        <w:keepLines w:val="0"/>
        <w:pageBreakBefore w:val="0"/>
        <w:kinsoku/>
        <w:wordWrap/>
        <w:overflowPunct/>
        <w:topLinePunct w:val="0"/>
        <w:autoSpaceDE/>
        <w:autoSpaceDN/>
        <w:bidi w:val="0"/>
        <w:adjustRightInd/>
        <w:snapToGrid/>
        <w:spacing w:line="280" w:lineRule="exact"/>
        <w:ind w:left="0"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[2]应急管理部关于印发《化工园区安全风险排查治理导则（试行）》和《危险化学品企业安全风险隐患排查治理导则》的通知（应急〔2019〕78号），针对危险化学品（化工）企业的《装置运行安全风险隐患排查表》中的“工艺技术及工艺装置的安全控制”第5项：在非正常条件下，下列可能超压的设备或管道应参照《石油化工企业设计防火标准（2018 版）》（GB 50160-2008）第 5.5.1 条、第 6.8.1 条规定，设置可靠的安全泄压措施以及安全泄压措施的完好性：1.顶部最高操作压力大于等于 0.1MPa 的压力容器；2.顶部最高操作压力大于 0.03MPa 的蒸馏塔、蒸发塔和汽提塔......</w:t>
      </w:r>
    </w:p>
    <w:p w14:paraId="5D970D92">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2558574E">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气消真空或接入蒸汽消真空，系统运行后企业选择了接入蒸汽消真空，并未使用氮气系统。但诊断结果对企业消真空方式的描述，仍然照抄原设计中“系统消真空时采用氮气或接入蒸汽消真空”的描述</w:t>
      </w:r>
      <w:r>
        <w:rPr>
          <w:rFonts w:hint="eastAsia" w:ascii="Nimbus Roman No9 L" w:hAnsi="Nimbus Roman No9 L" w:eastAsia="仿宋" w:cs="Nimbus Roman No9 L"/>
          <w:color w:val="auto"/>
          <w:kern w:val="2"/>
          <w:sz w:val="32"/>
          <w:szCs w:val="32"/>
          <w:lang w:val="en-US" w:eastAsia="zh-CN" w:bidi="ar-SA"/>
        </w:rPr>
        <w:t>，诊断结果存在明显错误</w:t>
      </w:r>
      <w:r>
        <w:rPr>
          <w:rFonts w:hint="eastAsia" w:ascii="仿宋" w:hAnsi="仿宋" w:eastAsia="仿宋" w:cs="仿宋"/>
          <w:color w:val="auto"/>
          <w:kern w:val="1"/>
          <w:sz w:val="32"/>
          <w:szCs w:val="32"/>
          <w:lang w:val="en-US" w:eastAsia="zh-CN"/>
        </w:rPr>
        <w:t>。</w:t>
      </w:r>
    </w:p>
    <w:p w14:paraId="6A557C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楷体" w:hAnsi="楷体" w:eastAsia="楷体" w:cs="楷体"/>
          <w:color w:val="auto"/>
          <w:sz w:val="32"/>
          <w:szCs w:val="32"/>
        </w:rPr>
        <w:t>（三）事故性质。</w:t>
      </w:r>
      <w:bookmarkEnd w:id="73"/>
      <w:bookmarkEnd w:id="74"/>
      <w:bookmarkEnd w:id="75"/>
      <w:bookmarkEnd w:id="76"/>
      <w:bookmarkEnd w:id="77"/>
    </w:p>
    <w:p w14:paraId="21DC3E3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调查认定，松木经开区湖南湘硕化工有限公司“7·30”一般爆炸事故，是一起因岗位操作人员违反操作规程，误操作引起异常工况，且异常工况处置不合理，引起蒸发系统超压，导致容器爆炸的生产安全责任事故。</w:t>
      </w:r>
    </w:p>
    <w:p w14:paraId="51C38DAB">
      <w:pPr>
        <w:pStyle w:val="5"/>
        <w:keepNext w:val="0"/>
        <w:keepLines w:val="0"/>
        <w:pageBreakBefore w:val="0"/>
        <w:widowControl w:val="0"/>
        <w:kinsoku/>
        <w:wordWrap/>
        <w:overflowPunct/>
        <w:topLinePunct w:val="0"/>
        <w:autoSpaceDE w:val="0"/>
        <w:autoSpaceDN/>
        <w:bidi w:val="0"/>
        <w:adjustRightInd/>
        <w:snapToGrid/>
        <w:spacing w:before="0" w:beforeAutospacing="0" w:after="0" w:afterAutospacing="0" w:line="576" w:lineRule="exact"/>
        <w:ind w:leftChars="0" w:right="0" w:firstLine="640" w:firstLineChars="200"/>
        <w:jc w:val="both"/>
        <w:textAlignment w:val="auto"/>
        <w:rPr>
          <w:rFonts w:hint="default" w:ascii="仿宋" w:hAnsi="仿宋" w:eastAsia="仿宋" w:cs="宋体"/>
          <w:color w:val="auto"/>
          <w:kern w:val="2"/>
          <w:sz w:val="32"/>
          <w:szCs w:val="32"/>
          <w:lang w:val="en-US" w:eastAsia="zh-CN" w:bidi="ar-SA"/>
        </w:rPr>
      </w:pPr>
      <w:bookmarkStart w:id="78" w:name="_Toc1444831829_WPSOffice_Level1"/>
      <w:bookmarkStart w:id="79" w:name="_Toc585025538_WPSOffice_Level1"/>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w:t>
      </w:r>
      <w:bookmarkEnd w:id="78"/>
      <w:r>
        <w:rPr>
          <w:rFonts w:hint="eastAsia" w:ascii="黑体" w:hAnsi="黑体" w:eastAsia="黑体" w:cs="黑体"/>
          <w:color w:val="auto"/>
          <w:sz w:val="32"/>
          <w:szCs w:val="32"/>
          <w:lang w:eastAsia="zh-CN"/>
        </w:rPr>
        <w:t>松木经开区属地安全监管</w:t>
      </w:r>
      <w:bookmarkEnd w:id="79"/>
      <w:r>
        <w:rPr>
          <w:rFonts w:hint="eastAsia" w:ascii="黑体" w:hAnsi="黑体" w:eastAsia="黑体" w:cs="黑体"/>
          <w:color w:val="auto"/>
          <w:sz w:val="32"/>
          <w:szCs w:val="32"/>
          <w:lang w:eastAsia="zh-CN"/>
        </w:rPr>
        <w:t>存在的主要问题</w:t>
      </w:r>
    </w:p>
    <w:p w14:paraId="3155E937">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bookmarkStart w:id="80" w:name="_Toc733619375_WPSOffice_Level1"/>
      <w:bookmarkStart w:id="81" w:name="_Toc475292223_WPSOffice_Level1"/>
      <w:bookmarkStart w:id="82" w:name="_Toc136376155_WPSOffice_Level1"/>
      <w:bookmarkStart w:id="83" w:name="_Toc1043129603_WPSOffice_Level1"/>
      <w:bookmarkStart w:id="84" w:name="_Toc1946485806_WPSOffice_Level1"/>
      <w:bookmarkStart w:id="85" w:name="_Toc797535416_WPSOffice_Level1"/>
      <w:bookmarkStart w:id="86" w:name="_Toc249747868_WPSOffice_Level1"/>
      <w:bookmarkStart w:id="87" w:name="_Toc1348282823_WPSOffice_Level2"/>
      <w:r>
        <w:rPr>
          <w:rFonts w:hint="eastAsia" w:ascii="Times New Roman" w:hAnsi="Times New Roman" w:eastAsia="仿宋" w:cs="Times New Roman"/>
          <w:sz w:val="32"/>
          <w:szCs w:val="32"/>
          <w:lang w:val="en" w:eastAsia="zh-CN"/>
        </w:rPr>
        <w:t>（一）未严格督促企业开展安全风险辨识，针对涉及</w:t>
      </w:r>
      <w:r>
        <w:rPr>
          <w:rFonts w:hint="eastAsia" w:ascii="Nimbus Roman No9 L" w:hAnsi="Nimbus Roman No9 L" w:eastAsia="仿宋" w:cs="Nimbus Roman No9 L"/>
          <w:color w:val="auto"/>
          <w:kern w:val="2"/>
          <w:sz w:val="32"/>
          <w:szCs w:val="32"/>
          <w:lang w:val="en-US" w:eastAsia="zh-CN" w:bidi="ar-SA"/>
        </w:rPr>
        <w:t>较多设备、机泵、阀门的</w:t>
      </w:r>
      <w:r>
        <w:rPr>
          <w:rFonts w:hint="eastAsia" w:ascii="Times New Roman" w:hAnsi="Times New Roman" w:eastAsia="仿宋" w:cs="Times New Roman"/>
          <w:sz w:val="32"/>
          <w:szCs w:val="32"/>
          <w:lang w:val="en" w:eastAsia="zh-CN"/>
        </w:rPr>
        <w:t>工艺系统，企业未及时辨识出误操作可能导致的安全风险。</w:t>
      </w:r>
    </w:p>
    <w:p w14:paraId="0FEB739E">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r>
        <w:rPr>
          <w:rFonts w:hint="eastAsia" w:ascii="Times New Roman" w:hAnsi="Times New Roman" w:eastAsia="仿宋" w:cs="Times New Roman"/>
          <w:sz w:val="32"/>
          <w:szCs w:val="32"/>
          <w:lang w:val="en-US" w:eastAsia="zh-CN"/>
        </w:rPr>
        <w:t>（二）</w:t>
      </w:r>
      <w:r>
        <w:rPr>
          <w:rFonts w:hint="eastAsia" w:ascii="Times New Roman" w:hAnsi="Times New Roman" w:eastAsia="仿宋" w:cs="Times New Roman"/>
          <w:sz w:val="32"/>
          <w:szCs w:val="32"/>
          <w:lang w:val="en" w:eastAsia="zh-CN"/>
        </w:rPr>
        <w:t>未严格督促企业加强安全教育培训，企业员工安全意识不强，未严格按照岗位操作规程实施作业。</w:t>
      </w:r>
    </w:p>
    <w:p w14:paraId="5DE28309">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（三）</w:t>
      </w:r>
      <w:r>
        <w:rPr>
          <w:rFonts w:hint="eastAsia" w:ascii="Times New Roman" w:hAnsi="Times New Roman" w:eastAsia="仿宋" w:cs="Times New Roman"/>
          <w:sz w:val="32"/>
          <w:szCs w:val="32"/>
          <w:lang w:val="en" w:eastAsia="zh-CN"/>
        </w:rPr>
        <w:t>未严格督促企业强化异常工况条件下的应急处置，系统工艺出现异常工况后，现场作业人员未能作出科学合理的应急处置。</w:t>
      </w:r>
    </w:p>
    <w:p w14:paraId="267DD3FB">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八</w:t>
      </w:r>
      <w:r>
        <w:rPr>
          <w:rFonts w:hint="eastAsia" w:ascii="黑体" w:hAnsi="黑体" w:eastAsia="黑体" w:cs="黑体"/>
          <w:color w:val="auto"/>
          <w:sz w:val="32"/>
          <w:szCs w:val="32"/>
        </w:rPr>
        <w:t>、事故责任划分及处理建议</w:t>
      </w:r>
      <w:bookmarkEnd w:id="80"/>
      <w:bookmarkEnd w:id="81"/>
      <w:bookmarkEnd w:id="82"/>
      <w:bookmarkEnd w:id="83"/>
      <w:bookmarkEnd w:id="84"/>
      <w:bookmarkEnd w:id="85"/>
      <w:bookmarkEnd w:id="86"/>
    </w:p>
    <w:p w14:paraId="2C14EC1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88" w:name="_Toc764731453_WPSOffice_Level2"/>
      <w:bookmarkStart w:id="89" w:name="_Toc214695500_WPSOffice_Level2"/>
      <w:r>
        <w:rPr>
          <w:rFonts w:hint="eastAsia" w:ascii="楷体" w:hAnsi="楷体" w:eastAsia="楷体" w:cs="楷体"/>
          <w:color w:val="auto"/>
          <w:kern w:val="0"/>
          <w:sz w:val="32"/>
          <w:szCs w:val="32"/>
          <w:lang w:val="en-US" w:eastAsia="zh-CN" w:bidi="ar-SA"/>
        </w:rPr>
        <w:t>（一）建议免于追究责任人员（2人）</w:t>
      </w:r>
      <w:bookmarkEnd w:id="88"/>
    </w:p>
    <w:p w14:paraId="4BD69F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1.黄</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 33岁，当班升膜发生工艺操作工。违规操作引发异常工况，应负事故的直接责任。鉴于其在事故中死亡，建议免于追究责任。</w:t>
      </w:r>
    </w:p>
    <w:p w14:paraId="4FEDA36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2.王</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，男，36岁，当班升膜发生工艺作业班长。升膜发生工艺异常工况现场处置不合理，未及时组织关闭系统和撤出人员，应负事故的直接责任。鉴于其在事故中死亡，建议免于追究责任。</w:t>
      </w:r>
    </w:p>
    <w:p w14:paraId="1DE165F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90" w:name="_Toc181476660_WPSOffice_Level2"/>
      <w:r>
        <w:rPr>
          <w:rFonts w:hint="eastAsia" w:ascii="楷体" w:hAnsi="楷体" w:eastAsia="楷体" w:cs="楷体"/>
          <w:color w:val="auto"/>
          <w:kern w:val="0"/>
          <w:sz w:val="32"/>
          <w:szCs w:val="32"/>
          <w:lang w:val="en-US" w:eastAsia="zh-CN" w:bidi="ar-SA"/>
        </w:rPr>
        <w:t>（二）建议给予行政处罚人员（3人）</w:t>
      </w:r>
      <w:bookmarkEnd w:id="90"/>
    </w:p>
    <w:p w14:paraId="2AE5113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1.肖</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40岁，中共党员，湘硕公司总经理，未严格履行安全生产管理职责，组织开展风险辨识不到位，组织开展安全教育和现场应急处置不到位。对事故的发生应负有主要领导责任。建议由衡阳市应急管理局依照《中华人民共和国安全生产法》第九十五条之规定，对其予以行政处罚。</w:t>
      </w:r>
    </w:p>
    <w:p w14:paraId="5EA396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2.唐</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53岁，群众，湘硕公司副总经理，分管企业安全生产工作。未严格履行规定的安全生产管理职责，开展风险辨识不到位，开展安全教育和现场应急处置不到位，未组织安装涉事设备安全设施。对事故的发生应负有主要领导责任。建议由衡阳市应急管理局依照《中华人民共和国安全生产法》第九十六条之规定，对其予以行政处罚。</w:t>
      </w:r>
    </w:p>
    <w:p w14:paraId="18DE6D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rPr>
        <w:t>3.伍</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，男，44岁，群众，湘硕公司生产部长兼</w:t>
      </w:r>
      <w:r>
        <w:rPr>
          <w:rFonts w:hint="eastAsia" w:ascii="仿宋" w:hAnsi="仿宋" w:eastAsia="仿宋" w:cs="仿宋"/>
          <w:color w:val="auto"/>
          <w:kern w:val="1"/>
          <w:sz w:val="32"/>
          <w:szCs w:val="32"/>
        </w:rPr>
        <w:t>三氮唑一车间</w:t>
      </w:r>
      <w:r>
        <w:rPr>
          <w:rFonts w:hint="eastAsia" w:ascii="仿宋" w:hAnsi="仿宋" w:eastAsia="仿宋" w:cs="仿宋"/>
          <w:color w:val="auto"/>
          <w:kern w:val="1"/>
          <w:sz w:val="32"/>
          <w:szCs w:val="32"/>
          <w:lang w:val="en-US" w:eastAsia="zh-CN"/>
        </w:rPr>
        <w:t>车间主任，未严格履行安全生产管理职责，未加强操作人员岗位培训，作业人员违章操作，现场处置不合理对事故的发生应负有重要领导责任。建议由衡阳市应急管理局依据《中华人民共和国安全生产法》第九十六条之规定，对其予以行政处罚。</w:t>
      </w:r>
    </w:p>
    <w:p w14:paraId="56B02F4C">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bookmarkStart w:id="91" w:name="_Toc1848697361_WPSOffice_Level2"/>
      <w:bookmarkStart w:id="92" w:name="_Toc525437223_WPSOffice_Level2"/>
      <w:r>
        <w:rPr>
          <w:rFonts w:hint="eastAsia" w:ascii="楷体" w:hAnsi="楷体" w:eastAsia="楷体" w:cs="楷体"/>
          <w:color w:val="auto"/>
          <w:kern w:val="0"/>
          <w:sz w:val="32"/>
          <w:szCs w:val="32"/>
          <w:lang w:val="en-US" w:eastAsia="zh-CN" w:bidi="ar-SA"/>
        </w:rPr>
        <w:t>（三）企业内部处理人员（2人）</w:t>
      </w:r>
      <w:bookmarkEnd w:id="91"/>
    </w:p>
    <w:p w14:paraId="68B8C8BA">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周**</w:t>
      </w:r>
      <w:r>
        <w:rPr>
          <w:rFonts w:hint="default" w:ascii="Nimbus Roman No9 L" w:hAnsi="Nimbus Roman No9 L" w:eastAsia="仿宋" w:cs="Nimbus Roman No9 L"/>
          <w:color w:val="auto"/>
          <w:kern w:val="2"/>
          <w:sz w:val="32"/>
          <w:szCs w:val="32"/>
          <w:lang w:val="en-US" w:eastAsia="zh-CN" w:bidi="ar-SA"/>
        </w:rPr>
        <w:t>、</w:t>
      </w:r>
      <w:r>
        <w:rPr>
          <w:rFonts w:hint="eastAsia" w:ascii="Nimbus Roman No9 L" w:hAnsi="Nimbus Roman No9 L" w:eastAsia="仿宋" w:cs="Nimbus Roman No9 L"/>
          <w:color w:val="auto"/>
          <w:kern w:val="2"/>
          <w:sz w:val="32"/>
          <w:szCs w:val="32"/>
          <w:lang w:val="en-US" w:eastAsia="zh-CN" w:bidi="ar-SA"/>
        </w:rPr>
        <w:t>刘*</w:t>
      </w:r>
      <w:r>
        <w:rPr>
          <w:rFonts w:hint="default" w:ascii="Nimbus Roman No9 L" w:hAnsi="Nimbus Roman No9 L" w:eastAsia="仿宋" w:cs="Nimbus Roman No9 L"/>
          <w:color w:val="auto"/>
          <w:kern w:val="2"/>
          <w:sz w:val="32"/>
          <w:szCs w:val="32"/>
          <w:lang w:val="en-US" w:eastAsia="zh-CN" w:bidi="ar-SA"/>
        </w:rPr>
        <w:t>两名安全员，安全职责履行不到位，建议企业内部进行处理。</w:t>
      </w:r>
    </w:p>
    <w:p w14:paraId="46534A5C">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楷体" w:hAnsi="楷体" w:eastAsia="楷体" w:cs="楷体"/>
          <w:bCs/>
          <w:kern w:val="0"/>
          <w:sz w:val="32"/>
          <w:szCs w:val="32"/>
        </w:rPr>
        <w:t>（</w:t>
      </w:r>
      <w:r>
        <w:rPr>
          <w:rFonts w:hint="eastAsia" w:ascii="楷体" w:hAnsi="楷体" w:eastAsia="楷体" w:cs="楷体"/>
          <w:bCs/>
          <w:kern w:val="0"/>
          <w:sz w:val="32"/>
          <w:szCs w:val="32"/>
          <w:lang w:eastAsia="zh-CN"/>
        </w:rPr>
        <w:t>四</w:t>
      </w:r>
      <w:r>
        <w:rPr>
          <w:rFonts w:hint="eastAsia" w:ascii="楷体" w:hAnsi="楷体" w:eastAsia="楷体" w:cs="楷体"/>
          <w:bCs/>
          <w:kern w:val="0"/>
          <w:sz w:val="32"/>
          <w:szCs w:val="32"/>
        </w:rPr>
        <w:t>）</w:t>
      </w:r>
      <w:r>
        <w:rPr>
          <w:rFonts w:hint="eastAsia" w:ascii="楷体" w:hAnsi="楷体" w:eastAsia="楷体" w:cs="楷体"/>
          <w:sz w:val="32"/>
          <w:szCs w:val="32"/>
        </w:rPr>
        <w:t>建议予以追责问责的人员（</w:t>
      </w:r>
      <w:r>
        <w:rPr>
          <w:rFonts w:hint="eastAsia" w:ascii="楷体" w:hAnsi="楷体" w:eastAsia="楷体" w:cs="楷体"/>
          <w:sz w:val="32"/>
          <w:szCs w:val="32"/>
          <w:lang w:val="en-US" w:eastAsia="zh-CN"/>
        </w:rPr>
        <w:t>2</w:t>
      </w:r>
      <w:r>
        <w:rPr>
          <w:rFonts w:hint="eastAsia" w:ascii="楷体" w:hAnsi="楷体" w:eastAsia="楷体" w:cs="楷体"/>
          <w:sz w:val="32"/>
          <w:szCs w:val="32"/>
        </w:rPr>
        <w:t>人）</w:t>
      </w:r>
    </w:p>
    <w:p w14:paraId="25B9D791">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w:t>
      </w: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，男，</w:t>
      </w:r>
      <w:r>
        <w:rPr>
          <w:rFonts w:hint="eastAsia" w:ascii="仿宋_GB2312" w:hAnsi="仿宋_GB2312" w:eastAsia="仿宋_GB2312" w:cs="仿宋_GB2312"/>
          <w:bCs/>
          <w:color w:val="auto"/>
          <w:kern w:val="0"/>
          <w:sz w:val="32"/>
          <w:szCs w:val="32"/>
        </w:rPr>
        <w:t>38岁，</w:t>
      </w:r>
      <w:r>
        <w:rPr>
          <w:rFonts w:hint="eastAsia" w:ascii="仿宋_GB2312" w:hAnsi="仿宋_GB2312" w:eastAsia="仿宋_GB2312" w:cs="仿宋_GB2312"/>
          <w:bCs/>
          <w:color w:val="auto"/>
          <w:kern w:val="0"/>
          <w:sz w:val="32"/>
          <w:szCs w:val="32"/>
          <w:lang w:eastAsia="zh-CN"/>
        </w:rPr>
        <w:t>群众</w:t>
      </w:r>
      <w:r>
        <w:rPr>
          <w:rFonts w:hint="eastAsia" w:ascii="仿宋_GB2312" w:hAnsi="仿宋_GB2312" w:eastAsia="仿宋_GB2312" w:cs="仿宋_GB2312"/>
          <w:bCs/>
          <w:color w:val="auto"/>
          <w:kern w:val="0"/>
          <w:sz w:val="32"/>
          <w:szCs w:val="32"/>
        </w:rPr>
        <w:t>，松木经开区安全生产监督管理局科员，</w:t>
      </w:r>
      <w:r>
        <w:rPr>
          <w:rFonts w:hint="eastAsia" w:ascii="仿宋_GB2312" w:hAnsi="仿宋_GB2312" w:eastAsia="仿宋_GB2312" w:cs="仿宋_GB2312"/>
          <w:bCs/>
          <w:color w:val="auto"/>
          <w:kern w:val="0"/>
          <w:sz w:val="32"/>
          <w:szCs w:val="32"/>
          <w:lang w:eastAsia="zh-CN"/>
        </w:rPr>
        <w:t>具体负责</w:t>
      </w:r>
      <w:r>
        <w:rPr>
          <w:rFonts w:hint="eastAsia" w:ascii="仿宋_GB2312" w:hAnsi="仿宋_GB2312" w:eastAsia="仿宋_GB2312" w:cs="仿宋_GB2312"/>
          <w:color w:val="auto"/>
          <w:sz w:val="32"/>
          <w:szCs w:val="32"/>
        </w:rPr>
        <w:t>危化</w:t>
      </w:r>
      <w:r>
        <w:rPr>
          <w:rFonts w:hint="eastAsia" w:ascii="仿宋_GB2312" w:hAnsi="仿宋_GB2312" w:eastAsia="仿宋_GB2312" w:cs="仿宋_GB2312"/>
          <w:bCs/>
          <w:color w:val="auto"/>
          <w:kern w:val="0"/>
          <w:sz w:val="32"/>
          <w:szCs w:val="32"/>
          <w:lang w:eastAsia="zh-CN"/>
        </w:rPr>
        <w:t>企业安全生产监管工作。</w:t>
      </w:r>
      <w:r>
        <w:rPr>
          <w:rFonts w:hint="eastAsia" w:ascii="Times New Roman" w:hAnsi="Times New Roman" w:eastAsia="仿宋" w:cs="Times New Roman"/>
          <w:sz w:val="32"/>
          <w:szCs w:val="32"/>
          <w:lang w:val="en" w:eastAsia="zh-CN"/>
        </w:rPr>
        <w:t>对未严格督促辖区企业开展安全风险辨识、安全教育培训和合理实施异常工况应急处置等负直接监管责任。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r>
        <w:rPr>
          <w:rFonts w:hint="eastAsia" w:ascii="仿宋_GB2312" w:hAnsi="仿宋_GB2312" w:eastAsia="仿宋_GB2312" w:cs="仿宋_GB2312"/>
          <w:bCs/>
          <w:color w:val="auto"/>
          <w:kern w:val="0"/>
          <w:sz w:val="32"/>
          <w:szCs w:val="32"/>
          <w:lang w:eastAsia="zh-CN"/>
        </w:rPr>
        <w:t>。</w:t>
      </w:r>
    </w:p>
    <w:p w14:paraId="237962A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w:t>
      </w:r>
      <w:r>
        <w:rPr>
          <w:rFonts w:hint="eastAsia" w:eastAsia="仿宋" w:cs="Times New Roman"/>
          <w:sz w:val="32"/>
          <w:szCs w:val="32"/>
          <w:lang w:val="en" w:eastAsia="zh-CN"/>
        </w:rPr>
        <w:t>曾**</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44</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安全生产监管局局长。对未严格督促辖区企业开展安全风险辨识、安全教育培训和合理实施异常工况应急处置等负主要领导责任。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p>
    <w:p w14:paraId="20561107">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（五）建议予以组织处理的人员（1人）</w:t>
      </w:r>
    </w:p>
    <w:p w14:paraId="6BA77A45">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eastAsia="zh-CN"/>
        </w:rPr>
      </w:pP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43</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副主任，分管安全生产。对未严格督促辖区企业开展安全风险辨识、安全教育培训和合理实施异常工况应急处置等负重要领导责任。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党工委对其予以提醒谈话。</w:t>
      </w:r>
    </w:p>
    <w:p w14:paraId="247E9C21">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（六）建议予以行政处罚的单位</w:t>
      </w:r>
      <w:bookmarkEnd w:id="92"/>
      <w:r>
        <w:rPr>
          <w:rFonts w:hint="eastAsia" w:ascii="楷体" w:hAnsi="楷体" w:eastAsia="楷体" w:cs="楷体"/>
          <w:color w:val="auto"/>
          <w:kern w:val="0"/>
          <w:sz w:val="32"/>
          <w:szCs w:val="32"/>
          <w:lang w:val="en-US" w:eastAsia="zh-CN" w:bidi="ar-SA"/>
        </w:rPr>
        <w:t>（3家）</w:t>
      </w:r>
    </w:p>
    <w:p w14:paraId="06289305">
      <w:pPr>
        <w:keepNext w:val="0"/>
        <w:keepLines w:val="0"/>
        <w:pageBreakBefore w:val="0"/>
        <w:kinsoku/>
        <w:wordWrap/>
        <w:overflowPunct/>
        <w:topLinePunct w:val="0"/>
        <w:autoSpaceDN/>
        <w:bidi w:val="0"/>
        <w:adjustRightInd w:val="0"/>
        <w:spacing w:line="576" w:lineRule="exact"/>
        <w:ind w:leftChars="0" w:right="0" w:firstLine="643"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Nimbus Roman No9 L" w:hAnsi="Nimbus Roman No9 L" w:eastAsia="仿宋" w:cs="Nimbus Roman No9 L"/>
          <w:b/>
          <w:bCs/>
          <w:color w:val="auto"/>
          <w:kern w:val="2"/>
          <w:sz w:val="32"/>
          <w:szCs w:val="32"/>
          <w:lang w:val="en-US" w:eastAsia="zh-CN" w:bidi="ar-SA"/>
        </w:rPr>
        <w:t>1.湖南湘硕化工有限公司。</w:t>
      </w:r>
      <w:r>
        <w:rPr>
          <w:rFonts w:hint="eastAsia" w:ascii="仿宋_GB2312" w:hAnsi="仿宋_GB2312" w:eastAsia="仿宋_GB2312" w:cs="仿宋_GB2312"/>
          <w:bCs/>
          <w:color w:val="auto"/>
          <w:kern w:val="0"/>
          <w:sz w:val="32"/>
          <w:szCs w:val="32"/>
          <w:lang w:val="en-US" w:eastAsia="zh-CN"/>
        </w:rPr>
        <w:t>该单位安全生产主体责任落实不到位、安全风险辨识不到位、企业岗位操作培训不到位，对事故的发生负有责任。建议由衡阳市应急管理局依据《中华人民共和国安全生产法》第一百一十四条之规定，对其予以行政处罚。</w:t>
      </w:r>
    </w:p>
    <w:bookmarkEnd w:id="87"/>
    <w:bookmarkEnd w:id="89"/>
    <w:p w14:paraId="4B0E4D8E">
      <w:pPr>
        <w:keepNext w:val="0"/>
        <w:keepLines w:val="0"/>
        <w:pageBreakBefore w:val="0"/>
        <w:kinsoku/>
        <w:wordWrap w:val="0"/>
        <w:overflowPunct/>
        <w:topLinePunct w:val="0"/>
        <w:autoSpaceDN/>
        <w:bidi w:val="0"/>
        <w:spacing w:line="576" w:lineRule="exact"/>
        <w:ind w:firstLine="643" w:firstLineChars="200"/>
        <w:jc w:val="left"/>
        <w:textAlignment w:val="auto"/>
        <w:rPr>
          <w:rFonts w:hint="eastAsia" w:ascii="Times New Roman" w:hAnsi="Times New Roman" w:eastAsia="仿宋" w:cs="Times New Roman"/>
          <w:sz w:val="32"/>
          <w:szCs w:val="32"/>
          <w:lang w:val="en" w:eastAsia="zh-CN"/>
        </w:rPr>
      </w:pPr>
      <w:bookmarkStart w:id="93" w:name="_Toc2047045215_WPSOffice_Level1"/>
      <w:bookmarkStart w:id="94" w:name="_Toc800111114_WPSOffice_Level1"/>
      <w:bookmarkStart w:id="95" w:name="_Toc1567827304_WPSOffice_Level1"/>
      <w:bookmarkStart w:id="96" w:name="_Toc1521657633_WPSOffice_Level1"/>
      <w:bookmarkStart w:id="97" w:name="_Toc409184990_WPSOffice_Level1"/>
      <w:bookmarkStart w:id="98" w:name="_Toc1614876153_WPSOffice_Level1"/>
      <w:bookmarkStart w:id="99" w:name="_Toc763868933_WPSOffice_Level1"/>
      <w:bookmarkStart w:id="100" w:name="_Toc327457605"/>
      <w:bookmarkStart w:id="101" w:name="_Toc247595313"/>
      <w:r>
        <w:rPr>
          <w:rFonts w:hint="eastAsia" w:ascii="Nimbus Roman No9 L" w:hAnsi="Nimbus Roman No9 L" w:eastAsia="仿宋" w:cs="Nimbus Roman No9 L"/>
          <w:b/>
          <w:bCs/>
          <w:color w:val="auto"/>
          <w:kern w:val="2"/>
          <w:sz w:val="32"/>
          <w:szCs w:val="32"/>
          <w:lang w:val="en-US" w:eastAsia="zh-CN" w:bidi="ar-SA"/>
        </w:rPr>
        <w:t>2.设计公司。</w:t>
      </w:r>
      <w:r>
        <w:rPr>
          <w:rFonts w:hint="eastAsia" w:ascii="仿宋" w:hAnsi="仿宋" w:eastAsia="仿宋" w:cs="仿宋"/>
          <w:color w:val="auto"/>
          <w:kern w:val="1"/>
          <w:sz w:val="32"/>
          <w:szCs w:val="32"/>
          <w:lang w:val="en-US" w:eastAsia="zh-CN" w:bidi="ar-SA"/>
        </w:rPr>
        <w:t>该单位作出的安全设施设计专篇中，未对涉事工艺系统安全阀等泄压设施进行技术设计，</w:t>
      </w:r>
      <w:r>
        <w:rPr>
          <w:rFonts w:hint="eastAsia" w:ascii="仿宋" w:hAnsi="仿宋" w:eastAsia="仿宋" w:cs="仿宋"/>
          <w:color w:val="auto"/>
          <w:kern w:val="1"/>
          <w:sz w:val="32"/>
          <w:szCs w:val="32"/>
          <w:lang w:val="en-US" w:eastAsia="zh-CN"/>
        </w:rPr>
        <w:t>提供的设计存在严重缺陷，对事故的发生负有责任。建议由市</w:t>
      </w:r>
      <w:r>
        <w:rPr>
          <w:rFonts w:hint="eastAsia" w:ascii="仿宋" w:hAnsi="仿宋" w:eastAsia="仿宋" w:cs="宋体"/>
          <w:color w:val="auto"/>
          <w:sz w:val="32"/>
          <w:szCs w:val="32"/>
          <w:lang w:val="en-US" w:eastAsia="zh-CN"/>
        </w:rPr>
        <w:t>住房和城乡建设局依据</w:t>
      </w:r>
      <w:r>
        <w:rPr>
          <w:rFonts w:hint="eastAsia" w:ascii="Times New Roman" w:hAnsi="Times New Roman" w:eastAsia="仿宋" w:cs="Times New Roman"/>
          <w:sz w:val="32"/>
          <w:szCs w:val="32"/>
          <w:lang w:val="en" w:eastAsia="zh-CN"/>
        </w:rPr>
        <w:t>《建设工程安全生产管理条例》（国务院第393号令）第五十六条之规定，依法对其予以行政处罚。</w:t>
      </w:r>
    </w:p>
    <w:p w14:paraId="479FC870">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 w:hAnsi="楷体" w:eastAsia="楷体" w:cs="楷体"/>
          <w:color w:val="auto"/>
          <w:kern w:val="0"/>
          <w:sz w:val="32"/>
          <w:szCs w:val="32"/>
          <w:lang w:val="en-US" w:eastAsia="zh-CN" w:bidi="ar-SA"/>
        </w:rPr>
      </w:pPr>
      <w:r>
        <w:rPr>
          <w:rFonts w:hint="eastAsia" w:ascii="Times New Roman" w:hAnsi="Times New Roman" w:eastAsia="仿宋_GB2312" w:cs="Times New Roman"/>
          <w:b/>
          <w:bCs/>
          <w:color w:val="auto"/>
          <w:kern w:val="0"/>
          <w:sz w:val="32"/>
          <w:szCs w:val="32"/>
          <w:lang w:val="en-US" w:eastAsia="zh-CN"/>
        </w:rPr>
        <w:t>3.设计诊断公司。</w:t>
      </w:r>
      <w:r>
        <w:rPr>
          <w:rFonts w:hint="eastAsia" w:ascii="仿宋" w:hAnsi="仿宋" w:eastAsia="仿宋" w:cs="仿宋"/>
          <w:color w:val="auto"/>
          <w:kern w:val="1"/>
          <w:sz w:val="32"/>
          <w:szCs w:val="32"/>
          <w:lang w:val="en-US" w:eastAsia="zh-CN"/>
        </w:rPr>
        <w:t>该单位在为湘硕公司建设</w:t>
      </w:r>
      <w:r>
        <w:rPr>
          <w:rFonts w:hint="eastAsia" w:ascii="仿宋" w:hAnsi="仿宋" w:eastAsia="仿宋" w:cs="仿宋"/>
          <w:color w:val="auto"/>
          <w:kern w:val="1"/>
          <w:sz w:val="32"/>
          <w:szCs w:val="32"/>
          <w:lang w:val="en-US" w:eastAsia="zh-CN" w:bidi="ar-SA"/>
        </w:rPr>
        <w:t>项目</w:t>
      </w:r>
      <w:r>
        <w:rPr>
          <w:rFonts w:hint="eastAsia" w:ascii="仿宋" w:hAnsi="仿宋" w:eastAsia="仿宋" w:cs="仿宋"/>
          <w:color w:val="auto"/>
          <w:kern w:val="1"/>
          <w:sz w:val="32"/>
          <w:szCs w:val="32"/>
          <w:lang w:val="en-US" w:eastAsia="zh-CN"/>
        </w:rPr>
        <w:t>安全设计的设计诊断时，未指出《安全设施设计专篇》在设计安全阀相关设施方面存在的缺陷，</w:t>
      </w:r>
      <w:r>
        <w:rPr>
          <w:rFonts w:hint="eastAsia" w:ascii="Nimbus Roman No9 L" w:hAnsi="Nimbus Roman No9 L" w:eastAsia="仿宋" w:cs="Nimbus Roman No9 L"/>
          <w:color w:val="auto"/>
          <w:kern w:val="2"/>
          <w:sz w:val="32"/>
          <w:szCs w:val="32"/>
          <w:lang w:val="en-US" w:eastAsia="zh-CN" w:bidi="ar-SA"/>
        </w:rPr>
        <w:t>设计诊断不严谨</w:t>
      </w:r>
      <w:r>
        <w:rPr>
          <w:rFonts w:hint="eastAsia" w:ascii="仿宋" w:hAnsi="仿宋" w:eastAsia="仿宋" w:cs="仿宋"/>
          <w:color w:val="auto"/>
          <w:kern w:val="1"/>
          <w:sz w:val="32"/>
          <w:szCs w:val="32"/>
          <w:lang w:val="en-US" w:eastAsia="zh-CN"/>
        </w:rPr>
        <w:t>，</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《诊断问题清单及整改建议》，与安全生产的要求不符相合，对事故的发生负有责任。建议由衡阳市应急管理局</w:t>
      </w:r>
      <w:r>
        <w:rPr>
          <w:rFonts w:hint="eastAsia" w:ascii="仿宋" w:hAnsi="仿宋" w:eastAsia="仿宋" w:cs="宋体"/>
          <w:color w:val="auto"/>
          <w:sz w:val="32"/>
          <w:szCs w:val="32"/>
          <w:lang w:val="en-US" w:eastAsia="zh-CN"/>
        </w:rPr>
        <w:t>依据</w:t>
      </w:r>
      <w:r>
        <w:rPr>
          <w:rFonts w:hint="eastAsia" w:eastAsia="仿宋" w:cs="Times New Roman"/>
          <w:sz w:val="32"/>
          <w:szCs w:val="32"/>
          <w:lang w:val="en" w:eastAsia="zh-CN"/>
        </w:rPr>
        <w:t>《中华人民共和国安全生产法》</w:t>
      </w:r>
      <w:r>
        <w:rPr>
          <w:rFonts w:hint="eastAsia" w:ascii="Times New Roman" w:hAnsi="Times New Roman" w:eastAsia="仿宋" w:cs="Times New Roman"/>
          <w:sz w:val="32"/>
          <w:szCs w:val="32"/>
          <w:lang w:val="en" w:eastAsia="zh-CN"/>
        </w:rPr>
        <w:t>第九十二条之规定，依法对其予以行政处罚。</w:t>
      </w:r>
    </w:p>
    <w:p w14:paraId="407CC4F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bidi="ar-SA"/>
        </w:rPr>
      </w:pPr>
      <w:r>
        <w:rPr>
          <w:rFonts w:hint="eastAsia" w:ascii="楷体" w:hAnsi="楷体" w:eastAsia="楷体" w:cs="楷体"/>
          <w:color w:val="auto"/>
          <w:kern w:val="0"/>
          <w:sz w:val="32"/>
          <w:szCs w:val="32"/>
          <w:lang w:val="en-US" w:eastAsia="zh-CN" w:bidi="ar-SA"/>
        </w:rPr>
        <w:t>（七）建议予以组织处理的单位（1家）</w:t>
      </w:r>
    </w:p>
    <w:p w14:paraId="4BC694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Cs/>
          <w:color w:val="auto"/>
          <w:kern w:val="0"/>
          <w:sz w:val="32"/>
          <w:szCs w:val="32"/>
          <w:lang w:eastAsia="zh-CN"/>
        </w:rPr>
      </w:pPr>
      <w:r>
        <w:rPr>
          <w:rFonts w:hint="eastAsia" w:ascii="仿宋" w:hAnsi="仿宋" w:eastAsia="仿宋" w:cs="仿宋"/>
          <w:color w:val="auto"/>
          <w:kern w:val="1"/>
          <w:sz w:val="32"/>
          <w:szCs w:val="32"/>
          <w:lang w:val="en-US" w:eastAsia="zh-CN" w:bidi="ar-SA"/>
        </w:rPr>
        <w:t>建议松木经开区管委会向市人民政府写出书面检查。</w:t>
      </w:r>
    </w:p>
    <w:p w14:paraId="7FAC95E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Pr>
      </w:pPr>
      <w:r>
        <w:rPr>
          <w:rFonts w:hint="eastAsia" w:ascii="黑体" w:hAnsi="黑体" w:eastAsia="黑体" w:cs="黑体"/>
          <w:bCs/>
          <w:color w:val="auto"/>
          <w:kern w:val="0"/>
          <w:sz w:val="32"/>
          <w:szCs w:val="32"/>
          <w:lang w:eastAsia="zh-CN"/>
        </w:rPr>
        <w:t>九</w:t>
      </w:r>
      <w:r>
        <w:rPr>
          <w:rFonts w:hint="eastAsia" w:ascii="黑体" w:hAnsi="黑体" w:eastAsia="黑体" w:cs="黑体"/>
          <w:bCs/>
          <w:color w:val="auto"/>
          <w:kern w:val="0"/>
          <w:sz w:val="32"/>
          <w:szCs w:val="32"/>
        </w:rPr>
        <w:t>、事故防范和整改措施建议</w:t>
      </w:r>
      <w:bookmarkEnd w:id="93"/>
      <w:bookmarkEnd w:id="94"/>
      <w:bookmarkEnd w:id="95"/>
      <w:bookmarkEnd w:id="96"/>
      <w:bookmarkEnd w:id="97"/>
      <w:bookmarkEnd w:id="98"/>
      <w:bookmarkEnd w:id="99"/>
    </w:p>
    <w:p w14:paraId="010E5352">
      <w:pPr>
        <w:keepNext w:val="0"/>
        <w:keepLines w:val="0"/>
        <w:pageBreakBefore w:val="0"/>
        <w:kinsoku/>
        <w:wordWrap w:val="0"/>
        <w:overflowPunct/>
        <w:topLinePunct w:val="0"/>
        <w:autoSpaceDN/>
        <w:bidi w:val="0"/>
        <w:spacing w:line="576" w:lineRule="exact"/>
        <w:ind w:firstLine="640" w:firstLineChars="200"/>
        <w:jc w:val="left"/>
        <w:textAlignment w:val="auto"/>
        <w:rPr>
          <w:rFonts w:ascii="仿宋" w:hAnsi="仿宋" w:eastAsia="仿宋" w:cs="宋体"/>
          <w:color w:val="auto"/>
          <w:sz w:val="32"/>
          <w:szCs w:val="32"/>
        </w:rPr>
      </w:pPr>
      <w:r>
        <w:rPr>
          <w:rFonts w:hint="eastAsia" w:ascii="仿宋" w:hAnsi="仿宋" w:eastAsia="仿宋" w:cs="宋体"/>
          <w:color w:val="auto"/>
          <w:sz w:val="32"/>
          <w:szCs w:val="32"/>
        </w:rPr>
        <w:t>为</w:t>
      </w:r>
      <w:r>
        <w:rPr>
          <w:rFonts w:ascii="仿宋" w:hAnsi="仿宋" w:eastAsia="仿宋" w:cs="宋体"/>
          <w:color w:val="auto"/>
          <w:sz w:val="32"/>
          <w:szCs w:val="32"/>
        </w:rPr>
        <w:t>深刻吸取事故教训，举一反三，完善措施，</w:t>
      </w:r>
      <w:r>
        <w:rPr>
          <w:rFonts w:hint="eastAsia" w:ascii="仿宋" w:hAnsi="仿宋" w:eastAsia="仿宋" w:cs="宋体"/>
          <w:color w:val="auto"/>
          <w:sz w:val="32"/>
          <w:szCs w:val="32"/>
        </w:rPr>
        <w:t>切实加强安全生产管理</w:t>
      </w:r>
      <w:r>
        <w:rPr>
          <w:rFonts w:ascii="仿宋" w:hAnsi="仿宋" w:eastAsia="仿宋" w:cs="宋体"/>
          <w:color w:val="auto"/>
          <w:sz w:val="32"/>
          <w:szCs w:val="32"/>
        </w:rPr>
        <w:t>，有效防范生产安全事故，提出如下</w:t>
      </w:r>
      <w:r>
        <w:rPr>
          <w:rFonts w:hint="eastAsia" w:ascii="仿宋" w:hAnsi="仿宋" w:eastAsia="仿宋" w:cs="宋体"/>
          <w:color w:val="auto"/>
          <w:sz w:val="32"/>
          <w:szCs w:val="32"/>
        </w:rPr>
        <w:t>事故</w:t>
      </w:r>
      <w:r>
        <w:rPr>
          <w:rFonts w:ascii="仿宋" w:hAnsi="仿宋" w:eastAsia="仿宋" w:cs="宋体"/>
          <w:color w:val="auto"/>
          <w:sz w:val="32"/>
          <w:szCs w:val="32"/>
        </w:rPr>
        <w:t>防范及整改措施建议：</w:t>
      </w:r>
    </w:p>
    <w:p w14:paraId="496C560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bookmarkStart w:id="102" w:name="_Toc1410320564_WPSOffice_Level2"/>
      <w:r>
        <w:rPr>
          <w:rFonts w:hint="eastAsia" w:ascii="Nimbus Roman No9 L" w:hAnsi="Nimbus Roman No9 L" w:eastAsia="仿宋" w:cs="Nimbus Roman No9 L"/>
          <w:color w:val="auto"/>
          <w:kern w:val="2"/>
          <w:sz w:val="32"/>
          <w:szCs w:val="32"/>
          <w:lang w:val="en-US" w:eastAsia="zh-CN" w:bidi="ar-SA"/>
        </w:rPr>
        <w:t>（一）企业要深刻汲取事故教训，切实落实安全生产主体责任。</w:t>
      </w:r>
    </w:p>
    <w:p w14:paraId="76EDE7F6">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1.要认真贯彻实施国家安全生产法律法规，严格落实企业安全生产主体责任；要认真吸取事故教训，牢固树立安全发展理念，坚守安全生产红线，举一反三，加强企业安全生产管理，杜绝类似事故发生。</w:t>
      </w:r>
    </w:p>
    <w:p w14:paraId="629F063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切实加强安全风险的辨识与管控。要加强对存在重大安全风险的施工环节和部位的风险辨识与重点管控，要对有可能发生的事故风险进行预判，在全面开展安全风险再辨识、再评估的基础上，制定相应的风险管控措施，制定针对性的施工方案；要健全完善施工现场隐患排查治理制度，开展事故隐患排查整治；重点要针对可能存在的不安全因素，及时发现并消除事故隐患，确保作业前防护措施到位再作业。</w:t>
      </w:r>
    </w:p>
    <w:p w14:paraId="381B2C34">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完善设备系统安全设施。升膜蒸发系统设备、机泵、阀门众多，系统存在超压的可能性，而造成超温、超压的因素较复杂，极易发生事故。要在整个蒸发系统设置防止超温超压的安全附件，增加防止高压串低压的设备设施，降低因可能发生的误操作带来的风险；在气液分离罐上部设置爆破片，并将泄放物按要求安全处置；要在蒸发器、气液分离罐、蒸发冷凝器等设备顶部设置压力在线监测，并设置高限报警；建议气液分离罐和轻组分罐设置在线液位监测及报警；建议设置蒸汽温度检测点；建议设置防止蒸发冷凝器失效的监测和报警设施，一旦出现异常工况能及时发现，并采取有效措施处理，防患于未然。</w:t>
      </w:r>
    </w:p>
    <w:p w14:paraId="489D9B41">
      <w:pPr>
        <w:pStyle w:val="6"/>
        <w:keepNext w:val="0"/>
        <w:keepLines w:val="0"/>
        <w:pageBreakBefore w:val="0"/>
        <w:kinsoku/>
        <w:overflowPunct/>
        <w:topLinePunct w:val="0"/>
        <w:autoSpaceDN/>
        <w:bidi w:val="0"/>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4.加大事故隐患排查力度。要切实加强工艺系统的隐患排查治理，发现问题及时采取有效措施进行处理；要建立完善设备设施检维修和相关配件定期更换制度，制定针对性的设备设施检维修方案和实施计划；要成立检维修专门队伍，加大对系统固定配件的日常检查，尤其针对涉事转料阀（DN50）内漏之类的设备设施内部隐蔽存在的隐患，由于单从外观无法发现，必要时要进行拆检和试压；要加大设备系统各环节紧固联接件、焊接部位的检查，发现问题及时处理，防止因不符合安全性能导致事故；要详细建立设备设施使用管理台账，按服务期限要求定期拆修、更换，严防设备设施超年限和带故障使用。</w:t>
      </w:r>
    </w:p>
    <w:p w14:paraId="4FF9DB4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5.进一步建立健全岗位操作考核机制。要建立完善岗位操作规程，对岗位操作程序进一步细化，明确各工作环节的操作流程，杜绝岗位误操作现象；要对岗位操作实施日常考核制度，考核结果与其业绩挂钩，及时发现和纠正误操作。</w:t>
      </w:r>
    </w:p>
    <w:p w14:paraId="3A86B57F">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6.切实加强作业现场安全管理。要合理安排现场劳动组织配置，岗位操作要有专人负责安全监护；要建立健全安全操作确认机制，严格遵守操作规程，杜绝误操作；要切实提高现场应急处置能力，系统出现异常升温后，要第一时间关闭系统，撤出人员，组织专人查明原因和合理处理，只有在确保安全的情况才能恢复正常作业。</w:t>
      </w:r>
    </w:p>
    <w:p w14:paraId="74FF84D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7.进一步加强员工安全教育培训。要</w:t>
      </w:r>
      <w:r>
        <w:rPr>
          <w:rFonts w:hint="eastAsia" w:ascii="Nimbus Roman No9 L" w:hAnsi="Nimbus Roman No9 L" w:eastAsia="仿宋" w:cs="Nimbus Roman No9 L"/>
          <w:color w:val="auto"/>
          <w:kern w:val="2"/>
          <w:sz w:val="32"/>
          <w:szCs w:val="32"/>
          <w:rtl w:val="0"/>
          <w:lang w:val="en-US" w:eastAsia="zh-CN" w:bidi="ar-SA"/>
        </w:rPr>
        <w:t>按要求认真开展安全教育培训，提高</w:t>
      </w:r>
      <w:r>
        <w:rPr>
          <w:rFonts w:hint="eastAsia" w:ascii="Nimbus Roman No9 L" w:hAnsi="Nimbus Roman No9 L" w:eastAsia="仿宋" w:cs="Nimbus Roman No9 L"/>
          <w:color w:val="auto"/>
          <w:kern w:val="2"/>
          <w:sz w:val="32"/>
          <w:szCs w:val="32"/>
          <w:lang w:val="en-US" w:eastAsia="zh-CN" w:bidi="ar-SA"/>
        </w:rPr>
        <w:t>作业人员安全生产知识，增强作业人员安全意识和自我保护意识；要对作业现场负责人、监护人员、作业人员、应急救援人员进行专项安全培训，进一步提高安全生产管理水平和增强现场应急处置能力；要严格落实安全技术交底工作，作业前对作业中应注意的安全事项进行交底，严禁违章指挥、违章作业。</w:t>
      </w:r>
    </w:p>
    <w:bookmarkEnd w:id="102"/>
    <w:p w14:paraId="5C53614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rtl w:val="0"/>
          <w:lang w:val="en-US" w:eastAsia="zh-CN" w:bidi="ar-SA"/>
        </w:rPr>
        <w:t>8.</w:t>
      </w:r>
      <w:r>
        <w:rPr>
          <w:rFonts w:hint="eastAsia" w:ascii="Nimbus Roman No9 L" w:hAnsi="Nimbus Roman No9 L" w:eastAsia="仿宋" w:cs="Nimbus Roman No9 L"/>
          <w:color w:val="auto"/>
          <w:kern w:val="2"/>
          <w:sz w:val="32"/>
          <w:szCs w:val="32"/>
          <w:lang w:val="en-US" w:eastAsia="zh-CN" w:bidi="ar-SA"/>
        </w:rPr>
        <w:t>提高安全生产自动化水平。升膜蒸发系统设备、机泵、阀门较多，系统造成超温、超压的因素较复杂，仅凭人工粗放性操作，极容易出现误差。应当加大设备系统的更新提质改造，引进现代系统自动化管理技术，提高系统自动化水平，最大限度地减少因人工操作带来的误操作，实现系统本质安全化。</w:t>
      </w:r>
    </w:p>
    <w:p w14:paraId="169F6030">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（二）项目设计相关单位要严格履行工程设计的安全职责。</w:t>
      </w:r>
    </w:p>
    <w:p w14:paraId="4AD4847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严格依法依规设计。设计单位在工程项目建设中扮演重要角色，在事故防范的源头环节起着关键性的作用。在设计文件的编制和技术图纸绘制过程中，要依照法律法规、国家标准、行业标准的规定，严格执行项目设计相关强制性标准，在项目可行性研究基础上，充分考虑资源高效利用、安全生产、生态环境保护等因素，科学合理设计相关安全设施，不应违反规定降低工程质量和安全技术条件标准，确保安全条件和工艺流程符合相关法律法规的要求。</w:t>
      </w:r>
    </w:p>
    <w:p w14:paraId="66D6273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认真开展设计审查和设计诊断。科学规范的设计是项目工程施工和安全管理的重要基础，是指导安全管理的技术依据。设计文件和相关技术图纸要按要求组织开展审查和诊断，对设计的合规性、安全性、规范性、适用性全面深入审查，对项目安全设计的确认要科学严谨，发现问题及时修改和补正，确保提供的设计结构环境安全、工艺流程合理、使用功能完备。</w:t>
      </w:r>
    </w:p>
    <w:p w14:paraId="30BF64C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开展风险辨识。开展安全风险的识别和评估，科学判定项目建设及运行的安全因素，是科学规范设计的重要基础。要针对项目工程所处的空间和理化环境，按照项目建设特点、安全风险的类型，对项目施工和项目运行期间可能存在的安全风险进行全方位识别判断，并对风险级别做出初步评估。在风险辨识的基础上拟定设计方案，针对项目建设和运行期间可能存在的安全风险，尤其是一些隐性的安全风险点，要进行专题论证，对隐性安全风险做出准确的判断与识别，按要求设计科学合理的安全风险管控方式和安全风险防护措施，通过科学设计和完善控制措施来降低安全风险，为项目建设提供安全适用、科学合理的技术设计。</w:t>
      </w:r>
    </w:p>
    <w:p w14:paraId="2E47B11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bookmarkStart w:id="103" w:name="_Toc1192328800_WPSOffice_Level2"/>
      <w:r>
        <w:rPr>
          <w:rFonts w:hint="eastAsia" w:ascii="Nimbus Roman No9 L" w:hAnsi="Nimbus Roman No9 L" w:eastAsia="仿宋" w:cs="Nimbus Roman No9 L"/>
          <w:color w:val="auto"/>
          <w:kern w:val="2"/>
          <w:sz w:val="32"/>
          <w:szCs w:val="32"/>
          <w:rtl w:val="0"/>
          <w:lang w:val="en-US" w:eastAsia="zh-CN" w:bidi="ar-SA"/>
        </w:rPr>
        <w:t>（三）松木经开区及其相关部门切实加强安全生产监督管理。</w:t>
      </w:r>
      <w:bookmarkEnd w:id="103"/>
    </w:p>
    <w:p w14:paraId="6C38D70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1.吸</w:t>
      </w:r>
      <w:r>
        <w:rPr>
          <w:rFonts w:hint="eastAsia" w:ascii="Nimbus Roman No9 L" w:hAnsi="Nimbus Roman No9 L" w:eastAsia="仿宋" w:cs="Nimbus Roman No9 L"/>
          <w:color w:val="auto"/>
          <w:kern w:val="2"/>
          <w:sz w:val="32"/>
          <w:szCs w:val="32"/>
          <w:lang w:val="en-US" w:eastAsia="zh-CN" w:bidi="ar-SA"/>
        </w:rPr>
        <w:t>取事故教训，强化安全管理。</w:t>
      </w:r>
      <w:r>
        <w:rPr>
          <w:rFonts w:hint="eastAsia" w:ascii="Nimbus Roman No9 L" w:hAnsi="Nimbus Roman No9 L" w:eastAsia="仿宋" w:cs="Nimbus Roman No9 L"/>
          <w:color w:val="auto"/>
          <w:kern w:val="2"/>
          <w:sz w:val="32"/>
          <w:szCs w:val="32"/>
          <w:rtl w:val="0"/>
          <w:lang w:val="en-US" w:eastAsia="zh-CN" w:bidi="ar-SA"/>
        </w:rPr>
        <w:t>各级各部门要认真贯彻落实习近平总书记关于安全生产的一系列重要指示精神，牢固树立“安全第一，生命至上”的红线意识，</w:t>
      </w:r>
      <w:r>
        <w:rPr>
          <w:rFonts w:hint="eastAsia" w:ascii="Nimbus Roman No9 L" w:hAnsi="Nimbus Roman No9 L" w:eastAsia="仿宋" w:cs="Nimbus Roman No9 L"/>
          <w:color w:val="auto"/>
          <w:kern w:val="2"/>
          <w:sz w:val="32"/>
          <w:szCs w:val="32"/>
          <w:lang w:val="en-US" w:eastAsia="zh-CN" w:bidi="ar-SA"/>
        </w:rPr>
        <w:t>深刻吸取事故教训，举一反三，</w:t>
      </w:r>
      <w:r>
        <w:rPr>
          <w:rFonts w:hint="eastAsia" w:ascii="Nimbus Roman No9 L" w:hAnsi="Nimbus Roman No9 L" w:eastAsia="仿宋" w:cs="Nimbus Roman No9 L"/>
          <w:color w:val="auto"/>
          <w:kern w:val="2"/>
          <w:sz w:val="32"/>
          <w:szCs w:val="32"/>
          <w:rtl w:val="0"/>
          <w:lang w:val="en-US" w:eastAsia="zh-CN" w:bidi="ar-SA"/>
        </w:rPr>
        <w:t>进一步树牢安全发展理念，筑牢安全生产防线，切实履行好守土有责、守土尽责的属地管理责任。</w:t>
      </w:r>
    </w:p>
    <w:p w14:paraId="308DA00D">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2.探索建立技术服务机构的管理机制。相关技术服务机构与工业园区的项目工程，大多存在技术服务关系，在辖区项目工程建设的事前风险辨识、隐患排查、消除项目隐性安全风险等方面起着关键作用。要尝试探索加强技术服务机构管理机制，对技术服务机构实行登记、备案、审核制度；对提供技术服务机构的资质及其业务管理能力加大审查力度，督促技术服务机构切实开展前期现场勘查和风险辨识；组织业内专家深入过程参与，为安全设计提出建设性意见，使设计相关文件、安全设施设计及其图纸更合理、更安全、更适用，从源头环节加强项目工程风险管控。</w:t>
      </w:r>
    </w:p>
    <w:p w14:paraId="4DD7749C">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3.进一步</w:t>
      </w:r>
      <w:r>
        <w:rPr>
          <w:rFonts w:hint="eastAsia" w:ascii="Times New Roman" w:hAnsi="Times New Roman" w:eastAsia="仿宋" w:cs="Times New Roman"/>
          <w:color w:val="auto"/>
          <w:spacing w:val="0"/>
          <w:sz w:val="32"/>
          <w:szCs w:val="32"/>
          <w:rtl w:val="0"/>
          <w:lang w:val="en-US" w:eastAsia="zh-CN"/>
        </w:rPr>
        <w:t>建立健全安全风险分级管控和隐患排查治理双重预防机制。</w:t>
      </w:r>
      <w:r>
        <w:rPr>
          <w:rFonts w:hint="eastAsia" w:ascii="仿宋" w:hAnsi="仿宋" w:eastAsia="仿宋" w:cs="宋体"/>
          <w:color w:val="auto"/>
          <w:sz w:val="32"/>
          <w:szCs w:val="32"/>
          <w:rtl w:val="0"/>
          <w:lang w:val="en-US" w:eastAsia="zh-CN"/>
        </w:rPr>
        <w:t>深入研究分析安全生产形势，精准研判风险，扎实组织开展安全隐患大排查、安全问题大整治、安全责任大落实行动，督促企业全面提升本质安全水平，防范遏制各类安全生产事故的发生。</w:t>
      </w:r>
    </w:p>
    <w:p w14:paraId="397EA156">
      <w:pPr>
        <w:keepNext w:val="0"/>
        <w:keepLines w:val="0"/>
        <w:pageBreakBefore w:val="0"/>
        <w:kinsoku/>
        <w:wordWrap w:val="0"/>
        <w:overflowPunct/>
        <w:topLinePunct w:val="0"/>
        <w:autoSpaceDN/>
        <w:bidi w:val="0"/>
        <w:spacing w:line="576" w:lineRule="exact"/>
        <w:ind w:firstLine="640" w:firstLineChars="200"/>
        <w:jc w:val="left"/>
        <w:textAlignment w:val="auto"/>
        <w:rPr>
          <w:rFonts w:hint="default" w:ascii="仿宋" w:hAnsi="仿宋" w:eastAsia="仿宋" w:cs="宋体"/>
          <w:color w:val="auto"/>
          <w:sz w:val="32"/>
          <w:szCs w:val="32"/>
          <w:rtl w:val="0"/>
          <w:lang w:val="en-US" w:eastAsia="zh-CN"/>
        </w:rPr>
      </w:pPr>
      <w:r>
        <w:rPr>
          <w:rFonts w:hint="eastAsia" w:eastAsia="仿宋"/>
          <w:sz w:val="32"/>
          <w:szCs w:val="30"/>
          <w:lang w:eastAsia="zh-CN"/>
        </w:rPr>
        <w:t>本报告经我市审查同意，并报省安办审核后，呈报市政府批复结案。</w:t>
      </w:r>
    </w:p>
    <w:p w14:paraId="156C1CDE">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r>
        <w:rPr>
          <w:rFonts w:hint="default" w:ascii="仿宋" w:hAnsi="仿宋" w:eastAsia="仿宋" w:cs="宋体"/>
          <w:color w:val="auto"/>
          <w:sz w:val="32"/>
          <w:szCs w:val="32"/>
          <w:rtl w:val="0"/>
          <w:lang w:val="en-US" w:eastAsia="zh-CN"/>
        </w:rPr>
        <w:t>相关</w:t>
      </w:r>
      <w:r>
        <w:rPr>
          <w:rFonts w:hint="eastAsia" w:ascii="仿宋" w:hAnsi="仿宋" w:eastAsia="仿宋" w:cs="宋体"/>
          <w:color w:val="auto"/>
          <w:sz w:val="32"/>
          <w:szCs w:val="32"/>
          <w:rtl w:val="0"/>
          <w:lang w:val="en-US" w:eastAsia="zh-CN"/>
        </w:rPr>
        <w:t>单位</w:t>
      </w:r>
      <w:r>
        <w:rPr>
          <w:rFonts w:hint="default" w:ascii="仿宋" w:hAnsi="仿宋" w:eastAsia="仿宋" w:cs="宋体"/>
          <w:color w:val="auto"/>
          <w:sz w:val="32"/>
          <w:szCs w:val="32"/>
          <w:rtl w:val="0"/>
          <w:lang w:val="en-US" w:eastAsia="zh-CN"/>
        </w:rPr>
        <w:t>接到事故调查报告及批复2个月内</w:t>
      </w:r>
      <w:r>
        <w:rPr>
          <w:rFonts w:hint="eastAsia" w:ascii="仿宋" w:hAnsi="仿宋" w:eastAsia="仿宋" w:cs="宋体"/>
          <w:color w:val="auto"/>
          <w:sz w:val="32"/>
          <w:szCs w:val="32"/>
          <w:rtl w:val="0"/>
          <w:lang w:val="en-US" w:eastAsia="zh-CN"/>
        </w:rPr>
        <w:t>，</w:t>
      </w:r>
      <w:r>
        <w:rPr>
          <w:rFonts w:hint="default" w:ascii="仿宋" w:hAnsi="仿宋" w:eastAsia="仿宋" w:cs="宋体"/>
          <w:color w:val="auto"/>
          <w:sz w:val="32"/>
          <w:szCs w:val="32"/>
          <w:rtl w:val="0"/>
          <w:lang w:val="en-US" w:eastAsia="zh-CN"/>
        </w:rPr>
        <w:t>将有关责任人员处理、事故防范整改措施的落实情况书面报送衡阳市应急管理局</w:t>
      </w:r>
      <w:r>
        <w:rPr>
          <w:rFonts w:hint="eastAsia" w:ascii="仿宋" w:hAnsi="仿宋" w:eastAsia="仿宋" w:cs="宋体"/>
          <w:color w:val="auto"/>
          <w:sz w:val="32"/>
          <w:szCs w:val="32"/>
          <w:rtl w:val="0"/>
          <w:lang w:val="en-US" w:eastAsia="zh-CN"/>
        </w:rPr>
        <w:t>。</w:t>
      </w:r>
    </w:p>
    <w:p w14:paraId="057212F3">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p>
    <w:p w14:paraId="70543729">
      <w:pPr>
        <w:keepNext w:val="0"/>
        <w:keepLines w:val="0"/>
        <w:pageBreakBefore w:val="0"/>
        <w:kinsoku/>
        <w:overflowPunct/>
        <w:topLinePunct w:val="0"/>
        <w:autoSpaceDN/>
        <w:bidi w:val="0"/>
        <w:spacing w:line="576" w:lineRule="exact"/>
        <w:ind w:firstLine="640" w:firstLineChars="200"/>
        <w:textAlignment w:val="auto"/>
        <w:rPr>
          <w:rFonts w:eastAsia="仿宋"/>
          <w:color w:val="auto"/>
          <w:sz w:val="32"/>
          <w:szCs w:val="32"/>
        </w:rPr>
      </w:pPr>
      <w:bookmarkStart w:id="104" w:name="_Toc439660012_WPSOffice_Level1"/>
      <w:bookmarkStart w:id="105" w:name="_Toc1209868733_WPSOffice_Level1"/>
      <w:bookmarkStart w:id="106" w:name="_Toc892494990_WPSOffice_Level1"/>
      <w:bookmarkStart w:id="107" w:name="_Toc1913952228_WPSOffice_Level1"/>
      <w:bookmarkStart w:id="108" w:name="_Toc1949454453_WPSOffice_Level1"/>
      <w:r>
        <w:rPr>
          <w:rFonts w:hint="eastAsia" w:eastAsia="仿宋"/>
          <w:color w:val="auto"/>
          <w:sz w:val="32"/>
          <w:szCs w:val="32"/>
        </w:rPr>
        <w:t>附件：1.事故伤</w:t>
      </w:r>
      <w:r>
        <w:rPr>
          <w:rFonts w:eastAsia="仿宋"/>
          <w:color w:val="auto"/>
          <w:sz w:val="32"/>
          <w:szCs w:val="32"/>
        </w:rPr>
        <w:t>亡人员</w:t>
      </w:r>
      <w:r>
        <w:rPr>
          <w:rFonts w:hint="eastAsia" w:eastAsia="仿宋"/>
          <w:color w:val="auto"/>
          <w:sz w:val="32"/>
          <w:szCs w:val="32"/>
        </w:rPr>
        <w:t>基本</w:t>
      </w:r>
      <w:r>
        <w:rPr>
          <w:rFonts w:eastAsia="仿宋"/>
          <w:color w:val="auto"/>
          <w:sz w:val="32"/>
          <w:szCs w:val="32"/>
        </w:rPr>
        <w:t>情况表</w:t>
      </w:r>
      <w:bookmarkEnd w:id="104"/>
      <w:bookmarkEnd w:id="105"/>
      <w:bookmarkEnd w:id="106"/>
      <w:bookmarkEnd w:id="107"/>
      <w:bookmarkEnd w:id="108"/>
    </w:p>
    <w:p w14:paraId="6E5B9472">
      <w:pPr>
        <w:keepNext w:val="0"/>
        <w:keepLines w:val="0"/>
        <w:pageBreakBefore w:val="0"/>
        <w:kinsoku/>
        <w:overflowPunct/>
        <w:topLinePunct w:val="0"/>
        <w:autoSpaceDN/>
        <w:bidi w:val="0"/>
        <w:spacing w:line="576" w:lineRule="exact"/>
        <w:ind w:firstLine="1600" w:firstLineChars="500"/>
        <w:textAlignment w:val="auto"/>
        <w:rPr>
          <w:rFonts w:eastAsia="仿宋"/>
          <w:color w:val="auto"/>
          <w:sz w:val="32"/>
          <w:szCs w:val="32"/>
        </w:rPr>
      </w:pPr>
      <w:bookmarkStart w:id="109" w:name="_Toc480402112_WPSOffice_Level1"/>
      <w:bookmarkStart w:id="110" w:name="_Toc391941622_WPSOffice_Level1"/>
      <w:bookmarkStart w:id="111" w:name="_Toc1009104675_WPSOffice_Level1"/>
      <w:r>
        <w:rPr>
          <w:rFonts w:hint="eastAsia" w:eastAsia="仿宋"/>
          <w:color w:val="auto"/>
          <w:sz w:val="32"/>
          <w:szCs w:val="32"/>
        </w:rPr>
        <w:t>2.事故直接经济损失表</w:t>
      </w:r>
      <w:bookmarkEnd w:id="109"/>
      <w:bookmarkEnd w:id="110"/>
      <w:bookmarkEnd w:id="111"/>
    </w:p>
    <w:p w14:paraId="5844D248">
      <w:pPr>
        <w:pStyle w:val="2"/>
      </w:pPr>
    </w:p>
    <w:p w14:paraId="44815C53">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Nimbus Roman No9 L" w:hAnsi="Nimbus Roman No9 L" w:eastAsia="仿宋" w:cs="Nimbus Roman No9 L"/>
          <w:bCs/>
          <w:color w:val="auto"/>
          <w:kern w:val="0"/>
          <w:sz w:val="32"/>
          <w:szCs w:val="32"/>
        </w:rPr>
        <w:t xml:space="preserve">               </w:t>
      </w:r>
      <w:r>
        <w:rPr>
          <w:rFonts w:hint="eastAsia" w:eastAsia="仿宋"/>
          <w:color w:val="auto"/>
          <w:sz w:val="32"/>
          <w:szCs w:val="32"/>
        </w:rPr>
        <w:t xml:space="preserve">         </w:t>
      </w:r>
      <w:bookmarkStart w:id="112" w:name="_Toc1200644798_WPSOffice_Level1"/>
      <w:r>
        <w:rPr>
          <w:rFonts w:hint="eastAsia" w:ascii="Times New Roman" w:hAnsi="Times New Roman" w:eastAsia="仿宋" w:cs="Times New Roman"/>
          <w:color w:val="auto"/>
          <w:sz w:val="32"/>
          <w:szCs w:val="32"/>
          <w:lang w:eastAsia="zh-CN"/>
        </w:rPr>
        <w:t>松木经开区湖南湘硕化工有限公司</w:t>
      </w:r>
      <w:bookmarkEnd w:id="112"/>
    </w:p>
    <w:p w14:paraId="73A45F79">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Times New Roman" w:hAnsi="Times New Roman" w:eastAsia="仿宋" w:cs="Times New Roman"/>
          <w:color w:val="auto"/>
          <w:sz w:val="32"/>
          <w:szCs w:val="32"/>
          <w:lang w:val="en-US" w:eastAsia="zh-CN"/>
        </w:rPr>
        <w:t xml:space="preserve">                        </w:t>
      </w:r>
      <w:bookmarkStart w:id="113" w:name="_Toc314147585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Times New Roman" w:hAnsi="Times New Roman" w:eastAsia="仿宋" w:cs="Times New Roman"/>
          <w:color w:val="auto"/>
          <w:sz w:val="32"/>
          <w:szCs w:val="32"/>
          <w:lang w:eastAsia="zh-CN"/>
        </w:rPr>
        <w:t>调查组</w:t>
      </w:r>
      <w:bookmarkEnd w:id="113"/>
    </w:p>
    <w:p w14:paraId="7F864A68">
      <w:pPr>
        <w:keepNext w:val="0"/>
        <w:keepLines w:val="0"/>
        <w:pageBreakBefore w:val="0"/>
        <w:kinsoku/>
        <w:overflowPunct/>
        <w:topLinePunct w:val="0"/>
        <w:autoSpaceDN/>
        <w:bidi w:val="0"/>
        <w:spacing w:line="576" w:lineRule="exact"/>
        <w:ind w:firstLine="4160" w:firstLineChars="1300"/>
        <w:textAlignment w:val="auto"/>
        <w:rPr>
          <w:rFonts w:hint="eastAsia" w:eastAsia="仿宋"/>
          <w:color w:val="auto"/>
          <w:sz w:val="32"/>
          <w:szCs w:val="32"/>
        </w:rPr>
      </w:pPr>
      <w:r>
        <w:rPr>
          <w:rFonts w:hint="eastAsia" w:eastAsia="仿宋"/>
          <w:color w:val="auto"/>
          <w:sz w:val="32"/>
          <w:szCs w:val="32"/>
        </w:rPr>
        <w:t>（衡阳市应急管理局代公章）</w:t>
      </w:r>
    </w:p>
    <w:p w14:paraId="3DAFF500">
      <w:pPr>
        <w:keepNext w:val="0"/>
        <w:keepLines w:val="0"/>
        <w:pageBreakBefore w:val="0"/>
        <w:kinsoku/>
        <w:overflowPunct/>
        <w:topLinePunct w:val="0"/>
        <w:autoSpaceDN/>
        <w:bidi w:val="0"/>
        <w:spacing w:line="576" w:lineRule="exact"/>
        <w:ind w:firstLine="5120" w:firstLineChars="1600"/>
        <w:textAlignment w:val="auto"/>
        <w:rPr>
          <w:rFonts w:ascii="仿宋_GB2312" w:hAnsi="Calibri" w:eastAsia="仿宋_GB2312"/>
          <w:color w:val="auto"/>
          <w:sz w:val="32"/>
          <w:szCs w:val="52"/>
        </w:rPr>
      </w:pPr>
      <w:r>
        <w:rPr>
          <w:rFonts w:hint="eastAsia" w:eastAsia="仿宋"/>
          <w:color w:val="auto"/>
          <w:sz w:val="32"/>
          <w:szCs w:val="32"/>
        </w:rPr>
        <w:t>2024年</w:t>
      </w:r>
      <w:r>
        <w:rPr>
          <w:rFonts w:hint="eastAsia" w:eastAsia="仿宋"/>
          <w:color w:val="auto"/>
          <w:sz w:val="32"/>
          <w:szCs w:val="32"/>
          <w:lang w:val="en-US" w:eastAsia="zh-CN"/>
        </w:rPr>
        <w:t>9</w:t>
      </w:r>
      <w:r>
        <w:rPr>
          <w:rFonts w:hint="eastAsia" w:eastAsia="仿宋"/>
          <w:color w:val="auto"/>
          <w:sz w:val="32"/>
          <w:szCs w:val="32"/>
        </w:rPr>
        <w:t>月</w:t>
      </w:r>
      <w:r>
        <w:rPr>
          <w:rFonts w:hint="eastAsia" w:eastAsia="仿宋"/>
          <w:color w:val="auto"/>
          <w:sz w:val="32"/>
          <w:szCs w:val="32"/>
          <w:lang w:val="en-US" w:eastAsia="zh-CN"/>
        </w:rPr>
        <w:t>12</w:t>
      </w:r>
      <w:r>
        <w:rPr>
          <w:rFonts w:hint="eastAsia" w:eastAsia="仿宋"/>
          <w:color w:val="auto"/>
          <w:sz w:val="32"/>
          <w:szCs w:val="32"/>
        </w:rPr>
        <w:t>日</w:t>
      </w:r>
    </w:p>
    <w:p w14:paraId="2C88448F">
      <w:pPr>
        <w:spacing w:line="360" w:lineRule="exact"/>
        <w:jc w:val="left"/>
        <w:rPr>
          <w:rFonts w:ascii="仿宋_GB2312" w:hAnsi="Calibri" w:eastAsia="仿宋_GB2312"/>
          <w:color w:val="auto"/>
          <w:sz w:val="32"/>
          <w:szCs w:val="52"/>
        </w:rPr>
      </w:pPr>
    </w:p>
    <w:p w14:paraId="3A1E76A8">
      <w:pPr>
        <w:rPr>
          <w:rFonts w:ascii="仿宋_GB2312" w:hAnsi="Calibri" w:eastAsia="仿宋_GB2312"/>
          <w:color w:val="auto"/>
          <w:sz w:val="32"/>
          <w:szCs w:val="52"/>
        </w:rPr>
      </w:pPr>
      <w:r>
        <w:rPr>
          <w:rFonts w:ascii="仿宋_GB2312" w:hAnsi="Calibri" w:eastAsia="仿宋_GB2312"/>
          <w:color w:val="auto"/>
          <w:sz w:val="32"/>
          <w:szCs w:val="52"/>
        </w:rPr>
        <w:br w:type="page"/>
      </w:r>
    </w:p>
    <w:p w14:paraId="04815580">
      <w:pPr>
        <w:spacing w:line="360" w:lineRule="exact"/>
        <w:jc w:val="left"/>
        <w:rPr>
          <w:rFonts w:ascii="仿宋_GB2312" w:hAnsi="Calibri" w:eastAsia="仿宋_GB2312"/>
          <w:color w:val="auto"/>
          <w:sz w:val="32"/>
          <w:szCs w:val="52"/>
        </w:rPr>
      </w:pPr>
      <w:r>
        <w:rPr>
          <w:rFonts w:ascii="仿宋_GB2312" w:hAnsi="Calibri" w:eastAsia="仿宋_GB2312"/>
          <w:color w:val="auto"/>
          <w:sz w:val="32"/>
          <w:szCs w:val="52"/>
        </w:rPr>
        <w:t>附件1</w:t>
      </w:r>
    </w:p>
    <w:p w14:paraId="562F5877">
      <w:pPr>
        <w:spacing w:after="156" w:afterLines="50" w:line="360" w:lineRule="exact"/>
        <w:jc w:val="center"/>
        <w:rPr>
          <w:rFonts w:hint="eastAsia" w:ascii="仿宋_GB2312" w:hAnsi="Calibri" w:eastAsia="仿宋_GB2312"/>
          <w:color w:val="auto"/>
          <w:sz w:val="32"/>
          <w:szCs w:val="52"/>
        </w:rPr>
      </w:pPr>
      <w:bookmarkStart w:id="114" w:name="_Toc1337787498_WPSOffice_Level1"/>
      <w:bookmarkStart w:id="115" w:name="_Toc1270693195_WPSOffice_Level1"/>
    </w:p>
    <w:p w14:paraId="0A742D6D">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rPr>
      </w:pPr>
      <w:bookmarkStart w:id="116" w:name="_Toc550332388_WPSOffice_Level1"/>
      <w:bookmarkStart w:id="117" w:name="_Toc1472844157_WPSOffice_Level1"/>
      <w:bookmarkStart w:id="118" w:name="_Toc148168186_WPSOffice_Level1"/>
      <w:bookmarkStart w:id="119" w:name="_Toc789788588_WPSOffice_Level1"/>
      <w:r>
        <w:rPr>
          <w:rFonts w:hint="eastAsia" w:ascii="Times New Roman" w:hAnsi="Times New Roman" w:eastAsia="仿宋" w:cs="Times New Roman"/>
          <w:color w:val="auto"/>
          <w:sz w:val="32"/>
          <w:szCs w:val="32"/>
          <w:lang w:eastAsia="zh-CN"/>
        </w:rPr>
        <w:t>松木经开区湖南湘硕化工有限公司</w:t>
      </w:r>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w:t>
      </w:r>
      <w:bookmarkEnd w:id="116"/>
    </w:p>
    <w:p w14:paraId="6BEB75E3">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ascii="仿宋_GB2312" w:hAnsi="Calibri" w:eastAsia="仿宋_GB2312"/>
          <w:color w:val="auto"/>
          <w:sz w:val="32"/>
          <w:szCs w:val="52"/>
        </w:rPr>
      </w:pPr>
      <w:bookmarkStart w:id="120" w:name="_Toc760714675_WPSOffice_Level1"/>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bookmarkStart w:id="121" w:name="_Toc97191738_WPSOffice_Level1"/>
      <w:r>
        <w:rPr>
          <w:rFonts w:hint="eastAsia" w:ascii="仿宋_GB2312" w:hAnsi="Calibri" w:eastAsia="仿宋_GB2312"/>
          <w:color w:val="auto"/>
          <w:sz w:val="32"/>
          <w:szCs w:val="52"/>
        </w:rPr>
        <w:t>伤</w:t>
      </w:r>
      <w:r>
        <w:rPr>
          <w:rFonts w:ascii="仿宋_GB2312" w:hAnsi="Calibri" w:eastAsia="仿宋_GB2312"/>
          <w:color w:val="auto"/>
          <w:sz w:val="32"/>
          <w:szCs w:val="52"/>
        </w:rPr>
        <w:t>亡人员</w:t>
      </w:r>
      <w:r>
        <w:rPr>
          <w:rFonts w:hint="eastAsia" w:ascii="仿宋_GB2312" w:hAnsi="Calibri" w:eastAsia="仿宋_GB2312"/>
          <w:color w:val="auto"/>
          <w:sz w:val="32"/>
          <w:szCs w:val="52"/>
        </w:rPr>
        <w:t>基本</w:t>
      </w:r>
      <w:r>
        <w:rPr>
          <w:rFonts w:ascii="仿宋_GB2312" w:hAnsi="Calibri" w:eastAsia="仿宋_GB2312"/>
          <w:color w:val="auto"/>
          <w:sz w:val="32"/>
          <w:szCs w:val="52"/>
        </w:rPr>
        <w:t>情况表</w:t>
      </w:r>
      <w:bookmarkEnd w:id="114"/>
      <w:bookmarkEnd w:id="115"/>
      <w:bookmarkEnd w:id="117"/>
      <w:bookmarkEnd w:id="118"/>
      <w:bookmarkEnd w:id="119"/>
      <w:bookmarkEnd w:id="120"/>
      <w:bookmarkEnd w:id="121"/>
    </w:p>
    <w:tbl>
      <w:tblPr>
        <w:tblStyle w:val="7"/>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682"/>
        <w:gridCol w:w="681"/>
        <w:gridCol w:w="683"/>
        <w:gridCol w:w="879"/>
        <w:gridCol w:w="1020"/>
        <w:gridCol w:w="1293"/>
        <w:gridCol w:w="737"/>
      </w:tblGrid>
      <w:tr w14:paraId="4DD92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01" w:type="dxa"/>
            <w:noWrap w:val="0"/>
            <w:vAlign w:val="center"/>
          </w:tcPr>
          <w:p w14:paraId="075B060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姓 名</w:t>
            </w:r>
          </w:p>
        </w:tc>
        <w:tc>
          <w:tcPr>
            <w:tcW w:w="2682" w:type="dxa"/>
            <w:noWrap w:val="0"/>
            <w:vAlign w:val="center"/>
          </w:tcPr>
          <w:p w14:paraId="0DA441F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身份证号</w:t>
            </w:r>
          </w:p>
        </w:tc>
        <w:tc>
          <w:tcPr>
            <w:tcW w:w="681" w:type="dxa"/>
            <w:noWrap w:val="0"/>
            <w:vAlign w:val="center"/>
          </w:tcPr>
          <w:p w14:paraId="2B07D98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年龄</w:t>
            </w:r>
          </w:p>
        </w:tc>
        <w:tc>
          <w:tcPr>
            <w:tcW w:w="683" w:type="dxa"/>
            <w:noWrap w:val="0"/>
            <w:vAlign w:val="center"/>
          </w:tcPr>
          <w:p w14:paraId="3E56A03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性别</w:t>
            </w:r>
          </w:p>
        </w:tc>
        <w:tc>
          <w:tcPr>
            <w:tcW w:w="879" w:type="dxa"/>
            <w:noWrap w:val="0"/>
            <w:vAlign w:val="center"/>
          </w:tcPr>
          <w:p w14:paraId="6F5B813B">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文化</w:t>
            </w:r>
          </w:p>
          <w:p w14:paraId="7FDB19D4">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程度</w:t>
            </w:r>
          </w:p>
        </w:tc>
        <w:tc>
          <w:tcPr>
            <w:tcW w:w="1020" w:type="dxa"/>
            <w:noWrap w:val="0"/>
            <w:vAlign w:val="center"/>
          </w:tcPr>
          <w:p w14:paraId="7A6F12DF">
            <w:pPr>
              <w:spacing w:line="0" w:lineRule="atLeast"/>
              <w:jc w:val="center"/>
              <w:rPr>
                <w:rFonts w:hint="eastAsia" w:ascii="黑体" w:hAnsi="黑体" w:eastAsia="黑体" w:cs="黑体"/>
                <w:color w:val="auto"/>
                <w:szCs w:val="21"/>
              </w:rPr>
            </w:pPr>
            <w:r>
              <w:rPr>
                <w:rFonts w:hint="eastAsia" w:ascii="黑体" w:hAnsi="黑体" w:eastAsia="黑体" w:cs="黑体"/>
                <w:color w:val="auto"/>
                <w:szCs w:val="21"/>
              </w:rPr>
              <w:t>工种</w:t>
            </w:r>
          </w:p>
          <w:p w14:paraId="4B2E73AB">
            <w:pPr>
              <w:spacing w:line="0" w:lineRule="atLeast"/>
              <w:jc w:val="center"/>
              <w:rPr>
                <w:rFonts w:hint="eastAsia" w:ascii="黑体" w:hAnsi="黑体" w:eastAsia="黑体" w:cs="黑体"/>
                <w:color w:val="auto"/>
                <w:sz w:val="24"/>
              </w:rPr>
            </w:pPr>
            <w:r>
              <w:rPr>
                <w:rFonts w:hint="eastAsia" w:ascii="黑体" w:hAnsi="黑体" w:eastAsia="黑体" w:cs="黑体"/>
                <w:color w:val="auto"/>
                <w:szCs w:val="21"/>
              </w:rPr>
              <w:t>（身份）</w:t>
            </w:r>
          </w:p>
        </w:tc>
        <w:tc>
          <w:tcPr>
            <w:tcW w:w="1293" w:type="dxa"/>
            <w:noWrap w:val="0"/>
            <w:vAlign w:val="center"/>
          </w:tcPr>
          <w:p w14:paraId="32E234B8">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家庭住址</w:t>
            </w:r>
          </w:p>
        </w:tc>
        <w:tc>
          <w:tcPr>
            <w:tcW w:w="737" w:type="dxa"/>
            <w:noWrap w:val="0"/>
            <w:vAlign w:val="center"/>
          </w:tcPr>
          <w:p w14:paraId="76C593A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伤亡情况</w:t>
            </w:r>
          </w:p>
        </w:tc>
      </w:tr>
      <w:tr w14:paraId="6A20F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001" w:type="dxa"/>
            <w:noWrap w:val="0"/>
            <w:vAlign w:val="center"/>
          </w:tcPr>
          <w:p w14:paraId="53C411AA">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黄**</w:t>
            </w:r>
          </w:p>
        </w:tc>
        <w:tc>
          <w:tcPr>
            <w:tcW w:w="2682" w:type="dxa"/>
            <w:noWrap w:val="0"/>
            <w:vAlign w:val="center"/>
          </w:tcPr>
          <w:p w14:paraId="4F70EAF9">
            <w:pPr>
              <w:spacing w:line="0" w:lineRule="atLeast"/>
              <w:jc w:val="center"/>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rPr>
              <w:t>43040719910102</w:t>
            </w:r>
            <w:r>
              <w:rPr>
                <w:rFonts w:hint="eastAsia" w:eastAsia="仿宋" w:cs="Times New Roman"/>
                <w:color w:val="auto"/>
                <w:sz w:val="24"/>
                <w:lang w:val="en-US" w:eastAsia="zh-CN"/>
              </w:rPr>
              <w:t>****</w:t>
            </w:r>
          </w:p>
        </w:tc>
        <w:tc>
          <w:tcPr>
            <w:tcW w:w="681" w:type="dxa"/>
            <w:noWrap w:val="0"/>
            <w:vAlign w:val="center"/>
          </w:tcPr>
          <w:p w14:paraId="613FAA6C">
            <w:pPr>
              <w:spacing w:line="0" w:lineRule="atLeast"/>
              <w:jc w:val="center"/>
              <w:rPr>
                <w:rFonts w:eastAsia="仿宋"/>
                <w:color w:val="auto"/>
                <w:sz w:val="24"/>
              </w:rPr>
            </w:pPr>
            <w:r>
              <w:rPr>
                <w:rFonts w:hint="eastAsia" w:eastAsia="仿宋"/>
                <w:color w:val="auto"/>
                <w:sz w:val="24"/>
                <w:lang w:val="en-US" w:eastAsia="zh-CN"/>
              </w:rPr>
              <w:t>33</w:t>
            </w:r>
            <w:r>
              <w:rPr>
                <w:rFonts w:hint="eastAsia" w:eastAsia="仿宋"/>
                <w:color w:val="auto"/>
                <w:sz w:val="24"/>
              </w:rPr>
              <w:t>岁</w:t>
            </w:r>
          </w:p>
        </w:tc>
        <w:tc>
          <w:tcPr>
            <w:tcW w:w="683" w:type="dxa"/>
            <w:noWrap w:val="0"/>
            <w:vAlign w:val="center"/>
          </w:tcPr>
          <w:p w14:paraId="6802CB1E">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282495F9">
            <w:pPr>
              <w:spacing w:line="0" w:lineRule="atLeast"/>
              <w:jc w:val="center"/>
              <w:rPr>
                <w:rFonts w:hint="eastAsia" w:eastAsia="仿宋"/>
                <w:color w:val="auto"/>
                <w:sz w:val="24"/>
                <w:lang w:eastAsia="zh-CN"/>
              </w:rPr>
            </w:pPr>
            <w:r>
              <w:rPr>
                <w:rFonts w:hint="eastAsia" w:eastAsia="仿宋"/>
                <w:color w:val="auto"/>
                <w:sz w:val="24"/>
                <w:lang w:eastAsia="zh-CN"/>
              </w:rPr>
              <w:t>初中</w:t>
            </w:r>
          </w:p>
        </w:tc>
        <w:tc>
          <w:tcPr>
            <w:tcW w:w="1020" w:type="dxa"/>
            <w:noWrap w:val="0"/>
            <w:vAlign w:val="center"/>
          </w:tcPr>
          <w:p w14:paraId="12820A59">
            <w:pPr>
              <w:spacing w:line="0" w:lineRule="atLeast"/>
              <w:jc w:val="center"/>
              <w:rPr>
                <w:rFonts w:hint="eastAsia" w:eastAsia="仿宋"/>
                <w:color w:val="auto"/>
                <w:sz w:val="24"/>
                <w:lang w:eastAsia="zh-CN"/>
              </w:rPr>
            </w:pPr>
            <w:r>
              <w:rPr>
                <w:rFonts w:hint="eastAsia" w:eastAsia="仿宋"/>
                <w:color w:val="auto"/>
                <w:sz w:val="24"/>
                <w:lang w:eastAsia="zh-CN"/>
              </w:rPr>
              <w:t>操作工</w:t>
            </w:r>
          </w:p>
        </w:tc>
        <w:tc>
          <w:tcPr>
            <w:tcW w:w="1293" w:type="dxa"/>
            <w:noWrap w:val="0"/>
            <w:vAlign w:val="center"/>
          </w:tcPr>
          <w:p w14:paraId="0113336E">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衡阳市石鼓区松木乡桎木村西牛嘴村民组</w:t>
            </w:r>
          </w:p>
        </w:tc>
        <w:tc>
          <w:tcPr>
            <w:tcW w:w="737" w:type="dxa"/>
            <w:noWrap w:val="0"/>
            <w:vAlign w:val="center"/>
          </w:tcPr>
          <w:p w14:paraId="731C29F5">
            <w:pPr>
              <w:spacing w:line="0" w:lineRule="atLeast"/>
              <w:jc w:val="center"/>
              <w:rPr>
                <w:rFonts w:eastAsia="仿宋_GB2312"/>
                <w:color w:val="auto"/>
                <w:sz w:val="24"/>
              </w:rPr>
            </w:pPr>
            <w:r>
              <w:rPr>
                <w:rFonts w:eastAsia="仿宋"/>
                <w:color w:val="auto"/>
                <w:sz w:val="24"/>
              </w:rPr>
              <w:t>死亡</w:t>
            </w:r>
          </w:p>
        </w:tc>
      </w:tr>
      <w:tr w14:paraId="4DABC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4F8D42E0">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王**</w:t>
            </w:r>
          </w:p>
        </w:tc>
        <w:tc>
          <w:tcPr>
            <w:tcW w:w="2682" w:type="dxa"/>
            <w:noWrap w:val="0"/>
            <w:vAlign w:val="center"/>
          </w:tcPr>
          <w:p w14:paraId="568677D9">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43058119870904</w:t>
            </w:r>
            <w:r>
              <w:rPr>
                <w:rFonts w:hint="eastAsia" w:eastAsia="仿宋" w:cs="Times New Roman"/>
                <w:color w:val="auto"/>
                <w:sz w:val="24"/>
                <w:lang w:val="en-US" w:eastAsia="zh-CN"/>
              </w:rPr>
              <w:t>****</w:t>
            </w:r>
          </w:p>
        </w:tc>
        <w:tc>
          <w:tcPr>
            <w:tcW w:w="681" w:type="dxa"/>
            <w:noWrap w:val="0"/>
            <w:vAlign w:val="center"/>
          </w:tcPr>
          <w:p w14:paraId="04932D23">
            <w:pPr>
              <w:spacing w:line="0" w:lineRule="atLeast"/>
              <w:jc w:val="center"/>
              <w:rPr>
                <w:rFonts w:hint="eastAsia" w:eastAsia="仿宋"/>
                <w:color w:val="auto"/>
                <w:sz w:val="24"/>
              </w:rPr>
            </w:pPr>
            <w:r>
              <w:rPr>
                <w:rFonts w:hint="eastAsia" w:eastAsia="仿宋"/>
                <w:color w:val="auto"/>
                <w:sz w:val="24"/>
                <w:lang w:val="en-US" w:eastAsia="zh-CN"/>
              </w:rPr>
              <w:t>36</w:t>
            </w:r>
            <w:r>
              <w:rPr>
                <w:rFonts w:hint="eastAsia" w:eastAsia="仿宋"/>
                <w:color w:val="auto"/>
                <w:sz w:val="24"/>
              </w:rPr>
              <w:t>岁</w:t>
            </w:r>
          </w:p>
        </w:tc>
        <w:tc>
          <w:tcPr>
            <w:tcW w:w="683" w:type="dxa"/>
            <w:noWrap w:val="0"/>
            <w:vAlign w:val="center"/>
          </w:tcPr>
          <w:p w14:paraId="59790782">
            <w:pPr>
              <w:spacing w:line="0" w:lineRule="atLeast"/>
              <w:jc w:val="center"/>
              <w:rPr>
                <w:rFonts w:hint="eastAsia" w:eastAsia="仿宋"/>
                <w:color w:val="auto"/>
                <w:sz w:val="24"/>
              </w:rPr>
            </w:pPr>
            <w:r>
              <w:rPr>
                <w:rFonts w:hint="eastAsia" w:eastAsia="仿宋"/>
                <w:color w:val="auto"/>
                <w:sz w:val="24"/>
              </w:rPr>
              <w:t>男</w:t>
            </w:r>
          </w:p>
        </w:tc>
        <w:tc>
          <w:tcPr>
            <w:tcW w:w="879" w:type="dxa"/>
            <w:noWrap w:val="0"/>
            <w:vAlign w:val="center"/>
          </w:tcPr>
          <w:p w14:paraId="28C745F6">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298C960">
            <w:pPr>
              <w:spacing w:line="0" w:lineRule="atLeast"/>
              <w:jc w:val="center"/>
              <w:rPr>
                <w:rFonts w:hint="eastAsia" w:eastAsia="仿宋"/>
                <w:color w:val="auto"/>
                <w:sz w:val="24"/>
                <w:lang w:eastAsia="zh-CN"/>
              </w:rPr>
            </w:pPr>
            <w:r>
              <w:rPr>
                <w:rFonts w:hint="eastAsia" w:eastAsia="仿宋"/>
                <w:color w:val="auto"/>
                <w:sz w:val="24"/>
                <w:lang w:eastAsia="zh-CN"/>
              </w:rPr>
              <w:t>班长</w:t>
            </w:r>
          </w:p>
        </w:tc>
        <w:tc>
          <w:tcPr>
            <w:tcW w:w="1293" w:type="dxa"/>
            <w:noWrap w:val="0"/>
            <w:vAlign w:val="center"/>
          </w:tcPr>
          <w:p w14:paraId="5CDE53B1">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武冈市双牌乡田中村7组13号</w:t>
            </w:r>
          </w:p>
        </w:tc>
        <w:tc>
          <w:tcPr>
            <w:tcW w:w="737" w:type="dxa"/>
            <w:noWrap w:val="0"/>
            <w:vAlign w:val="center"/>
          </w:tcPr>
          <w:p w14:paraId="3148C4B7">
            <w:pPr>
              <w:spacing w:line="0" w:lineRule="atLeast"/>
              <w:jc w:val="center"/>
              <w:rPr>
                <w:rFonts w:eastAsia="仿宋"/>
                <w:color w:val="auto"/>
                <w:sz w:val="24"/>
              </w:rPr>
            </w:pPr>
            <w:r>
              <w:rPr>
                <w:rFonts w:eastAsia="仿宋"/>
                <w:color w:val="auto"/>
                <w:sz w:val="24"/>
              </w:rPr>
              <w:t>死亡</w:t>
            </w:r>
          </w:p>
        </w:tc>
      </w:tr>
      <w:tr w14:paraId="1C37C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6393E699">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周**</w:t>
            </w:r>
          </w:p>
        </w:tc>
        <w:tc>
          <w:tcPr>
            <w:tcW w:w="2682" w:type="dxa"/>
            <w:noWrap w:val="0"/>
            <w:vAlign w:val="center"/>
          </w:tcPr>
          <w:p w14:paraId="4CCCA08C">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43042619670318</w:t>
            </w:r>
            <w:r>
              <w:rPr>
                <w:rFonts w:hint="eastAsia" w:eastAsia="仿宋" w:cs="Times New Roman"/>
                <w:color w:val="auto"/>
                <w:sz w:val="24"/>
                <w:lang w:val="en-US" w:eastAsia="zh-CN"/>
              </w:rPr>
              <w:t>****</w:t>
            </w:r>
          </w:p>
        </w:tc>
        <w:tc>
          <w:tcPr>
            <w:tcW w:w="681" w:type="dxa"/>
            <w:noWrap w:val="0"/>
            <w:vAlign w:val="center"/>
          </w:tcPr>
          <w:p w14:paraId="39E46C1C">
            <w:pPr>
              <w:spacing w:line="0" w:lineRule="atLeast"/>
              <w:jc w:val="center"/>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57岁</w:t>
            </w:r>
          </w:p>
        </w:tc>
        <w:tc>
          <w:tcPr>
            <w:tcW w:w="683" w:type="dxa"/>
            <w:noWrap w:val="0"/>
            <w:vAlign w:val="center"/>
          </w:tcPr>
          <w:p w14:paraId="29DA6981">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31FF1A87">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5CD435F">
            <w:pPr>
              <w:spacing w:line="0" w:lineRule="atLeast"/>
              <w:jc w:val="center"/>
              <w:rPr>
                <w:rFonts w:hint="eastAsia" w:eastAsia="仿宋"/>
                <w:color w:val="auto"/>
                <w:sz w:val="24"/>
                <w:lang w:eastAsia="zh-CN"/>
              </w:rPr>
            </w:pPr>
            <w:r>
              <w:rPr>
                <w:rFonts w:hint="eastAsia" w:eastAsia="仿宋"/>
                <w:color w:val="auto"/>
                <w:sz w:val="24"/>
                <w:lang w:eastAsia="zh-CN"/>
              </w:rPr>
              <w:t>安全员</w:t>
            </w:r>
          </w:p>
        </w:tc>
        <w:tc>
          <w:tcPr>
            <w:tcW w:w="1293" w:type="dxa"/>
            <w:noWrap w:val="0"/>
            <w:vAlign w:val="center"/>
          </w:tcPr>
          <w:p w14:paraId="735E5BD8">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祁东县金桥镇新屋町村大万里</w:t>
            </w:r>
          </w:p>
        </w:tc>
        <w:tc>
          <w:tcPr>
            <w:tcW w:w="737" w:type="dxa"/>
            <w:noWrap w:val="0"/>
            <w:vAlign w:val="center"/>
          </w:tcPr>
          <w:p w14:paraId="4C3C9BA7">
            <w:pPr>
              <w:spacing w:line="0" w:lineRule="atLeast"/>
              <w:jc w:val="center"/>
              <w:rPr>
                <w:rFonts w:eastAsia="仿宋"/>
                <w:color w:val="auto"/>
                <w:sz w:val="24"/>
              </w:rPr>
            </w:pPr>
            <w:r>
              <w:rPr>
                <w:rFonts w:hint="eastAsia" w:eastAsia="仿宋"/>
                <w:color w:val="auto"/>
                <w:sz w:val="24"/>
              </w:rPr>
              <w:t>受伤</w:t>
            </w:r>
          </w:p>
        </w:tc>
      </w:tr>
    </w:tbl>
    <w:p w14:paraId="7AE5B321">
      <w:pPr>
        <w:spacing w:line="360" w:lineRule="exact"/>
        <w:jc w:val="center"/>
        <w:rPr>
          <w:rFonts w:hint="eastAsia" w:eastAsia="仿宋"/>
          <w:color w:val="auto"/>
          <w:sz w:val="32"/>
          <w:szCs w:val="32"/>
        </w:rPr>
      </w:pPr>
    </w:p>
    <w:p w14:paraId="70166EFD">
      <w:pPr>
        <w:spacing w:line="360" w:lineRule="exact"/>
        <w:jc w:val="center"/>
        <w:rPr>
          <w:rFonts w:hint="eastAsia" w:eastAsia="仿宋"/>
          <w:color w:val="auto"/>
          <w:sz w:val="32"/>
          <w:szCs w:val="32"/>
        </w:rPr>
      </w:pPr>
    </w:p>
    <w:p w14:paraId="46387D7F">
      <w:pPr>
        <w:spacing w:line="360" w:lineRule="exact"/>
        <w:jc w:val="center"/>
        <w:rPr>
          <w:rFonts w:hint="eastAsia" w:eastAsia="仿宋"/>
          <w:color w:val="auto"/>
          <w:sz w:val="32"/>
          <w:szCs w:val="32"/>
        </w:rPr>
      </w:pPr>
    </w:p>
    <w:p w14:paraId="2FBF5CAB">
      <w:pPr>
        <w:spacing w:line="360" w:lineRule="exact"/>
        <w:jc w:val="left"/>
        <w:rPr>
          <w:rFonts w:hint="eastAsia" w:ascii="仿宋_GB2312" w:hAnsi="Calibri" w:eastAsia="仿宋_GB2312"/>
          <w:color w:val="auto"/>
          <w:sz w:val="32"/>
          <w:szCs w:val="52"/>
        </w:rPr>
      </w:pPr>
      <w:bookmarkStart w:id="122" w:name="_Toc311865864_WPSOffice_Level1"/>
      <w:bookmarkStart w:id="123" w:name="_Toc1227631210_WPSOffice_Level1"/>
    </w:p>
    <w:p w14:paraId="5ADA922E">
      <w:pPr>
        <w:spacing w:line="360" w:lineRule="exact"/>
        <w:jc w:val="left"/>
        <w:rPr>
          <w:rFonts w:hint="eastAsia" w:ascii="仿宋_GB2312" w:hAnsi="Calibri" w:eastAsia="仿宋_GB2312"/>
          <w:color w:val="auto"/>
          <w:sz w:val="32"/>
          <w:szCs w:val="52"/>
        </w:rPr>
      </w:pPr>
    </w:p>
    <w:p w14:paraId="673DE974">
      <w:pPr>
        <w:spacing w:line="360" w:lineRule="exact"/>
        <w:jc w:val="left"/>
        <w:rPr>
          <w:rFonts w:hint="eastAsia" w:ascii="仿宋_GB2312" w:hAnsi="Calibri" w:eastAsia="仿宋_GB2312"/>
          <w:color w:val="auto"/>
          <w:sz w:val="32"/>
          <w:szCs w:val="52"/>
        </w:rPr>
      </w:pPr>
    </w:p>
    <w:p w14:paraId="5087D23E">
      <w:pPr>
        <w:spacing w:line="360" w:lineRule="exact"/>
        <w:jc w:val="left"/>
        <w:rPr>
          <w:rFonts w:hint="eastAsia" w:ascii="仿宋_GB2312" w:hAnsi="Calibri" w:eastAsia="仿宋_GB2312"/>
          <w:color w:val="auto"/>
          <w:sz w:val="32"/>
          <w:szCs w:val="52"/>
        </w:rPr>
      </w:pPr>
    </w:p>
    <w:p w14:paraId="53193A98">
      <w:pPr>
        <w:bidi w:val="0"/>
        <w:rPr>
          <w:rFonts w:hint="eastAsia"/>
        </w:rPr>
      </w:pPr>
    </w:p>
    <w:p w14:paraId="5053CFC6">
      <w:pPr>
        <w:bidi w:val="0"/>
        <w:rPr>
          <w:rFonts w:hint="eastAsia"/>
        </w:rPr>
      </w:pPr>
    </w:p>
    <w:p w14:paraId="7ED88C95">
      <w:pPr>
        <w:bidi w:val="0"/>
        <w:rPr>
          <w:rFonts w:hint="eastAsia"/>
        </w:rPr>
      </w:pPr>
    </w:p>
    <w:p w14:paraId="072AB103">
      <w:pPr>
        <w:rPr>
          <w:rFonts w:hint="eastAsia"/>
        </w:rPr>
      </w:pPr>
    </w:p>
    <w:p w14:paraId="0D85A2AE">
      <w:pPr>
        <w:spacing w:line="360" w:lineRule="exact"/>
        <w:jc w:val="left"/>
        <w:rPr>
          <w:rFonts w:hint="eastAsia" w:ascii="仿宋_GB2312" w:hAnsi="Calibri" w:eastAsia="仿宋_GB2312"/>
          <w:color w:val="auto"/>
          <w:sz w:val="32"/>
          <w:szCs w:val="52"/>
        </w:rPr>
      </w:pPr>
    </w:p>
    <w:p w14:paraId="34F3C79D">
      <w:pPr>
        <w:spacing w:line="360" w:lineRule="exact"/>
        <w:jc w:val="left"/>
        <w:rPr>
          <w:rFonts w:hint="eastAsia" w:ascii="仿宋_GB2312" w:hAnsi="Calibri" w:eastAsia="仿宋_GB2312"/>
          <w:color w:val="auto"/>
          <w:sz w:val="32"/>
          <w:szCs w:val="52"/>
        </w:rPr>
      </w:pPr>
      <w:r>
        <w:rPr>
          <w:rFonts w:hint="eastAsia" w:ascii="仿宋_GB2312" w:hAnsi="Calibri" w:eastAsia="仿宋_GB2312"/>
          <w:color w:val="auto"/>
          <w:sz w:val="32"/>
          <w:szCs w:val="52"/>
        </w:rPr>
        <w:t>附件</w:t>
      </w:r>
      <w:bookmarkEnd w:id="122"/>
      <w:bookmarkEnd w:id="123"/>
      <w:bookmarkStart w:id="124" w:name="_Toc1201098060_WPSOffice_Level1"/>
      <w:bookmarkStart w:id="125" w:name="_Toc1694040605_WPSOffice_Level1"/>
      <w:r>
        <w:rPr>
          <w:rFonts w:hint="eastAsia" w:ascii="仿宋_GB2312" w:hAnsi="Calibri" w:eastAsia="仿宋_GB2312"/>
          <w:color w:val="auto"/>
          <w:sz w:val="32"/>
          <w:szCs w:val="52"/>
        </w:rPr>
        <w:t>2</w:t>
      </w:r>
    </w:p>
    <w:p w14:paraId="25680C03">
      <w:pPr>
        <w:spacing w:line="360" w:lineRule="exact"/>
        <w:jc w:val="center"/>
        <w:rPr>
          <w:rFonts w:hint="eastAsia" w:eastAsia="仿宋"/>
          <w:color w:val="auto"/>
          <w:sz w:val="32"/>
          <w:szCs w:val="32"/>
        </w:rPr>
      </w:pPr>
    </w:p>
    <w:p w14:paraId="3FA769B5">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lang w:eastAsia="zh-CN"/>
        </w:rPr>
      </w:pPr>
      <w:bookmarkStart w:id="126" w:name="_Toc211957677_WPSOffice_Level1"/>
      <w:bookmarkStart w:id="127" w:name="_Toc500929758_WPSOffice_Level1"/>
      <w:bookmarkStart w:id="128" w:name="_Toc520286905_WPSOffice_Level1"/>
      <w:bookmarkStart w:id="129" w:name="_Toc343104975_WPSOffice_Level1"/>
      <w:bookmarkStart w:id="130" w:name="_Toc1892343863_WPSOffice_Level1"/>
      <w:r>
        <w:rPr>
          <w:rFonts w:hint="eastAsia" w:ascii="Times New Roman" w:hAnsi="Times New Roman" w:eastAsia="仿宋" w:cs="Times New Roman"/>
          <w:color w:val="auto"/>
          <w:sz w:val="32"/>
          <w:szCs w:val="32"/>
          <w:lang w:eastAsia="zh-CN"/>
        </w:rPr>
        <w:t>松木经开区湖南湘硕化工有限公司</w:t>
      </w:r>
      <w:bookmarkEnd w:id="126"/>
    </w:p>
    <w:p w14:paraId="0B0825F3">
      <w:pPr>
        <w:adjustRightInd w:val="0"/>
        <w:snapToGrid w:val="0"/>
        <w:spacing w:line="560" w:lineRule="exact"/>
        <w:jc w:val="center"/>
        <w:rPr>
          <w:rFonts w:hint="eastAsia" w:ascii="仿宋_GB2312" w:hAnsi="Calibri" w:eastAsia="仿宋_GB2312"/>
          <w:color w:val="auto"/>
          <w:sz w:val="32"/>
          <w:szCs w:val="52"/>
        </w:rPr>
      </w:pPr>
      <w:bookmarkStart w:id="131" w:name="_Toc1976308490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仿宋_GB2312" w:hAnsi="Calibri" w:eastAsia="仿宋_GB2312"/>
          <w:color w:val="auto"/>
          <w:sz w:val="32"/>
          <w:szCs w:val="52"/>
        </w:rPr>
        <w:t>直接经济损失表</w:t>
      </w:r>
      <w:bookmarkEnd w:id="124"/>
      <w:bookmarkEnd w:id="125"/>
      <w:bookmarkEnd w:id="127"/>
      <w:bookmarkEnd w:id="128"/>
      <w:bookmarkEnd w:id="129"/>
      <w:bookmarkEnd w:id="130"/>
      <w:bookmarkEnd w:id="131"/>
    </w:p>
    <w:tbl>
      <w:tblPr>
        <w:tblStyle w:val="7"/>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2434"/>
        <w:gridCol w:w="2512"/>
        <w:gridCol w:w="2383"/>
      </w:tblGrid>
      <w:tr w14:paraId="2905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457BC843">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2434" w:type="dxa"/>
            <w:noWrap w:val="0"/>
            <w:vAlign w:val="center"/>
          </w:tcPr>
          <w:p w14:paraId="530926E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2512" w:type="dxa"/>
            <w:noWrap w:val="0"/>
            <w:vAlign w:val="center"/>
          </w:tcPr>
          <w:p w14:paraId="1974B58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费用（万元）</w:t>
            </w:r>
          </w:p>
        </w:tc>
        <w:tc>
          <w:tcPr>
            <w:tcW w:w="2383" w:type="dxa"/>
            <w:noWrap w:val="0"/>
            <w:vAlign w:val="center"/>
          </w:tcPr>
          <w:p w14:paraId="155C80C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 注</w:t>
            </w:r>
          </w:p>
        </w:tc>
      </w:tr>
      <w:tr w14:paraId="12FA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421A455">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434" w:type="dxa"/>
            <w:noWrap w:val="0"/>
            <w:vAlign w:val="center"/>
          </w:tcPr>
          <w:p w14:paraId="461A5B7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一次性死亡补助</w:t>
            </w:r>
          </w:p>
        </w:tc>
        <w:tc>
          <w:tcPr>
            <w:tcW w:w="2512" w:type="dxa"/>
            <w:noWrap w:val="0"/>
            <w:vAlign w:val="center"/>
          </w:tcPr>
          <w:p w14:paraId="14FBC3A1">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207.284</w:t>
            </w:r>
          </w:p>
        </w:tc>
        <w:tc>
          <w:tcPr>
            <w:tcW w:w="2383" w:type="dxa"/>
            <w:noWrap w:val="0"/>
            <w:vAlign w:val="top"/>
          </w:tcPr>
          <w:p w14:paraId="14DBC3C9">
            <w:pPr>
              <w:spacing w:line="0" w:lineRule="atLeast"/>
              <w:jc w:val="left"/>
              <w:rPr>
                <w:rFonts w:hint="eastAsia" w:ascii="仿宋_GB2312" w:hAnsi="仿宋_GB2312" w:eastAsia="仿宋_GB2312" w:cs="仿宋_GB2312"/>
                <w:color w:val="auto"/>
                <w:sz w:val="24"/>
              </w:rPr>
            </w:pPr>
          </w:p>
        </w:tc>
      </w:tr>
      <w:tr w14:paraId="7E39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2D66F07">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434" w:type="dxa"/>
            <w:noWrap w:val="0"/>
            <w:vAlign w:val="center"/>
          </w:tcPr>
          <w:p w14:paraId="2C76040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丧葬费</w:t>
            </w:r>
          </w:p>
        </w:tc>
        <w:tc>
          <w:tcPr>
            <w:tcW w:w="2512" w:type="dxa"/>
            <w:noWrap w:val="0"/>
            <w:vAlign w:val="center"/>
          </w:tcPr>
          <w:p w14:paraId="4F24BA80">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8.3172</w:t>
            </w:r>
          </w:p>
        </w:tc>
        <w:tc>
          <w:tcPr>
            <w:tcW w:w="2383" w:type="dxa"/>
            <w:noWrap w:val="0"/>
            <w:vAlign w:val="center"/>
          </w:tcPr>
          <w:p w14:paraId="1831DE98">
            <w:pPr>
              <w:spacing w:line="0" w:lineRule="atLeast"/>
              <w:jc w:val="center"/>
              <w:rPr>
                <w:rFonts w:hint="eastAsia" w:ascii="仿宋_GB2312" w:hAnsi="仿宋_GB2312" w:eastAsia="仿宋_GB2312" w:cs="仿宋_GB2312"/>
                <w:color w:val="auto"/>
                <w:sz w:val="24"/>
              </w:rPr>
            </w:pPr>
          </w:p>
        </w:tc>
      </w:tr>
      <w:tr w14:paraId="470D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0020412">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2434" w:type="dxa"/>
            <w:noWrap w:val="0"/>
            <w:vAlign w:val="center"/>
          </w:tcPr>
          <w:p w14:paraId="59438CC9">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医疗费用</w:t>
            </w:r>
          </w:p>
        </w:tc>
        <w:tc>
          <w:tcPr>
            <w:tcW w:w="2512" w:type="dxa"/>
            <w:noWrap w:val="0"/>
            <w:vAlign w:val="center"/>
          </w:tcPr>
          <w:p w14:paraId="3ECD9525">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30</w:t>
            </w:r>
          </w:p>
        </w:tc>
        <w:tc>
          <w:tcPr>
            <w:tcW w:w="2383" w:type="dxa"/>
            <w:noWrap w:val="0"/>
            <w:vAlign w:val="center"/>
          </w:tcPr>
          <w:p w14:paraId="5692A3B2">
            <w:pPr>
              <w:spacing w:line="0" w:lineRule="atLeast"/>
              <w:jc w:val="center"/>
              <w:rPr>
                <w:rFonts w:hint="eastAsia" w:ascii="仿宋_GB2312" w:hAnsi="仿宋_GB2312" w:eastAsia="仿宋_GB2312" w:cs="仿宋_GB2312"/>
                <w:color w:val="auto"/>
                <w:sz w:val="24"/>
              </w:rPr>
            </w:pPr>
          </w:p>
        </w:tc>
      </w:tr>
      <w:tr w14:paraId="5588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512861AA">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434" w:type="dxa"/>
            <w:noWrap w:val="0"/>
            <w:vAlign w:val="center"/>
          </w:tcPr>
          <w:p w14:paraId="7B45F3B5">
            <w:pPr>
              <w:spacing w:line="0" w:lineRule="atLeas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企业经济补偿</w:t>
            </w:r>
          </w:p>
        </w:tc>
        <w:tc>
          <w:tcPr>
            <w:tcW w:w="2512" w:type="dxa"/>
            <w:noWrap w:val="0"/>
            <w:vAlign w:val="center"/>
          </w:tcPr>
          <w:p w14:paraId="0A2C391E">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70</w:t>
            </w:r>
          </w:p>
        </w:tc>
        <w:tc>
          <w:tcPr>
            <w:tcW w:w="2383" w:type="dxa"/>
            <w:noWrap w:val="0"/>
            <w:vAlign w:val="center"/>
          </w:tcPr>
          <w:p w14:paraId="3226FB26">
            <w:pPr>
              <w:spacing w:line="0" w:lineRule="atLeast"/>
              <w:jc w:val="center"/>
              <w:rPr>
                <w:rFonts w:hint="eastAsia" w:ascii="仿宋_GB2312" w:hAnsi="仿宋_GB2312" w:eastAsia="仿宋_GB2312" w:cs="仿宋_GB2312"/>
                <w:color w:val="auto"/>
                <w:sz w:val="24"/>
              </w:rPr>
            </w:pPr>
          </w:p>
        </w:tc>
      </w:tr>
      <w:tr w14:paraId="19D4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77F178D">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5</w:t>
            </w:r>
          </w:p>
        </w:tc>
        <w:tc>
          <w:tcPr>
            <w:tcW w:w="2434" w:type="dxa"/>
            <w:noWrap w:val="0"/>
            <w:vAlign w:val="center"/>
          </w:tcPr>
          <w:p w14:paraId="64551B71">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抚恤费</w:t>
            </w:r>
          </w:p>
        </w:tc>
        <w:tc>
          <w:tcPr>
            <w:tcW w:w="2512" w:type="dxa"/>
            <w:noWrap w:val="0"/>
            <w:vAlign w:val="center"/>
          </w:tcPr>
          <w:p w14:paraId="60F45CAC">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center"/>
          </w:tcPr>
          <w:p w14:paraId="04FDBB9E">
            <w:pPr>
              <w:spacing w:line="0" w:lineRule="atLeast"/>
              <w:jc w:val="center"/>
              <w:rPr>
                <w:rFonts w:hint="eastAsia" w:ascii="仿宋_GB2312" w:hAnsi="仿宋_GB2312" w:eastAsia="仿宋_GB2312" w:cs="仿宋_GB2312"/>
                <w:color w:val="auto"/>
                <w:sz w:val="24"/>
              </w:rPr>
            </w:pPr>
          </w:p>
        </w:tc>
      </w:tr>
      <w:tr w14:paraId="3A20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FDC52EC">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6</w:t>
            </w:r>
          </w:p>
        </w:tc>
        <w:tc>
          <w:tcPr>
            <w:tcW w:w="2434" w:type="dxa"/>
            <w:noWrap w:val="0"/>
            <w:vAlign w:val="center"/>
          </w:tcPr>
          <w:p w14:paraId="56EDF254">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歇工工资</w:t>
            </w:r>
          </w:p>
        </w:tc>
        <w:tc>
          <w:tcPr>
            <w:tcW w:w="2512" w:type="dxa"/>
            <w:noWrap w:val="0"/>
            <w:vAlign w:val="center"/>
          </w:tcPr>
          <w:p w14:paraId="5E1C48ED">
            <w:pPr>
              <w:spacing w:line="0" w:lineRule="atLeast"/>
              <w:jc w:val="center"/>
              <w:rPr>
                <w:rFonts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w:t>
            </w:r>
          </w:p>
        </w:tc>
        <w:tc>
          <w:tcPr>
            <w:tcW w:w="2383" w:type="dxa"/>
            <w:noWrap w:val="0"/>
            <w:vAlign w:val="center"/>
          </w:tcPr>
          <w:p w14:paraId="00F1345A">
            <w:pPr>
              <w:spacing w:line="0" w:lineRule="atLeast"/>
              <w:jc w:val="center"/>
              <w:rPr>
                <w:rFonts w:hint="eastAsia" w:ascii="仿宋_GB2312" w:hAnsi="仿宋_GB2312" w:eastAsia="仿宋_GB2312" w:cs="仿宋_GB2312"/>
                <w:color w:val="auto"/>
                <w:sz w:val="24"/>
              </w:rPr>
            </w:pPr>
          </w:p>
        </w:tc>
      </w:tr>
      <w:tr w14:paraId="6FC8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61A1A6A9">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2434" w:type="dxa"/>
            <w:noWrap w:val="0"/>
            <w:vAlign w:val="center"/>
          </w:tcPr>
          <w:p w14:paraId="5F91BDD7">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固定</w:t>
            </w:r>
            <w:r>
              <w:rPr>
                <w:rFonts w:hint="default" w:ascii="仿宋_GB2312" w:hAnsi="仿宋_GB2312" w:eastAsia="仿宋_GB2312" w:cs="仿宋_GB2312"/>
                <w:color w:val="auto"/>
                <w:sz w:val="24"/>
                <w:lang w:val="en"/>
              </w:rPr>
              <w:t>资</w:t>
            </w:r>
            <w:r>
              <w:rPr>
                <w:rFonts w:hint="eastAsia" w:ascii="仿宋_GB2312" w:hAnsi="仿宋_GB2312" w:eastAsia="仿宋_GB2312" w:cs="仿宋_GB2312"/>
                <w:color w:val="auto"/>
                <w:sz w:val="24"/>
              </w:rPr>
              <w:t>产损失</w:t>
            </w:r>
          </w:p>
        </w:tc>
        <w:tc>
          <w:tcPr>
            <w:tcW w:w="2512" w:type="dxa"/>
            <w:noWrap w:val="0"/>
            <w:vAlign w:val="center"/>
          </w:tcPr>
          <w:p w14:paraId="05AA1178">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139.39</w:t>
            </w:r>
          </w:p>
        </w:tc>
        <w:tc>
          <w:tcPr>
            <w:tcW w:w="2383" w:type="dxa"/>
            <w:noWrap w:val="0"/>
            <w:vAlign w:val="center"/>
          </w:tcPr>
          <w:p w14:paraId="1C066101">
            <w:pPr>
              <w:spacing w:line="0" w:lineRule="atLeast"/>
              <w:jc w:val="center"/>
              <w:rPr>
                <w:rFonts w:hint="eastAsia" w:ascii="仿宋_GB2312" w:hAnsi="仿宋_GB2312" w:eastAsia="仿宋_GB2312" w:cs="仿宋_GB2312"/>
                <w:color w:val="auto"/>
                <w:sz w:val="24"/>
              </w:rPr>
            </w:pPr>
          </w:p>
        </w:tc>
      </w:tr>
      <w:tr w14:paraId="6CE8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645" w:type="dxa"/>
            <w:gridSpan w:val="2"/>
            <w:noWrap w:val="0"/>
            <w:vAlign w:val="center"/>
          </w:tcPr>
          <w:p w14:paraId="0B1660E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    计</w:t>
            </w:r>
          </w:p>
        </w:tc>
        <w:tc>
          <w:tcPr>
            <w:tcW w:w="2512" w:type="dxa"/>
            <w:noWrap w:val="0"/>
            <w:vAlign w:val="center"/>
          </w:tcPr>
          <w:p w14:paraId="37993CCC">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454.9</w:t>
            </w:r>
            <w:r>
              <w:rPr>
                <w:rFonts w:hint="eastAsia" w:ascii="仿宋_GB2312" w:hAnsi="仿宋_GB2312" w:eastAsia="仿宋_GB2312" w:cs="仿宋_GB2312"/>
                <w:color w:val="auto"/>
                <w:sz w:val="24"/>
                <w:lang w:val="en-US" w:eastAsia="zh-CN"/>
              </w:rPr>
              <w:t>912</w:t>
            </w:r>
          </w:p>
        </w:tc>
        <w:tc>
          <w:tcPr>
            <w:tcW w:w="2383" w:type="dxa"/>
            <w:noWrap w:val="0"/>
            <w:vAlign w:val="center"/>
          </w:tcPr>
          <w:p w14:paraId="67725596">
            <w:pPr>
              <w:spacing w:line="0" w:lineRule="atLeast"/>
              <w:jc w:val="center"/>
              <w:rPr>
                <w:rFonts w:hint="eastAsia" w:ascii="仿宋_GB2312" w:hAnsi="仿宋_GB2312" w:eastAsia="仿宋_GB2312" w:cs="仿宋_GB2312"/>
                <w:color w:val="auto"/>
                <w:sz w:val="24"/>
              </w:rPr>
            </w:pPr>
          </w:p>
        </w:tc>
      </w:tr>
      <w:bookmarkEnd w:id="100"/>
      <w:bookmarkEnd w:id="101"/>
    </w:tbl>
    <w:p w14:paraId="3600B8D5">
      <w:pPr>
        <w:rPr>
          <w:rFonts w:hint="default" w:ascii="华文细黑" w:hAnsi="华文细黑" w:eastAsia="华文细黑" w:cs="华文细黑"/>
          <w:color w:val="auto"/>
          <w:rtl w:val="0"/>
          <w:lang w:val="en-US" w:eastAsia="zh-CN"/>
        </w:rPr>
      </w:pPr>
      <w:r>
        <w:rPr>
          <w:rFonts w:hint="eastAsia" w:ascii="华文细黑" w:hAnsi="华文细黑" w:eastAsia="华文细黑" w:cs="华文细黑"/>
          <w:color w:val="auto"/>
        </w:rPr>
        <w:t xml:space="preserve"> </w:t>
      </w:r>
    </w:p>
    <w:p w14:paraId="238B4D03"/>
    <w:sectPr>
      <w:footerReference r:id="rId3" w:type="default"/>
      <w:pgSz w:w="11906" w:h="16838"/>
      <w:pgMar w:top="1814" w:right="1531" w:bottom="1984" w:left="1531" w:header="851" w:footer="15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Nimbus Roman No9 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B4E9">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F6C079"/>
    <w:rsid w:val="2E2D69A5"/>
    <w:rsid w:val="3FECB033"/>
    <w:rsid w:val="3FF7681E"/>
    <w:rsid w:val="67034BF3"/>
    <w:rsid w:val="DDD37EC3"/>
    <w:rsid w:val="EDF9357B"/>
    <w:rsid w:val="EF2B7C79"/>
    <w:rsid w:val="F7F6C079"/>
    <w:rsid w:val="FF97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next w:val="1"/>
    <w:qFormat/>
    <w:uiPriority w:val="0"/>
    <w:pPr>
      <w:ind w:firstLine="640" w:firstLineChars="200"/>
    </w:pPr>
    <w:rPr>
      <w:rFonts w:ascii="仿宋_GB2312" w:eastAsia="仿宋_GB2312"/>
      <w:color w:val="99330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Body Text First Indent 2"/>
    <w:basedOn w:val="3"/>
    <w:qFormat/>
    <w:uiPriority w:val="0"/>
    <w:pPr>
      <w:ind w:left="0" w:leftChars="0" w:firstLine="420"/>
    </w:pPr>
    <w:rPr>
      <w:rFonts w:ascii="Times New Roman" w:hAnsi="Times New Roman"/>
    </w:rPr>
  </w:style>
  <w:style w:type="paragraph" w:customStyle="1" w:styleId="9">
    <w:name w:val="UserStyle_0"/>
    <w:basedOn w:val="1"/>
    <w:next w:val="1"/>
    <w:qFormat/>
    <w:uiPriority w:val="0"/>
    <w:pPr>
      <w:spacing w:after="120"/>
    </w:pPr>
    <w:rPr>
      <w:rFonts w:ascii="Times New Roman" w:hAnsi="Times New Roman" w:eastAsia="宋体"/>
    </w:rPr>
  </w:style>
  <w:style w:type="paragraph" w:customStyle="1" w:styleId="1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5775</Words>
  <Characters>6344</Characters>
  <Lines>0</Lines>
  <Paragraphs>0</Paragraphs>
  <TotalTime>4</TotalTime>
  <ScaleCrop>false</ScaleCrop>
  <LinksUpToDate>false</LinksUpToDate>
  <CharactersWithSpaces>6355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2024-12-13T07:32:00Z</dcterms:created>
  <dc:creator>greatwall</dc:creator>
  <cp:lastModifiedBy>邓婷</cp:lastModifiedBy>
  <dcterms:modified xsi:type="dcterms:W3CDTF">2025-02-08T01:30:56Z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eyJoZGlkIjoiM2MzMjI1ZTIyNTAyNTBiZDBlZWJjZWE1NGEwYWM5M2QiLCJ1c2VySWQiOiIxMDY5MjgzMDcxIn0=</vt:lpwstr>
  </property>
  <property fmtid="{D5CDD505-2E9C-101B-9397-08002B2CF9AE}" pid="4" name="ICV">
    <vt:lpwstr>E5C43161B4AB4ADC9384FC6FFE9D8AAE_12</vt:lpwstr>
  </property>
</Properties>
</file>