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CF6A5">
      <w:pPr>
        <w:pStyle w:val="19"/>
        <w:spacing w:line="520" w:lineRule="exact"/>
        <w:ind w:firstLine="720"/>
        <w:rPr>
          <w:sz w:val="36"/>
          <w:szCs w:val="32"/>
        </w:rPr>
      </w:pPr>
    </w:p>
    <w:p w14:paraId="4EF8A92C">
      <w:pPr>
        <w:pStyle w:val="19"/>
        <w:spacing w:line="520" w:lineRule="exact"/>
        <w:ind w:firstLine="720"/>
        <w:rPr>
          <w:sz w:val="36"/>
          <w:szCs w:val="32"/>
        </w:rPr>
      </w:pPr>
    </w:p>
    <w:p w14:paraId="736D7EAD">
      <w:pPr>
        <w:pStyle w:val="19"/>
        <w:spacing w:line="520" w:lineRule="exact"/>
        <w:ind w:firstLine="720"/>
        <w:rPr>
          <w:sz w:val="36"/>
          <w:szCs w:val="32"/>
        </w:rPr>
      </w:pPr>
      <w:bookmarkStart w:id="1" w:name="_GoBack"/>
      <w:bookmarkEnd w:id="1"/>
    </w:p>
    <w:p w14:paraId="226E7D90">
      <w:pPr>
        <w:pStyle w:val="19"/>
        <w:spacing w:line="520" w:lineRule="exact"/>
        <w:ind w:firstLine="720"/>
        <w:rPr>
          <w:sz w:val="36"/>
          <w:szCs w:val="32"/>
        </w:rPr>
      </w:pPr>
    </w:p>
    <w:p w14:paraId="166C2EE6">
      <w:pPr>
        <w:pStyle w:val="19"/>
        <w:spacing w:line="520" w:lineRule="exact"/>
        <w:ind w:firstLine="723"/>
        <w:rPr>
          <w:b/>
          <w:sz w:val="36"/>
          <w:szCs w:val="32"/>
        </w:rPr>
      </w:pPr>
    </w:p>
    <w:p w14:paraId="124A6199">
      <w:pPr>
        <w:pStyle w:val="21"/>
        <w:spacing w:line="520" w:lineRule="exact"/>
        <w:rPr>
          <w:sz w:val="36"/>
          <w:szCs w:val="32"/>
        </w:rPr>
      </w:pPr>
      <w:r>
        <w:rPr>
          <w:rFonts w:hint="eastAsia"/>
          <w:sz w:val="36"/>
          <w:szCs w:val="32"/>
        </w:rPr>
        <w:t>衡阳市生态环境局</w:t>
      </w:r>
    </w:p>
    <w:p w14:paraId="189C2D8C">
      <w:pPr>
        <w:pStyle w:val="21"/>
        <w:spacing w:line="520" w:lineRule="exact"/>
        <w:rPr>
          <w:sz w:val="36"/>
          <w:szCs w:val="32"/>
        </w:rPr>
      </w:pPr>
      <w:r>
        <w:rPr>
          <w:rFonts w:hint="eastAsia"/>
          <w:sz w:val="36"/>
          <w:szCs w:val="32"/>
        </w:rPr>
        <w:t>关于《湖南湘蓝再生资源利用有限公司松木经开区循环经济产业基地项目废旧金属塑料危险废物综合利用子项目（重大变动重新报批）环境影响报告书》的批复</w:t>
      </w:r>
    </w:p>
    <w:p w14:paraId="08A4AB61">
      <w:pPr>
        <w:pStyle w:val="19"/>
        <w:spacing w:line="520" w:lineRule="exact"/>
        <w:ind w:firstLine="0" w:firstLineChars="0"/>
        <w:rPr>
          <w:rFonts w:hint="eastAsia" w:ascii="仿宋" w:hAnsi="仿宋" w:eastAsia="仿宋"/>
          <w:sz w:val="32"/>
          <w:szCs w:val="28"/>
        </w:rPr>
      </w:pPr>
    </w:p>
    <w:p w14:paraId="6DAC2DF0">
      <w:pPr>
        <w:pStyle w:val="19"/>
        <w:spacing w:line="520" w:lineRule="exact"/>
        <w:ind w:firstLine="0" w:firstLineChars="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湖南湘蓝再生资源有限公司：</w:t>
      </w:r>
    </w:p>
    <w:p w14:paraId="09127A03">
      <w:pPr>
        <w:pStyle w:val="19"/>
        <w:spacing w:line="520" w:lineRule="exact"/>
        <w:ind w:firstLine="64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地址:湖南省衡阳市石鼓区松木经济开发区，法定代表人:黄付强，统一社会信用代码:91430407MAC5YMC80B。</w:t>
      </w:r>
    </w:p>
    <w:p w14:paraId="19E8CDE4">
      <w:pPr>
        <w:pStyle w:val="15"/>
        <w:widowControl/>
        <w:snapToGrid w:val="0"/>
        <w:spacing w:before="0" w:beforeAutospacing="0" w:after="0" w:afterAutospacing="0" w:line="520" w:lineRule="exact"/>
        <w:ind w:firstLine="640" w:firstLineChars="200"/>
        <w:jc w:val="both"/>
        <w:rPr>
          <w:rFonts w:hint="eastAsia" w:ascii="仿宋" w:hAnsi="仿宋" w:eastAsia="仿宋"/>
          <w:sz w:val="32"/>
          <w:szCs w:val="28"/>
        </w:rPr>
      </w:pPr>
      <w:r>
        <w:rPr>
          <w:rFonts w:hint="eastAsia" w:ascii="仿宋_GB2312" w:hAnsi="仿宋_GB2312" w:eastAsia="仿宋_GB2312" w:cs="仿宋_GB2312"/>
          <w:snapToGrid w:val="0"/>
          <w:kern w:val="2"/>
          <w:sz w:val="32"/>
          <w:szCs w:val="32"/>
        </w:rPr>
        <w:t>经审查，你公司委托长沙羽宸环保科技有限公司编制并通过专家评审取得审查意见的《湖南湘蓝再生资源利用有限公司松木经开区循环经济产业基地项目废旧金属塑料危险废物综合利用子项目（重大变动重新报批）环境影响报告书》符合国家关于建设项目环境影响评价文件审批的有关规定，根据《中华人民共和国行政许可法》第三十八条第一款“申请人的申请符合法定条件、标准的，行政机关应当依法作出准予行政许可的书面决定”以及</w:t>
      </w:r>
      <w:r>
        <w:rPr>
          <w:rFonts w:hint="eastAsia" w:ascii="仿宋_GB2312" w:hAnsi="仿宋_GB2312" w:eastAsia="仿宋_GB2312" w:cs="仿宋_GB2312"/>
          <w:snapToGrid w:val="0"/>
          <w:sz w:val="32"/>
          <w:szCs w:val="32"/>
        </w:rPr>
        <w:t>《中华人民共和国环境影响评价法》第二十二条规定，我局决定准予行政许可，并要求如下：</w:t>
      </w:r>
    </w:p>
    <w:p w14:paraId="0D333701">
      <w:pPr>
        <w:pStyle w:val="19"/>
        <w:spacing w:line="520" w:lineRule="exact"/>
        <w:ind w:firstLine="640"/>
        <w:rPr>
          <w:rFonts w:hint="eastAsia" w:ascii="仿宋_GB2312" w:hAnsi="仿宋_GB2312" w:eastAsia="仿宋_GB2312" w:cs="仿宋_GB2312"/>
          <w:snapToGrid w:val="0"/>
          <w:sz w:val="32"/>
          <w:szCs w:val="32"/>
        </w:rPr>
      </w:pPr>
      <w:r>
        <w:rPr>
          <w:rFonts w:hint="eastAsia" w:ascii="仿宋" w:hAnsi="仿宋" w:eastAsia="仿宋"/>
          <w:sz w:val="32"/>
          <w:szCs w:val="28"/>
        </w:rPr>
        <w:t>一、2024年7月，</w:t>
      </w:r>
      <w:r>
        <w:rPr>
          <w:rFonts w:hint="eastAsia" w:ascii="仿宋_GB2312" w:hAnsi="仿宋" w:eastAsia="仿宋_GB2312"/>
          <w:sz w:val="32"/>
          <w:szCs w:val="32"/>
        </w:rPr>
        <w:t>衡阳市生态环境局下达了《关于湖南湘蓝再生资源利用有限公司松木经开区循环经济产业基地项目废旧金属塑料危险废物综合利用子项目环境影响报告书》批复（</w:t>
      </w:r>
      <w:r>
        <w:rPr>
          <w:rFonts w:hint="eastAsia" w:ascii="仿宋" w:hAnsi="仿宋" w:eastAsia="仿宋"/>
          <w:sz w:val="32"/>
          <w:szCs w:val="28"/>
        </w:rPr>
        <w:t>衡环发〔2024〕106号</w:t>
      </w:r>
      <w:r>
        <w:rPr>
          <w:rFonts w:hint="eastAsia" w:ascii="仿宋_GB2312" w:hAnsi="仿宋" w:eastAsia="仿宋_GB2312"/>
          <w:sz w:val="32"/>
          <w:szCs w:val="32"/>
        </w:rPr>
        <w:t>）。现因市场行情变动及自身发展需求变化等因素，你公司拟对原环评申报的建设内容进行部分调整，主要变更内容有：①危险废物收集、贮存规模由14400t/a增加至20000t/a，新增危险废物收集、贮存和转运类别（新增1个大类：HW45含有机卤化物废物，删除9个小类并新增12个小类，总计收集贮存20个大类、98个小类危险废物）；②危险废物综合利用新增2条</w:t>
      </w:r>
      <w:bookmarkStart w:id="0" w:name="OLE_LINK1"/>
      <w:r>
        <w:rPr>
          <w:rFonts w:hint="eastAsia" w:ascii="仿宋_GB2312" w:hAnsi="仿宋" w:eastAsia="仿宋_GB2312"/>
          <w:sz w:val="32"/>
          <w:szCs w:val="32"/>
        </w:rPr>
        <w:t>含油/乳化液</w:t>
      </w:r>
      <w:bookmarkEnd w:id="0"/>
      <w:r>
        <w:rPr>
          <w:rFonts w:hint="eastAsia" w:ascii="仿宋_GB2312" w:hAnsi="仿宋" w:eastAsia="仿宋_GB2312"/>
          <w:sz w:val="32"/>
          <w:szCs w:val="32"/>
        </w:rPr>
        <w:t>金属屑破碎清洗生产线（每条生产线规模为20000t/a），危废综合利用规模由20000t/a增加至60000t/a；</w:t>
      </w:r>
      <w:r>
        <w:rPr>
          <w:rFonts w:hint="eastAsia" w:ascii="仿宋_GB2312" w:hAnsi="仿宋" w:eastAsia="仿宋_GB2312"/>
          <w:color w:val="FF0000"/>
          <w:sz w:val="32"/>
          <w:szCs w:val="32"/>
        </w:rPr>
        <w:t>③污水处理站规模由30m</w:t>
      </w:r>
      <w:r>
        <w:rPr>
          <w:rFonts w:hint="eastAsia" w:ascii="仿宋_GB2312" w:hAnsi="仿宋" w:eastAsia="仿宋_GB2312"/>
          <w:color w:val="FF0000"/>
          <w:sz w:val="32"/>
          <w:szCs w:val="32"/>
          <w:vertAlign w:val="superscript"/>
        </w:rPr>
        <w:t>3</w:t>
      </w:r>
      <w:r>
        <w:rPr>
          <w:rFonts w:hint="eastAsia" w:ascii="仿宋_GB2312" w:hAnsi="仿宋" w:eastAsia="仿宋_GB2312"/>
          <w:color w:val="FF0000"/>
          <w:sz w:val="32"/>
          <w:szCs w:val="32"/>
        </w:rPr>
        <w:t>/d增加至60m</w:t>
      </w:r>
      <w:r>
        <w:rPr>
          <w:rFonts w:hint="eastAsia" w:ascii="仿宋_GB2312" w:hAnsi="仿宋" w:eastAsia="仿宋_GB2312"/>
          <w:color w:val="FF0000"/>
          <w:sz w:val="32"/>
          <w:szCs w:val="32"/>
          <w:vertAlign w:val="superscript"/>
        </w:rPr>
        <w:t>3</w:t>
      </w:r>
      <w:r>
        <w:rPr>
          <w:rFonts w:hint="eastAsia" w:ascii="仿宋_GB2312" w:hAnsi="仿宋" w:eastAsia="仿宋_GB2312"/>
          <w:color w:val="FF0000"/>
          <w:sz w:val="32"/>
          <w:szCs w:val="32"/>
        </w:rPr>
        <w:t>/d，处理工艺增加破乳</w:t>
      </w:r>
      <w:r>
        <w:rPr>
          <w:rFonts w:hint="eastAsia" w:ascii="仿宋_GB2312" w:hAnsi="仿宋" w:eastAsia="仿宋_GB2312"/>
          <w:sz w:val="32"/>
          <w:szCs w:val="32"/>
        </w:rPr>
        <w:t>；④储油罐（Φ2.9m×7.5m）由2个增加至3个；⑤增加1个应急事故池；⑥</w:t>
      </w:r>
      <w:r>
        <w:rPr>
          <w:rFonts w:hint="eastAsia" w:ascii="仿宋_GB2312" w:hAnsi="仿宋" w:eastAsia="仿宋_GB2312"/>
          <w:color w:val="FF0000"/>
          <w:sz w:val="32"/>
          <w:szCs w:val="32"/>
        </w:rPr>
        <w:t>危险废物再生利用区新增一座36m</w:t>
      </w:r>
      <w:r>
        <w:rPr>
          <w:rFonts w:hint="eastAsia" w:ascii="仿宋_GB2312" w:hAnsi="仿宋" w:eastAsia="仿宋_GB2312"/>
          <w:color w:val="FF0000"/>
          <w:sz w:val="32"/>
          <w:szCs w:val="32"/>
          <w:vertAlign w:val="superscript"/>
        </w:rPr>
        <w:t>3</w:t>
      </w:r>
      <w:r>
        <w:rPr>
          <w:rFonts w:hint="eastAsia" w:ascii="仿宋_GB2312" w:hAnsi="仿宋" w:eastAsia="仿宋_GB2312"/>
          <w:color w:val="FF0000"/>
          <w:sz w:val="32"/>
          <w:szCs w:val="32"/>
        </w:rPr>
        <w:t>的三级隔油沉淀池，处理清洗废水，清洗废水处理后去中间清水部分回用于清洗工序用水，其余部分排入污水处理站；</w:t>
      </w:r>
      <w:r>
        <w:rPr>
          <w:rFonts w:hint="eastAsia" w:ascii="仿宋_GB2312" w:hAnsi="仿宋" w:eastAsia="仿宋_GB2312"/>
          <w:sz w:val="32"/>
          <w:szCs w:val="32"/>
        </w:rPr>
        <w:t>⑦危险废物收集、贮存区废气处理工艺由“负压集气+UV光解+活性炭吸附+15m排气筒”变更为“负压集气+二级活性炭吸附+15m排气筒”。</w:t>
      </w:r>
      <w:r>
        <w:rPr>
          <w:rFonts w:hint="eastAsia" w:ascii="仿宋_GB2312" w:hAnsi="仿宋_GB2312" w:eastAsia="仿宋_GB2312" w:cs="仿宋_GB2312"/>
          <w:snapToGrid w:val="0"/>
          <w:color w:val="FF0000"/>
          <w:sz w:val="32"/>
          <w:szCs w:val="32"/>
        </w:rPr>
        <w:t>项目应加强对综合利用的危险废物来源管控，危废综合利用部分不得接收利用含/沾染重金属的危险废物。</w:t>
      </w:r>
      <w:r>
        <w:rPr>
          <w:rFonts w:hint="eastAsia" w:ascii="仿宋_GB2312" w:hAnsi="仿宋_GB2312" w:eastAsia="仿宋_GB2312" w:cs="仿宋_GB2312"/>
          <w:snapToGrid w:val="0"/>
          <w:sz w:val="32"/>
          <w:szCs w:val="32"/>
        </w:rPr>
        <w:t>根据《报告书》的分析结论，本项目符合国家产业政策和相关选址要求。在建设单位按照《报告书》中所列性质、规模、地点、生产工艺进行建设、运营，严格落实《报告书》和本批复提出的各项生态环境保护措施和污染防治措施，并确保各类污染物稳定达标排放且符合总量控制要求的前提下，本项目对环境的不利影响能够得到一定缓解和控制。从环保角度，我局原则同意该项目建设。</w:t>
      </w:r>
    </w:p>
    <w:p w14:paraId="1991040D">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 w:hAnsi="仿宋" w:eastAsia="仿宋"/>
          <w:sz w:val="32"/>
          <w:szCs w:val="28"/>
        </w:rPr>
        <w:t>二、</w:t>
      </w:r>
      <w:r>
        <w:rPr>
          <w:rFonts w:hint="eastAsia" w:ascii="仿宋_GB2312" w:hAnsi="仿宋_GB2312" w:eastAsia="仿宋_GB2312" w:cs="仿宋_GB2312"/>
          <w:snapToGrid w:val="0"/>
          <w:sz w:val="32"/>
          <w:szCs w:val="32"/>
        </w:rPr>
        <w:t>建设单位在工程设计、建设和运营管理过程中，必须全面落实《报告书》提出的各项生态环境保护措施和污染防治措施，并重点做好以下工作：</w:t>
      </w:r>
    </w:p>
    <w:p w14:paraId="7FF5862C">
      <w:pPr>
        <w:spacing w:line="520" w:lineRule="exact"/>
        <w:ind w:firstLine="640" w:firstLineChars="20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（一）</w:t>
      </w:r>
      <w:r>
        <w:rPr>
          <w:rFonts w:hint="eastAsia" w:ascii="仿宋_GB2312" w:hAnsi="仿宋" w:eastAsia="仿宋_GB2312" w:cs="Times New Roman"/>
          <w:sz w:val="32"/>
          <w:szCs w:val="32"/>
        </w:rPr>
        <w:t>加强项目施工期的环境管理工作。项目施工期选用低噪声施工机械，合理安排各类施工机械工作时间，确保施工厂界噪声达标，防止噪声扰民；施工期采取洒水、围挡作业、渣土封闭运输、在施工场地设置清洗点、外购混凝土搅拌料等措施减少扬尘污染，在保证工程质量的同时，尽量缩短施工时间；主体工程完成后，及时做好地表植被恢复工作；建筑垃圾清运到指定地点合理处置。</w:t>
      </w:r>
    </w:p>
    <w:p w14:paraId="3B0E67DE">
      <w:pPr>
        <w:pStyle w:val="15"/>
        <w:widowControl/>
        <w:numPr>
          <w:ilvl w:val="0"/>
          <w:numId w:val="1"/>
        </w:numPr>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 w:hAnsi="仿宋" w:eastAsia="仿宋"/>
          <w:sz w:val="32"/>
          <w:szCs w:val="28"/>
        </w:rPr>
        <w:t>加强项目运营期废气污染防治工作。</w:t>
      </w:r>
      <w:r>
        <w:rPr>
          <w:rFonts w:hint="eastAsia" w:ascii="仿宋_GB2312" w:hAnsi="仿宋_GB2312" w:eastAsia="仿宋_GB2312" w:cs="仿宋_GB2312"/>
          <w:snapToGrid w:val="0"/>
          <w:sz w:val="32"/>
          <w:szCs w:val="32"/>
        </w:rPr>
        <w:t>通过加快周转，加强储罐、管线的密封控制，减少废矿物油贮存区产生的无组织废气；废水处理站采用密封加盖（好氧池除外）、喷洒除臭剂并加强周边绿化。</w:t>
      </w:r>
      <w:r>
        <w:rPr>
          <w:rFonts w:hint="eastAsia" w:ascii="仿宋_GB2312" w:hAnsi="仿宋" w:eastAsia="仿宋_GB2312"/>
          <w:kern w:val="2"/>
          <w:sz w:val="32"/>
          <w:szCs w:val="32"/>
        </w:rPr>
        <w:t>危险废物收集贮存区和危险废物再生利用车间的危废暂存区设置为隔开的独立区域。</w:t>
      </w:r>
      <w:r>
        <w:rPr>
          <w:rFonts w:hint="eastAsia" w:ascii="仿宋_GB2312" w:hAnsi="仿宋_GB2312" w:eastAsia="仿宋_GB2312" w:cs="仿宋_GB2312"/>
          <w:snapToGrid w:val="0"/>
          <w:sz w:val="32"/>
          <w:szCs w:val="32"/>
        </w:rPr>
        <w:t>收集危废种类为HW31、HW34的贮存间产生的无组织废气经负压收集后采用碱液喷淋处理后通过15m高排气筒（DA001）达标排放，收集危</w:t>
      </w:r>
      <w:r>
        <w:rPr>
          <w:rFonts w:hint="eastAsia" w:ascii="仿宋_GB2312" w:hAnsi="仿宋" w:eastAsia="仿宋_GB2312"/>
          <w:kern w:val="2"/>
          <w:sz w:val="32"/>
          <w:szCs w:val="32"/>
        </w:rPr>
        <w:t>废种类为HW29的贮存间产生的无组织废气经负压收集后采用活性炭吸附处理后通过15m</w:t>
      </w:r>
      <w:r>
        <w:rPr>
          <w:rFonts w:hint="eastAsia" w:ascii="仿宋_GB2312" w:hAnsi="仿宋" w:eastAsia="仿宋_GB2312"/>
          <w:kern w:val="2"/>
          <w:sz w:val="32"/>
          <w:szCs w:val="32"/>
          <w:lang w:eastAsia="zh-CN"/>
        </w:rPr>
        <w:t>高</w:t>
      </w:r>
      <w:r>
        <w:rPr>
          <w:rFonts w:hint="eastAsia" w:ascii="仿宋_GB2312" w:hAnsi="仿宋" w:eastAsia="仿宋_GB2312"/>
          <w:kern w:val="2"/>
          <w:sz w:val="32"/>
          <w:szCs w:val="32"/>
        </w:rPr>
        <w:t>排气筒（DA002）达标排放，</w:t>
      </w:r>
      <w:r>
        <w:rPr>
          <w:rFonts w:hint="eastAsia" w:ascii="仿宋_GB2312" w:hAnsi="仿宋_GB2312" w:eastAsia="仿宋_GB2312" w:cs="仿宋_GB2312"/>
          <w:snapToGrid w:val="0"/>
          <w:sz w:val="32"/>
          <w:szCs w:val="32"/>
        </w:rPr>
        <w:t>收集危</w:t>
      </w:r>
      <w:r>
        <w:rPr>
          <w:rFonts w:hint="eastAsia" w:ascii="仿宋_GB2312" w:hAnsi="仿宋" w:eastAsia="仿宋_GB2312"/>
          <w:kern w:val="2"/>
          <w:sz w:val="32"/>
          <w:szCs w:val="32"/>
        </w:rPr>
        <w:t>废种类为</w:t>
      </w:r>
      <w:r>
        <w:rPr>
          <w:rFonts w:hint="eastAsia" w:ascii="仿宋" w:hAnsi="仿宋" w:eastAsia="仿宋"/>
          <w:sz w:val="32"/>
          <w:szCs w:val="28"/>
        </w:rPr>
        <w:t>HW06、HW09、HW12、HW13、HW45、HW49的</w:t>
      </w:r>
      <w:r>
        <w:rPr>
          <w:rFonts w:hint="eastAsia" w:ascii="仿宋_GB2312" w:hAnsi="仿宋" w:eastAsia="仿宋_GB2312"/>
          <w:kern w:val="2"/>
          <w:sz w:val="32"/>
          <w:szCs w:val="32"/>
        </w:rPr>
        <w:t>贮存间</w:t>
      </w:r>
      <w:r>
        <w:rPr>
          <w:rFonts w:hint="eastAsia" w:ascii="仿宋_GB2312" w:hAnsi="仿宋_GB2312" w:eastAsia="仿宋_GB2312" w:cs="仿宋_GB2312"/>
          <w:snapToGrid w:val="0"/>
          <w:sz w:val="32"/>
          <w:szCs w:val="32"/>
        </w:rPr>
        <w:t>产生的无组织废气经</w:t>
      </w:r>
      <w:r>
        <w:rPr>
          <w:rFonts w:hint="eastAsia" w:ascii="仿宋_GB2312" w:hAnsi="仿宋" w:eastAsia="仿宋_GB2312"/>
          <w:kern w:val="2"/>
          <w:sz w:val="32"/>
          <w:szCs w:val="32"/>
        </w:rPr>
        <w:t>负压收集后采用两级活性炭吸附处理后通过15m</w:t>
      </w:r>
      <w:r>
        <w:rPr>
          <w:rFonts w:hint="eastAsia" w:ascii="仿宋_GB2312" w:hAnsi="仿宋" w:eastAsia="仿宋_GB2312"/>
          <w:kern w:val="2"/>
          <w:sz w:val="32"/>
          <w:szCs w:val="32"/>
          <w:lang w:eastAsia="zh-CN"/>
        </w:rPr>
        <w:t>高</w:t>
      </w:r>
      <w:r>
        <w:rPr>
          <w:rFonts w:hint="eastAsia" w:ascii="仿宋_GB2312" w:hAnsi="仿宋" w:eastAsia="仿宋_GB2312"/>
          <w:kern w:val="2"/>
          <w:sz w:val="32"/>
          <w:szCs w:val="32"/>
        </w:rPr>
        <w:t>排气筒（DA003）达标排放</w:t>
      </w:r>
      <w:r>
        <w:rPr>
          <w:rFonts w:hint="eastAsia" w:ascii="仿宋_GB2312" w:hAnsi="仿宋_GB2312" w:eastAsia="仿宋_GB2312" w:cs="仿宋_GB2312"/>
          <w:snapToGrid w:val="0"/>
          <w:sz w:val="32"/>
          <w:szCs w:val="32"/>
        </w:rPr>
        <w:t>。</w:t>
      </w:r>
      <w:r>
        <w:rPr>
          <w:rFonts w:hint="eastAsia" w:ascii="仿宋_GB2312" w:hAnsi="仿宋" w:eastAsia="仿宋_GB2312"/>
          <w:kern w:val="2"/>
          <w:sz w:val="32"/>
          <w:szCs w:val="32"/>
        </w:rPr>
        <w:t>危险废物再生利用车间的危废贮存区</w:t>
      </w:r>
      <w:r>
        <w:rPr>
          <w:rFonts w:hint="eastAsia" w:ascii="仿宋_GB2312" w:hAnsi="仿宋_GB2312" w:eastAsia="仿宋_GB2312" w:cs="仿宋_GB2312"/>
          <w:snapToGrid w:val="0"/>
          <w:sz w:val="32"/>
          <w:szCs w:val="32"/>
        </w:rPr>
        <w:t>和综合利用区设置密闭负压对废气进行收集，综合利用区（5条生产线）各生产线（全封闭设备）产生的废气经配套管道收集后经“干式过滤器+RCO催化燃烧”处理后通过15m高排气筒（DA004）达标排放。</w:t>
      </w:r>
    </w:p>
    <w:p w14:paraId="119506F4">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 w:hAnsi="仿宋" w:eastAsia="仿宋"/>
          <w:sz w:val="32"/>
          <w:szCs w:val="28"/>
        </w:rPr>
        <w:t>（三）</w:t>
      </w:r>
      <w:r>
        <w:rPr>
          <w:rFonts w:hint="eastAsia" w:ascii="仿宋_GB2312" w:hAnsi="仿宋_GB2312" w:eastAsia="仿宋_GB2312" w:cs="仿宋_GB2312"/>
          <w:snapToGrid w:val="0"/>
          <w:sz w:val="32"/>
          <w:szCs w:val="32"/>
        </w:rPr>
        <w:t>加强项目运营期水污染防治工作。项目厂区严格按照“雨污分流、清污分流、一水多用、分质处理”的原则，规范厂区给排水系统。本项目生产废水（其中2条含油/乳化液金属屑破碎清洗生产线产生的清洗废水经车间三级隔油沉淀池处理后一部分回用）和初期雨水进入厂区综合废水处理站处理，通过“pH调节+破乳+絮凝+气浮+芬顿氧化+水解酸化+AO处理+沉淀”处理达标后排入松木污水处理厂进一步处理；生活污水通过化粪池预处理达标后排入松木污水处理厂进一步处理。</w:t>
      </w:r>
    </w:p>
    <w:p w14:paraId="4E079D27">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（四）落实噪声污染防治措施。项目应合理布置，选用低噪声设备，并采取有效的隔声降噪措施，确保厂界噪声达到《工业企业厂界环境噪声排放标准》（GB12348-2008）3类标准。</w:t>
      </w:r>
    </w:p>
    <w:p w14:paraId="0F192EE3">
      <w:pPr>
        <w:adjustRightInd w:val="0"/>
        <w:snapToGrid w:val="0"/>
        <w:spacing w:line="52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五)加强固体废物污染防治工作。各危险废物应分类收集，分类贮存，严禁将具有反应性的危废混合贮存在同一贮存间内。严格按《废矿物油回收利用污染控制技术规范》（HJ607-2011）、《废铅酸蓄电池处理污染控制技术规范》（HJ519-2020）、《危险废物收集、贮存、运输技术规范》（HJ2025-2012）、《危险废物贮存污染控制标准》（GB18597-2023）等相关要求，做好各类危险废物在贮存过程中的环境管理，厂区各分区做好防腐、防渗、防风、防雨、防流失等相应措施。项目产生的废电解液、废残液、废机油滤纸、废渣、废金属容器边角料、废液压油、废吸油毡、废白纸、废活性炭、废催化剂、废干式过滤棉、废机油、废机油桶、废含油抹布和手套、污水处理站产生的污泥和浮渣等危险废物在厂区暂存后交由有资质单位妥善处置。</w:t>
      </w:r>
    </w:p>
    <w:p w14:paraId="594D3DA7">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 w:hAnsi="仿宋" w:eastAsia="仿宋"/>
          <w:sz w:val="32"/>
          <w:szCs w:val="28"/>
        </w:rPr>
        <w:t>（六）</w:t>
      </w:r>
      <w:r>
        <w:rPr>
          <w:rFonts w:hint="eastAsia" w:ascii="仿宋_GB2312" w:hAnsi="仿宋_GB2312" w:eastAsia="仿宋_GB2312" w:cs="仿宋_GB2312"/>
          <w:snapToGrid w:val="0"/>
          <w:sz w:val="32"/>
          <w:szCs w:val="32"/>
        </w:rPr>
        <w:t>严格落实地下水及土壤污染防治措施。按照“源头控制、分区防治、污染监控、应急响应”相结合的原则，从污染物的产生、入渗、扩散、应急响应全方位进行控制。各级防渗区要严格按照国家有关标准和规范，切实落实防渗措施，并从源头控制和过程控制来降低对土壤环境和地下水的影响。按规范设置地下水跟踪监测点监测水质，一旦发现地下水质发生异常，应及时启动应急预案，并及时上报当地生态环境主管部门。</w:t>
      </w:r>
    </w:p>
    <w:p w14:paraId="256B87E9">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（七）排放口和固体废物堆场应按照《环境保护图形标志》（GB15562.1-2-95）等规定，设置</w:t>
      </w:r>
      <w:r>
        <w:rPr>
          <w:rFonts w:hint="eastAsia" w:ascii="仿宋_GB2312" w:hAnsi="仿宋_GB2312" w:eastAsia="仿宋_GB2312" w:cs="仿宋_GB2312"/>
          <w:snapToGrid w:val="0"/>
          <w:sz w:val="32"/>
          <w:szCs w:val="32"/>
          <w:lang w:eastAsia="zh-CN"/>
        </w:rPr>
        <w:t>生态环境部</w:t>
      </w:r>
      <w:r>
        <w:rPr>
          <w:rFonts w:hint="eastAsia" w:ascii="仿宋_GB2312" w:hAnsi="仿宋_GB2312" w:eastAsia="仿宋_GB2312" w:cs="仿宋_GB2312"/>
          <w:snapToGrid w:val="0"/>
          <w:sz w:val="32"/>
          <w:szCs w:val="32"/>
        </w:rPr>
        <w:t>统一制作的环境保护图形标志牌，在各气、水、声排污口（污染源）挂牌标识，做到各排污口（污染源）的环保标志明显，便于企业管理和公众监督。</w:t>
      </w:r>
    </w:p>
    <w:p w14:paraId="108A3A1B">
      <w:pPr>
        <w:spacing w:line="52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八）加强环境风险防范。建设单位须加强项目的日常管理和安全防范，企业应建立健全各项环保规章制度和岗位责任制，设置专门的环保管理机构，落实专职环保技术人员、落实环境管理与监测计划。建立健全风险防控体系和事故排放污染收集系统，按国家《危险化学品安全管理条例》《危险废物收集贮存运输技术规范》等的规定，加强对运输、储存、使用等各环节所涉及的危险化学品、危险废物的安全管理。加强环保设施在日常运行、检修等各时段的安全隐患排查和风险管控工作，建立环保设施安全台账和管理制度，并加强管理和巡查，杜绝发生环保设施安全事故。强化风险管理和事故的预防，做好环境风险的巡查、监控等管理，杜绝环境风险事故发生。对危险废物暂存库设置导流沟及集液池、储罐区设置围堰、厂区设置事故池、建立三级防控体系，制定突发环境事件应急预案，配备相应的应急物资，确保环境风险得到有效控制。</w:t>
      </w:r>
    </w:p>
    <w:p w14:paraId="2A2686D3">
      <w:pPr>
        <w:pStyle w:val="14"/>
        <w:widowControl/>
        <w:spacing w:after="0" w:line="520" w:lineRule="exact"/>
        <w:ind w:firstLine="640" w:firstLineChars="200"/>
        <w:rPr>
          <w:rFonts w:ascii="仿宋_GB2312" w:hAnsi="仿宋_GB2312" w:eastAsia="仿宋_GB2312" w:cs="仿宋_GB2312"/>
          <w:snapToGrid w:val="0"/>
          <w:sz w:val="32"/>
          <w:szCs w:val="32"/>
          <w:lang w:bidi="ar"/>
        </w:rPr>
      </w:pPr>
      <w:r>
        <w:rPr>
          <w:rFonts w:ascii="仿宋_GB2312" w:hAnsi="仿宋_GB2312" w:eastAsia="仿宋_GB2312" w:cs="仿宋_GB2312"/>
          <w:snapToGrid w:val="0"/>
          <w:sz w:val="32"/>
          <w:szCs w:val="32"/>
          <w:lang w:bidi="ar"/>
        </w:rPr>
        <w:t>（九）项目应执行湖南省危废管理相关政策，收集的危险废物其代码类别、具体各种类危废的量及其对危废来源的管控要求，以危废经营许可核准的信息为准。</w:t>
      </w:r>
    </w:p>
    <w:p w14:paraId="0F8CBA41">
      <w:pPr>
        <w:tabs>
          <w:tab w:val="left" w:pos="1021"/>
        </w:tabs>
        <w:spacing w:line="52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（十）加强对原有项目拆除工程的污染防治工作。应制定原有项目相关工程的拆除方案，严格按照环评报告书和拆除方案中的相关要求落实各项污染防治措施，防止造成污染。工程拆除后应</w:t>
      </w:r>
      <w:r>
        <w:rPr>
          <w:rFonts w:ascii="仿宋_GB2312" w:hAnsi="仿宋_GB2312" w:eastAsia="仿宋_GB2312" w:cs="仿宋_GB2312"/>
          <w:snapToGrid w:val="0"/>
          <w:kern w:val="0"/>
          <w:sz w:val="32"/>
          <w:szCs w:val="32"/>
          <w:lang w:bidi="ar"/>
        </w:rPr>
        <w:t>按照</w:t>
      </w:r>
      <w:r>
        <w:rPr>
          <w:rFonts w:hint="eastAsia" w:ascii="仿宋_GB2312" w:hAnsi="仿宋_GB2312" w:eastAsia="仿宋_GB2312" w:cs="仿宋_GB2312"/>
          <w:snapToGrid w:val="0"/>
          <w:kern w:val="0"/>
          <w:sz w:val="32"/>
          <w:szCs w:val="32"/>
          <w:lang w:bidi="ar"/>
        </w:rPr>
        <w:t>相关</w:t>
      </w:r>
      <w:r>
        <w:rPr>
          <w:rFonts w:ascii="仿宋_GB2312" w:hAnsi="仿宋_GB2312" w:eastAsia="仿宋_GB2312" w:cs="仿宋_GB2312"/>
          <w:snapToGrid w:val="0"/>
          <w:kern w:val="0"/>
          <w:sz w:val="32"/>
          <w:szCs w:val="32"/>
          <w:lang w:bidi="ar"/>
        </w:rPr>
        <w:t>要求开展场地的环境</w:t>
      </w:r>
      <w:r>
        <w:rPr>
          <w:rFonts w:hint="eastAsia" w:ascii="仿宋_GB2312" w:hAnsi="仿宋_GB2312" w:eastAsia="仿宋_GB2312" w:cs="仿宋_GB2312"/>
          <w:snapToGrid w:val="0"/>
          <w:kern w:val="0"/>
          <w:sz w:val="32"/>
          <w:szCs w:val="32"/>
          <w:lang w:bidi="ar"/>
        </w:rPr>
        <w:t>状况</w:t>
      </w:r>
      <w:r>
        <w:rPr>
          <w:rFonts w:ascii="仿宋_GB2312" w:hAnsi="仿宋_GB2312" w:eastAsia="仿宋_GB2312" w:cs="仿宋_GB2312"/>
          <w:snapToGrid w:val="0"/>
          <w:kern w:val="0"/>
          <w:sz w:val="32"/>
          <w:szCs w:val="32"/>
          <w:lang w:bidi="ar"/>
        </w:rPr>
        <w:t>调查和风险评估工作</w:t>
      </w:r>
      <w:r>
        <w:rPr>
          <w:rFonts w:hint="eastAsia" w:ascii="仿宋_GB2312" w:hAnsi="仿宋_GB2312" w:eastAsia="仿宋_GB2312" w:cs="仿宋_GB2312"/>
          <w:snapToGrid w:val="0"/>
          <w:kern w:val="0"/>
          <w:sz w:val="32"/>
          <w:szCs w:val="32"/>
          <w:lang w:bidi="ar"/>
        </w:rPr>
        <w:t>，根据调查和评估结果做好场地的遗留环境问题处置工作。</w:t>
      </w:r>
    </w:p>
    <w:p w14:paraId="5A9D7B00">
      <w:pPr>
        <w:pStyle w:val="19"/>
        <w:spacing w:line="520" w:lineRule="exact"/>
        <w:ind w:firstLine="640"/>
        <w:rPr>
          <w:rFonts w:hint="eastAsia" w:ascii="仿宋" w:hAnsi="仿宋" w:eastAsia="仿宋"/>
          <w:color w:val="FF0000"/>
          <w:sz w:val="32"/>
          <w:szCs w:val="28"/>
        </w:rPr>
      </w:pPr>
      <w:r>
        <w:rPr>
          <w:rFonts w:hint="eastAsia" w:ascii="仿宋" w:hAnsi="仿宋" w:eastAsia="仿宋"/>
          <w:sz w:val="32"/>
          <w:szCs w:val="28"/>
        </w:rPr>
        <w:t>三、严格落实污染物排放总量控制措施。本项目实施后污染物排放总量必须严格控制在以下指标内:化学需氧量</w:t>
      </w:r>
      <w:r>
        <w:rPr>
          <w:rFonts w:hint="eastAsia" w:ascii="东文宋体" w:hAnsi="东文宋体" w:eastAsia="东文宋体" w:cs="东文宋体"/>
          <w:color w:val="FF0000"/>
          <w:sz w:val="32"/>
          <w:szCs w:val="28"/>
        </w:rPr>
        <w:t>≤</w:t>
      </w:r>
      <w:r>
        <w:rPr>
          <w:rFonts w:hint="eastAsia" w:ascii="仿宋" w:hAnsi="仿宋" w:eastAsia="仿宋"/>
          <w:color w:val="FF0000"/>
          <w:sz w:val="32"/>
          <w:szCs w:val="28"/>
        </w:rPr>
        <w:t>0.91吨</w:t>
      </w:r>
      <w:r>
        <w:rPr>
          <w:rFonts w:hint="eastAsia" w:ascii="仿宋" w:hAnsi="仿宋" w:eastAsia="仿宋"/>
          <w:color w:val="FF0000"/>
          <w:sz w:val="32"/>
          <w:szCs w:val="28"/>
          <w:lang w:val="en-US" w:eastAsia="zh-CN"/>
        </w:rPr>
        <w:t>/</w:t>
      </w:r>
      <w:r>
        <w:rPr>
          <w:rFonts w:hint="eastAsia" w:ascii="仿宋" w:hAnsi="仿宋" w:eastAsia="仿宋"/>
          <w:color w:val="FF0000"/>
          <w:sz w:val="32"/>
          <w:szCs w:val="28"/>
        </w:rPr>
        <w:t>年、氨氮</w:t>
      </w:r>
      <w:r>
        <w:rPr>
          <w:rFonts w:hint="eastAsia" w:ascii="东文宋体" w:hAnsi="东文宋体" w:eastAsia="东文宋体" w:cs="东文宋体"/>
          <w:color w:val="FF0000"/>
          <w:sz w:val="32"/>
          <w:szCs w:val="28"/>
        </w:rPr>
        <w:t>≤</w:t>
      </w:r>
      <w:r>
        <w:rPr>
          <w:rFonts w:hint="eastAsia" w:ascii="仿宋" w:hAnsi="仿宋" w:eastAsia="仿宋"/>
          <w:color w:val="FF0000"/>
          <w:sz w:val="32"/>
          <w:szCs w:val="28"/>
        </w:rPr>
        <w:t>0.15吨/年、挥发性有机物</w:t>
      </w:r>
      <w:r>
        <w:rPr>
          <w:rFonts w:hint="eastAsia" w:ascii="东文宋体" w:hAnsi="东文宋体" w:eastAsia="东文宋体" w:cs="东文宋体"/>
          <w:color w:val="FF0000"/>
          <w:sz w:val="32"/>
          <w:szCs w:val="28"/>
        </w:rPr>
        <w:t>≤</w:t>
      </w:r>
      <w:r>
        <w:rPr>
          <w:rFonts w:hint="eastAsia" w:ascii="仿宋" w:hAnsi="仿宋" w:eastAsia="仿宋"/>
          <w:color w:val="FF0000"/>
          <w:sz w:val="32"/>
          <w:szCs w:val="28"/>
        </w:rPr>
        <w:t>15.54吨/年。</w:t>
      </w:r>
    </w:p>
    <w:p w14:paraId="10FBF7C8">
      <w:pPr>
        <w:pStyle w:val="15"/>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你公司须严格按照《排污许可管理条例》要求落实排污许可相关工作。项目建设必须严格执行配套的环境保护设施与主体工程同时设计、同时施工、同时投入使用的“三同时”制度。项目竣工后，按照相关规定做好环保竣工验收工作。《报告书》经批准后，该项目的性质、规模、地点、生产工艺或者防治污染、防止生态破坏的措施发生重大变动的，须重新报批环境影响报告书。自《报告书》批复文件批准之日起，如超过5年方决定工程开工建设的，环境影响报告书应当报我局重新审核。本项目“三同时”监督检查和事中、事后日常环境管理工作由衡阳市生态环境局松木分局具体负责，并按规定接受各级生态环境行政主管部门的监督检查。</w:t>
      </w:r>
      <w:r>
        <w:rPr>
          <w:rFonts w:hint="eastAsia" w:ascii="仿宋_GB2312" w:hAnsi="仿宋_GB2312" w:eastAsia="仿宋_GB2312" w:cs="仿宋_GB2312"/>
          <w:snapToGrid w:val="0"/>
          <w:sz w:val="32"/>
          <w:szCs w:val="32"/>
        </w:rPr>
        <w:br w:type="textWrapping"/>
      </w:r>
      <w:r>
        <w:rPr>
          <w:rFonts w:hint="eastAsia" w:ascii="仿宋_GB2312" w:hAnsi="仿宋_GB2312" w:eastAsia="仿宋_GB2312" w:cs="仿宋_GB2312"/>
          <w:snapToGrid w:val="0"/>
          <w:sz w:val="32"/>
          <w:szCs w:val="32"/>
        </w:rPr>
        <w:t xml:space="preserve">    你公司如对本批复不服，可以在收到决定书之日起六十日内依法向衡阳市人民政府申请行政复议，或者六个月内向衡阳铁路运输法院提起行政诉讼。</w:t>
      </w:r>
      <w:r>
        <w:rPr>
          <w:rFonts w:hint="eastAsia" w:ascii="仿宋_GB2312" w:hAnsi="仿宋_GB2312" w:eastAsia="仿宋_GB2312" w:cs="仿宋_GB2312"/>
          <w:snapToGrid w:val="0"/>
          <w:sz w:val="32"/>
          <w:szCs w:val="32"/>
        </w:rPr>
        <w:br w:type="textWrapping"/>
      </w:r>
      <w:r>
        <w:rPr>
          <w:rFonts w:hint="eastAsia" w:ascii="仿宋_GB2312" w:hAnsi="仿宋_GB2312" w:eastAsia="仿宋_GB2312" w:cs="仿宋_GB2312"/>
          <w:snapToGrid w:val="0"/>
          <w:sz w:val="32"/>
          <w:szCs w:val="32"/>
        </w:rPr>
        <w:t xml:space="preserve">  </w:t>
      </w:r>
    </w:p>
    <w:p w14:paraId="6BA9AB0E">
      <w:pPr>
        <w:pStyle w:val="19"/>
        <w:spacing w:line="520" w:lineRule="exact"/>
        <w:ind w:firstLine="640"/>
        <w:jc w:val="right"/>
        <w:rPr>
          <w:rFonts w:hint="eastAsia" w:ascii="仿宋" w:hAnsi="仿宋" w:eastAsia="仿宋"/>
          <w:sz w:val="32"/>
          <w:szCs w:val="28"/>
        </w:rPr>
      </w:pPr>
    </w:p>
    <w:p w14:paraId="53E86620">
      <w:pPr>
        <w:pStyle w:val="19"/>
        <w:wordWrap w:val="0"/>
        <w:spacing w:line="520" w:lineRule="exact"/>
        <w:ind w:firstLine="640"/>
        <w:jc w:val="right"/>
        <w:rPr>
          <w:rFonts w:hint="eastAsia" w:ascii="仿宋" w:hAnsi="仿宋" w:eastAsia="仿宋"/>
          <w:sz w:val="32"/>
          <w:szCs w:val="28"/>
        </w:rPr>
      </w:pPr>
      <w:r>
        <w:rPr>
          <w:rFonts w:hint="eastAsia" w:ascii="仿宋" w:hAnsi="仿宋" w:eastAsia="仿宋"/>
          <w:sz w:val="32"/>
          <w:szCs w:val="28"/>
        </w:rPr>
        <w:t xml:space="preserve">衡阳市生态环境局      </w:t>
      </w:r>
    </w:p>
    <w:p w14:paraId="648EAA4C">
      <w:pPr>
        <w:pStyle w:val="19"/>
        <w:wordWrap w:val="0"/>
        <w:spacing w:line="520" w:lineRule="exact"/>
        <w:ind w:firstLine="640"/>
        <w:jc w:val="right"/>
        <w:rPr>
          <w:rFonts w:hint="eastAsia" w:ascii="仿宋" w:hAnsi="仿宋" w:eastAsia="仿宋"/>
          <w:sz w:val="32"/>
          <w:szCs w:val="28"/>
        </w:rPr>
      </w:pPr>
      <w:r>
        <w:rPr>
          <w:rFonts w:hint="eastAsia" w:ascii="仿宋" w:hAnsi="仿宋" w:eastAsia="仿宋"/>
          <w:sz w:val="32"/>
          <w:szCs w:val="28"/>
        </w:rPr>
        <w:t>2025年2月</w:t>
      </w:r>
      <w:r>
        <w:rPr>
          <w:rFonts w:hint="eastAsia" w:ascii="仿宋" w:hAnsi="仿宋" w:eastAsia="仿宋"/>
          <w:sz w:val="32"/>
          <w:szCs w:val="28"/>
          <w:lang w:val="en-US" w:eastAsia="zh-CN"/>
        </w:rPr>
        <w:t>19</w:t>
      </w:r>
      <w:r>
        <w:rPr>
          <w:rFonts w:hint="eastAsia" w:ascii="仿宋" w:hAnsi="仿宋" w:eastAsia="仿宋"/>
          <w:sz w:val="32"/>
          <w:szCs w:val="28"/>
        </w:rPr>
        <w:t xml:space="preserve">日      </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309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37DB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A37DB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FF364"/>
    <w:multiLevelType w:val="singleLevel"/>
    <w:tmpl w:val="E73FF3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A5"/>
    <w:rsid w:val="000E56B9"/>
    <w:rsid w:val="00134E3A"/>
    <w:rsid w:val="001C3A89"/>
    <w:rsid w:val="00246B0D"/>
    <w:rsid w:val="00254586"/>
    <w:rsid w:val="002D6991"/>
    <w:rsid w:val="002E1EBD"/>
    <w:rsid w:val="00315A1D"/>
    <w:rsid w:val="004529AC"/>
    <w:rsid w:val="00472C02"/>
    <w:rsid w:val="00661FFB"/>
    <w:rsid w:val="006C3179"/>
    <w:rsid w:val="00717659"/>
    <w:rsid w:val="007C5418"/>
    <w:rsid w:val="007D7C55"/>
    <w:rsid w:val="008844D9"/>
    <w:rsid w:val="008C4F9D"/>
    <w:rsid w:val="009B17A6"/>
    <w:rsid w:val="00AA5B43"/>
    <w:rsid w:val="00BF2860"/>
    <w:rsid w:val="00C76C8A"/>
    <w:rsid w:val="00D17C95"/>
    <w:rsid w:val="00D5265D"/>
    <w:rsid w:val="00D621A5"/>
    <w:rsid w:val="00E440A1"/>
    <w:rsid w:val="00F038EF"/>
    <w:rsid w:val="148B2B26"/>
    <w:rsid w:val="2AC800F4"/>
    <w:rsid w:val="5A191F5F"/>
    <w:rsid w:val="7ADEF303"/>
    <w:rsid w:val="7FF7B2D0"/>
    <w:rsid w:val="ABF9494E"/>
    <w:rsid w:val="E7DBC79F"/>
    <w:rsid w:val="FD390A1A"/>
    <w:rsid w:val="FEBFF731"/>
    <w:rsid w:val="FFCF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2">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8"/>
    <w:unhideWhenUsed/>
    <w:qFormat/>
    <w:uiPriority w:val="99"/>
    <w:pPr>
      <w:tabs>
        <w:tab w:val="center" w:pos="4153"/>
        <w:tab w:val="right" w:pos="8306"/>
      </w:tabs>
      <w:snapToGrid w:val="0"/>
      <w:jc w:val="left"/>
    </w:pPr>
    <w:rPr>
      <w:sz w:val="18"/>
      <w:szCs w:val="18"/>
    </w:rPr>
  </w:style>
  <w:style w:type="paragraph" w:styleId="12">
    <w:name w:val="header"/>
    <w:basedOn w:val="1"/>
    <w:link w:val="4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9">
    <w:name w:val="易恒-正文"/>
    <w:basedOn w:val="1"/>
    <w:link w:val="20"/>
    <w:qFormat/>
    <w:uiPriority w:val="0"/>
    <w:pPr>
      <w:spacing w:line="360" w:lineRule="auto"/>
      <w:ind w:firstLine="200" w:firstLineChars="200"/>
    </w:pPr>
    <w:rPr>
      <w:rFonts w:ascii="Times New Roman" w:hAnsi="Times New Roman" w:eastAsia="宋体"/>
      <w:sz w:val="24"/>
    </w:rPr>
  </w:style>
  <w:style w:type="character" w:customStyle="1" w:styleId="20">
    <w:name w:val="易恒-正文 字符"/>
    <w:basedOn w:val="18"/>
    <w:link w:val="19"/>
    <w:qFormat/>
    <w:uiPriority w:val="0"/>
    <w:rPr>
      <w:rFonts w:ascii="Times New Roman" w:hAnsi="Times New Roman" w:eastAsia="宋体"/>
      <w:sz w:val="24"/>
    </w:rPr>
  </w:style>
  <w:style w:type="paragraph" w:customStyle="1" w:styleId="21">
    <w:name w:val="易恒-表头"/>
    <w:basedOn w:val="19"/>
    <w:next w:val="19"/>
    <w:link w:val="22"/>
    <w:qFormat/>
    <w:uiPriority w:val="0"/>
    <w:pPr>
      <w:ind w:firstLine="0" w:firstLineChars="0"/>
      <w:jc w:val="center"/>
    </w:pPr>
    <w:rPr>
      <w:b/>
    </w:rPr>
  </w:style>
  <w:style w:type="character" w:customStyle="1" w:styleId="22">
    <w:name w:val="易恒-表头 字符"/>
    <w:basedOn w:val="20"/>
    <w:link w:val="21"/>
    <w:qFormat/>
    <w:uiPriority w:val="0"/>
    <w:rPr>
      <w:rFonts w:ascii="Times New Roman" w:hAnsi="Times New Roman" w:eastAsia="宋体"/>
      <w:b/>
      <w:sz w:val="24"/>
    </w:rPr>
  </w:style>
  <w:style w:type="paragraph" w:customStyle="1" w:styleId="23">
    <w:name w:val="易恒-标题1"/>
    <w:basedOn w:val="3"/>
    <w:next w:val="19"/>
    <w:link w:val="24"/>
    <w:qFormat/>
    <w:uiPriority w:val="0"/>
    <w:pPr>
      <w:spacing w:before="0" w:after="0" w:line="360" w:lineRule="auto"/>
    </w:pPr>
    <w:rPr>
      <w:rFonts w:ascii="Times New Roman" w:hAnsi="Times New Roman" w:eastAsia="宋体"/>
      <w:sz w:val="28"/>
    </w:rPr>
  </w:style>
  <w:style w:type="character" w:customStyle="1" w:styleId="24">
    <w:name w:val="易恒-标题1 字符"/>
    <w:basedOn w:val="25"/>
    <w:link w:val="23"/>
    <w:qFormat/>
    <w:uiPriority w:val="0"/>
    <w:rPr>
      <w:rFonts w:ascii="Times New Roman" w:hAnsi="Times New Roman" w:eastAsia="宋体"/>
      <w:kern w:val="44"/>
      <w:sz w:val="28"/>
      <w:szCs w:val="44"/>
    </w:rPr>
  </w:style>
  <w:style w:type="character" w:customStyle="1" w:styleId="25">
    <w:name w:val="标题 1 字符"/>
    <w:basedOn w:val="18"/>
    <w:link w:val="3"/>
    <w:qFormat/>
    <w:uiPriority w:val="9"/>
    <w:rPr>
      <w:b/>
      <w:bCs/>
      <w:kern w:val="44"/>
      <w:sz w:val="44"/>
      <w:szCs w:val="44"/>
    </w:rPr>
  </w:style>
  <w:style w:type="paragraph" w:customStyle="1" w:styleId="26">
    <w:name w:val="易恒-标题2"/>
    <w:basedOn w:val="4"/>
    <w:next w:val="19"/>
    <w:link w:val="27"/>
    <w:qFormat/>
    <w:uiPriority w:val="0"/>
    <w:pPr>
      <w:spacing w:before="0" w:after="0" w:line="360" w:lineRule="auto"/>
    </w:pPr>
    <w:rPr>
      <w:rFonts w:ascii="Times New Roman" w:hAnsi="Times New Roman" w:eastAsia="宋体"/>
      <w:sz w:val="24"/>
    </w:rPr>
  </w:style>
  <w:style w:type="character" w:customStyle="1" w:styleId="27">
    <w:name w:val="易恒-标题2 字符"/>
    <w:basedOn w:val="28"/>
    <w:link w:val="26"/>
    <w:qFormat/>
    <w:uiPriority w:val="0"/>
    <w:rPr>
      <w:rFonts w:ascii="Times New Roman" w:hAnsi="Times New Roman" w:eastAsia="宋体" w:cstheme="majorBidi"/>
      <w:sz w:val="24"/>
      <w:szCs w:val="32"/>
    </w:rPr>
  </w:style>
  <w:style w:type="character" w:customStyle="1" w:styleId="28">
    <w:name w:val="标题 2 字符"/>
    <w:basedOn w:val="18"/>
    <w:link w:val="4"/>
    <w:semiHidden/>
    <w:qFormat/>
    <w:uiPriority w:val="9"/>
    <w:rPr>
      <w:rFonts w:asciiTheme="majorHAnsi" w:hAnsiTheme="majorHAnsi" w:eastAsiaTheme="majorEastAsia" w:cstheme="majorBidi"/>
      <w:b/>
      <w:bCs/>
      <w:sz w:val="32"/>
      <w:szCs w:val="32"/>
    </w:rPr>
  </w:style>
  <w:style w:type="paragraph" w:customStyle="1" w:styleId="29">
    <w:name w:val="易恒-表格"/>
    <w:basedOn w:val="19"/>
    <w:link w:val="30"/>
    <w:qFormat/>
    <w:uiPriority w:val="0"/>
    <w:pPr>
      <w:spacing w:line="240" w:lineRule="auto"/>
      <w:ind w:firstLine="0" w:firstLineChars="0"/>
    </w:pPr>
    <w:rPr>
      <w:szCs w:val="21"/>
    </w:rPr>
  </w:style>
  <w:style w:type="character" w:customStyle="1" w:styleId="30">
    <w:name w:val="易恒-表格 字符"/>
    <w:basedOn w:val="20"/>
    <w:link w:val="29"/>
    <w:qFormat/>
    <w:uiPriority w:val="0"/>
    <w:rPr>
      <w:rFonts w:ascii="Times New Roman" w:hAnsi="Times New Roman" w:eastAsia="宋体"/>
      <w:sz w:val="24"/>
      <w:szCs w:val="21"/>
    </w:rPr>
  </w:style>
  <w:style w:type="character" w:customStyle="1" w:styleId="3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18"/>
    <w:link w:val="2"/>
    <w:semiHidden/>
    <w:qFormat/>
    <w:uiPriority w:val="9"/>
    <w:rPr>
      <w:rFonts w:cstheme="majorBidi"/>
      <w:color w:val="104862" w:themeColor="accent1" w:themeShade="BF"/>
      <w:sz w:val="28"/>
      <w:szCs w:val="28"/>
    </w:rPr>
  </w:style>
  <w:style w:type="character" w:customStyle="1" w:styleId="33">
    <w:name w:val="标题 5 字符"/>
    <w:basedOn w:val="18"/>
    <w:link w:val="6"/>
    <w:semiHidden/>
    <w:qFormat/>
    <w:uiPriority w:val="9"/>
    <w:rPr>
      <w:rFonts w:cstheme="majorBidi"/>
      <w:color w:val="104862" w:themeColor="accent1" w:themeShade="BF"/>
      <w:sz w:val="24"/>
      <w:szCs w:val="24"/>
    </w:rPr>
  </w:style>
  <w:style w:type="character" w:customStyle="1" w:styleId="34">
    <w:name w:val="标题 6 字符"/>
    <w:basedOn w:val="18"/>
    <w:link w:val="7"/>
    <w:semiHidden/>
    <w:qFormat/>
    <w:uiPriority w:val="9"/>
    <w:rPr>
      <w:rFonts w:cstheme="majorBidi"/>
      <w:b/>
      <w:bCs/>
      <w:color w:val="104862" w:themeColor="accent1" w:themeShade="BF"/>
    </w:rPr>
  </w:style>
  <w:style w:type="character" w:customStyle="1" w:styleId="3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8"/>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18"/>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18"/>
    <w:link w:val="44"/>
    <w:qFormat/>
    <w:uiPriority w:val="30"/>
    <w:rPr>
      <w:i/>
      <w:iCs/>
      <w:color w:val="104862" w:themeColor="accent1" w:themeShade="BF"/>
    </w:rPr>
  </w:style>
  <w:style w:type="character" w:customStyle="1" w:styleId="46">
    <w:name w:val="明显参考1"/>
    <w:basedOn w:val="18"/>
    <w:qFormat/>
    <w:uiPriority w:val="32"/>
    <w:rPr>
      <w:b/>
      <w:bCs/>
      <w:smallCaps/>
      <w:color w:val="104862" w:themeColor="accent1" w:themeShade="BF"/>
      <w:spacing w:val="5"/>
    </w:rPr>
  </w:style>
  <w:style w:type="character" w:customStyle="1" w:styleId="47">
    <w:name w:val="页眉 字符"/>
    <w:basedOn w:val="18"/>
    <w:link w:val="12"/>
    <w:qFormat/>
    <w:uiPriority w:val="99"/>
    <w:rPr>
      <w:sz w:val="18"/>
      <w:szCs w:val="18"/>
    </w:rPr>
  </w:style>
  <w:style w:type="character" w:customStyle="1" w:styleId="48">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3591</Words>
  <Characters>3820</Characters>
  <Lines>28</Lines>
  <Paragraphs>7</Paragraphs>
  <TotalTime>21</TotalTime>
  <ScaleCrop>false</ScaleCrop>
  <LinksUpToDate>false</LinksUpToDate>
  <CharactersWithSpaces>3838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2025-01-23T17:26:00Z</dcterms:created>
  <dc:creator>2410801559@qq.com</dc:creator>
  <cp:lastModifiedBy>邓婷</cp:lastModifiedBy>
  <dcterms:modified xsi:type="dcterms:W3CDTF">2025-12-30T03:05:49Z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9B5F8E5B0DA04FF7AAEB32E1A274D19B_12</vt:lpwstr>
  </property>
  <property fmtid="{D5CDD505-2E9C-101B-9397-08002B2CF9AE}" pid="4" name="KSOTemplateDocerSaveRecord">
    <vt:lpwstr>eyJoZGlkIjoiZTY2MWM4MWY1Nzc3YTU2NWFiNzU3MWZmM2EwMGNkMjgiLCJ1c2VySWQiOiIxMDY5MjgzMDcxIn0=</vt:lpwstr>
  </property>
</Properties>
</file>