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490" w:lineRule="exact"/>
        <w:jc w:val="center"/>
        <w:rPr>
          <w:rFonts w:hint="eastAsia" w:ascii="方正小标宋简体" w:hAnsi="方正小标宋简体" w:eastAsia="方正小标宋简体" w:cs="方正小标宋简体"/>
          <w:b/>
          <w:color w:val="000000"/>
          <w:sz w:val="28"/>
          <w:szCs w:val="28"/>
          <w:u w:val="single"/>
        </w:rPr>
      </w:pPr>
    </w:p>
    <w:p>
      <w:pPr>
        <w:shd w:val="clear" w:color="auto" w:fill="FFFFFF" w:themeFill="background1"/>
        <w:spacing w:line="490" w:lineRule="exact"/>
        <w:jc w:val="center"/>
        <w:rPr>
          <w:rFonts w:hint="eastAsia" w:ascii="方正小标宋简体" w:hAnsi="方正小标宋简体" w:eastAsia="方正小标宋简体" w:cs="方正小标宋简体"/>
          <w:b/>
          <w:color w:val="000000"/>
          <w:kern w:val="0"/>
          <w:sz w:val="28"/>
          <w:szCs w:val="28"/>
        </w:rPr>
      </w:pPr>
      <w:bookmarkStart w:id="0" w:name="_GoBack"/>
      <w:r>
        <w:rPr>
          <w:rFonts w:hint="eastAsia" w:ascii="方正小标宋简体" w:hAnsi="方正小标宋简体" w:eastAsia="方正小标宋简体" w:cs="方正小标宋简体"/>
          <w:b/>
          <w:color w:val="000000"/>
          <w:sz w:val="28"/>
          <w:szCs w:val="28"/>
          <w:u w:val="single"/>
        </w:rPr>
        <w:t>S333、S213衡东县大桥经石湾至金花公路工程项目</w:t>
      </w:r>
      <w:r>
        <w:rPr>
          <w:rFonts w:hint="eastAsia" w:ascii="方正小标宋简体" w:hAnsi="方正小标宋简体" w:eastAsia="方正小标宋简体" w:cs="方正小标宋简体"/>
          <w:b/>
          <w:color w:val="000000"/>
          <w:kern w:val="0"/>
          <w:sz w:val="28"/>
          <w:szCs w:val="28"/>
        </w:rPr>
        <w:t>中标候选人公示</w:t>
      </w:r>
      <w:bookmarkEnd w:id="0"/>
    </w:p>
    <w:p>
      <w:pPr>
        <w:shd w:val="clear" w:color="auto" w:fill="FFFFFF" w:themeFill="background1"/>
        <w:spacing w:line="490" w:lineRule="exact"/>
        <w:jc w:val="center"/>
        <w:rPr>
          <w:rFonts w:hint="eastAsia" w:ascii="方正小标宋简体" w:hAnsi="方正小标宋简体" w:eastAsia="方正小标宋简体" w:cs="方正小标宋简体"/>
          <w:b/>
          <w:color w:val="000000"/>
          <w:kern w:val="0"/>
          <w:sz w:val="28"/>
          <w:szCs w:val="28"/>
        </w:rPr>
      </w:pPr>
    </w:p>
    <w:p>
      <w:pPr>
        <w:shd w:val="clear" w:color="auto" w:fill="FFFFFF" w:themeFill="background1"/>
        <w:spacing w:line="490" w:lineRule="exact"/>
        <w:ind w:firstLine="480" w:firstLineChars="200"/>
        <w:rPr>
          <w:rFonts w:ascii="宋体" w:hAnsi="宋体" w:eastAsia="宋体" w:cs="宋体"/>
          <w:bCs/>
          <w:color w:val="000000"/>
          <w:kern w:val="0"/>
          <w:sz w:val="24"/>
        </w:rPr>
      </w:pPr>
      <w:r>
        <w:rPr>
          <w:rFonts w:hint="eastAsia" w:ascii="宋体" w:hAnsi="宋体" w:eastAsia="宋体" w:cs="宋体"/>
          <w:bCs/>
          <w:color w:val="000000"/>
          <w:kern w:val="0"/>
          <w:sz w:val="24"/>
          <w:u w:val="single"/>
        </w:rPr>
        <w:t xml:space="preserve"> </w:t>
      </w:r>
      <w:r>
        <w:rPr>
          <w:rFonts w:ascii="宋体" w:hAnsi="宋体" w:eastAsia="宋体" w:cs="宋体"/>
          <w:color w:val="000000"/>
          <w:sz w:val="24"/>
          <w:u w:val="single"/>
        </w:rPr>
        <w:t>湖南智曜项目管理有限公司</w:t>
      </w:r>
      <w:r>
        <w:rPr>
          <w:rFonts w:hint="eastAsia" w:ascii="宋体" w:hAnsi="宋体" w:eastAsia="宋体" w:cs="宋体"/>
          <w:bCs/>
          <w:color w:val="000000"/>
          <w:kern w:val="0"/>
          <w:sz w:val="24"/>
        </w:rPr>
        <w:t>受</w:t>
      </w:r>
      <w:r>
        <w:rPr>
          <w:rFonts w:ascii="宋体" w:hAnsi="宋体" w:eastAsia="宋体" w:cs="宋体"/>
          <w:color w:val="000000"/>
          <w:sz w:val="24"/>
          <w:u w:val="single"/>
        </w:rPr>
        <w:t>衡东县城乡发展投资集团有限公司</w:t>
      </w:r>
      <w:r>
        <w:rPr>
          <w:rFonts w:hint="eastAsia" w:ascii="宋体" w:hAnsi="宋体" w:eastAsia="宋体" w:cs="宋体"/>
          <w:bCs/>
          <w:color w:val="000000"/>
          <w:kern w:val="0"/>
          <w:sz w:val="24"/>
        </w:rPr>
        <w:t>的委托，代理</w:t>
      </w:r>
      <w:r>
        <w:rPr>
          <w:rFonts w:ascii="宋体" w:hAnsi="宋体" w:eastAsia="宋体" w:cs="宋体"/>
          <w:color w:val="000000"/>
          <w:sz w:val="24"/>
          <w:u w:val="single"/>
        </w:rPr>
        <w:t>S333、S213衡东县大桥经石湾至金花公路工程项目一标段、二标段</w:t>
      </w:r>
      <w:r>
        <w:rPr>
          <w:rFonts w:hint="eastAsia" w:ascii="宋体" w:hAnsi="宋体" w:eastAsia="宋体" w:cs="宋体"/>
          <w:bCs/>
          <w:color w:val="000000"/>
          <w:kern w:val="0"/>
          <w:sz w:val="24"/>
        </w:rPr>
        <w:t>工程施工招标，</w:t>
      </w:r>
      <w:r>
        <w:rPr>
          <w:rFonts w:ascii="宋体" w:hAnsi="宋体" w:eastAsia="宋体" w:cs="宋体"/>
          <w:color w:val="000000"/>
          <w:sz w:val="24"/>
          <w:u w:val="single"/>
        </w:rPr>
        <w:t>2025年04月30日09时00分</w:t>
      </w:r>
      <w:r>
        <w:rPr>
          <w:rFonts w:hint="eastAsia" w:ascii="宋体" w:hAnsi="宋体" w:eastAsia="宋体" w:cs="宋体"/>
          <w:bCs/>
          <w:color w:val="000000"/>
          <w:kern w:val="0"/>
          <w:sz w:val="24"/>
        </w:rPr>
        <w:t>（北京时间）在</w:t>
      </w:r>
      <w:r>
        <w:rPr>
          <w:rFonts w:ascii="宋体" w:hAnsi="宋体" w:eastAsia="宋体" w:cs="宋体"/>
          <w:color w:val="000000"/>
          <w:sz w:val="24"/>
          <w:u w:val="single"/>
        </w:rPr>
        <w:t>衡阳市公共资源交易中心</w:t>
      </w:r>
      <w:r>
        <w:rPr>
          <w:rFonts w:hint="eastAsia" w:ascii="宋体" w:hAnsi="宋体" w:eastAsia="宋体" w:cs="宋体"/>
          <w:bCs/>
          <w:color w:val="000000"/>
          <w:kern w:val="0"/>
          <w:sz w:val="24"/>
        </w:rPr>
        <w:t>进行了公开开标，在</w:t>
      </w:r>
      <w:r>
        <w:rPr>
          <w:rFonts w:hint="eastAsia" w:ascii="宋体" w:hAnsi="宋体" w:eastAsia="宋体" w:cs="宋体"/>
          <w:bCs/>
          <w:color w:val="000000"/>
          <w:kern w:val="0"/>
          <w:sz w:val="24"/>
          <w:u w:val="single"/>
        </w:rPr>
        <w:t xml:space="preserve"> </w:t>
      </w:r>
      <w:r>
        <w:rPr>
          <w:rFonts w:ascii="宋体" w:hAnsi="宋体" w:eastAsia="宋体" w:cs="宋体"/>
          <w:color w:val="000000"/>
          <w:sz w:val="24"/>
          <w:u w:val="single"/>
        </w:rPr>
        <w:t>湖南省·衡阳市·市辖区·交通部门</w:t>
      </w:r>
      <w:r>
        <w:rPr>
          <w:rFonts w:hint="eastAsia" w:ascii="宋体" w:hAnsi="宋体" w:eastAsia="宋体" w:cs="宋体"/>
          <w:bCs/>
          <w:color w:val="000000"/>
          <w:kern w:val="0"/>
          <w:sz w:val="24"/>
          <w:u w:val="single"/>
        </w:rPr>
        <w:t xml:space="preserve"> </w:t>
      </w:r>
      <w:r>
        <w:rPr>
          <w:rFonts w:hint="eastAsia" w:ascii="宋体" w:hAnsi="宋体" w:eastAsia="宋体" w:cs="宋体"/>
          <w:bCs/>
          <w:color w:val="000000"/>
          <w:kern w:val="0"/>
          <w:sz w:val="24"/>
        </w:rPr>
        <w:t>监督下，依法组建的评标委员会按照招标文件确定的评标原则和评标办法进行了细致的评审，并推荐本项目中标候选人排名如下：</w:t>
      </w:r>
    </w:p>
    <w:tbl>
      <w:tblPr>
        <w:tblStyle w:val="2"/>
        <w:tblW w:w="508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88"/>
        <w:gridCol w:w="972"/>
        <w:gridCol w:w="893"/>
        <w:gridCol w:w="1969"/>
        <w:gridCol w:w="1846"/>
        <w:gridCol w:w="1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000" w:type="pct"/>
            <w:gridSpan w:val="6"/>
            <w:tcBorders>
              <w:tl2br w:val="nil"/>
              <w:tr2bl w:val="nil"/>
            </w:tcBorders>
            <w:tcMar>
              <w:left w:w="108" w:type="dxa"/>
              <w:right w:w="108" w:type="dxa"/>
            </w:tcMar>
            <w:vAlign w:val="center"/>
          </w:tcPr>
          <w:p>
            <w:pPr>
              <w:shd w:val="clear" w:color="auto" w:fill="FFFFFF" w:themeFill="background1"/>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S333、S213衡东县大桥经石湾至金花公路工程项目一标段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中标候选人</w:t>
            </w:r>
          </w:p>
        </w:tc>
        <w:tc>
          <w:tcPr>
            <w:tcW w:w="1136" w:type="pct"/>
            <w:tcBorders>
              <w:tl2br w:val="nil"/>
              <w:tr2bl w:val="nil"/>
            </w:tcBorders>
            <w:tcMar>
              <w:left w:w="108" w:type="dxa"/>
              <w:right w:w="108" w:type="dxa"/>
            </w:tcMar>
            <w:vAlign w:val="center"/>
          </w:tcPr>
          <w:p>
            <w:pPr>
              <w:shd w:val="clear" w:color="auto" w:fill="FFFFFF" w:themeFill="background1"/>
              <w:tabs>
                <w:tab w:val="left" w:pos="313"/>
                <w:tab w:val="center" w:pos="1366"/>
              </w:tabs>
              <w:spacing w:line="320" w:lineRule="exact"/>
              <w:jc w:val="center"/>
              <w:rPr>
                <w:rFonts w:ascii="宋体" w:hAnsi="宋体" w:eastAsia="宋体" w:cs="宋体"/>
                <w:color w:val="000000"/>
                <w:sz w:val="24"/>
              </w:rPr>
            </w:pPr>
            <w:r>
              <w:rPr>
                <w:rFonts w:hint="eastAsia" w:ascii="宋体" w:hAnsi="宋体" w:eastAsia="宋体" w:cs="宋体"/>
                <w:color w:val="000000"/>
                <w:sz w:val="24"/>
              </w:rPr>
              <w:t>第一中标</w:t>
            </w:r>
          </w:p>
          <w:p>
            <w:pPr>
              <w:shd w:val="clear" w:color="auto" w:fill="FFFFFF" w:themeFill="background1"/>
              <w:tabs>
                <w:tab w:val="left" w:pos="313"/>
                <w:tab w:val="center" w:pos="1366"/>
              </w:tabs>
              <w:spacing w:line="320" w:lineRule="exact"/>
              <w:jc w:val="center"/>
              <w:rPr>
                <w:rFonts w:ascii="宋体" w:hAnsi="宋体" w:eastAsia="宋体" w:cs="宋体"/>
                <w:color w:val="000000"/>
                <w:sz w:val="24"/>
              </w:rPr>
            </w:pPr>
            <w:r>
              <w:rPr>
                <w:rFonts w:hint="eastAsia" w:ascii="宋体" w:hAnsi="宋体" w:eastAsia="宋体" w:cs="宋体"/>
                <w:color w:val="000000"/>
                <w:sz w:val="24"/>
              </w:rPr>
              <w:t>候选人</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第二中标</w:t>
            </w:r>
          </w:p>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候选人</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第三中标</w:t>
            </w:r>
          </w:p>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候选人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中标候选人名称</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湖南金沙路桥建设有限公司</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中交中南工程局有限公司</w:t>
            </w:r>
          </w:p>
        </w:tc>
        <w:tc>
          <w:tcPr>
            <w:tcW w:w="1150"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中交一公局第一工程有限公司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投标报价（元）</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86788114.00</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86770618.00</w:t>
            </w:r>
          </w:p>
        </w:tc>
        <w:tc>
          <w:tcPr>
            <w:tcW w:w="1150"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86867614.00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质量目标</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合格工程</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合格工程</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合格工程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环保目标（如有）</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严格执行有关环境保护的法律法规和规章制度，确保： 符合环保相关法律法规要求。</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严格执行有关环境保护的法律法规和规章制度，确保： 符合环保相关法律法规要求</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严格执行有关环境保护的法律法规和规章制度，确保： 符合环保相关法律法规要求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安全目标（如有）</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严格执行有关安全生产的法律法规和规章制度，确保：无安全生产责任事故。</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严格执行有关安全生产的法律法规和规章制度，确保：无安全生产责任事故</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严格执行有关安全生产的法律法规和规章制度，确保：无安全生产责任事故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647"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工期（日历天）</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730</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730</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730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0"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详细评审得分情况</w:t>
            </w:r>
          </w:p>
        </w:tc>
        <w:tc>
          <w:tcPr>
            <w:tcW w:w="1076"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总分</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99.9</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99.86</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商务评分</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0.50</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0.50</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技术评分</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价格评分</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99.40</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99.36</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00" w:hRule="atLeast"/>
          <w:jc w:val="center"/>
        </w:trPr>
        <w:tc>
          <w:tcPr>
            <w:tcW w:w="570" w:type="pct"/>
            <w:tcBorders>
              <w:tl2br w:val="nil"/>
              <w:tr2bl w:val="nil"/>
            </w:tcBorders>
            <w:tcMar>
              <w:left w:w="108" w:type="dxa"/>
              <w:right w:w="108" w:type="dxa"/>
            </w:tcMar>
            <w:vAlign w:val="center"/>
          </w:tcPr>
          <w:p>
            <w:pPr>
              <w:shd w:val="clear" w:color="auto" w:fill="FFFFFF" w:themeFill="background1"/>
              <w:spacing w:line="320" w:lineRule="exact"/>
              <w:rPr>
                <w:rFonts w:ascii="宋体" w:hAnsi="宋体" w:eastAsia="宋体" w:cs="宋体"/>
                <w:color w:val="000000"/>
                <w:sz w:val="24"/>
              </w:rPr>
            </w:pPr>
            <w:r>
              <w:rPr>
                <w:rFonts w:hint="eastAsia" w:ascii="宋体" w:hAnsi="宋体" w:eastAsia="宋体" w:cs="宋体"/>
                <w:color w:val="000000"/>
                <w:sz w:val="24"/>
              </w:rPr>
              <w:t>投标人</w:t>
            </w:r>
          </w:p>
        </w:tc>
        <w:tc>
          <w:tcPr>
            <w:tcW w:w="1076"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工程业绩(如有)</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业绩1：项目名称：省道敦化至凤凰山公路敦化至额穆段施工,合同金额：18049.83万元,竣工日期：2024年01月10日;</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业绩1：项目名称：G575老爷庙口岸-巴里坤公路建设项目土建一标,合同金额：87621.64万元,竣工日期：2021年10月29日;</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业绩1：项目名称：G575老爷庙口岸-巴里坤公路建设项目（二期）,合同金额：47752.44万元,竣工日期：2023年08月31日;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0"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项目负责人（项目经理）</w:t>
            </w:r>
          </w:p>
        </w:tc>
        <w:tc>
          <w:tcPr>
            <w:tcW w:w="1076" w:type="pct"/>
            <w:gridSpan w:val="2"/>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陈雪梅</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牛亮</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刘军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建造师证书（专业、级别）</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注册一级建造师</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注册一级建造师</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注册一级建造师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8"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restar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职称证书（如有） </w:t>
            </w:r>
          </w:p>
        </w:tc>
        <w:tc>
          <w:tcPr>
            <w:tcW w:w="515" w:type="pct"/>
            <w:tcBorders>
              <w:bottom w:val="single" w:color="auto" w:sz="4" w:space="0"/>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专业</w:t>
            </w:r>
          </w:p>
        </w:tc>
        <w:tc>
          <w:tcPr>
            <w:tcW w:w="1136" w:type="pct"/>
            <w:tcBorders>
              <w:bottom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hint="eastAsia" w:ascii="宋体" w:hAnsi="宋体" w:eastAsia="宋体" w:cs="宋体"/>
                <w:color w:val="000000"/>
                <w:sz w:val="24"/>
              </w:rPr>
              <w:t>公路工程相关专业</w:t>
            </w:r>
          </w:p>
        </w:tc>
        <w:tc>
          <w:tcPr>
            <w:tcW w:w="1065" w:type="pct"/>
            <w:tcBorders>
              <w:bottom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hint="eastAsia" w:ascii="宋体" w:hAnsi="宋体" w:eastAsia="宋体" w:cs="宋体"/>
                <w:color w:val="000000"/>
                <w:sz w:val="24"/>
              </w:rPr>
              <w:t>公路工程相关专业</w:t>
            </w:r>
          </w:p>
        </w:tc>
        <w:tc>
          <w:tcPr>
            <w:tcW w:w="1150" w:type="pct"/>
            <w:tcBorders>
              <w:bottom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hint="eastAsia" w:ascii="宋体" w:hAnsi="宋体" w:eastAsia="宋体" w:cs="宋体"/>
                <w:color w:val="000000"/>
                <w:sz w:val="24"/>
              </w:rPr>
              <w:t>公路工程相关专业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continue"/>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p>
        </w:tc>
        <w:tc>
          <w:tcPr>
            <w:tcW w:w="515" w:type="pct"/>
            <w:tcBorders>
              <w:top w:val="single" w:color="auto" w:sz="4" w:space="0"/>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级别</w:t>
            </w:r>
          </w:p>
        </w:tc>
        <w:tc>
          <w:tcPr>
            <w:tcW w:w="1136" w:type="pct"/>
            <w:tcBorders>
              <w:top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hint="eastAsia" w:ascii="宋体" w:hAnsi="宋体" w:eastAsia="宋体" w:cs="宋体"/>
                <w:color w:val="000000"/>
                <w:sz w:val="24"/>
              </w:rPr>
              <w:t>中级</w:t>
            </w:r>
          </w:p>
        </w:tc>
        <w:tc>
          <w:tcPr>
            <w:tcW w:w="1065" w:type="pct"/>
            <w:tcBorders>
              <w:top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hint="eastAsia" w:ascii="宋体" w:hAnsi="宋体" w:eastAsia="宋体" w:cs="宋体"/>
                <w:color w:val="000000"/>
                <w:sz w:val="24"/>
              </w:rPr>
              <w:t>中级</w:t>
            </w:r>
          </w:p>
        </w:tc>
        <w:tc>
          <w:tcPr>
            <w:tcW w:w="1150" w:type="pct"/>
            <w:tcBorders>
              <w:top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hint="eastAsia" w:ascii="宋体" w:hAnsi="宋体" w:eastAsia="宋体" w:cs="宋体"/>
                <w:color w:val="000000"/>
                <w:sz w:val="24"/>
              </w:rPr>
              <w:t>高级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工程业绩(如有)</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0"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技术负责人或总工程师（如有）</w:t>
            </w:r>
          </w:p>
        </w:tc>
        <w:tc>
          <w:tcPr>
            <w:tcW w:w="1076" w:type="pct"/>
            <w:gridSpan w:val="2"/>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邓凯燕</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杜鑫</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刘攀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restar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相关证书</w:t>
            </w:r>
          </w:p>
        </w:tc>
        <w:tc>
          <w:tcPr>
            <w:tcW w:w="51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名称</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安全生产考核合格证(B证)</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安全生产考核合格证(B证)</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continue"/>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p>
        </w:tc>
        <w:tc>
          <w:tcPr>
            <w:tcW w:w="51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级别</w:t>
            </w:r>
          </w:p>
        </w:tc>
        <w:tc>
          <w:tcPr>
            <w:tcW w:w="1136"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高级</w:t>
            </w:r>
          </w:p>
        </w:tc>
        <w:tc>
          <w:tcPr>
            <w:tcW w:w="1065"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高级</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高级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0"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 xml:space="preserve"> 投标担保信息</w:t>
            </w:r>
          </w:p>
        </w:tc>
        <w:tc>
          <w:tcPr>
            <w:tcW w:w="1076"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担保方式</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保函</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保函</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保函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担保机构</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国任财产保险股份有限公司湖南分公司</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紫金财产保险股份有限公司</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阳光财产保险股份有限公司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经营地址</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长沙市芙蓉区韶山北路28号长沙长城宾馆11楼1128-1139房</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江苏省南京市建邺区江东中路373 号</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湖南省岳阳市岳阳楼区康王工业园奇康路26号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570"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076"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联系电话</w:t>
            </w:r>
          </w:p>
        </w:tc>
        <w:tc>
          <w:tcPr>
            <w:tcW w:w="1136"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18674866500</w:t>
            </w:r>
          </w:p>
        </w:tc>
        <w:tc>
          <w:tcPr>
            <w:tcW w:w="1065"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95312</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95510</w:t>
            </w:r>
          </w:p>
        </w:tc>
      </w:tr>
    </w:tbl>
    <w:p>
      <w:pPr>
        <w:shd w:val="clear" w:color="auto" w:fill="FFFFFF" w:themeFill="background1"/>
        <w:spacing w:line="490" w:lineRule="exact"/>
        <w:ind w:firstLine="481" w:firstLineChars="200"/>
        <w:jc w:val="center"/>
        <w:rPr>
          <w:rFonts w:hint="eastAsia" w:ascii="宋体" w:hAnsi="宋体" w:eastAsia="宋体" w:cs="宋体"/>
          <w:b/>
          <w:bCs/>
          <w:color w:val="000000"/>
          <w:sz w:val="24"/>
          <w:shd w:val="clear" w:color="auto" w:fill="FFFFFF"/>
        </w:rPr>
      </w:pPr>
    </w:p>
    <w:p>
      <w:pPr>
        <w:shd w:val="clear" w:color="auto" w:fill="FFFFFF" w:themeFill="background1"/>
        <w:spacing w:line="490" w:lineRule="exact"/>
        <w:ind w:firstLine="481" w:firstLineChars="200"/>
        <w:jc w:val="center"/>
        <w:rPr>
          <w:rFonts w:hint="eastAsia" w:ascii="宋体" w:hAnsi="宋体" w:eastAsia="宋体" w:cs="宋体"/>
          <w:b/>
          <w:bCs/>
          <w:color w:val="000000"/>
          <w:sz w:val="24"/>
          <w:shd w:val="clear" w:color="auto" w:fill="FFFFFF"/>
        </w:rPr>
      </w:pPr>
    </w:p>
    <w:p>
      <w:pPr>
        <w:shd w:val="clear" w:color="auto" w:fill="FFFFFF" w:themeFill="background1"/>
        <w:spacing w:line="490" w:lineRule="exact"/>
        <w:ind w:firstLine="481" w:firstLineChars="200"/>
        <w:jc w:val="center"/>
        <w:rPr>
          <w:rFonts w:hint="eastAsia" w:ascii="宋体" w:hAnsi="宋体" w:eastAsia="宋体" w:cs="宋体"/>
          <w:b/>
          <w:bCs/>
          <w:color w:val="000000"/>
          <w:sz w:val="24"/>
          <w:shd w:val="clear" w:color="auto" w:fill="FFFFFF"/>
        </w:rPr>
      </w:pPr>
    </w:p>
    <w:p>
      <w:pPr>
        <w:shd w:val="clear" w:color="auto" w:fill="FFFFFF" w:themeFill="background1"/>
        <w:spacing w:line="490" w:lineRule="exact"/>
        <w:ind w:firstLine="481" w:firstLineChars="200"/>
        <w:jc w:val="center"/>
        <w:rPr>
          <w:rFonts w:hint="eastAsia" w:ascii="宋体" w:hAnsi="宋体" w:eastAsia="宋体" w:cs="宋体"/>
          <w:b/>
          <w:bCs/>
          <w:color w:val="000000"/>
          <w:sz w:val="24"/>
          <w:shd w:val="clear" w:color="auto" w:fill="FFFFFF"/>
        </w:rPr>
      </w:pPr>
    </w:p>
    <w:p>
      <w:pPr>
        <w:shd w:val="clear" w:color="auto" w:fill="FFFFFF" w:themeFill="background1"/>
        <w:spacing w:line="490" w:lineRule="exact"/>
        <w:ind w:firstLine="481" w:firstLineChars="200"/>
        <w:jc w:val="center"/>
        <w:rPr>
          <w:rFonts w:ascii="宋体" w:hAnsi="宋体" w:eastAsia="宋体" w:cs="宋体"/>
          <w:color w:val="000000"/>
          <w:kern w:val="0"/>
          <w:sz w:val="24"/>
        </w:rPr>
      </w:pPr>
      <w:r>
        <w:rPr>
          <w:rFonts w:hint="eastAsia" w:ascii="宋体" w:hAnsi="宋体" w:eastAsia="宋体" w:cs="宋体"/>
          <w:b/>
          <w:bCs/>
          <w:color w:val="000000"/>
          <w:sz w:val="24"/>
          <w:shd w:val="clear" w:color="auto" w:fill="FFFFFF"/>
        </w:rPr>
        <w:t>S333、S213衡东县大桥经石湾至金花公路工程项目一标段被否决投标的投标人情况：</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050"/>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b/>
                <w:bCs/>
                <w:color w:val="000000"/>
                <w:kern w:val="0"/>
                <w:sz w:val="24"/>
                <w:shd w:val="clear" w:color="auto" w:fill="FFFFFF"/>
                <w:lang w:eastAsia="en-US"/>
              </w:rPr>
            </w:pPr>
            <w:r>
              <w:rPr>
                <w:rFonts w:ascii="宋体" w:hAnsi="宋体" w:eastAsia="宋体" w:cs="宋体"/>
                <w:color w:val="000000"/>
                <w:kern w:val="0"/>
                <w:sz w:val="24"/>
                <w:lang w:eastAsia="en-US"/>
              </w:rPr>
              <w:t>序号</w:t>
            </w:r>
          </w:p>
        </w:tc>
        <w:tc>
          <w:tcPr>
            <w:tcW w:w="1203" w:type="pct"/>
            <w:vAlign w:val="center"/>
          </w:tcPr>
          <w:p>
            <w:pPr>
              <w:shd w:val="clear" w:color="auto" w:fill="FFFFFF" w:themeFill="background1"/>
              <w:spacing w:line="360" w:lineRule="auto"/>
              <w:jc w:val="center"/>
              <w:rPr>
                <w:rFonts w:ascii="宋体" w:hAnsi="宋体" w:eastAsia="宋体" w:cs="宋体"/>
                <w:b/>
                <w:bCs/>
                <w:color w:val="000000"/>
                <w:kern w:val="0"/>
                <w:sz w:val="24"/>
                <w:shd w:val="clear" w:color="auto" w:fill="FFFFFF"/>
                <w:lang w:eastAsia="en-US"/>
              </w:rPr>
            </w:pPr>
            <w:r>
              <w:rPr>
                <w:rFonts w:hint="eastAsia" w:ascii="宋体" w:hAnsi="宋体" w:eastAsia="宋体" w:cs="宋体"/>
                <w:color w:val="000000"/>
                <w:kern w:val="2"/>
                <w:sz w:val="24"/>
                <w:lang w:eastAsia="zh-CN"/>
              </w:rPr>
              <w:t>投标人名称</w:t>
            </w:r>
          </w:p>
        </w:tc>
        <w:tc>
          <w:tcPr>
            <w:tcW w:w="3137" w:type="pct"/>
            <w:vAlign w:val="center"/>
          </w:tcPr>
          <w:p>
            <w:pPr>
              <w:shd w:val="clear" w:color="auto" w:fill="FFFFFF" w:themeFill="background1"/>
              <w:spacing w:line="360" w:lineRule="auto"/>
              <w:jc w:val="center"/>
              <w:rPr>
                <w:rFonts w:ascii="宋体" w:hAnsi="宋体" w:eastAsia="宋体" w:cs="宋体"/>
                <w:b/>
                <w:bCs/>
                <w:color w:val="000000"/>
                <w:kern w:val="0"/>
                <w:sz w:val="24"/>
                <w:shd w:val="clear" w:color="auto" w:fill="FFFFFF"/>
                <w:lang w:eastAsia="en-US"/>
              </w:rPr>
            </w:pPr>
            <w:r>
              <w:rPr>
                <w:rFonts w:hint="eastAsia" w:ascii="宋体" w:hAnsi="宋体" w:eastAsia="宋体" w:cs="宋体"/>
                <w:color w:val="000000"/>
                <w:kern w:val="2"/>
                <w:sz w:val="24"/>
                <w:lang w:eastAsia="zh-CN"/>
              </w:rPr>
              <w:t>否决依据和原因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中交第三航务工程局有限公司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1.7 投标报价有错误的，评标委员会按评标办法中的有关规定要求投标人对投标报价进行修正，并要求投标人作出澄清确认，投标人拒不澄清确认的。清标结果有错误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宜昌富强工程有限责任公司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中铁二局集团有限公司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在形式评审、资格评审、响应性评审中，评标委员会认定投标文件不符合评标办法前附表规定的任何一项评审标准的。证件载明有效期符合资格要求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4</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长沙市公路桥梁建设有限责任公司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5</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安徽省交通建设股份有限公司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6</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湖南佳林建设集团有限公司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7</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邢台路桥建设集团有限公司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8</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哈尔滨市公路工程有限责任公司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1.7 投标报价有错误的，评标委员会按评标办法中的有关规定要求投标人对投标报价进行修正，并要求投标人作出澄清确认，投标人拒不澄清确认的。清标结果有错误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9</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云南省建设投资控股集团有限公司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10</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湖南发通路桥集团有限公司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11</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中交一公局第七工程有限公司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12</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中铁十一局集团有限公司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13</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山西路桥第五工程有限公司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14</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湖南景世交通建设有限公司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湖南省交建工程集团有限公司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16</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安徽省华通路桥工程有限责任公司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17</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天津路桥建设工程有限公司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18</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中交第四航务工程局有限公司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19</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湖南省富厚交通工程建设有限公司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20</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中铁五局集团有限公司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21</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安徽路达公路工程有限责任公司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22</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贵州桥梁建设集团有限责任公司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23</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贵州路桥集团有限公司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24</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中铁六局集团有限公司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25</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乾元建设集团（延吉）有限公司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26</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四川路桥华东建设有限责任公司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27</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四川志德公路工程有限责任公司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28</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大连力和公路工程有限公司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29</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湖南省通衢兴路建设有限公司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30</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山东交工建设集团有限公司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31</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申成路桥建设集团有限公司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在形式评审、资格评审、响应性评审中，评标委员会认定投标文件不符合评标办法前附表规定的任何一项评审标准的。职称合格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32</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南通市江海公路工程有限公司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33</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黄山新洲建设集团有限公司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34</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安徽巢湖路桥建设集团有限公司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35</w:t>
            </w:r>
          </w:p>
        </w:tc>
        <w:tc>
          <w:tcPr>
            <w:tcW w:w="1203"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郑州市路通公路建设有限公司</w:t>
            </w:r>
          </w:p>
        </w:tc>
        <w:tc>
          <w:tcPr>
            <w:tcW w:w="313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bl>
    <w:p>
      <w:pPr>
        <w:shd w:val="clear" w:color="auto" w:fill="FFFFFF" w:themeFill="background1"/>
        <w:spacing w:line="360" w:lineRule="auto"/>
        <w:ind w:firstLine="480" w:firstLineChars="200"/>
        <w:rPr>
          <w:rFonts w:ascii="宋体" w:hAnsi="宋体" w:eastAsia="宋体" w:cs="宋体"/>
          <w:color w:val="000000"/>
          <w:kern w:val="0"/>
          <w:sz w:val="24"/>
        </w:rPr>
      </w:pPr>
    </w:p>
    <w:p>
      <w:pPr>
        <w:shd w:val="clear" w:color="auto" w:fill="FFFFFF" w:themeFill="background1"/>
        <w:spacing w:line="360" w:lineRule="auto"/>
        <w:ind w:firstLine="480" w:firstLineChars="200"/>
        <w:rPr>
          <w:rFonts w:ascii="宋体" w:hAnsi="宋体" w:eastAsia="宋体" w:cs="宋体"/>
          <w:color w:val="000000"/>
          <w:kern w:val="0"/>
          <w:sz w:val="24"/>
        </w:rPr>
      </w:pPr>
    </w:p>
    <w:tbl>
      <w:tblPr>
        <w:tblStyle w:val="2"/>
        <w:tblW w:w="508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88"/>
        <w:gridCol w:w="972"/>
        <w:gridCol w:w="1249"/>
        <w:gridCol w:w="1739"/>
        <w:gridCol w:w="1720"/>
        <w:gridCol w:w="1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000" w:type="pct"/>
            <w:gridSpan w:val="6"/>
            <w:tcBorders>
              <w:tl2br w:val="nil"/>
              <w:tr2bl w:val="nil"/>
            </w:tcBorders>
            <w:tcMar>
              <w:left w:w="108" w:type="dxa"/>
              <w:right w:w="108" w:type="dxa"/>
            </w:tcMar>
            <w:vAlign w:val="center"/>
          </w:tcPr>
          <w:p>
            <w:pPr>
              <w:shd w:val="clear" w:color="auto" w:fill="FFFFFF" w:themeFill="background1"/>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S333、S213衡东县大桥经石湾至金花公路工程项目二标段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中标候选人</w:t>
            </w:r>
          </w:p>
        </w:tc>
        <w:tc>
          <w:tcPr>
            <w:tcW w:w="1004" w:type="pct"/>
            <w:tcBorders>
              <w:tl2br w:val="nil"/>
              <w:tr2bl w:val="nil"/>
            </w:tcBorders>
            <w:tcMar>
              <w:left w:w="108" w:type="dxa"/>
              <w:right w:w="108" w:type="dxa"/>
            </w:tcMar>
            <w:vAlign w:val="center"/>
          </w:tcPr>
          <w:p>
            <w:pPr>
              <w:shd w:val="clear" w:color="auto" w:fill="FFFFFF" w:themeFill="background1"/>
              <w:tabs>
                <w:tab w:val="left" w:pos="313"/>
                <w:tab w:val="center" w:pos="1366"/>
              </w:tabs>
              <w:spacing w:line="320" w:lineRule="exact"/>
              <w:jc w:val="center"/>
              <w:rPr>
                <w:rFonts w:ascii="宋体" w:hAnsi="宋体" w:eastAsia="宋体" w:cs="宋体"/>
                <w:color w:val="000000"/>
                <w:sz w:val="24"/>
              </w:rPr>
            </w:pPr>
            <w:r>
              <w:rPr>
                <w:rFonts w:hint="eastAsia" w:ascii="宋体" w:hAnsi="宋体" w:eastAsia="宋体" w:cs="宋体"/>
                <w:color w:val="000000"/>
                <w:sz w:val="24"/>
              </w:rPr>
              <w:t>第一中标</w:t>
            </w:r>
          </w:p>
          <w:p>
            <w:pPr>
              <w:shd w:val="clear" w:color="auto" w:fill="FFFFFF" w:themeFill="background1"/>
              <w:tabs>
                <w:tab w:val="left" w:pos="313"/>
                <w:tab w:val="center" w:pos="1366"/>
              </w:tabs>
              <w:spacing w:line="320" w:lineRule="exact"/>
              <w:jc w:val="center"/>
              <w:rPr>
                <w:rFonts w:ascii="宋体" w:hAnsi="宋体" w:eastAsia="宋体" w:cs="宋体"/>
                <w:color w:val="000000"/>
                <w:sz w:val="24"/>
              </w:rPr>
            </w:pPr>
            <w:r>
              <w:rPr>
                <w:rFonts w:hint="eastAsia" w:ascii="宋体" w:hAnsi="宋体" w:eastAsia="宋体" w:cs="宋体"/>
                <w:color w:val="000000"/>
                <w:sz w:val="24"/>
              </w:rPr>
              <w:t>候选人</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第二中标</w:t>
            </w:r>
          </w:p>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候选人</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第三中标</w:t>
            </w:r>
          </w:p>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候选人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中标候选人名称</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浙江鼎盛交通建设有限公司</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中冶交通建设集团有限公司</w:t>
            </w:r>
          </w:p>
        </w:tc>
        <w:tc>
          <w:tcPr>
            <w:tcW w:w="1150"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安徽丰林建设工程有限公司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投标报价（元）</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110941623.00</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110693368.00</w:t>
            </w:r>
          </w:p>
        </w:tc>
        <w:tc>
          <w:tcPr>
            <w:tcW w:w="1150"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110654071.00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质量目标</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质量要求：合格工程  保修要求：自实际交工日期起计算5年</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质量要求：合格工程，保修要求：自实际交工日期起计算5年</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质量要求：合格工程；保修要求：自实际交工日期起计算 5 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环保目标（如有）</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严格执行有关环境保护的法律法规和规章制度，确保： 符合环保相关法律法规要求。</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严格执行有关环境保护的法律法规和规章制度，确保：符合环保相关法律法规要求</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严格执行有关环境保护的法律法规和规章制度，确保： 符合环保相关法律法规要求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安全目标（如有）</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严格执行有关安全生产的法律法规和规章制度，确保：无安全生产责任事故。</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严格执行有关安全生产的法律法规和规章制度，确保：无安全生产责任事故</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严格执行有关安全生产的法律法规和规章制度，确保：无安全生产责任事故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1853" w:type="pct"/>
            <w:gridSpan w:val="3"/>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工期（日历天）</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730</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730</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730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详细评审得分情况</w:t>
            </w:r>
          </w:p>
        </w:tc>
        <w:tc>
          <w:tcPr>
            <w:tcW w:w="1282"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总分</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99.95</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99.38</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商务评分</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0.50</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0.30</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0.36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技术评分</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3"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价格评分</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99.45</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99.08</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99.01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00" w:hRule="atLeast"/>
          <w:jc w:val="center"/>
        </w:trPr>
        <w:tc>
          <w:tcPr>
            <w:tcW w:w="571" w:type="pct"/>
            <w:tcBorders>
              <w:tl2br w:val="nil"/>
              <w:tr2bl w:val="nil"/>
            </w:tcBorders>
            <w:tcMar>
              <w:left w:w="108" w:type="dxa"/>
              <w:right w:w="108" w:type="dxa"/>
            </w:tcMar>
            <w:vAlign w:val="center"/>
          </w:tcPr>
          <w:p>
            <w:pPr>
              <w:shd w:val="clear" w:color="auto" w:fill="FFFFFF" w:themeFill="background1"/>
              <w:spacing w:line="320" w:lineRule="exact"/>
              <w:rPr>
                <w:rFonts w:hint="eastAsia" w:ascii="宋体" w:hAnsi="宋体" w:eastAsia="宋体" w:cs="宋体"/>
                <w:color w:val="000000"/>
                <w:sz w:val="24"/>
              </w:rPr>
            </w:pPr>
          </w:p>
          <w:p>
            <w:pPr>
              <w:shd w:val="clear" w:color="auto" w:fill="FFFFFF" w:themeFill="background1"/>
              <w:spacing w:line="320" w:lineRule="exact"/>
              <w:jc w:val="center"/>
              <w:rPr>
                <w:rFonts w:ascii="宋体" w:hAnsi="宋体" w:eastAsia="宋体" w:cs="宋体"/>
                <w:color w:val="000000"/>
                <w:sz w:val="24"/>
              </w:rPr>
            </w:pPr>
          </w:p>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投标人</w:t>
            </w:r>
          </w:p>
        </w:tc>
        <w:tc>
          <w:tcPr>
            <w:tcW w:w="1282" w:type="pct"/>
            <w:gridSpan w:val="2"/>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工程业绩(如有)</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业绩1：项目名称：萍乡至莲花高速公路建设项目,合同金额：59066.34万元,竣工日期：2021年08月15日;</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业绩1：项目名称：国道G570金昌（下四分）至永昌及省道S212线红沙岗至下四分段一级公路改建工程（二期工程）,合同金额：24885.20万元,竣工日期：2021年12月31日;</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业绩1：项目名称：G318宣城段美丽公路建设工程二标段,合同金额：4564.64万元,竣工日期：2023年12月18日;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项目负责人（项目经理）</w:t>
            </w:r>
          </w:p>
        </w:tc>
        <w:tc>
          <w:tcPr>
            <w:tcW w:w="1282" w:type="pct"/>
            <w:gridSpan w:val="2"/>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王康</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窦月彬</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杨观迎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建造师证书（专业、级别）</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注册一级建造师</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注册一级建造师</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注册一级建造师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8"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restar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职称证书（如有） </w:t>
            </w:r>
          </w:p>
        </w:tc>
        <w:tc>
          <w:tcPr>
            <w:tcW w:w="721" w:type="pct"/>
            <w:tcBorders>
              <w:bottom w:val="single" w:color="auto" w:sz="4" w:space="0"/>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专业</w:t>
            </w:r>
          </w:p>
        </w:tc>
        <w:tc>
          <w:tcPr>
            <w:tcW w:w="1004" w:type="pct"/>
            <w:tcBorders>
              <w:bottom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ascii="宋体" w:hAnsi="宋体" w:eastAsia="宋体" w:cs="宋体"/>
                <w:color w:val="000000"/>
                <w:sz w:val="24"/>
              </w:rPr>
              <w:t>公路工程相关专业</w:t>
            </w:r>
          </w:p>
        </w:tc>
        <w:tc>
          <w:tcPr>
            <w:tcW w:w="993" w:type="pct"/>
            <w:tcBorders>
              <w:bottom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ascii="宋体" w:hAnsi="宋体" w:eastAsia="宋体" w:cs="宋体"/>
                <w:color w:val="000000"/>
                <w:sz w:val="24"/>
              </w:rPr>
              <w:t>公路工程相关专业</w:t>
            </w:r>
          </w:p>
        </w:tc>
        <w:tc>
          <w:tcPr>
            <w:tcW w:w="1150" w:type="pct"/>
            <w:tcBorders>
              <w:bottom w:val="single" w:color="auto" w:sz="4" w:space="0"/>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公路工程相关专业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continue"/>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p>
        </w:tc>
        <w:tc>
          <w:tcPr>
            <w:tcW w:w="721" w:type="pct"/>
            <w:tcBorders>
              <w:top w:val="single" w:color="auto" w:sz="4" w:space="0"/>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级别</w:t>
            </w:r>
          </w:p>
        </w:tc>
        <w:tc>
          <w:tcPr>
            <w:tcW w:w="1004" w:type="pct"/>
            <w:tcBorders>
              <w:top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ascii="宋体" w:hAnsi="宋体" w:eastAsia="宋体" w:cs="宋体"/>
                <w:color w:val="000000"/>
                <w:sz w:val="24"/>
              </w:rPr>
              <w:t>高级</w:t>
            </w:r>
          </w:p>
        </w:tc>
        <w:tc>
          <w:tcPr>
            <w:tcW w:w="993" w:type="pct"/>
            <w:tcBorders>
              <w:top w:val="single" w:color="auto" w:sz="4" w:space="0"/>
              <w:tl2br w:val="nil"/>
              <w:tr2bl w:val="nil"/>
            </w:tcBorders>
            <w:tcMar>
              <w:left w:w="108" w:type="dxa"/>
              <w:right w:w="108" w:type="dxa"/>
            </w:tcMar>
            <w:vAlign w:val="center"/>
          </w:tcPr>
          <w:p>
            <w:pPr>
              <w:widowControl/>
              <w:shd w:val="clear" w:color="auto" w:fill="FFFFFF" w:themeFill="background1"/>
              <w:jc w:val="center"/>
              <w:rPr>
                <w:rFonts w:ascii="宋体" w:hAnsi="宋体" w:eastAsia="宋体" w:cs="宋体"/>
                <w:color w:val="000000"/>
                <w:sz w:val="24"/>
              </w:rPr>
            </w:pPr>
            <w:r>
              <w:rPr>
                <w:rFonts w:ascii="宋体" w:hAnsi="宋体" w:eastAsia="宋体" w:cs="宋体"/>
                <w:color w:val="000000"/>
                <w:sz w:val="24"/>
              </w:rPr>
              <w:t>高级</w:t>
            </w:r>
          </w:p>
        </w:tc>
        <w:tc>
          <w:tcPr>
            <w:tcW w:w="1150" w:type="pct"/>
            <w:tcBorders>
              <w:top w:val="single" w:color="auto" w:sz="4" w:space="0"/>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中级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r>
              <w:rPr>
                <w:rFonts w:hint="eastAsia" w:ascii="宋体" w:hAnsi="宋体" w:eastAsia="宋体" w:cs="宋体"/>
                <w:color w:val="000000"/>
                <w:sz w:val="24"/>
              </w:rPr>
              <w:t>工程业绩(如有)</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left"/>
              <w:rPr>
                <w:rFonts w:ascii="宋体" w:hAnsi="宋体" w:eastAsia="宋体" w:cs="宋体"/>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技术负责人或总工程师（如有）</w:t>
            </w:r>
          </w:p>
        </w:tc>
        <w:tc>
          <w:tcPr>
            <w:tcW w:w="1282" w:type="pct"/>
            <w:gridSpan w:val="2"/>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姓名</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王春波</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李鑫涛</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蒋同和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restar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相关证书</w:t>
            </w:r>
          </w:p>
        </w:tc>
        <w:tc>
          <w:tcPr>
            <w:tcW w:w="721"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名称</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安全生产考核合格证(B证)</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安全生产考核合格证(B证)</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安全生产考核合格证(B证)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561" w:type="pct"/>
            <w:vMerge w:val="continue"/>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p>
        </w:tc>
        <w:tc>
          <w:tcPr>
            <w:tcW w:w="721"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kern w:val="0"/>
                <w:sz w:val="24"/>
                <w:lang w:bidi="ar"/>
              </w:rPr>
              <w:t>级别</w:t>
            </w:r>
          </w:p>
        </w:tc>
        <w:tc>
          <w:tcPr>
            <w:tcW w:w="1004"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高级</w:t>
            </w:r>
          </w:p>
        </w:tc>
        <w:tc>
          <w:tcPr>
            <w:tcW w:w="993" w:type="pct"/>
            <w:tcBorders>
              <w:tl2br w:val="nil"/>
              <w:tr2bl w:val="nil"/>
            </w:tcBorders>
            <w:tcMar>
              <w:left w:w="108" w:type="dxa"/>
              <w:right w:w="108" w:type="dxa"/>
            </w:tcMar>
            <w:vAlign w:val="center"/>
          </w:tcPr>
          <w:p>
            <w:pPr>
              <w:widowControl/>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高级</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高级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571" w:type="pct"/>
            <w:vMerge w:val="restar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 xml:space="preserve"> 投标担保信息</w:t>
            </w:r>
          </w:p>
        </w:tc>
        <w:tc>
          <w:tcPr>
            <w:tcW w:w="1282"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担保方式</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保函</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转账</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保函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担保机构</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阳光财产保险股份有限公司</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国任财产保险股份有限公司湖南分公司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7"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经营地址</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湖南省岳阳市岳阳楼区康王工业园奇康路26号</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长沙市芙蓉区韶山北路28号长沙长城宾馆11楼1128-1139房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571" w:type="pct"/>
            <w:vMerge w:val="continue"/>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p>
        </w:tc>
        <w:tc>
          <w:tcPr>
            <w:tcW w:w="1282" w:type="pct"/>
            <w:gridSpan w:val="2"/>
            <w:tcBorders>
              <w:tl2br w:val="nil"/>
              <w:tr2bl w:val="nil"/>
            </w:tcBorders>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联系电话</w:t>
            </w:r>
          </w:p>
        </w:tc>
        <w:tc>
          <w:tcPr>
            <w:tcW w:w="1004"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ascii="宋体" w:hAnsi="宋体" w:eastAsia="宋体" w:cs="宋体"/>
                <w:color w:val="000000"/>
                <w:sz w:val="24"/>
              </w:rPr>
              <w:t>95510</w:t>
            </w:r>
          </w:p>
        </w:tc>
        <w:tc>
          <w:tcPr>
            <w:tcW w:w="993"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w:t>
            </w:r>
          </w:p>
        </w:tc>
        <w:tc>
          <w:tcPr>
            <w:tcW w:w="1150" w:type="pct"/>
            <w:tcBorders>
              <w:tl2br w:val="nil"/>
              <w:tr2bl w:val="nil"/>
            </w:tcBorders>
            <w:tcMar>
              <w:left w:w="108" w:type="dxa"/>
              <w:right w:w="108" w:type="dxa"/>
            </w:tcMar>
            <w:vAlign w:val="center"/>
          </w:tcPr>
          <w:p>
            <w:pPr>
              <w:shd w:val="clear" w:color="auto" w:fill="FFFFFF" w:themeFill="background1"/>
              <w:spacing w:line="320" w:lineRule="exact"/>
              <w:jc w:val="center"/>
              <w:rPr>
                <w:rFonts w:ascii="宋体" w:hAnsi="宋体" w:eastAsia="宋体" w:cs="宋体"/>
                <w:color w:val="000000"/>
                <w:sz w:val="24"/>
              </w:rPr>
            </w:pPr>
            <w:r>
              <w:rPr>
                <w:rFonts w:hint="eastAsia" w:ascii="宋体" w:hAnsi="宋体" w:eastAsia="宋体" w:cs="宋体"/>
                <w:color w:val="000000"/>
                <w:sz w:val="24"/>
              </w:rPr>
              <w:t>18674866500</w:t>
            </w:r>
          </w:p>
        </w:tc>
      </w:tr>
    </w:tbl>
    <w:p>
      <w:pPr>
        <w:shd w:val="clear" w:color="auto" w:fill="FFFFFF" w:themeFill="background1"/>
        <w:spacing w:line="490" w:lineRule="exact"/>
        <w:ind w:firstLine="481" w:firstLineChars="200"/>
        <w:jc w:val="center"/>
        <w:rPr>
          <w:rFonts w:ascii="宋体" w:hAnsi="宋体" w:eastAsia="宋体" w:cs="宋体"/>
          <w:color w:val="000000"/>
          <w:kern w:val="0"/>
          <w:sz w:val="24"/>
        </w:rPr>
      </w:pPr>
      <w:r>
        <w:rPr>
          <w:rFonts w:hint="eastAsia" w:ascii="宋体" w:hAnsi="宋体" w:eastAsia="宋体" w:cs="宋体"/>
          <w:b/>
          <w:bCs/>
          <w:color w:val="000000"/>
          <w:sz w:val="24"/>
          <w:shd w:val="clear" w:color="auto" w:fill="FFFFFF"/>
        </w:rPr>
        <w:t>S333、S213衡东县大桥经石湾至金花公路工程项目二标段被否决投标的投标人情况：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989"/>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b/>
                <w:bCs/>
                <w:color w:val="000000"/>
                <w:kern w:val="0"/>
                <w:sz w:val="24"/>
                <w:shd w:val="clear" w:color="auto" w:fill="FFFFFF"/>
                <w:lang w:eastAsia="en-US"/>
              </w:rPr>
            </w:pPr>
            <w:r>
              <w:rPr>
                <w:rFonts w:ascii="宋体" w:hAnsi="宋体" w:eastAsia="宋体" w:cs="宋体"/>
                <w:color w:val="000000"/>
                <w:kern w:val="0"/>
                <w:sz w:val="24"/>
                <w:lang w:eastAsia="en-US"/>
              </w:rPr>
              <w:t>序号</w:t>
            </w:r>
          </w:p>
        </w:tc>
        <w:tc>
          <w:tcPr>
            <w:tcW w:w="1167" w:type="pct"/>
            <w:vAlign w:val="center"/>
          </w:tcPr>
          <w:p>
            <w:pPr>
              <w:shd w:val="clear" w:color="auto" w:fill="FFFFFF" w:themeFill="background1"/>
              <w:spacing w:line="360" w:lineRule="auto"/>
              <w:jc w:val="center"/>
              <w:rPr>
                <w:rFonts w:ascii="宋体" w:hAnsi="宋体" w:eastAsia="宋体" w:cs="宋体"/>
                <w:b/>
                <w:bCs/>
                <w:color w:val="000000"/>
                <w:kern w:val="0"/>
                <w:sz w:val="24"/>
                <w:shd w:val="clear" w:color="auto" w:fill="FFFFFF"/>
                <w:lang w:eastAsia="en-US"/>
              </w:rPr>
            </w:pPr>
            <w:r>
              <w:rPr>
                <w:rFonts w:hint="eastAsia" w:ascii="宋体" w:hAnsi="宋体" w:eastAsia="宋体" w:cs="宋体"/>
                <w:color w:val="000000"/>
                <w:kern w:val="2"/>
                <w:sz w:val="24"/>
                <w:lang w:eastAsia="zh-CN"/>
              </w:rPr>
              <w:t>投标人名称</w:t>
            </w:r>
          </w:p>
        </w:tc>
        <w:tc>
          <w:tcPr>
            <w:tcW w:w="3172" w:type="pct"/>
            <w:vAlign w:val="center"/>
          </w:tcPr>
          <w:p>
            <w:pPr>
              <w:shd w:val="clear" w:color="auto" w:fill="FFFFFF" w:themeFill="background1"/>
              <w:spacing w:line="360" w:lineRule="auto"/>
              <w:jc w:val="center"/>
              <w:rPr>
                <w:rFonts w:ascii="宋体" w:hAnsi="宋体" w:eastAsia="宋体" w:cs="宋体"/>
                <w:b/>
                <w:bCs/>
                <w:color w:val="000000"/>
                <w:kern w:val="0"/>
                <w:sz w:val="24"/>
                <w:shd w:val="clear" w:color="auto" w:fill="FFFFFF"/>
                <w:lang w:eastAsia="en-US"/>
              </w:rPr>
            </w:pPr>
            <w:r>
              <w:rPr>
                <w:rFonts w:hint="eastAsia" w:ascii="宋体" w:hAnsi="宋体" w:eastAsia="宋体" w:cs="宋体"/>
                <w:color w:val="000000"/>
                <w:kern w:val="2"/>
                <w:sz w:val="24"/>
                <w:lang w:eastAsia="zh-CN"/>
              </w:rPr>
              <w:t>否决依据和原因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长沙市公路桥梁建设有限责任公司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邢台路桥建设集团有限公司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3</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哈尔滨市公路工程有限责任公司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在形式评审、资格评审、响应性评审中，评标委员会认定投标文件不符合评标办法前附表规定的任何一项评审标准的。1.7 投标报价有错误的，评标委员会按评标办法中的有关规定要求投标人对投标报价进行修正，并要求投标人作出澄清确认，投标人拒不澄清确认的。清标结果有错误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4</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湖南发通路桥集团有限公司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5</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中交一公局第七工程有限公司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6</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山西路桥第五工程有限公司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7</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湖南省交建工程集团有限公司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8</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安徽省华通路桥工程有限责任公司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9</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天津路桥建设工程有限公司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10</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中建路桥集团有限公司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11</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中交第四航务工程局有限公司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12</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中铁五局集团有限公司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13</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安徽路达公路工程有限责任公司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14</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贵州桥梁建设集团有限责任公司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山西路桥第四工程有限公司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16</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安徽建工路港建设集团有限公司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17</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中铁六局集团有限公司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在形式评审、资格评审、响应性评审中，评标委员会认定投标文件不符合评标办法前附表规定的任何一项评审标准的。已核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18</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湖南振兴路桥建设有限公司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19</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四川路桥华东建设有限责任公司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20</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四川志德公路工程有限责任公司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21</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大连力和公路工程有限公司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22</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湖南省通衢兴路建设有限公司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23</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浙江交工宏途交通建设有限公司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在形式评审、资格评审、响应性评审中，评标委员会认定投标文件不符合评标办法前附表规定的任何一项评审标准的。清标结果有错误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24</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黄山新洲建设集团有限公司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25</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安徽巢湖路桥建设集团有限公司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在形式评审、资格评审、响应性评审中，评标委员会认定投标文件不符合评标办法前附表规定的任何一项评审标准的。业绩合格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26</w:t>
            </w:r>
          </w:p>
        </w:tc>
        <w:tc>
          <w:tcPr>
            <w:tcW w:w="1167" w:type="pct"/>
            <w:vAlign w:val="center"/>
          </w:tcPr>
          <w:p>
            <w:pPr>
              <w:shd w:val="clear" w:color="auto" w:fill="FFFFFF" w:themeFill="background1"/>
              <w:spacing w:line="360" w:lineRule="auto"/>
              <w:jc w:val="center"/>
              <w:rPr>
                <w:rFonts w:ascii="宋体" w:hAnsi="宋体" w:eastAsia="宋体" w:cs="宋体"/>
                <w:color w:val="000000"/>
                <w:kern w:val="0"/>
                <w:sz w:val="24"/>
                <w:lang w:eastAsia="zh-CN"/>
              </w:rPr>
            </w:pPr>
            <w:r>
              <w:rPr>
                <w:rFonts w:hint="eastAsia" w:ascii="宋体" w:hAnsi="宋体" w:eastAsia="宋体" w:cs="宋体"/>
                <w:color w:val="000000"/>
                <w:kern w:val="2"/>
                <w:sz w:val="24"/>
                <w:lang w:eastAsia="zh-CN"/>
              </w:rPr>
              <w:t>中铁二局集团有限公司</w:t>
            </w:r>
          </w:p>
        </w:tc>
        <w:tc>
          <w:tcPr>
            <w:tcW w:w="3172" w:type="pct"/>
            <w:vAlign w:val="center"/>
          </w:tcPr>
          <w:p>
            <w:pPr>
              <w:shd w:val="clear" w:color="auto" w:fill="FFFFFF" w:themeFill="background1"/>
              <w:spacing w:line="360" w:lineRule="auto"/>
              <w:jc w:val="center"/>
              <w:rPr>
                <w:rFonts w:ascii="宋体" w:hAnsi="宋体" w:eastAsia="宋体" w:cs="宋体"/>
                <w:color w:val="000000"/>
                <w:kern w:val="0"/>
                <w:sz w:val="24"/>
                <w:lang w:eastAsia="en-US"/>
              </w:rPr>
            </w:pPr>
            <w:r>
              <w:rPr>
                <w:rFonts w:hint="eastAsia" w:ascii="宋体" w:hAnsi="宋体" w:eastAsia="宋体" w:cs="宋体"/>
                <w:color w:val="000000"/>
                <w:kern w:val="2"/>
                <w:sz w:val="24"/>
                <w:lang w:eastAsia="zh-CN"/>
              </w:rPr>
              <w:t>1.5 在形式评审、资格评审、响应性评审中，评标委员会认定投标文件不符合评标办法前附表规定的任何一项评审标准的。有效</w:t>
            </w:r>
          </w:p>
        </w:tc>
      </w:tr>
    </w:tbl>
    <w:p>
      <w:pPr>
        <w:shd w:val="clear" w:color="auto" w:fill="FFFFFF" w:themeFill="background1"/>
        <w:spacing w:line="360" w:lineRule="auto"/>
        <w:ind w:firstLine="480" w:firstLineChars="200"/>
        <w:rPr>
          <w:rFonts w:ascii="宋体" w:hAnsi="宋体" w:eastAsia="宋体" w:cs="宋体"/>
          <w:color w:val="000000"/>
          <w:kern w:val="0"/>
          <w:sz w:val="24"/>
        </w:rPr>
      </w:pPr>
    </w:p>
    <w:p>
      <w:pPr>
        <w:shd w:val="clear" w:color="auto" w:fill="FFFFFF" w:themeFill="background1"/>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kern w:val="0"/>
          <w:sz w:val="24"/>
        </w:rPr>
        <w:t>公示期：</w:t>
      </w:r>
      <w:r>
        <w:rPr>
          <w:rFonts w:hint="eastAsia" w:ascii="宋体" w:hAnsi="宋体" w:eastAsia="宋体" w:cs="宋体"/>
          <w:color w:val="000000"/>
          <w:kern w:val="0"/>
          <w:sz w:val="24"/>
          <w:u w:val="single"/>
        </w:rPr>
        <w:t>2025年05月06日</w:t>
      </w:r>
      <w:r>
        <w:rPr>
          <w:rFonts w:hint="eastAsia" w:ascii="宋体" w:hAnsi="宋体" w:eastAsia="宋体" w:cs="宋体"/>
          <w:color w:val="000000"/>
          <w:kern w:val="0"/>
          <w:sz w:val="24"/>
        </w:rPr>
        <w:t>始至</w:t>
      </w:r>
      <w:r>
        <w:rPr>
          <w:rFonts w:hint="eastAsia" w:ascii="宋体" w:hAnsi="宋体" w:eastAsia="宋体" w:cs="宋体"/>
          <w:color w:val="000000"/>
          <w:kern w:val="0"/>
          <w:sz w:val="24"/>
          <w:u w:val="single"/>
        </w:rPr>
        <w:t>2025年05月09日</w:t>
      </w:r>
      <w:r>
        <w:rPr>
          <w:rFonts w:hint="eastAsia" w:ascii="宋体" w:hAnsi="宋体" w:eastAsia="宋体" w:cs="宋体"/>
          <w:color w:val="000000"/>
          <w:kern w:val="0"/>
          <w:sz w:val="24"/>
        </w:rPr>
        <w:t>时止（北京时间）。公示期间，投标人和其他利害关系人如有异议，应按照</w:t>
      </w:r>
      <w:r>
        <w:rPr>
          <w:rFonts w:hint="eastAsia" w:ascii="宋体" w:hAnsi="宋体" w:eastAsia="宋体" w:cs="宋体"/>
          <w:color w:val="000000"/>
          <w:kern w:val="0"/>
          <w:sz w:val="24"/>
          <w:u w:val="single"/>
        </w:rPr>
        <w:t>《工程建设项目招标投标活动投诉处理办法》、《关于印发〈湖南省招标投标活动投诉处理办法〉的通知》（湘发改法规〔2024〕419号）</w:t>
      </w:r>
      <w:r>
        <w:rPr>
          <w:rFonts w:hint="eastAsia" w:ascii="宋体" w:hAnsi="宋体" w:eastAsia="宋体" w:cs="宋体"/>
          <w:color w:val="000000"/>
          <w:kern w:val="0"/>
          <w:sz w:val="24"/>
        </w:rPr>
        <w:t>提出异议或投</w:t>
      </w:r>
      <w:r>
        <w:rPr>
          <w:rFonts w:hint="eastAsia" w:ascii="宋体" w:hAnsi="宋体" w:eastAsia="宋体" w:cs="宋体"/>
          <w:bCs/>
          <w:color w:val="000000"/>
          <w:kern w:val="0"/>
          <w:sz w:val="24"/>
        </w:rPr>
        <w:t>诉</w:t>
      </w:r>
      <w:r>
        <w:rPr>
          <w:rFonts w:hint="eastAsia" w:ascii="宋体" w:hAnsi="宋体" w:eastAsia="宋体" w:cs="宋体"/>
          <w:color w:val="000000"/>
          <w:sz w:val="24"/>
          <w:shd w:val="clear" w:color="auto" w:fill="FFFFFF"/>
        </w:rPr>
        <w:t>。公示期满对中标候选人若无异议，招标人将确定第一中标候选人为该项目的中标人。</w:t>
      </w:r>
    </w:p>
    <w:p>
      <w:pPr>
        <w:spacing w:line="490" w:lineRule="exact"/>
        <w:ind w:firstLine="480" w:firstLineChars="200"/>
        <w:rPr>
          <w:rFonts w:ascii="宋体" w:hAnsi="宋体" w:eastAsia="宋体" w:cs="宋体"/>
          <w:bCs/>
          <w:color w:val="000000"/>
          <w:kern w:val="0"/>
          <w:sz w:val="24"/>
        </w:rPr>
      </w:pPr>
      <w:r>
        <w:rPr>
          <w:rFonts w:hint="eastAsia" w:ascii="宋体" w:hAnsi="宋体" w:eastAsia="宋体" w:cs="宋体"/>
          <w:bCs/>
          <w:color w:val="000000"/>
          <w:kern w:val="0"/>
          <w:sz w:val="24"/>
        </w:rPr>
        <w:t>行政监督：</w:t>
      </w:r>
      <w:r>
        <w:rPr>
          <w:rFonts w:hint="eastAsia" w:ascii="宋体" w:hAnsi="宋体" w:eastAsia="宋体" w:cs="宋体"/>
          <w:bCs/>
          <w:color w:val="000000"/>
          <w:kern w:val="0"/>
          <w:sz w:val="24"/>
          <w:u w:val="single"/>
        </w:rPr>
        <w:t>湖南省·衡阳市·市辖区·交通部门</w:t>
      </w:r>
      <w:r>
        <w:rPr>
          <w:rFonts w:ascii="宋体" w:hAnsi="宋体" w:eastAsia="宋体" w:cs="宋体"/>
          <w:color w:val="000000"/>
          <w:sz w:val="24"/>
          <w:u w:val="single"/>
        </w:rPr>
        <w:t>、衡阳市解放大道27号、0734-8850042、0734-8850042</w:t>
      </w:r>
    </w:p>
    <w:p>
      <w:pPr>
        <w:spacing w:line="490" w:lineRule="exact"/>
        <w:ind w:firstLine="480" w:firstLineChars="200"/>
        <w:rPr>
          <w:rFonts w:ascii="宋体" w:hAnsi="宋体" w:eastAsia="宋体" w:cs="宋体"/>
          <w:bCs/>
          <w:color w:val="000000"/>
          <w:kern w:val="0"/>
          <w:sz w:val="24"/>
        </w:rPr>
      </w:pPr>
      <w:r>
        <w:rPr>
          <w:rFonts w:hint="eastAsia" w:ascii="宋体" w:hAnsi="宋体" w:eastAsia="宋体" w:cs="宋体"/>
          <w:bCs/>
          <w:color w:val="000000"/>
          <w:kern w:val="0"/>
          <w:sz w:val="24"/>
        </w:rPr>
        <w:t>招 标 人：</w:t>
      </w:r>
      <w:r>
        <w:rPr>
          <w:rFonts w:hint="eastAsia" w:ascii="宋体" w:hAnsi="宋体" w:eastAsia="宋体" w:cs="宋体"/>
          <w:bCs/>
          <w:color w:val="000000"/>
          <w:kern w:val="0"/>
          <w:sz w:val="24"/>
          <w:u w:val="single"/>
        </w:rPr>
        <w:t>衡东县城乡发展投资集团有限公司</w:t>
      </w:r>
      <w:r>
        <w:rPr>
          <w:rFonts w:ascii="宋体" w:hAnsi="宋体" w:eastAsia="宋体" w:cs="宋体"/>
          <w:color w:val="000000"/>
          <w:sz w:val="24"/>
          <w:u w:val="single"/>
        </w:rPr>
        <w:t>、衡东县洣水镇迎宾路202号、龙涛、18273490742</w:t>
      </w:r>
    </w:p>
    <w:p>
      <w:pPr>
        <w:spacing w:line="490" w:lineRule="exact"/>
        <w:ind w:firstLine="480" w:firstLineChars="200"/>
        <w:rPr>
          <w:rFonts w:ascii="宋体" w:hAnsi="宋体" w:eastAsia="宋体" w:cs="宋体"/>
          <w:bCs/>
          <w:color w:val="000000"/>
          <w:kern w:val="0"/>
          <w:sz w:val="24"/>
        </w:rPr>
      </w:pPr>
      <w:r>
        <w:rPr>
          <w:rFonts w:hint="eastAsia" w:ascii="宋体" w:hAnsi="宋体" w:eastAsia="宋体" w:cs="宋体"/>
          <w:bCs/>
          <w:color w:val="000000"/>
          <w:kern w:val="0"/>
          <w:sz w:val="24"/>
        </w:rPr>
        <w:t>招标代理：</w:t>
      </w:r>
      <w:r>
        <w:rPr>
          <w:rFonts w:hint="eastAsia" w:ascii="宋体" w:hAnsi="宋体" w:eastAsia="宋体" w:cs="宋体"/>
          <w:bCs/>
          <w:color w:val="000000"/>
          <w:kern w:val="0"/>
          <w:sz w:val="24"/>
          <w:u w:val="single"/>
        </w:rPr>
        <w:t>湖南智曜项目管理有限公司</w:t>
      </w:r>
      <w:r>
        <w:rPr>
          <w:rFonts w:ascii="宋体" w:hAnsi="宋体" w:eastAsia="宋体" w:cs="宋体"/>
          <w:color w:val="000000"/>
          <w:sz w:val="24"/>
          <w:u w:val="single"/>
        </w:rPr>
        <w:t>、衡阳市高新区晓霞街36号文翰花苑G栋506室、</w:t>
      </w:r>
      <w:r>
        <w:rPr>
          <w:rFonts w:hint="eastAsia" w:ascii="宋体" w:hAnsi="宋体" w:eastAsia="宋体" w:cs="宋体"/>
          <w:color w:val="000000"/>
          <w:sz w:val="24"/>
          <w:u w:val="single"/>
        </w:rPr>
        <w:t>唐宇</w:t>
      </w:r>
      <w:r>
        <w:rPr>
          <w:rFonts w:ascii="宋体" w:hAnsi="宋体" w:eastAsia="宋体" w:cs="宋体"/>
          <w:color w:val="000000"/>
          <w:sz w:val="24"/>
          <w:u w:val="single"/>
        </w:rPr>
        <w:t>、17670757302</w:t>
      </w:r>
    </w:p>
    <w:p>
      <w:pPr>
        <w:spacing w:line="490" w:lineRule="exact"/>
        <w:ind w:firstLine="480" w:firstLineChars="200"/>
      </w:pPr>
      <w:r>
        <w:rPr>
          <w:rFonts w:hint="eastAsia" w:ascii="宋体" w:hAnsi="宋体" w:eastAsia="宋体" w:cs="宋体"/>
          <w:bCs/>
          <w:color w:val="000000"/>
          <w:kern w:val="0"/>
          <w:sz w:val="24"/>
        </w:rPr>
        <w:t>时    间：</w:t>
      </w:r>
      <w:r>
        <w:rPr>
          <w:rFonts w:ascii="宋体" w:hAnsi="宋体" w:eastAsia="宋体" w:cs="宋体"/>
          <w:bCs/>
          <w:color w:val="000000"/>
          <w:kern w:val="0"/>
          <w:sz w:val="24"/>
          <w:u w:val="single"/>
        </w:rPr>
        <w:t>2025年5月6日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EA"/>
    <w:rsid w:val="00477AAB"/>
    <w:rsid w:val="007914EA"/>
    <w:rsid w:val="009B6836"/>
    <w:rsid w:val="FFD9B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59"/>
    <w:pPr>
      <w:widowControl w:val="0"/>
      <w:jc w:val="both"/>
    </w:pPr>
    <w:rPr>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5">
    <w:name w:val="网格型1"/>
    <w:qFormat/>
    <w:uiPriority w:val="59"/>
    <w:pPr>
      <w:widowControl w:val="0"/>
      <w:jc w:val="both"/>
    </w:pPr>
    <w:rPr>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Pages>
  <Words>1187</Words>
  <Characters>6769</Characters>
  <Lines>56</Lines>
  <Paragraphs>15</Paragraphs>
  <TotalTime>11</TotalTime>
  <ScaleCrop>false</ScaleCrop>
  <LinksUpToDate>false</LinksUpToDate>
  <CharactersWithSpaces>7941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2025-05-06T15:03:00Z</dcterms:created>
  <dc:creator>User</dc:creator>
  <cp:lastModifiedBy>kylin</cp:lastModifiedBy>
  <cp:lastPrinted>2025-05-06T15:15:34Z</cp:lastPrinted>
  <dcterms:modified xsi:type="dcterms:W3CDTF">2025-05-06T15:21:51Z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9BFEAB4D0BA4BFAD8FB81968E27A36F0</vt:lpwstr>
  </property>
</Properties>
</file>